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BB4497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5478A9C" w14:textId="77777777" w:rsidR="00F35BAF" w:rsidRPr="00DB58B5" w:rsidRDefault="00F35BAF" w:rsidP="00D12FF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49D48F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104AED7" w14:textId="660FF0A4" w:rsidR="00F35BAF" w:rsidRPr="00DB58B5" w:rsidRDefault="00D12FF3" w:rsidP="00D12FF3">
            <w:pPr>
              <w:jc w:val="right"/>
            </w:pPr>
            <w:r w:rsidRPr="00D12FF3">
              <w:rPr>
                <w:sz w:val="40"/>
              </w:rPr>
              <w:t>ECE</w:t>
            </w:r>
            <w:r>
              <w:t>/TRANS/WP.29/2023/34</w:t>
            </w:r>
          </w:p>
        </w:tc>
      </w:tr>
      <w:tr w:rsidR="00F35BAF" w:rsidRPr="00DB58B5" w14:paraId="13463CA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E725E0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F842793" wp14:editId="1BEF1F6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8CF9B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725C266" w14:textId="77777777" w:rsidR="00F35BAF" w:rsidRDefault="00D12FF3" w:rsidP="00C97039">
            <w:pPr>
              <w:spacing w:before="240"/>
            </w:pPr>
            <w:r>
              <w:t>Distr. générale</w:t>
            </w:r>
          </w:p>
          <w:p w14:paraId="108EC0E8" w14:textId="77777777" w:rsidR="00D12FF3" w:rsidRDefault="00D12FF3" w:rsidP="00D12FF3">
            <w:pPr>
              <w:spacing w:line="240" w:lineRule="exact"/>
            </w:pPr>
            <w:r>
              <w:t>23 décembre 2022</w:t>
            </w:r>
          </w:p>
          <w:p w14:paraId="3F53F762" w14:textId="5E06CE1C" w:rsidR="00D12FF3" w:rsidRPr="00DB58B5" w:rsidRDefault="00D12FF3" w:rsidP="00D12FF3">
            <w:pPr>
              <w:spacing w:line="240" w:lineRule="exact"/>
            </w:pPr>
            <w:r>
              <w:t>Français</w:t>
            </w:r>
            <w:r>
              <w:br/>
              <w:t>Original</w:t>
            </w:r>
            <w:r w:rsidR="00627573">
              <w:t> :</w:t>
            </w:r>
            <w:r>
              <w:t xml:space="preserve"> anglais</w:t>
            </w:r>
          </w:p>
        </w:tc>
      </w:tr>
    </w:tbl>
    <w:p w14:paraId="0891822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13BB1F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4B65E2D" w14:textId="77777777" w:rsidR="00627573" w:rsidRDefault="00627573" w:rsidP="00627573">
      <w:pPr>
        <w:spacing w:before="120" w:after="120"/>
        <w:rPr>
          <w:b/>
          <w:sz w:val="24"/>
          <w:szCs w:val="24"/>
          <w:lang w:val="fr-FR"/>
        </w:rPr>
      </w:pPr>
      <w:r w:rsidRPr="004D4C9E">
        <w:rPr>
          <w:b/>
          <w:sz w:val="24"/>
          <w:szCs w:val="24"/>
          <w:lang w:val="fr-FR"/>
        </w:rPr>
        <w:t>Forum mondial de l’harmonisation</w:t>
      </w:r>
      <w:r w:rsidRPr="004D4C9E">
        <w:rPr>
          <w:b/>
          <w:sz w:val="24"/>
          <w:szCs w:val="24"/>
          <w:lang w:val="fr-FR"/>
        </w:rPr>
        <w:br/>
        <w:t>des Règlements concernant les véhicules</w:t>
      </w:r>
    </w:p>
    <w:p w14:paraId="634795CC" w14:textId="281D4296" w:rsidR="00627573" w:rsidRPr="004D4C9E" w:rsidRDefault="00627573" w:rsidP="00627573">
      <w:pPr>
        <w:ind w:right="1134"/>
        <w:rPr>
          <w:b/>
          <w:lang w:val="fr-FR"/>
        </w:rPr>
      </w:pPr>
      <w:r w:rsidRPr="004D4C9E">
        <w:rPr>
          <w:b/>
          <w:bCs/>
          <w:lang w:val="fr-FR"/>
        </w:rPr>
        <w:t>189</w:t>
      </w:r>
      <w:r w:rsidRPr="004D4C9E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 w:rsidRPr="004D4C9E">
        <w:rPr>
          <w:b/>
          <w:bCs/>
          <w:lang w:val="fr-FR"/>
        </w:rPr>
        <w:t>session</w:t>
      </w:r>
    </w:p>
    <w:p w14:paraId="4C4AAED1" w14:textId="77777777" w:rsidR="00627573" w:rsidRPr="004D4C9E" w:rsidRDefault="00627573" w:rsidP="00627573">
      <w:pPr>
        <w:ind w:right="1134"/>
        <w:rPr>
          <w:lang w:val="fr-FR"/>
        </w:rPr>
      </w:pPr>
      <w:r w:rsidRPr="004D4C9E">
        <w:rPr>
          <w:lang w:val="fr-FR"/>
        </w:rPr>
        <w:t>7-9 mars 2023</w:t>
      </w:r>
    </w:p>
    <w:p w14:paraId="68215D7E" w14:textId="77777777" w:rsidR="00627573" w:rsidRPr="004D4C9E" w:rsidRDefault="00627573" w:rsidP="00627573">
      <w:pPr>
        <w:ind w:right="1134"/>
        <w:rPr>
          <w:bCs/>
          <w:lang w:val="fr-FR"/>
        </w:rPr>
      </w:pPr>
      <w:r w:rsidRPr="004D4C9E">
        <w:rPr>
          <w:lang w:val="fr-FR"/>
        </w:rPr>
        <w:t>Point 4.9.10 de l’ordre du jour provisoire</w:t>
      </w:r>
    </w:p>
    <w:p w14:paraId="630C953F" w14:textId="083FC78B" w:rsidR="00627573" w:rsidRPr="004D4C9E" w:rsidRDefault="00627573" w:rsidP="00627573">
      <w:pPr>
        <w:ind w:right="1467"/>
        <w:jc w:val="both"/>
        <w:rPr>
          <w:b/>
          <w:bCs/>
          <w:lang w:val="fr-FR"/>
        </w:rPr>
      </w:pPr>
      <w:r w:rsidRPr="004D4C9E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:</w:t>
      </w:r>
    </w:p>
    <w:p w14:paraId="7BC368DE" w14:textId="1CCFABEC" w:rsidR="00627573" w:rsidRPr="004D4C9E" w:rsidRDefault="00627573" w:rsidP="00627573">
      <w:pPr>
        <w:rPr>
          <w:b/>
          <w:bCs/>
          <w:lang w:val="fr-FR"/>
        </w:rPr>
      </w:pPr>
      <w:r w:rsidRPr="004D4C9E">
        <w:rPr>
          <w:b/>
          <w:bCs/>
          <w:lang w:val="fr-FR"/>
        </w:rPr>
        <w:t>Examen de projets d’amendements à des</w:t>
      </w:r>
      <w:r>
        <w:rPr>
          <w:b/>
          <w:bCs/>
          <w:lang w:val="fr-FR"/>
        </w:rPr>
        <w:t xml:space="preserve"> </w:t>
      </w:r>
      <w:r w:rsidRPr="004D4C9E">
        <w:rPr>
          <w:b/>
          <w:bCs/>
          <w:lang w:val="fr-FR"/>
        </w:rPr>
        <w:t xml:space="preserve">Règlements ONU existants, </w:t>
      </w:r>
      <w:r>
        <w:rPr>
          <w:b/>
          <w:bCs/>
          <w:lang w:val="fr-FR"/>
        </w:rPr>
        <w:br/>
      </w:r>
      <w:r w:rsidRPr="004D4C9E">
        <w:rPr>
          <w:b/>
          <w:bCs/>
          <w:lang w:val="fr-FR"/>
        </w:rPr>
        <w:t>soumis par le GRE</w:t>
      </w:r>
    </w:p>
    <w:p w14:paraId="129B07C2" w14:textId="1DFB7138" w:rsidR="00627573" w:rsidRPr="004D4C9E" w:rsidRDefault="00627573" w:rsidP="00627573">
      <w:pPr>
        <w:pStyle w:val="HChG"/>
        <w:rPr>
          <w:lang w:val="fr-FR"/>
        </w:rPr>
      </w:pPr>
      <w:r w:rsidRPr="004D4C9E">
        <w:rPr>
          <w:lang w:val="fr-FR"/>
        </w:rPr>
        <w:tab/>
      </w:r>
      <w:r w:rsidRPr="004D4C9E">
        <w:rPr>
          <w:lang w:val="fr-FR"/>
        </w:rPr>
        <w:tab/>
        <w:t>Proposition de complément 12 au Règlement ONU n</w:t>
      </w:r>
      <w:r w:rsidRPr="004D4C9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D4C9E">
        <w:rPr>
          <w:lang w:val="fr-FR"/>
        </w:rPr>
        <w:t>65 (Feux spéciaux d’avertissement)</w:t>
      </w:r>
    </w:p>
    <w:p w14:paraId="608561BC" w14:textId="77777777" w:rsidR="00627573" w:rsidRPr="004D4C9E" w:rsidRDefault="00627573" w:rsidP="00627573">
      <w:pPr>
        <w:pStyle w:val="H1G"/>
        <w:ind w:right="2975"/>
        <w:rPr>
          <w:szCs w:val="24"/>
          <w:lang w:val="fr-FR"/>
        </w:rPr>
      </w:pPr>
      <w:r w:rsidRPr="004D4C9E">
        <w:rPr>
          <w:lang w:val="fr-FR"/>
        </w:rPr>
        <w:tab/>
      </w:r>
      <w:r w:rsidRPr="004D4C9E">
        <w:rPr>
          <w:lang w:val="fr-FR"/>
        </w:rPr>
        <w:tab/>
        <w:t>Communication du Groupe de travail de l’éclairage et de la signalisation lumineuse</w:t>
      </w:r>
      <w:r w:rsidRPr="004D4C9E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78035557" w14:textId="73B20EBC" w:rsidR="00627573" w:rsidRPr="004D4C9E" w:rsidRDefault="00627573" w:rsidP="00627573">
      <w:pPr>
        <w:pStyle w:val="SingleTxtG"/>
        <w:ind w:firstLine="567"/>
        <w:rPr>
          <w:lang w:val="fr-FR"/>
        </w:rPr>
      </w:pPr>
      <w:r w:rsidRPr="004D4C9E">
        <w:rPr>
          <w:lang w:val="fr-FR"/>
        </w:rPr>
        <w:tab/>
        <w:t>Le texte ci-après a été adopté par le Groupe de travail de l’éclairage et de la signalisation lumineuse (GRE) à sa quatre-vingt-septième session (ECE/TRANS/WP.29/</w:t>
      </w:r>
      <w:r>
        <w:rPr>
          <w:lang w:val="fr-FR"/>
        </w:rPr>
        <w:t xml:space="preserve"> </w:t>
      </w:r>
      <w:r w:rsidRPr="004D4C9E">
        <w:rPr>
          <w:lang w:val="fr-FR"/>
        </w:rPr>
        <w:t>GRE/87, par.</w:t>
      </w:r>
      <w:r>
        <w:rPr>
          <w:lang w:val="fr-FR"/>
        </w:rPr>
        <w:t> </w:t>
      </w:r>
      <w:r w:rsidRPr="004D4C9E">
        <w:rPr>
          <w:lang w:val="fr-FR"/>
        </w:rPr>
        <w:t>33). Il est fondé sur le document ECE/TRANS/WP.29/GRE/2022/16. Il est soumis au Forum mondial de l’harmonisation des Règlements concernant les véhicules (WP.29) et au Comité d’administration de l’Accord de 1958 (AC.1) pour examen à leurs sessions de mars 2023.</w:t>
      </w:r>
    </w:p>
    <w:p w14:paraId="32EDE7F6" w14:textId="77777777" w:rsidR="00627573" w:rsidRPr="004D4C9E" w:rsidRDefault="00627573" w:rsidP="00627573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 w:rsidRPr="004D4C9E">
        <w:rPr>
          <w:lang w:val="fr-FR"/>
        </w:rPr>
        <w:br w:type="page"/>
      </w:r>
    </w:p>
    <w:p w14:paraId="6BE89DDC" w14:textId="5C9BFEFB" w:rsidR="00627573" w:rsidRPr="004D4C9E" w:rsidRDefault="00627573" w:rsidP="00627573">
      <w:pPr>
        <w:pStyle w:val="SingleTxtG"/>
        <w:keepNext/>
        <w:rPr>
          <w:bCs/>
          <w:i/>
          <w:lang w:val="fr-FR"/>
        </w:rPr>
      </w:pPr>
      <w:r w:rsidRPr="004D4C9E">
        <w:rPr>
          <w:i/>
          <w:iCs/>
          <w:lang w:val="fr-FR"/>
        </w:rPr>
        <w:lastRenderedPageBreak/>
        <w:t>Table des matières, annexes</w:t>
      </w:r>
      <w:r>
        <w:rPr>
          <w:lang w:val="fr-FR"/>
        </w:rPr>
        <w:t> :</w:t>
      </w:r>
      <w:r w:rsidRPr="004D4C9E">
        <w:rPr>
          <w:lang w:val="fr-FR"/>
        </w:rPr>
        <w:t xml:space="preserve"> ajouter la nouvelle annexe 9, intitulée comme suit</w:t>
      </w:r>
      <w:r>
        <w:rPr>
          <w:lang w:val="fr-FR"/>
        </w:rPr>
        <w:t> :</w:t>
      </w:r>
    </w:p>
    <w:p w14:paraId="55FCE46D" w14:textId="77777777" w:rsidR="00627573" w:rsidRPr="004D4C9E" w:rsidRDefault="00627573" w:rsidP="00627573">
      <w:pPr>
        <w:pStyle w:val="SingleTxtG"/>
        <w:rPr>
          <w:b/>
          <w:bCs/>
          <w:lang w:val="fr-FR"/>
        </w:rPr>
      </w:pPr>
      <w:r w:rsidRPr="004D4C9E">
        <w:rPr>
          <w:lang w:val="fr-FR"/>
        </w:rPr>
        <w:t>«</w:t>
      </w:r>
      <w:r w:rsidRPr="004D4C9E">
        <w:rPr>
          <w:b/>
          <w:bCs/>
          <w:lang w:val="fr-FR"/>
        </w:rPr>
        <w:t> </w:t>
      </w:r>
      <w:r w:rsidRPr="004D4C9E">
        <w:rPr>
          <w:lang w:val="fr-FR"/>
        </w:rPr>
        <w:t>9</w:t>
      </w:r>
      <w:r w:rsidRPr="004D4C9E">
        <w:rPr>
          <w:lang w:val="fr-FR"/>
        </w:rPr>
        <w:tab/>
        <w:t>Essai des semelles de fixation magnétiques des feux spéciaux d’avertissement</w:t>
      </w:r>
      <w:r w:rsidRPr="004D4C9E">
        <w:rPr>
          <w:b/>
          <w:bCs/>
          <w:lang w:val="fr-FR"/>
        </w:rPr>
        <w:t> </w:t>
      </w:r>
      <w:r w:rsidRPr="004D4C9E">
        <w:rPr>
          <w:lang w:val="fr-FR"/>
        </w:rPr>
        <w:t>».</w:t>
      </w:r>
    </w:p>
    <w:p w14:paraId="61D40BD4" w14:textId="5F57C678" w:rsidR="00627573" w:rsidRDefault="00627573" w:rsidP="00627573">
      <w:pPr>
        <w:pStyle w:val="SingleTxtG"/>
        <w:keepNext/>
        <w:rPr>
          <w:lang w:val="fr-FR"/>
        </w:rPr>
      </w:pPr>
      <w:r w:rsidRPr="004D4C9E">
        <w:rPr>
          <w:i/>
          <w:iCs/>
          <w:lang w:val="fr-FR"/>
        </w:rPr>
        <w:t>Ajouter le nouveau paragraphe 5.10</w:t>
      </w:r>
      <w:r w:rsidRPr="004D4C9E">
        <w:rPr>
          <w:lang w:val="fr-FR"/>
        </w:rPr>
        <w:t>, libellé comme suit</w:t>
      </w:r>
      <w:r>
        <w:rPr>
          <w:lang w:val="fr-FR"/>
        </w:rPr>
        <w:t> :</w:t>
      </w:r>
    </w:p>
    <w:p w14:paraId="1ED6A2E1" w14:textId="16E02CCD" w:rsidR="00627573" w:rsidRPr="00627573" w:rsidRDefault="00627573" w:rsidP="00627573">
      <w:pPr>
        <w:pStyle w:val="SingleTxtG"/>
        <w:ind w:left="2268" w:hanging="1134"/>
        <w:rPr>
          <w:lang w:val="fr-FR"/>
        </w:rPr>
      </w:pPr>
      <w:r w:rsidRPr="00627573">
        <w:rPr>
          <w:lang w:val="fr-FR"/>
        </w:rPr>
        <w:t>« 5.10</w:t>
      </w:r>
      <w:r w:rsidRPr="00627573">
        <w:rPr>
          <w:lang w:val="fr-FR"/>
        </w:rPr>
        <w:tab/>
      </w:r>
      <w:r w:rsidRPr="00627573">
        <w:rPr>
          <w:lang w:val="fr-FR"/>
        </w:rPr>
        <w:tab/>
        <w:t>Dans le cas d’une fixation par semelle magnétique, le feu spécial d’avertissement doit être soumis à l’essai décrit à l’annexe 9 du présent Règlement. Pendant l’essai, la semelle de fixation magnétique ne doit pas se déplacer de plus de 200</w:t>
      </w:r>
      <w:r w:rsidR="00EB4E8D">
        <w:rPr>
          <w:lang w:val="fr-FR"/>
        </w:rPr>
        <w:t> </w:t>
      </w:r>
      <w:r w:rsidRPr="00627573">
        <w:rPr>
          <w:lang w:val="fr-FR"/>
        </w:rPr>
        <w:t>mm par rapport à sa position initiale</w:t>
      </w:r>
      <w:r w:rsidRPr="00EB4E8D">
        <w:rPr>
          <w:sz w:val="18"/>
          <w:szCs w:val="18"/>
          <w:vertAlign w:val="superscript"/>
          <w:lang w:val="fr-FR"/>
        </w:rPr>
        <w:t>1</w:t>
      </w:r>
      <w:r w:rsidRPr="00627573">
        <w:rPr>
          <w:lang w:val="fr-FR"/>
        </w:rPr>
        <w:t>. ».</w:t>
      </w:r>
    </w:p>
    <w:p w14:paraId="2B334391" w14:textId="6C748614" w:rsidR="00627573" w:rsidRDefault="00627573" w:rsidP="00627573">
      <w:pPr>
        <w:pStyle w:val="SingleTxtG"/>
        <w:keepNext/>
        <w:rPr>
          <w:lang w:val="fr-FR"/>
        </w:rPr>
      </w:pPr>
      <w:r w:rsidRPr="00627573">
        <w:rPr>
          <w:i/>
          <w:iCs/>
          <w:lang w:val="fr-FR"/>
        </w:rPr>
        <w:t>Paragraphe 5.10, ajouter la note de bas de page 1</w:t>
      </w:r>
      <w:r w:rsidRPr="004D4C9E">
        <w:rPr>
          <w:lang w:val="fr-FR"/>
        </w:rPr>
        <w:t>, libellée comme suit</w:t>
      </w:r>
      <w:r>
        <w:rPr>
          <w:lang w:val="fr-FR"/>
        </w:rPr>
        <w:t> :</w:t>
      </w:r>
    </w:p>
    <w:p w14:paraId="68B3E37F" w14:textId="5A4C92B7" w:rsidR="00627573" w:rsidRPr="004D4C9E" w:rsidRDefault="00627573" w:rsidP="00627573">
      <w:pPr>
        <w:pStyle w:val="Notedebasdepage"/>
        <w:spacing w:after="240"/>
        <w:rPr>
          <w:lang w:val="fr-FR"/>
        </w:rPr>
      </w:pPr>
      <w:r>
        <w:rPr>
          <w:vertAlign w:val="superscript"/>
          <w:lang w:val="fr-FR"/>
        </w:rPr>
        <w:tab/>
      </w:r>
      <w:r w:rsidRPr="004D4C9E">
        <w:rPr>
          <w:vertAlign w:val="superscript"/>
          <w:lang w:val="fr-FR"/>
        </w:rPr>
        <w:t>1</w:t>
      </w:r>
      <w:r w:rsidRPr="004D4C9E">
        <w:rPr>
          <w:lang w:val="fr-FR"/>
        </w:rPr>
        <w:tab/>
        <w:t>Le fabricant doit informer l’utilisateur que ce mode de fixation n’est utilisable que sur un toit en acier adapté ou sur une plaque de montage en acier.</w:t>
      </w:r>
    </w:p>
    <w:p w14:paraId="582B6676" w14:textId="37310F9B" w:rsidR="00627573" w:rsidRPr="004D4C9E" w:rsidRDefault="00627573" w:rsidP="00627573">
      <w:pPr>
        <w:pStyle w:val="SingleTxtG"/>
        <w:keepNext/>
        <w:rPr>
          <w:bCs/>
          <w:lang w:val="fr-FR"/>
        </w:rPr>
      </w:pPr>
      <w:r w:rsidRPr="00627573">
        <w:rPr>
          <w:i/>
          <w:iCs/>
          <w:lang w:val="fr-FR"/>
        </w:rPr>
        <w:t>Ajouter la nouvelle annexe 9</w:t>
      </w:r>
      <w:r w:rsidRPr="004D4C9E">
        <w:rPr>
          <w:lang w:val="fr-FR"/>
        </w:rPr>
        <w:t>, libellée comme suit</w:t>
      </w:r>
      <w:r>
        <w:rPr>
          <w:lang w:val="fr-FR"/>
        </w:rPr>
        <w:t> :</w:t>
      </w:r>
    </w:p>
    <w:p w14:paraId="1406A937" w14:textId="77777777" w:rsidR="00627573" w:rsidRPr="004D4C9E" w:rsidRDefault="00627573" w:rsidP="00627573">
      <w:pPr>
        <w:pStyle w:val="HChG"/>
        <w:rPr>
          <w:lang w:val="fr-FR"/>
        </w:rPr>
      </w:pPr>
      <w:r w:rsidRPr="00627573">
        <w:rPr>
          <w:b w:val="0"/>
          <w:bCs/>
          <w:sz w:val="20"/>
          <w:lang w:val="fr-FR"/>
        </w:rPr>
        <w:t>« </w:t>
      </w:r>
      <w:r w:rsidRPr="004D4C9E">
        <w:rPr>
          <w:lang w:val="fr-FR"/>
        </w:rPr>
        <w:t>Annexe 9</w:t>
      </w:r>
    </w:p>
    <w:p w14:paraId="5E966F7B" w14:textId="77777777" w:rsidR="00627573" w:rsidRPr="004D4C9E" w:rsidRDefault="00627573" w:rsidP="00627573">
      <w:pPr>
        <w:pStyle w:val="HChG"/>
        <w:rPr>
          <w:lang w:val="fr-FR"/>
        </w:rPr>
      </w:pPr>
      <w:r w:rsidRPr="004D4C9E">
        <w:rPr>
          <w:lang w:val="fr-FR"/>
        </w:rPr>
        <w:tab/>
      </w:r>
      <w:r w:rsidRPr="004D4C9E">
        <w:rPr>
          <w:lang w:val="fr-FR"/>
        </w:rPr>
        <w:tab/>
        <w:t>Essai des semelles de fixation magnétiques des feux spéciaux d’avertissement</w:t>
      </w:r>
    </w:p>
    <w:p w14:paraId="4C3FACFB" w14:textId="3B45F23A" w:rsidR="00627573" w:rsidRPr="004D4C9E" w:rsidRDefault="00627573" w:rsidP="00627573">
      <w:pPr>
        <w:pStyle w:val="SingleTxtG"/>
        <w:ind w:firstLine="567"/>
        <w:rPr>
          <w:lang w:val="fr-FR"/>
        </w:rPr>
      </w:pPr>
      <w:r w:rsidRPr="004D4C9E">
        <w:rPr>
          <w:lang w:val="fr-FR"/>
        </w:rPr>
        <w:tab/>
        <w:t xml:space="preserve">Les essais doivent être effectués à une température ambiante de 23 </w:t>
      </w:r>
      <w:r w:rsidRPr="004D4C9E">
        <w:rPr>
          <w:lang w:val="fr-FR"/>
        </w:rPr>
        <w:sym w:font="Symbol" w:char="F0B1"/>
      </w:r>
      <w:r w:rsidRPr="004D4C9E">
        <w:rPr>
          <w:lang w:val="fr-FR"/>
        </w:rPr>
        <w:t>5</w:t>
      </w:r>
      <w:r w:rsidR="005F44D2">
        <w:rPr>
          <w:lang w:val="fr-FR"/>
        </w:rPr>
        <w:t> </w:t>
      </w:r>
      <w:r w:rsidRPr="004D4C9E">
        <w:rPr>
          <w:lang w:val="fr-FR"/>
        </w:rPr>
        <w:t>°C sur une surface métallique de taille suffisante et répondant aux spécifications suivantes</w:t>
      </w:r>
      <w:r>
        <w:rPr>
          <w:lang w:val="fr-FR"/>
        </w:rPr>
        <w:t> :</w:t>
      </w:r>
    </w:p>
    <w:p w14:paraId="41DBF738" w14:textId="61CBAC87" w:rsidR="00627573" w:rsidRPr="004D4C9E" w:rsidRDefault="00627573" w:rsidP="00627573">
      <w:pPr>
        <w:pStyle w:val="Bullet1G"/>
        <w:rPr>
          <w:lang w:val="fr-FR"/>
        </w:rPr>
      </w:pPr>
      <w:r w:rsidRPr="004D4C9E">
        <w:rPr>
          <w:lang w:val="fr-FR"/>
        </w:rPr>
        <w:t>type de métal</w:t>
      </w:r>
      <w:r>
        <w:rPr>
          <w:lang w:val="fr-FR"/>
        </w:rPr>
        <w:t> :</w:t>
      </w:r>
      <w:r w:rsidRPr="004D4C9E">
        <w:rPr>
          <w:lang w:val="fr-FR"/>
        </w:rPr>
        <w:t xml:space="preserve"> acier, avec une limite nominale d’élasticité comprise entre 180 N/mm</w:t>
      </w:r>
      <w:r w:rsidRPr="004D4C9E">
        <w:rPr>
          <w:vertAlign w:val="superscript"/>
          <w:lang w:val="fr-FR"/>
        </w:rPr>
        <w:t>2</w:t>
      </w:r>
      <w:r w:rsidRPr="004D4C9E">
        <w:rPr>
          <w:lang w:val="fr-FR"/>
        </w:rPr>
        <w:t xml:space="preserve"> et 240</w:t>
      </w:r>
      <w:r w:rsidR="005F44D2">
        <w:rPr>
          <w:lang w:val="fr-FR"/>
        </w:rPr>
        <w:t> </w:t>
      </w:r>
      <w:r w:rsidRPr="004D4C9E">
        <w:rPr>
          <w:lang w:val="fr-FR"/>
        </w:rPr>
        <w:t>N/mm</w:t>
      </w:r>
      <w:r w:rsidRPr="004D4C9E">
        <w:rPr>
          <w:vertAlign w:val="superscript"/>
          <w:lang w:val="fr-FR"/>
        </w:rPr>
        <w:t>2</w:t>
      </w:r>
      <w:r>
        <w:rPr>
          <w:lang w:val="fr-FR"/>
        </w:rPr>
        <w:t> ;</w:t>
      </w:r>
    </w:p>
    <w:p w14:paraId="2EA7F79C" w14:textId="05C63298" w:rsidR="00627573" w:rsidRPr="004D4C9E" w:rsidRDefault="00627573" w:rsidP="00627573">
      <w:pPr>
        <w:pStyle w:val="Bullet1G"/>
        <w:rPr>
          <w:lang w:val="fr-FR"/>
        </w:rPr>
      </w:pPr>
      <w:r w:rsidRPr="004D4C9E">
        <w:rPr>
          <w:lang w:val="fr-FR"/>
        </w:rPr>
        <w:t>épaisseur de la surface métallique</w:t>
      </w:r>
      <w:r>
        <w:rPr>
          <w:lang w:val="fr-FR"/>
        </w:rPr>
        <w:t> :</w:t>
      </w:r>
      <w:r w:rsidRPr="004D4C9E">
        <w:rPr>
          <w:lang w:val="fr-FR"/>
        </w:rPr>
        <w:t xml:space="preserve"> 0,7</w:t>
      </w:r>
      <w:r w:rsidR="005F44D2">
        <w:rPr>
          <w:lang w:val="fr-FR"/>
        </w:rPr>
        <w:t> </w:t>
      </w:r>
      <w:r w:rsidRPr="004D4C9E">
        <w:rPr>
          <w:lang w:val="fr-FR"/>
        </w:rPr>
        <w:t>+0,1/-0</w:t>
      </w:r>
      <w:r w:rsidR="005F44D2">
        <w:rPr>
          <w:lang w:val="fr-FR"/>
        </w:rPr>
        <w:t> </w:t>
      </w:r>
      <w:r w:rsidRPr="004D4C9E">
        <w:rPr>
          <w:lang w:val="fr-FR"/>
        </w:rPr>
        <w:t>mm</w:t>
      </w:r>
      <w:r>
        <w:rPr>
          <w:lang w:val="fr-FR"/>
        </w:rPr>
        <w:t> ;</w:t>
      </w:r>
    </w:p>
    <w:p w14:paraId="7CD2F475" w14:textId="73414965" w:rsidR="00627573" w:rsidRPr="004D4C9E" w:rsidRDefault="00627573" w:rsidP="00627573">
      <w:pPr>
        <w:pStyle w:val="Bullet1G"/>
        <w:rPr>
          <w:lang w:val="fr-FR"/>
        </w:rPr>
      </w:pPr>
      <w:r w:rsidRPr="004D4C9E">
        <w:rPr>
          <w:lang w:val="fr-FR"/>
        </w:rPr>
        <w:t>rayon de courbure</w:t>
      </w:r>
      <w:r>
        <w:rPr>
          <w:lang w:val="fr-FR"/>
        </w:rPr>
        <w:t> :</w:t>
      </w:r>
      <w:r w:rsidRPr="004D4C9E">
        <w:rPr>
          <w:lang w:val="fr-FR"/>
        </w:rPr>
        <w:t xml:space="preserve"> ≤5</w:t>
      </w:r>
      <w:r w:rsidR="005F44D2">
        <w:rPr>
          <w:lang w:val="fr-FR"/>
        </w:rPr>
        <w:t> </w:t>
      </w:r>
      <w:r w:rsidRPr="004D4C9E">
        <w:rPr>
          <w:lang w:val="fr-FR"/>
        </w:rPr>
        <w:t>000</w:t>
      </w:r>
      <w:r w:rsidR="005F44D2">
        <w:rPr>
          <w:lang w:val="fr-FR"/>
        </w:rPr>
        <w:t> </w:t>
      </w:r>
      <w:r w:rsidRPr="004D4C9E">
        <w:rPr>
          <w:lang w:val="fr-FR"/>
        </w:rPr>
        <w:t>mm</w:t>
      </w:r>
      <w:r>
        <w:rPr>
          <w:lang w:val="fr-FR"/>
        </w:rPr>
        <w:t> ;</w:t>
      </w:r>
    </w:p>
    <w:p w14:paraId="43F93613" w14:textId="142EF9C6" w:rsidR="00627573" w:rsidRPr="004D4C9E" w:rsidRDefault="00627573" w:rsidP="00627573">
      <w:pPr>
        <w:pStyle w:val="Bullet1G"/>
        <w:rPr>
          <w:lang w:val="fr-FR"/>
        </w:rPr>
      </w:pPr>
      <w:r w:rsidRPr="004D4C9E">
        <w:rPr>
          <w:lang w:val="fr-FR"/>
        </w:rPr>
        <w:t>épaisseur de la peinture</w:t>
      </w:r>
      <w:r>
        <w:rPr>
          <w:lang w:val="fr-FR"/>
        </w:rPr>
        <w:t> :</w:t>
      </w:r>
      <w:r w:rsidRPr="004D4C9E">
        <w:rPr>
          <w:lang w:val="fr-FR"/>
        </w:rPr>
        <w:t xml:space="preserve"> 120 </w:t>
      </w:r>
      <w:r w:rsidRPr="004D4C9E">
        <w:rPr>
          <w:lang w:val="fr-FR"/>
        </w:rPr>
        <w:sym w:font="Symbol" w:char="F0B1"/>
      </w:r>
      <w:r w:rsidRPr="004D4C9E">
        <w:rPr>
          <w:lang w:val="fr-FR"/>
        </w:rPr>
        <w:t>20</w:t>
      </w:r>
      <w:r w:rsidR="005F44D2">
        <w:rPr>
          <w:lang w:val="fr-FR"/>
        </w:rPr>
        <w:t> </w:t>
      </w:r>
      <w:r w:rsidRPr="004D4C9E">
        <w:rPr>
          <w:lang w:val="fr-FR"/>
        </w:rPr>
        <w:t>μm</w:t>
      </w:r>
      <w:r>
        <w:rPr>
          <w:lang w:val="fr-FR"/>
        </w:rPr>
        <w:t> ;</w:t>
      </w:r>
    </w:p>
    <w:p w14:paraId="4A9C3D42" w14:textId="5CE01485" w:rsidR="00627573" w:rsidRDefault="00627573" w:rsidP="00627573">
      <w:pPr>
        <w:pStyle w:val="Bullet1G"/>
        <w:rPr>
          <w:lang w:val="fr-FR"/>
        </w:rPr>
      </w:pPr>
      <w:r w:rsidRPr="004D4C9E">
        <w:rPr>
          <w:lang w:val="fr-FR"/>
        </w:rPr>
        <w:t>protection de la peinture</w:t>
      </w:r>
      <w:r>
        <w:rPr>
          <w:lang w:val="fr-FR"/>
        </w:rPr>
        <w:t> :</w:t>
      </w:r>
      <w:r w:rsidRPr="004D4C9E">
        <w:rPr>
          <w:lang w:val="fr-FR"/>
        </w:rPr>
        <w:t xml:space="preserve"> film de polyuréthane</w:t>
      </w:r>
      <w:r>
        <w:rPr>
          <w:lang w:val="fr-FR"/>
        </w:rPr>
        <w:t> ;</w:t>
      </w:r>
    </w:p>
    <w:p w14:paraId="66E6FC51" w14:textId="647D8F1C" w:rsidR="00627573" w:rsidRPr="004D4C9E" w:rsidRDefault="00627573" w:rsidP="00627573">
      <w:pPr>
        <w:pStyle w:val="Bullet1G"/>
        <w:rPr>
          <w:lang w:val="fr-FR"/>
        </w:rPr>
      </w:pPr>
      <w:r w:rsidRPr="004D4C9E">
        <w:rPr>
          <w:lang w:val="fr-FR"/>
        </w:rPr>
        <w:t>épaisseur du film de protection de la peinture</w:t>
      </w:r>
      <w:r>
        <w:rPr>
          <w:lang w:val="fr-FR"/>
        </w:rPr>
        <w:t> :</w:t>
      </w:r>
      <w:r w:rsidRPr="004D4C9E">
        <w:rPr>
          <w:lang w:val="fr-FR"/>
        </w:rPr>
        <w:t xml:space="preserve"> ≥</w:t>
      </w:r>
      <w:r w:rsidR="005F44D2">
        <w:rPr>
          <w:lang w:val="fr-FR"/>
        </w:rPr>
        <w:t> </w:t>
      </w:r>
      <w:r w:rsidRPr="004D4C9E">
        <w:rPr>
          <w:lang w:val="fr-FR"/>
        </w:rPr>
        <w:t>200</w:t>
      </w:r>
      <w:r w:rsidR="005F44D2">
        <w:rPr>
          <w:lang w:val="fr-FR"/>
        </w:rPr>
        <w:t> </w:t>
      </w:r>
      <w:r w:rsidRPr="004D4C9E">
        <w:rPr>
          <w:lang w:val="fr-FR"/>
        </w:rPr>
        <w:t>μm, colle comprise</w:t>
      </w:r>
      <w:r>
        <w:rPr>
          <w:lang w:val="fr-FR"/>
        </w:rPr>
        <w:t> ;</w:t>
      </w:r>
    </w:p>
    <w:p w14:paraId="466AAC7B" w14:textId="5C3B2815" w:rsidR="00627573" w:rsidRPr="004D4C9E" w:rsidRDefault="00627573" w:rsidP="00627573">
      <w:pPr>
        <w:pStyle w:val="Bullet1G"/>
        <w:rPr>
          <w:lang w:val="fr-FR"/>
        </w:rPr>
      </w:pPr>
      <w:r w:rsidRPr="004D4C9E">
        <w:rPr>
          <w:lang w:val="fr-FR"/>
        </w:rPr>
        <w:t>surface métallique &gt;20</w:t>
      </w:r>
      <w:r w:rsidR="005F44D2">
        <w:rPr>
          <w:lang w:val="fr-FR"/>
        </w:rPr>
        <w:t> </w:t>
      </w:r>
      <w:r w:rsidRPr="004D4C9E">
        <w:rPr>
          <w:lang w:val="fr-FR"/>
        </w:rPr>
        <w:t>mm au-dessus de tout autre matériau ferreux ou magnétique.</w:t>
      </w:r>
    </w:p>
    <w:p w14:paraId="1F2307AF" w14:textId="011E731D" w:rsidR="00627573" w:rsidRDefault="00627573" w:rsidP="00627573">
      <w:pPr>
        <w:pStyle w:val="Titre1"/>
        <w:rPr>
          <w:b/>
          <w:lang w:val="fr-FR"/>
        </w:rPr>
      </w:pPr>
      <w:r w:rsidRPr="004D4C9E">
        <w:rPr>
          <w:lang w:val="fr-FR"/>
        </w:rPr>
        <w:t>Figure 1</w:t>
      </w:r>
    </w:p>
    <w:p w14:paraId="0567CA99" w14:textId="06853F15" w:rsidR="00627573" w:rsidRPr="00627573" w:rsidRDefault="00627573" w:rsidP="00627573">
      <w:pPr>
        <w:pStyle w:val="SingleTxtG"/>
        <w:keepNext/>
        <w:jc w:val="left"/>
        <w:rPr>
          <w:b/>
          <w:bCs/>
          <w:lang w:val="fr-FR"/>
        </w:rPr>
      </w:pPr>
      <w:r w:rsidRPr="00627573">
        <w:rPr>
          <w:b/>
          <w:bCs/>
          <w:lang w:val="fr-FR"/>
        </w:rPr>
        <w:t>Surface métallique avec peinture et film de protection de la peinture</w:t>
      </w:r>
    </w:p>
    <w:p w14:paraId="52A6493A" w14:textId="40D1C5B2" w:rsidR="00627573" w:rsidRPr="004D4C9E" w:rsidRDefault="008B3D9B" w:rsidP="00627573">
      <w:pPr>
        <w:pStyle w:val="SingleTxtG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52427" wp14:editId="486A0CA8">
                <wp:simplePos x="0" y="0"/>
                <wp:positionH relativeFrom="column">
                  <wp:posOffset>4788256</wp:posOffset>
                </wp:positionH>
                <wp:positionV relativeFrom="paragraph">
                  <wp:posOffset>59817</wp:posOffset>
                </wp:positionV>
                <wp:extent cx="1184910" cy="657758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657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76E9D8" w14:textId="6A0A4A2E" w:rsidR="00627573" w:rsidRPr="00627573" w:rsidRDefault="00627573" w:rsidP="00627573">
                            <w:pPr>
                              <w:spacing w:after="60"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627573">
                              <w:rPr>
                                <w:sz w:val="16"/>
                                <w:szCs w:val="16"/>
                              </w:rPr>
                              <w:t xml:space="preserve">Film de protection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627573">
                              <w:rPr>
                                <w:sz w:val="16"/>
                                <w:szCs w:val="16"/>
                              </w:rPr>
                              <w:t>de la peinture</w:t>
                            </w:r>
                          </w:p>
                          <w:p w14:paraId="39EFF424" w14:textId="7FEE4265" w:rsidR="00627573" w:rsidRPr="00627573" w:rsidRDefault="00627573" w:rsidP="00627573">
                            <w:pPr>
                              <w:spacing w:after="60"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627573">
                              <w:rPr>
                                <w:sz w:val="16"/>
                                <w:szCs w:val="16"/>
                              </w:rPr>
                              <w:t>Peinture</w:t>
                            </w:r>
                          </w:p>
                          <w:p w14:paraId="72762163" w14:textId="5C77B6F7" w:rsidR="00627573" w:rsidRPr="00627573" w:rsidRDefault="00627573" w:rsidP="00627573">
                            <w:pPr>
                              <w:spacing w:after="60"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627573">
                              <w:rPr>
                                <w:sz w:val="16"/>
                                <w:szCs w:val="16"/>
                              </w:rPr>
                              <w:t>Métal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5242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77.05pt;margin-top:4.7pt;width:93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" fillcolor="white [3201]" stroked="f" strokeweight=".5pt">
                <v:textbox inset="0,0,0,0">
                  <w:txbxContent>
                    <w:p w14:paraId="6676E9D8" w14:textId="6A0A4A2E" w:rsidR="00627573" w:rsidRPr="00627573" w:rsidRDefault="00627573" w:rsidP="00627573">
                      <w:pPr>
                        <w:spacing w:after="60" w:line="200" w:lineRule="atLeast"/>
                        <w:rPr>
                          <w:sz w:val="16"/>
                          <w:szCs w:val="16"/>
                        </w:rPr>
                      </w:pPr>
                      <w:r w:rsidRPr="00627573">
                        <w:rPr>
                          <w:sz w:val="16"/>
                          <w:szCs w:val="16"/>
                        </w:rPr>
                        <w:t xml:space="preserve">Film de protection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627573">
                        <w:rPr>
                          <w:sz w:val="16"/>
                          <w:szCs w:val="16"/>
                        </w:rPr>
                        <w:t>de la peinture</w:t>
                      </w:r>
                    </w:p>
                    <w:p w14:paraId="39EFF424" w14:textId="7FEE4265" w:rsidR="00627573" w:rsidRPr="00627573" w:rsidRDefault="00627573" w:rsidP="00627573">
                      <w:pPr>
                        <w:spacing w:after="60" w:line="200" w:lineRule="atLeast"/>
                        <w:rPr>
                          <w:sz w:val="16"/>
                          <w:szCs w:val="16"/>
                        </w:rPr>
                      </w:pPr>
                      <w:r w:rsidRPr="00627573">
                        <w:rPr>
                          <w:sz w:val="16"/>
                          <w:szCs w:val="16"/>
                        </w:rPr>
                        <w:t>Peinture</w:t>
                      </w:r>
                    </w:p>
                    <w:p w14:paraId="72762163" w14:textId="5C77B6F7" w:rsidR="00627573" w:rsidRPr="00627573" w:rsidRDefault="00627573" w:rsidP="00627573">
                      <w:pPr>
                        <w:spacing w:after="60" w:line="200" w:lineRule="atLeast"/>
                        <w:rPr>
                          <w:sz w:val="16"/>
                          <w:szCs w:val="16"/>
                        </w:rPr>
                      </w:pPr>
                      <w:r w:rsidRPr="00627573">
                        <w:rPr>
                          <w:sz w:val="16"/>
                          <w:szCs w:val="16"/>
                        </w:rPr>
                        <w:t>Métal</w:t>
                      </w:r>
                    </w:p>
                  </w:txbxContent>
                </v:textbox>
              </v:shape>
            </w:pict>
          </mc:Fallback>
        </mc:AlternateContent>
      </w:r>
      <w:r w:rsidR="00627573" w:rsidRPr="004D4C9E">
        <w:rPr>
          <w:noProof/>
          <w:lang w:val="fr-FR"/>
        </w:rPr>
        <w:drawing>
          <wp:inline distT="0" distB="0" distL="0" distR="0" wp14:anchorId="70BB4C42" wp14:editId="5C69863F">
            <wp:extent cx="5400000" cy="704830"/>
            <wp:effectExtent l="0" t="0" r="0" b="63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70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422CA" w14:textId="490FFE9B" w:rsidR="00627573" w:rsidRPr="004D4C9E" w:rsidRDefault="00627573" w:rsidP="00627573">
      <w:pPr>
        <w:pStyle w:val="SingleTxtG"/>
        <w:ind w:firstLine="567"/>
        <w:rPr>
          <w:lang w:val="fr-FR"/>
        </w:rPr>
      </w:pPr>
      <w:r w:rsidRPr="004D4C9E">
        <w:rPr>
          <w:b/>
          <w:bCs/>
          <w:lang w:val="fr-FR"/>
        </w:rPr>
        <w:tab/>
      </w:r>
      <w:r w:rsidRPr="004D4C9E">
        <w:rPr>
          <w:lang w:val="fr-FR"/>
        </w:rPr>
        <w:t>Le feu spécial d’avertissement doit être fixé sur la surface métallique plane à l’aide d’une semelle magnétique et soumis à une impulsion de choc avec une accélération minimale de 16</w:t>
      </w:r>
      <w:r>
        <w:rPr>
          <w:lang w:val="fr-FR"/>
        </w:rPr>
        <w:t> </w:t>
      </w:r>
      <w:r w:rsidRPr="004D4C9E">
        <w:rPr>
          <w:lang w:val="fr-FR"/>
        </w:rPr>
        <w:t>g pendant 30</w:t>
      </w:r>
      <w:r>
        <w:rPr>
          <w:lang w:val="fr-FR"/>
        </w:rPr>
        <w:t> </w:t>
      </w:r>
      <w:r w:rsidRPr="004D4C9E">
        <w:rPr>
          <w:lang w:val="fr-FR"/>
        </w:rPr>
        <w:t>ms.</w:t>
      </w:r>
    </w:p>
    <w:p w14:paraId="46C78EBA" w14:textId="4CDFD3A2" w:rsidR="00627573" w:rsidRPr="004D4C9E" w:rsidRDefault="00627573" w:rsidP="00627573">
      <w:pPr>
        <w:pStyle w:val="SingleTxtG"/>
        <w:ind w:firstLine="567"/>
        <w:rPr>
          <w:b/>
          <w:lang w:val="fr-FR"/>
        </w:rPr>
      </w:pPr>
      <w:r w:rsidRPr="004D4C9E">
        <w:rPr>
          <w:lang w:val="fr-FR"/>
        </w:rPr>
        <w:tab/>
        <w:t>La direction de l’accélération doit être horizontale. ».</w:t>
      </w:r>
    </w:p>
    <w:p w14:paraId="07625B87" w14:textId="7F3FEC10" w:rsidR="00F9573C" w:rsidRPr="00627573" w:rsidRDefault="00627573" w:rsidP="0062757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F44D2">
        <w:rPr>
          <w:u w:val="single"/>
        </w:rPr>
        <w:tab/>
      </w:r>
    </w:p>
    <w:sectPr w:rsidR="00F9573C" w:rsidRPr="00627573" w:rsidSect="00D12FF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A6B2" w14:textId="77777777" w:rsidR="006E0FDF" w:rsidRDefault="006E0FDF" w:rsidP="00F95C08">
      <w:pPr>
        <w:spacing w:line="240" w:lineRule="auto"/>
      </w:pPr>
    </w:p>
  </w:endnote>
  <w:endnote w:type="continuationSeparator" w:id="0">
    <w:p w14:paraId="26B64FF9" w14:textId="77777777" w:rsidR="006E0FDF" w:rsidRPr="00AC3823" w:rsidRDefault="006E0FDF" w:rsidP="00AC3823">
      <w:pPr>
        <w:pStyle w:val="Pieddepage"/>
      </w:pPr>
    </w:p>
  </w:endnote>
  <w:endnote w:type="continuationNotice" w:id="1">
    <w:p w14:paraId="57811DC7" w14:textId="77777777" w:rsidR="006E0FDF" w:rsidRDefault="006E0F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A160" w14:textId="6C1D2EC5" w:rsidR="00D12FF3" w:rsidRPr="00D12FF3" w:rsidRDefault="00D12FF3" w:rsidP="00D12FF3">
    <w:pPr>
      <w:pStyle w:val="Pieddepage"/>
      <w:tabs>
        <w:tab w:val="right" w:pos="9638"/>
      </w:tabs>
    </w:pPr>
    <w:r w:rsidRPr="00D12FF3">
      <w:rPr>
        <w:b/>
        <w:sz w:val="18"/>
      </w:rPr>
      <w:fldChar w:fldCharType="begin"/>
    </w:r>
    <w:r w:rsidRPr="00D12FF3">
      <w:rPr>
        <w:b/>
        <w:sz w:val="18"/>
      </w:rPr>
      <w:instrText xml:space="preserve"> PAGE  \* MERGEFORMAT </w:instrText>
    </w:r>
    <w:r w:rsidRPr="00D12FF3">
      <w:rPr>
        <w:b/>
        <w:sz w:val="18"/>
      </w:rPr>
      <w:fldChar w:fldCharType="separate"/>
    </w:r>
    <w:r w:rsidRPr="00D12FF3">
      <w:rPr>
        <w:b/>
        <w:noProof/>
        <w:sz w:val="18"/>
      </w:rPr>
      <w:t>2</w:t>
    </w:r>
    <w:r w:rsidRPr="00D12FF3">
      <w:rPr>
        <w:b/>
        <w:sz w:val="18"/>
      </w:rPr>
      <w:fldChar w:fldCharType="end"/>
    </w:r>
    <w:r>
      <w:rPr>
        <w:b/>
        <w:sz w:val="18"/>
      </w:rPr>
      <w:tab/>
    </w:r>
    <w:r>
      <w:t>GE.22-29260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C3DB" w14:textId="452B6EC8" w:rsidR="00D12FF3" w:rsidRPr="00D12FF3" w:rsidRDefault="00D12FF3" w:rsidP="00D12FF3">
    <w:pPr>
      <w:pStyle w:val="Pieddepage"/>
      <w:tabs>
        <w:tab w:val="right" w:pos="9638"/>
      </w:tabs>
      <w:rPr>
        <w:b/>
        <w:sz w:val="18"/>
      </w:rPr>
    </w:pPr>
    <w:r>
      <w:t>GE.22-29260</w:t>
    </w:r>
    <w:r>
      <w:tab/>
    </w:r>
    <w:r w:rsidRPr="00D12FF3">
      <w:rPr>
        <w:b/>
        <w:sz w:val="18"/>
      </w:rPr>
      <w:fldChar w:fldCharType="begin"/>
    </w:r>
    <w:r w:rsidRPr="00D12FF3">
      <w:rPr>
        <w:b/>
        <w:sz w:val="18"/>
      </w:rPr>
      <w:instrText xml:space="preserve"> PAGE  \* MERGEFORMAT </w:instrText>
    </w:r>
    <w:r w:rsidRPr="00D12FF3">
      <w:rPr>
        <w:b/>
        <w:sz w:val="18"/>
      </w:rPr>
      <w:fldChar w:fldCharType="separate"/>
    </w:r>
    <w:r w:rsidRPr="00D12FF3">
      <w:rPr>
        <w:b/>
        <w:noProof/>
        <w:sz w:val="18"/>
      </w:rPr>
      <w:t>3</w:t>
    </w:r>
    <w:r w:rsidRPr="00D12F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1A86" w14:textId="773764B3" w:rsidR="007F20FA" w:rsidRPr="00D12FF3" w:rsidRDefault="00D12FF3" w:rsidP="00D12FF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E1BD8D3" wp14:editId="7060D62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22-29260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5024E31" wp14:editId="7CE75D9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110123    110123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5717" w14:textId="77777777" w:rsidR="006E0FDF" w:rsidRPr="00AC3823" w:rsidRDefault="006E0FD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D31CB7" w14:textId="77777777" w:rsidR="006E0FDF" w:rsidRPr="00AC3823" w:rsidRDefault="006E0FD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0EBA87" w14:textId="77777777" w:rsidR="006E0FDF" w:rsidRPr="00AC3823" w:rsidRDefault="006E0FDF">
      <w:pPr>
        <w:spacing w:line="240" w:lineRule="auto"/>
        <w:rPr>
          <w:sz w:val="2"/>
          <w:szCs w:val="2"/>
        </w:rPr>
      </w:pPr>
    </w:p>
  </w:footnote>
  <w:footnote w:id="2">
    <w:p w14:paraId="57500BE8" w14:textId="3E915BCD" w:rsidR="00627573" w:rsidRPr="000168D0" w:rsidRDefault="00627573" w:rsidP="00627573">
      <w:pPr>
        <w:pStyle w:val="Notedebasdepage"/>
      </w:pPr>
      <w:r>
        <w:rPr>
          <w:rStyle w:val="Appelnotedebasdep"/>
        </w:rPr>
        <w:tab/>
      </w:r>
      <w:r w:rsidRPr="000168D0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A82AB7">
        <w:rPr>
          <w:lang w:val="fr-FR"/>
        </w:rPr>
        <w:t>Conformément au programme de travail du Comité des transports intérieurs pour 202</w:t>
      </w:r>
      <w:r>
        <w:rPr>
          <w:lang w:val="fr-FR"/>
        </w:rPr>
        <w:t>3</w:t>
      </w:r>
      <w:r w:rsidRPr="00A82AB7">
        <w:rPr>
          <w:lang w:val="fr-FR"/>
        </w:rPr>
        <w:t xml:space="preserve"> tel qu</w:t>
      </w:r>
      <w:r>
        <w:rPr>
          <w:lang w:val="fr-FR"/>
        </w:rPr>
        <w:t>’</w:t>
      </w:r>
      <w:r w:rsidRPr="00A82AB7">
        <w:rPr>
          <w:lang w:val="fr-FR"/>
        </w:rPr>
        <w:t>il figure dans le projet de budget-programme pour 202</w:t>
      </w:r>
      <w:r>
        <w:rPr>
          <w:lang w:val="fr-FR"/>
        </w:rPr>
        <w:t>3</w:t>
      </w:r>
      <w:r w:rsidRPr="00A82AB7">
        <w:rPr>
          <w:lang w:val="fr-FR"/>
        </w:rPr>
        <w:t xml:space="preserve"> (A/7</w:t>
      </w:r>
      <w:r>
        <w:rPr>
          <w:lang w:val="fr-FR"/>
        </w:rPr>
        <w:t>7</w:t>
      </w:r>
      <w:r w:rsidRPr="00A82AB7">
        <w:rPr>
          <w:lang w:val="fr-FR"/>
        </w:rPr>
        <w:t xml:space="preserve">/6 (Sect.20), </w:t>
      </w:r>
      <w:r>
        <w:rPr>
          <w:lang w:val="fr-FR"/>
        </w:rPr>
        <w:t>tableau 20.6</w:t>
      </w:r>
      <w:r w:rsidRPr="00A82AB7">
        <w:rPr>
          <w:lang w:val="fr-FR"/>
        </w:rPr>
        <w:t>), le Forum mondial a pour mission d</w:t>
      </w:r>
      <w:r>
        <w:rPr>
          <w:lang w:val="fr-FR"/>
        </w:rPr>
        <w:t>’</w:t>
      </w:r>
      <w:r w:rsidRPr="00A82AB7">
        <w:rPr>
          <w:lang w:val="fr-FR"/>
        </w:rPr>
        <w:t>élaborer, d</w:t>
      </w:r>
      <w:r>
        <w:rPr>
          <w:lang w:val="fr-FR"/>
        </w:rPr>
        <w:t>’</w:t>
      </w:r>
      <w:r w:rsidRPr="00A82AB7"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 w:rsidRPr="00A82AB7"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E1A1" w14:textId="656052AA" w:rsidR="00D12FF3" w:rsidRPr="00D12FF3" w:rsidRDefault="00D12FF3">
    <w:pPr>
      <w:pStyle w:val="En-tte"/>
    </w:pPr>
    <w:fldSimple w:instr=" TITLE  \* MERGEFORMAT ">
      <w:r>
        <w:t>ECE/TRANS/WP.29/2023/34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5716" w14:textId="3F05C6D6" w:rsidR="00D12FF3" w:rsidRPr="00D12FF3" w:rsidRDefault="00D12FF3" w:rsidP="00D12FF3">
    <w:pPr>
      <w:pStyle w:val="En-tte"/>
      <w:jc w:val="right"/>
    </w:pPr>
    <w:fldSimple w:instr=" TITLE  \* MERGEFORMAT ">
      <w:r>
        <w:t>ECE/TRANS/WP.29/2023/34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D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F44D2"/>
    <w:rsid w:val="00627573"/>
    <w:rsid w:val="006B7354"/>
    <w:rsid w:val="006E0FDF"/>
    <w:rsid w:val="0071601D"/>
    <w:rsid w:val="007A62E6"/>
    <w:rsid w:val="007F20FA"/>
    <w:rsid w:val="0080684C"/>
    <w:rsid w:val="00871C75"/>
    <w:rsid w:val="008776DC"/>
    <w:rsid w:val="008B3D9B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12FF3"/>
    <w:rsid w:val="00D3439C"/>
    <w:rsid w:val="00D7622E"/>
    <w:rsid w:val="00DB1831"/>
    <w:rsid w:val="00DD3BFD"/>
    <w:rsid w:val="00DF6678"/>
    <w:rsid w:val="00E0299A"/>
    <w:rsid w:val="00E85C74"/>
    <w:rsid w:val="00EA6547"/>
    <w:rsid w:val="00EB4E8D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3353B"/>
  <w15:docId w15:val="{D13A2BE5-9FAD-4968-9A28-AF9E9438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2757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627573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627573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361</Words>
  <Characters>2531</Characters>
  <Application>Microsoft Office Word</Application>
  <DocSecurity>0</DocSecurity>
  <Lines>210</Lines>
  <Paragraphs>115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ECE/TRANS/WP.29/2023/34</vt:lpstr>
    </vt:vector>
  </TitlesOfParts>
  <Company>DCM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ECE/TRANS/WP.29/2023/34</dc:title>
  <dc:subject/>
  <dc:creator>Nicolas MORIN</dc:creator>
  <cp:keywords/>
  <cp:lastModifiedBy>Nicolas Morin</cp:lastModifiedBy>
  <cp:revision>2</cp:revision>
  <cp:lastPrinted>2014-05-14T10:59:00Z</cp:lastPrinted>
  <dcterms:created xsi:type="dcterms:W3CDTF">2023-01-11T14:55:00Z</dcterms:created>
  <dcterms:modified xsi:type="dcterms:W3CDTF">2023-01-11T14:55:00Z</dcterms:modified>
</cp:coreProperties>
</file>