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0289473" w14:textId="77777777" w:rsidTr="00C97039">
        <w:trPr>
          <w:trHeight w:hRule="exact" w:val="851"/>
        </w:trPr>
        <w:tc>
          <w:tcPr>
            <w:tcW w:w="1276" w:type="dxa"/>
            <w:tcBorders>
              <w:bottom w:val="single" w:sz="4" w:space="0" w:color="auto"/>
            </w:tcBorders>
          </w:tcPr>
          <w:p w14:paraId="46E8AAFF" w14:textId="77777777" w:rsidR="00F35BAF" w:rsidRPr="00DB58B5" w:rsidRDefault="00F35BAF" w:rsidP="00E82533"/>
        </w:tc>
        <w:tc>
          <w:tcPr>
            <w:tcW w:w="2268" w:type="dxa"/>
            <w:tcBorders>
              <w:bottom w:val="single" w:sz="4" w:space="0" w:color="auto"/>
            </w:tcBorders>
            <w:vAlign w:val="bottom"/>
          </w:tcPr>
          <w:p w14:paraId="66F4CEA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8A8D60D" w14:textId="5555D4F8" w:rsidR="00F35BAF" w:rsidRPr="00DB58B5" w:rsidRDefault="00E82533" w:rsidP="00E82533">
            <w:pPr>
              <w:jc w:val="right"/>
            </w:pPr>
            <w:r w:rsidRPr="00E82533">
              <w:rPr>
                <w:sz w:val="40"/>
              </w:rPr>
              <w:t>ECE</w:t>
            </w:r>
            <w:r>
              <w:t>/TRANS/WP.29/2023/28</w:t>
            </w:r>
          </w:p>
        </w:tc>
      </w:tr>
      <w:tr w:rsidR="00F35BAF" w:rsidRPr="00DB58B5" w14:paraId="761C6AF7" w14:textId="77777777" w:rsidTr="00C97039">
        <w:trPr>
          <w:trHeight w:hRule="exact" w:val="2835"/>
        </w:trPr>
        <w:tc>
          <w:tcPr>
            <w:tcW w:w="1276" w:type="dxa"/>
            <w:tcBorders>
              <w:top w:val="single" w:sz="4" w:space="0" w:color="auto"/>
              <w:bottom w:val="single" w:sz="12" w:space="0" w:color="auto"/>
            </w:tcBorders>
          </w:tcPr>
          <w:p w14:paraId="0FD3F6EB" w14:textId="77777777" w:rsidR="00F35BAF" w:rsidRPr="00DB58B5" w:rsidRDefault="00F35BAF" w:rsidP="00C97039">
            <w:pPr>
              <w:spacing w:before="120"/>
              <w:jc w:val="center"/>
            </w:pPr>
            <w:r>
              <w:rPr>
                <w:noProof/>
                <w:lang w:eastAsia="fr-CH"/>
              </w:rPr>
              <w:drawing>
                <wp:inline distT="0" distB="0" distL="0" distR="0" wp14:anchorId="24F6BA15" wp14:editId="284D8C2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1B4418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D181F57" w14:textId="77777777" w:rsidR="00F35BAF" w:rsidRDefault="00E82533" w:rsidP="00C97039">
            <w:pPr>
              <w:spacing w:before="240"/>
            </w:pPr>
            <w:r>
              <w:t>Distr. générale</w:t>
            </w:r>
          </w:p>
          <w:p w14:paraId="0B8F4DE2" w14:textId="77777777" w:rsidR="00E82533" w:rsidRDefault="00E82533" w:rsidP="00E82533">
            <w:pPr>
              <w:spacing w:line="240" w:lineRule="exact"/>
            </w:pPr>
            <w:r>
              <w:t>14 décembre 2022</w:t>
            </w:r>
          </w:p>
          <w:p w14:paraId="1BEA78B7" w14:textId="77777777" w:rsidR="00E82533" w:rsidRDefault="00E82533" w:rsidP="00E82533">
            <w:pPr>
              <w:spacing w:line="240" w:lineRule="exact"/>
            </w:pPr>
            <w:r>
              <w:t>Français</w:t>
            </w:r>
          </w:p>
          <w:p w14:paraId="0B41CB2E" w14:textId="7CC9AFC2" w:rsidR="00E82533" w:rsidRPr="00DB58B5" w:rsidRDefault="00E82533" w:rsidP="00E82533">
            <w:pPr>
              <w:spacing w:line="240" w:lineRule="exact"/>
            </w:pPr>
            <w:r>
              <w:t>Original : anglais</w:t>
            </w:r>
          </w:p>
        </w:tc>
      </w:tr>
    </w:tbl>
    <w:p w14:paraId="3B407BF8" w14:textId="77777777" w:rsidR="007F20FA" w:rsidRPr="000312C0" w:rsidRDefault="007F20FA" w:rsidP="007F20FA">
      <w:pPr>
        <w:spacing w:before="120"/>
        <w:rPr>
          <w:b/>
          <w:sz w:val="28"/>
          <w:szCs w:val="28"/>
        </w:rPr>
      </w:pPr>
      <w:r w:rsidRPr="000312C0">
        <w:rPr>
          <w:b/>
          <w:sz w:val="28"/>
          <w:szCs w:val="28"/>
        </w:rPr>
        <w:t>Commission économique pour l’Europe</w:t>
      </w:r>
    </w:p>
    <w:p w14:paraId="33E0A4D9" w14:textId="77777777" w:rsidR="007F20FA" w:rsidRDefault="007F20FA" w:rsidP="007F20FA">
      <w:pPr>
        <w:spacing w:before="120"/>
        <w:rPr>
          <w:sz w:val="28"/>
          <w:szCs w:val="28"/>
        </w:rPr>
      </w:pPr>
      <w:r w:rsidRPr="00685843">
        <w:rPr>
          <w:sz w:val="28"/>
          <w:szCs w:val="28"/>
        </w:rPr>
        <w:t>Comité des transports intérieurs</w:t>
      </w:r>
    </w:p>
    <w:p w14:paraId="0787267B" w14:textId="43FEC0ED" w:rsidR="00E82533" w:rsidRDefault="00E82533" w:rsidP="00E82533">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t xml:space="preserve"> </w:t>
      </w:r>
      <w:r w:rsidRPr="00685843">
        <w:rPr>
          <w:b/>
          <w:sz w:val="24"/>
          <w:szCs w:val="24"/>
        </w:rPr>
        <w:t>des Règlements</w:t>
      </w:r>
      <w:r>
        <w:rPr>
          <w:b/>
          <w:sz w:val="24"/>
          <w:szCs w:val="24"/>
        </w:rPr>
        <w:t xml:space="preserve"> </w:t>
      </w:r>
      <w:r w:rsidR="00A279CF">
        <w:rPr>
          <w:b/>
          <w:sz w:val="24"/>
          <w:szCs w:val="24"/>
        </w:rPr>
        <w:br/>
      </w:r>
      <w:r w:rsidRPr="00685843">
        <w:rPr>
          <w:b/>
          <w:sz w:val="24"/>
          <w:szCs w:val="24"/>
        </w:rPr>
        <w:t>concernant les véhicules</w:t>
      </w:r>
    </w:p>
    <w:p w14:paraId="66DBEC43" w14:textId="77777777" w:rsidR="00E82533" w:rsidRDefault="00E82533" w:rsidP="00E82533">
      <w:pPr>
        <w:spacing w:before="120" w:line="240" w:lineRule="exact"/>
        <w:rPr>
          <w:b/>
        </w:rPr>
      </w:pPr>
      <w:r>
        <w:rPr>
          <w:b/>
        </w:rPr>
        <w:t>189</w:t>
      </w:r>
      <w:r w:rsidRPr="00D71C2C">
        <w:rPr>
          <w:b/>
          <w:vertAlign w:val="superscript"/>
        </w:rPr>
        <w:t>e</w:t>
      </w:r>
      <w:r>
        <w:rPr>
          <w:b/>
        </w:rPr>
        <w:t xml:space="preserve"> session</w:t>
      </w:r>
    </w:p>
    <w:p w14:paraId="1E03AD4B" w14:textId="77777777" w:rsidR="00E82533" w:rsidRDefault="00E82533" w:rsidP="00E82533">
      <w:pPr>
        <w:spacing w:line="240" w:lineRule="exact"/>
      </w:pPr>
      <w:r>
        <w:t>Genève, 7-9 mars 2023</w:t>
      </w:r>
    </w:p>
    <w:p w14:paraId="0E1BDFC1" w14:textId="77777777" w:rsidR="00E82533" w:rsidRDefault="00E82533" w:rsidP="00E82533">
      <w:pPr>
        <w:spacing w:line="240" w:lineRule="exact"/>
      </w:pPr>
      <w:r>
        <w:t>Point 4.9.4 de l’ordre du jour provisoire</w:t>
      </w:r>
    </w:p>
    <w:p w14:paraId="5E63A9DB" w14:textId="77777777" w:rsidR="00E82533" w:rsidRDefault="00E82533" w:rsidP="00E82533">
      <w:pPr>
        <w:rPr>
          <w:b/>
          <w:bCs/>
        </w:rPr>
      </w:pPr>
      <w:r>
        <w:rPr>
          <w:b/>
          <w:bCs/>
        </w:rPr>
        <w:t>Accord de 1958 :</w:t>
      </w:r>
    </w:p>
    <w:p w14:paraId="30781FFC" w14:textId="4A672B07" w:rsidR="00E82533" w:rsidRPr="00D71C2C" w:rsidRDefault="00E82533" w:rsidP="00E82533">
      <w:pPr>
        <w:rPr>
          <w:b/>
          <w:bCs/>
          <w:lang w:val="fr-FR"/>
        </w:rPr>
      </w:pPr>
      <w:r w:rsidRPr="00132EDC">
        <w:rPr>
          <w:b/>
          <w:bCs/>
          <w:lang w:val="fr-FR"/>
        </w:rPr>
        <w:t>Examen de projets d</w:t>
      </w:r>
      <w:r>
        <w:rPr>
          <w:b/>
          <w:bCs/>
          <w:lang w:val="fr-FR"/>
        </w:rPr>
        <w:t>’</w:t>
      </w:r>
      <w:r w:rsidRPr="00132EDC">
        <w:rPr>
          <w:b/>
          <w:bCs/>
          <w:lang w:val="fr-FR"/>
        </w:rPr>
        <w:t xml:space="preserve">amendements à des Règlements ONU existants, </w:t>
      </w:r>
      <w:r w:rsidR="00A279CF">
        <w:rPr>
          <w:b/>
          <w:bCs/>
          <w:lang w:val="fr-FR"/>
        </w:rPr>
        <w:br/>
      </w:r>
      <w:r w:rsidRPr="00132EDC">
        <w:rPr>
          <w:b/>
          <w:bCs/>
          <w:lang w:val="fr-FR"/>
        </w:rPr>
        <w:t>soumis par</w:t>
      </w:r>
      <w:r>
        <w:rPr>
          <w:b/>
          <w:bCs/>
          <w:lang w:val="fr-FR"/>
        </w:rPr>
        <w:t xml:space="preserve"> </w:t>
      </w:r>
      <w:r w:rsidRPr="00132EDC">
        <w:rPr>
          <w:b/>
          <w:bCs/>
          <w:lang w:val="fr-FR"/>
        </w:rPr>
        <w:t>le GRE</w:t>
      </w:r>
    </w:p>
    <w:p w14:paraId="0B6FCFD5" w14:textId="77777777" w:rsidR="00E82533" w:rsidRPr="00D40E57" w:rsidRDefault="00E82533" w:rsidP="00A279CF">
      <w:pPr>
        <w:pStyle w:val="HChG"/>
      </w:pPr>
      <w:r w:rsidRPr="00D40E57">
        <w:rPr>
          <w:lang w:val="fr-FR"/>
        </w:rPr>
        <w:tab/>
      </w:r>
      <w:r w:rsidRPr="00D40E57">
        <w:rPr>
          <w:lang w:val="fr-FR"/>
        </w:rPr>
        <w:tab/>
      </w:r>
      <w:r w:rsidRPr="0036379F">
        <w:t>Proposition de complément 18 à la série 06 d</w:t>
      </w:r>
      <w:r>
        <w:t>’</w:t>
      </w:r>
      <w:r w:rsidRPr="0036379F">
        <w:t>amendements au Règlement ONU n</w:t>
      </w:r>
      <w:r w:rsidRPr="00D71C2C">
        <w:rPr>
          <w:vertAlign w:val="superscript"/>
        </w:rPr>
        <w:t>o</w:t>
      </w:r>
      <w:r w:rsidRPr="0036379F">
        <w:t xml:space="preserve"> 48 (Installation des dispositifs d</w:t>
      </w:r>
      <w:r>
        <w:t>’</w:t>
      </w:r>
      <w:r w:rsidRPr="0036379F">
        <w:t>éclairage et de signalisation lumineuse)</w:t>
      </w:r>
    </w:p>
    <w:p w14:paraId="5B84C437" w14:textId="0D1BE60C" w:rsidR="00E82533" w:rsidRPr="00D40E57" w:rsidRDefault="00E82533" w:rsidP="00A279CF">
      <w:pPr>
        <w:pStyle w:val="H1G"/>
      </w:pPr>
      <w:r>
        <w:rPr>
          <w:lang w:val="fr-FR"/>
        </w:rPr>
        <w:tab/>
      </w:r>
      <w:r>
        <w:rPr>
          <w:lang w:val="fr-FR"/>
        </w:rPr>
        <w:tab/>
      </w:r>
      <w:r w:rsidRPr="00D40E57">
        <w:rPr>
          <w:lang w:val="fr-FR"/>
        </w:rPr>
        <w:t xml:space="preserve">Communication </w:t>
      </w:r>
      <w:r>
        <w:rPr>
          <w:lang w:val="fr-FR"/>
        </w:rPr>
        <w:t xml:space="preserve">du </w:t>
      </w:r>
      <w:r w:rsidRPr="00075225">
        <w:rPr>
          <w:lang w:val="fr-FR"/>
        </w:rPr>
        <w:t>Groupe de travail de l</w:t>
      </w:r>
      <w:r>
        <w:rPr>
          <w:lang w:val="fr-FR"/>
        </w:rPr>
        <w:t>’</w:t>
      </w:r>
      <w:r w:rsidRPr="00075225">
        <w:rPr>
          <w:lang w:val="fr-FR"/>
        </w:rPr>
        <w:t xml:space="preserve">éclairage </w:t>
      </w:r>
      <w:r w:rsidR="00A279CF">
        <w:rPr>
          <w:lang w:val="fr-FR"/>
        </w:rPr>
        <w:br/>
      </w:r>
      <w:r w:rsidRPr="00075225">
        <w:rPr>
          <w:lang w:val="fr-FR"/>
        </w:rPr>
        <w:t>et de la signalisation lumineuse</w:t>
      </w:r>
      <w:r w:rsidRPr="007B6454">
        <w:rPr>
          <w:rStyle w:val="Appelnotedebasdep"/>
          <w:b w:val="0"/>
          <w:bCs/>
          <w:sz w:val="20"/>
          <w:vertAlign w:val="baseline"/>
        </w:rPr>
        <w:footnoteReference w:customMarkFollows="1" w:id="2"/>
        <w:t>*</w:t>
      </w:r>
    </w:p>
    <w:p w14:paraId="0F6867C5" w14:textId="174DB665" w:rsidR="00E82533" w:rsidRDefault="00E82533" w:rsidP="00E82533">
      <w:pPr>
        <w:pStyle w:val="SingleTxtG"/>
        <w:ind w:firstLine="567"/>
        <w:rPr>
          <w:lang w:val="fr-FR"/>
        </w:rPr>
      </w:pPr>
      <w:r w:rsidRPr="00F679B5">
        <w:rPr>
          <w:lang w:val="fr-FR"/>
        </w:rPr>
        <w:t>Le texte ci-après, adopté par le Groupe de travail de l</w:t>
      </w:r>
      <w:r>
        <w:rPr>
          <w:lang w:val="fr-FR"/>
        </w:rPr>
        <w:t>’</w:t>
      </w:r>
      <w:r w:rsidRPr="00F679B5">
        <w:rPr>
          <w:lang w:val="fr-FR"/>
        </w:rPr>
        <w:t>éclairage et de la signalisation lumineuse (GRE) à sa quatre-vingt-septième session (ECE/TRANS/WP.29/GRE/87, par.</w:t>
      </w:r>
      <w:r w:rsidR="00A279CF">
        <w:rPr>
          <w:lang w:val="fr-FR"/>
        </w:rPr>
        <w:t> </w:t>
      </w:r>
      <w:r w:rsidRPr="00F679B5">
        <w:rPr>
          <w:lang w:val="fr-FR"/>
        </w:rPr>
        <w:t xml:space="preserve">17, 18, 20 et 24), est fondé sur les documents </w:t>
      </w:r>
      <w:r w:rsidRPr="00D71C2C">
        <w:rPr>
          <w:lang w:val="fr-FR"/>
        </w:rPr>
        <w:t>ECE/TRANS/WP.29/GRE/2022/17, ECE/TRANS/WP.29/GRE/2022/18 et ECE/TRANS/WP.29/GRE/2022/20 et le document informel GRE-</w:t>
      </w:r>
      <w:r w:rsidRPr="00D71C2C">
        <w:t>87-18</w:t>
      </w:r>
      <w:r w:rsidRPr="00A425AB">
        <w:rPr>
          <w:lang w:val="fr-FR"/>
        </w:rPr>
        <w:t>. Il est soumis au Forum mondial de l</w:t>
      </w:r>
      <w:r>
        <w:rPr>
          <w:lang w:val="fr-FR"/>
        </w:rPr>
        <w:t>’</w:t>
      </w:r>
      <w:r w:rsidRPr="00A425AB">
        <w:rPr>
          <w:lang w:val="fr-FR"/>
        </w:rPr>
        <w:t>harmonisation des Règlements concernant les véhicules (WP.29) et au Comité d</w:t>
      </w:r>
      <w:r>
        <w:rPr>
          <w:lang w:val="fr-FR"/>
        </w:rPr>
        <w:t>’</w:t>
      </w:r>
      <w:r w:rsidRPr="00A425AB">
        <w:rPr>
          <w:lang w:val="fr-FR"/>
        </w:rPr>
        <w:t>administration de l</w:t>
      </w:r>
      <w:r>
        <w:rPr>
          <w:lang w:val="fr-FR"/>
        </w:rPr>
        <w:t>’</w:t>
      </w:r>
      <w:r w:rsidRPr="00A425AB">
        <w:rPr>
          <w:lang w:val="fr-FR"/>
        </w:rPr>
        <w:t>Accord de 1958 (AC.1) pour examen à leurs sessions de mars</w:t>
      </w:r>
      <w:r>
        <w:rPr>
          <w:lang w:val="fr-FR"/>
        </w:rPr>
        <w:t xml:space="preserve"> 2023.</w:t>
      </w:r>
    </w:p>
    <w:p w14:paraId="3361B8B9" w14:textId="77777777" w:rsidR="00E82533" w:rsidRDefault="00E82533" w:rsidP="00E82533">
      <w:pPr>
        <w:rPr>
          <w:lang w:val="fr-FR"/>
        </w:rPr>
      </w:pPr>
      <w:r>
        <w:rPr>
          <w:lang w:val="fr-FR"/>
        </w:rPr>
        <w:br w:type="page"/>
      </w:r>
    </w:p>
    <w:p w14:paraId="46F867F9" w14:textId="77777777" w:rsidR="00E82533" w:rsidRPr="00740396" w:rsidRDefault="00E82533" w:rsidP="00E82533">
      <w:pPr>
        <w:pStyle w:val="SingleTxtG"/>
      </w:pPr>
      <w:r w:rsidRPr="00A917AB">
        <w:rPr>
          <w:i/>
          <w:iCs/>
          <w:lang w:val="fr-FR"/>
        </w:rPr>
        <w:lastRenderedPageBreak/>
        <w:t>Paragraphe 5.5.3</w:t>
      </w:r>
      <w:r>
        <w:rPr>
          <w:lang w:val="fr-FR"/>
        </w:rPr>
        <w:t>, lire :</w:t>
      </w:r>
    </w:p>
    <w:p w14:paraId="42B9A255" w14:textId="77777777" w:rsidR="00E82533" w:rsidRPr="00B52867" w:rsidRDefault="00E82533" w:rsidP="00E82533">
      <w:pPr>
        <w:pStyle w:val="SingleTxtG"/>
        <w:ind w:left="2268" w:hanging="1134"/>
        <w:rPr>
          <w:strike/>
        </w:rPr>
      </w:pPr>
      <w:r>
        <w:t>« 5.5.3</w:t>
      </w:r>
      <w:r>
        <w:tab/>
        <w:t>Satisfaire aux mêmes prescriptions colorimétriques</w:t>
      </w:r>
      <w:r w:rsidRPr="00A917AB">
        <w:t> </w:t>
      </w:r>
      <w:r>
        <w:t>;</w:t>
      </w:r>
    </w:p>
    <w:p w14:paraId="66957FC7" w14:textId="77777777" w:rsidR="00E82533" w:rsidRDefault="00E82533" w:rsidP="00E82533">
      <w:pPr>
        <w:pStyle w:val="SingleTxtG"/>
        <w:ind w:left="2268" w:hanging="1134"/>
      </w:pPr>
      <w:r w:rsidRPr="00D71C2C">
        <w:rPr>
          <w:i/>
          <w:iCs/>
        </w:rPr>
        <w:t>Paragraphe 5.5.4</w:t>
      </w:r>
      <w:r>
        <w:t>, lire :</w:t>
      </w:r>
    </w:p>
    <w:p w14:paraId="1053DA86" w14:textId="77777777" w:rsidR="00E82533" w:rsidRPr="00B52867" w:rsidRDefault="00E82533" w:rsidP="00E82533">
      <w:pPr>
        <w:pStyle w:val="SingleTxtG"/>
        <w:ind w:left="2268" w:hanging="1134"/>
      </w:pPr>
      <w:r>
        <w:t>« 5.5.4</w:t>
      </w:r>
      <w:r>
        <w:tab/>
        <w:t xml:space="preserve">Avoir des caractéristiques photométriques sensiblement identiques. </w:t>
      </w:r>
      <w:r w:rsidRPr="00D71C2C">
        <w:t>Cette exigence ne s</w:t>
      </w:r>
      <w:r>
        <w:t>’</w:t>
      </w:r>
      <w:r w:rsidRPr="00D71C2C">
        <w:t>applique pas à une paire assortie pour une fonction et/ou un AFS.</w:t>
      </w:r>
      <w:r>
        <w:t> ».</w:t>
      </w:r>
    </w:p>
    <w:p w14:paraId="7BF3095D" w14:textId="77777777" w:rsidR="00E82533" w:rsidRDefault="00E82533" w:rsidP="00E82533">
      <w:pPr>
        <w:pStyle w:val="SingleTxtG"/>
        <w:rPr>
          <w:lang w:val="fr-FR"/>
        </w:rPr>
      </w:pPr>
      <w:r w:rsidRPr="00D40E57">
        <w:rPr>
          <w:i/>
          <w:iCs/>
          <w:lang w:val="fr-FR"/>
        </w:rPr>
        <w:t>Paragraphe 6.1.8</w:t>
      </w:r>
      <w:r>
        <w:rPr>
          <w:lang w:val="fr-FR"/>
        </w:rPr>
        <w:t xml:space="preserve">, modification </w:t>
      </w:r>
      <w:r w:rsidRPr="00D40E57">
        <w:rPr>
          <w:lang w:val="fr-FR"/>
        </w:rPr>
        <w:t>sans objet en français</w:t>
      </w:r>
      <w:r>
        <w:rPr>
          <w:lang w:val="fr-FR"/>
        </w:rPr>
        <w:t>.</w:t>
      </w:r>
    </w:p>
    <w:p w14:paraId="35BB27F3" w14:textId="77777777" w:rsidR="00E82533" w:rsidRPr="00D71C2C" w:rsidRDefault="00E82533" w:rsidP="00E82533">
      <w:pPr>
        <w:pStyle w:val="SingleTxtG"/>
        <w:rPr>
          <w:szCs w:val="16"/>
        </w:rPr>
      </w:pPr>
      <w:r w:rsidRPr="00A22896">
        <w:rPr>
          <w:i/>
          <w:iCs/>
          <w:lang w:val="fr-FR"/>
        </w:rPr>
        <w:t>Paragraphe 6.1.8</w:t>
      </w:r>
      <w:r w:rsidRPr="00D71C2C">
        <w:rPr>
          <w:i/>
          <w:iCs/>
          <w:lang w:val="fr-FR"/>
        </w:rPr>
        <w:t>.1</w:t>
      </w:r>
      <w:r>
        <w:rPr>
          <w:lang w:val="fr-FR"/>
        </w:rPr>
        <w:t xml:space="preserve">, remplacer </w:t>
      </w:r>
      <w:r w:rsidRPr="00D71C2C">
        <w:rPr>
          <w:szCs w:val="16"/>
        </w:rPr>
        <w:t>6.1.7.1 par 6.1.7.2.</w:t>
      </w:r>
    </w:p>
    <w:p w14:paraId="67F87628" w14:textId="77777777" w:rsidR="00E82533" w:rsidRPr="00940709" w:rsidRDefault="00E82533" w:rsidP="00E82533">
      <w:pPr>
        <w:spacing w:after="120"/>
        <w:ind w:left="2268" w:right="1134" w:hanging="1134"/>
        <w:jc w:val="both"/>
      </w:pPr>
      <w:r w:rsidRPr="00BA5E4B">
        <w:rPr>
          <w:i/>
        </w:rPr>
        <w:t>Paragraph</w:t>
      </w:r>
      <w:r>
        <w:rPr>
          <w:i/>
        </w:rPr>
        <w:t>es</w:t>
      </w:r>
      <w:r w:rsidRPr="00BA5E4B">
        <w:rPr>
          <w:i/>
        </w:rPr>
        <w:t xml:space="preserve"> 6.1.9.3.1</w:t>
      </w:r>
      <w:r>
        <w:rPr>
          <w:i/>
        </w:rPr>
        <w:t xml:space="preserve"> et </w:t>
      </w:r>
      <w:r w:rsidRPr="00101CCD">
        <w:rPr>
          <w:i/>
        </w:rPr>
        <w:t>6.1.9.3.1.1</w:t>
      </w:r>
      <w:r w:rsidRPr="00BA5E4B">
        <w:rPr>
          <w:i/>
        </w:rPr>
        <w:t>,</w:t>
      </w:r>
      <w:r w:rsidRPr="00BA5E4B">
        <w:t xml:space="preserve"> </w:t>
      </w:r>
      <w:r>
        <w:t xml:space="preserve">remplacer </w:t>
      </w:r>
      <w:r w:rsidRPr="00101CCD">
        <w:t>6.1.7.1</w:t>
      </w:r>
      <w:r>
        <w:t xml:space="preserve"> par</w:t>
      </w:r>
      <w:r w:rsidRPr="00101CCD">
        <w:t xml:space="preserve"> 6.1.7.2. </w:t>
      </w:r>
    </w:p>
    <w:p w14:paraId="41D9D76A" w14:textId="77777777" w:rsidR="00E82533" w:rsidRPr="00E37370" w:rsidRDefault="00E82533" w:rsidP="00E82533">
      <w:pPr>
        <w:spacing w:after="120"/>
        <w:ind w:left="2268" w:right="1134" w:hanging="1134"/>
        <w:jc w:val="both"/>
      </w:pPr>
      <w:r w:rsidRPr="00E37370">
        <w:rPr>
          <w:i/>
        </w:rPr>
        <w:t>Paragraph</w:t>
      </w:r>
      <w:r>
        <w:rPr>
          <w:i/>
        </w:rPr>
        <w:t>e</w:t>
      </w:r>
      <w:r w:rsidRPr="00E37370">
        <w:rPr>
          <w:i/>
        </w:rPr>
        <w:t xml:space="preserve"> 6.1.9.3.</w:t>
      </w:r>
      <w:r>
        <w:rPr>
          <w:i/>
        </w:rPr>
        <w:t>2</w:t>
      </w:r>
      <w:r w:rsidRPr="00E37370">
        <w:rPr>
          <w:i/>
        </w:rPr>
        <w:t>,</w:t>
      </w:r>
      <w:r w:rsidRPr="00E37370">
        <w:t xml:space="preserve"> </w:t>
      </w:r>
      <w:bookmarkStart w:id="0" w:name="_Hlk121133516"/>
      <w:r>
        <w:t xml:space="preserve">remplacer </w:t>
      </w:r>
      <w:r w:rsidRPr="00C958D3">
        <w:t>6.1.7.1</w:t>
      </w:r>
      <w:r>
        <w:t xml:space="preserve"> par</w:t>
      </w:r>
      <w:r w:rsidRPr="00C958D3">
        <w:t xml:space="preserve"> 6.1.7.2.</w:t>
      </w:r>
      <w:r w:rsidRPr="00BA5E4B">
        <w:t xml:space="preserve"> </w:t>
      </w:r>
      <w:bookmarkEnd w:id="0"/>
    </w:p>
    <w:p w14:paraId="5D29D326" w14:textId="77777777" w:rsidR="00E82533" w:rsidRPr="00BA5E4B" w:rsidRDefault="00E82533" w:rsidP="00E82533">
      <w:pPr>
        <w:spacing w:after="120"/>
        <w:ind w:left="2268" w:right="1134" w:hanging="1134"/>
        <w:jc w:val="both"/>
      </w:pPr>
      <w:r w:rsidRPr="00BA5E4B">
        <w:rPr>
          <w:i/>
        </w:rPr>
        <w:t>Paragraph</w:t>
      </w:r>
      <w:r>
        <w:rPr>
          <w:i/>
        </w:rPr>
        <w:t>e</w:t>
      </w:r>
      <w:r w:rsidRPr="00BA5E4B">
        <w:rPr>
          <w:i/>
        </w:rPr>
        <w:t xml:space="preserve"> 6.1.9.3.4</w:t>
      </w:r>
      <w:r>
        <w:rPr>
          <w:i/>
        </w:rPr>
        <w:t>(a)</w:t>
      </w:r>
      <w:r w:rsidRPr="00BA5E4B">
        <w:rPr>
          <w:i/>
        </w:rPr>
        <w:t>,</w:t>
      </w:r>
      <w:r w:rsidRPr="00BA5E4B">
        <w:t xml:space="preserve"> </w:t>
      </w:r>
      <w:r>
        <w:t xml:space="preserve">remplacer </w:t>
      </w:r>
      <w:r w:rsidRPr="00C958D3">
        <w:t>6.1.7.1</w:t>
      </w:r>
      <w:r>
        <w:t xml:space="preserve"> par</w:t>
      </w:r>
      <w:r w:rsidRPr="00C958D3">
        <w:t xml:space="preserve"> 6.1.7.2.</w:t>
      </w:r>
      <w:r w:rsidRPr="00BA5E4B">
        <w:t xml:space="preserve"> </w:t>
      </w:r>
    </w:p>
    <w:p w14:paraId="28964A3F" w14:textId="77777777" w:rsidR="00E82533" w:rsidRPr="00D40E57" w:rsidRDefault="00E82533" w:rsidP="00E82533">
      <w:pPr>
        <w:spacing w:after="120"/>
        <w:ind w:left="2268" w:right="1134" w:hanging="1134"/>
        <w:jc w:val="both"/>
      </w:pPr>
      <w:r w:rsidRPr="00E37370">
        <w:rPr>
          <w:i/>
        </w:rPr>
        <w:t>Paragraph</w:t>
      </w:r>
      <w:r>
        <w:rPr>
          <w:i/>
        </w:rPr>
        <w:t>e</w:t>
      </w:r>
      <w:r w:rsidRPr="00E37370">
        <w:rPr>
          <w:i/>
        </w:rPr>
        <w:t xml:space="preserve"> 6.1.9.3.</w:t>
      </w:r>
      <w:r>
        <w:rPr>
          <w:i/>
        </w:rPr>
        <w:t>5</w:t>
      </w:r>
      <w:r w:rsidRPr="00E37370">
        <w:rPr>
          <w:i/>
        </w:rPr>
        <w:t>,</w:t>
      </w:r>
      <w:r w:rsidRPr="00E37370">
        <w:t xml:space="preserve"> </w:t>
      </w:r>
      <w:r>
        <w:t xml:space="preserve">remplacer </w:t>
      </w:r>
      <w:r w:rsidRPr="00C958D3">
        <w:t>6.1.7.1</w:t>
      </w:r>
      <w:r>
        <w:t xml:space="preserve"> par</w:t>
      </w:r>
      <w:r w:rsidRPr="00C958D3">
        <w:t xml:space="preserve"> 6.1.7.2.</w:t>
      </w:r>
    </w:p>
    <w:p w14:paraId="28AB2CE1" w14:textId="77777777" w:rsidR="00E82533" w:rsidRPr="00D40E57" w:rsidRDefault="00E82533" w:rsidP="00E82533">
      <w:pPr>
        <w:pStyle w:val="SingleTxtG"/>
      </w:pPr>
      <w:r w:rsidRPr="00D40E57">
        <w:rPr>
          <w:i/>
          <w:iCs/>
          <w:lang w:val="fr-FR"/>
        </w:rPr>
        <w:t>Paragraphe 6.2.8.2</w:t>
      </w:r>
      <w:r w:rsidRPr="00D40E57">
        <w:rPr>
          <w:lang w:val="fr-FR"/>
        </w:rPr>
        <w:t>, lire</w:t>
      </w:r>
      <w:r>
        <w:rPr>
          <w:lang w:val="fr-FR"/>
        </w:rPr>
        <w:t> </w:t>
      </w:r>
      <w:r w:rsidRPr="00D40E57">
        <w:rPr>
          <w:lang w:val="fr-FR"/>
        </w:rPr>
        <w:t>:</w:t>
      </w:r>
    </w:p>
    <w:p w14:paraId="49E56CFC" w14:textId="77777777" w:rsidR="00E82533" w:rsidRPr="00D40E57" w:rsidRDefault="00E82533" w:rsidP="00E82533">
      <w:pPr>
        <w:pStyle w:val="SingleTxtG"/>
        <w:ind w:left="2268" w:hanging="1134"/>
      </w:pPr>
      <w:r w:rsidRPr="00D40E57">
        <w:t>« 6.2.8.2</w:t>
      </w:r>
      <w:r w:rsidRPr="00D40E57">
        <w:tab/>
        <w:t>La présence d</w:t>
      </w:r>
      <w:r>
        <w:t>’</w:t>
      </w:r>
      <w:r w:rsidRPr="00D40E57">
        <w:t xml:space="preserve">un témoin optique de </w:t>
      </w:r>
      <w:r w:rsidRPr="00D71C2C">
        <w:t>défaut de</w:t>
      </w:r>
      <w:r w:rsidRPr="00D40E57">
        <w:t xml:space="preserve"> fonctionnement, clignotant ou non, est obligatoire</w:t>
      </w:r>
      <w:r>
        <w:t> </w:t>
      </w:r>
      <w:r w:rsidRPr="00D40E57">
        <w:t>:</w:t>
      </w:r>
    </w:p>
    <w:p w14:paraId="0192D0B3" w14:textId="77777777" w:rsidR="00E82533" w:rsidRPr="00D40E57" w:rsidRDefault="00E82533" w:rsidP="00E82533">
      <w:pPr>
        <w:pStyle w:val="SingleTxtG"/>
        <w:ind w:left="2835" w:hanging="567"/>
      </w:pPr>
      <w:r w:rsidRPr="00D40E57">
        <w:rPr>
          <w:lang w:val="fr-FR"/>
        </w:rPr>
        <w:t>a)</w:t>
      </w:r>
      <w:r w:rsidRPr="00D40E57">
        <w:rPr>
          <w:lang w:val="fr-FR"/>
        </w:rPr>
        <w:tab/>
        <w:t>Si l</w:t>
      </w:r>
      <w:r>
        <w:rPr>
          <w:lang w:val="fr-FR"/>
        </w:rPr>
        <w:t>’</w:t>
      </w:r>
      <w:r w:rsidRPr="00D40E57">
        <w:rPr>
          <w:lang w:val="fr-FR"/>
        </w:rPr>
        <w:t>éclairage de virage est obtenu au moyen d</w:t>
      </w:r>
      <w:r>
        <w:rPr>
          <w:lang w:val="fr-FR"/>
        </w:rPr>
        <w:t>’</w:t>
      </w:r>
      <w:r w:rsidRPr="00D40E57">
        <w:rPr>
          <w:lang w:val="fr-FR"/>
        </w:rPr>
        <w:t>un déplacement de l</w:t>
      </w:r>
      <w:r>
        <w:rPr>
          <w:lang w:val="fr-FR"/>
        </w:rPr>
        <w:t>’</w:t>
      </w:r>
      <w:r w:rsidRPr="00D40E57">
        <w:rPr>
          <w:lang w:val="fr-FR"/>
        </w:rPr>
        <w:t>ensemble du faisceau ou du coude de la ligne de coupure</w:t>
      </w:r>
      <w:r>
        <w:rPr>
          <w:lang w:val="fr-FR"/>
        </w:rPr>
        <w:t> </w:t>
      </w:r>
      <w:r w:rsidRPr="00D40E57">
        <w:rPr>
          <w:lang w:val="fr-FR"/>
        </w:rPr>
        <w:t>; ou</w:t>
      </w:r>
    </w:p>
    <w:p w14:paraId="785D0BA3" w14:textId="77777777" w:rsidR="00E82533" w:rsidRPr="00D40E57" w:rsidRDefault="00E82533" w:rsidP="00E82533">
      <w:pPr>
        <w:pStyle w:val="SingleTxtG"/>
        <w:ind w:left="2835" w:hanging="567"/>
      </w:pPr>
      <w:r w:rsidRPr="00D40E57">
        <w:rPr>
          <w:lang w:val="fr-FR"/>
        </w:rPr>
        <w:t>b)</w:t>
      </w:r>
      <w:r w:rsidRPr="00D40E57">
        <w:rPr>
          <w:lang w:val="fr-FR"/>
        </w:rPr>
        <w:tab/>
        <w:t>Si le faisceau de croisement principal est produit par un ou plusieurs modules DEL, sauf si leur branchement électrique est tel que la défaillance d</w:t>
      </w:r>
      <w:r>
        <w:rPr>
          <w:lang w:val="fr-FR"/>
        </w:rPr>
        <w:t>’</w:t>
      </w:r>
      <w:r w:rsidRPr="00D40E57">
        <w:rPr>
          <w:lang w:val="fr-FR"/>
        </w:rPr>
        <w:t>un quelconque des modules DEL cause l</w:t>
      </w:r>
      <w:r>
        <w:rPr>
          <w:lang w:val="fr-FR"/>
        </w:rPr>
        <w:t>’</w:t>
      </w:r>
      <w:r w:rsidRPr="00D40E57">
        <w:rPr>
          <w:lang w:val="fr-FR"/>
        </w:rPr>
        <w:t>extinction de tous.</w:t>
      </w:r>
    </w:p>
    <w:p w14:paraId="2494574A" w14:textId="77777777" w:rsidR="00E82533" w:rsidRPr="00D40E57" w:rsidRDefault="00E82533" w:rsidP="00E82533">
      <w:pPr>
        <w:pStyle w:val="SingleTxtG"/>
        <w:ind w:left="2268"/>
      </w:pPr>
      <w:r w:rsidRPr="00D40E57">
        <w:rPr>
          <w:lang w:val="fr-FR"/>
        </w:rPr>
        <w:t>Il doit s</w:t>
      </w:r>
      <w:r>
        <w:rPr>
          <w:lang w:val="fr-FR"/>
        </w:rPr>
        <w:t>’</w:t>
      </w:r>
      <w:r w:rsidRPr="00D40E57">
        <w:rPr>
          <w:lang w:val="fr-FR"/>
        </w:rPr>
        <w:t>activer</w:t>
      </w:r>
      <w:r>
        <w:rPr>
          <w:lang w:val="fr-FR"/>
        </w:rPr>
        <w:t> </w:t>
      </w:r>
      <w:r w:rsidRPr="00D40E57">
        <w:rPr>
          <w:lang w:val="fr-FR"/>
        </w:rPr>
        <w:t>:</w:t>
      </w:r>
    </w:p>
    <w:p w14:paraId="69E586A0" w14:textId="77777777" w:rsidR="00E82533" w:rsidRPr="00D40E57" w:rsidRDefault="00E82533" w:rsidP="00E82533">
      <w:pPr>
        <w:pStyle w:val="SingleTxtG"/>
        <w:ind w:left="2835" w:hanging="567"/>
      </w:pPr>
      <w:r w:rsidRPr="00D40E57">
        <w:rPr>
          <w:lang w:val="fr-FR"/>
        </w:rPr>
        <w:t>a)</w:t>
      </w:r>
      <w:r w:rsidRPr="00D40E57">
        <w:rPr>
          <w:lang w:val="fr-FR"/>
        </w:rPr>
        <w:tab/>
        <w:t>En cas de déplacement incorrect du coude de la ligne de coupure</w:t>
      </w:r>
      <w:r>
        <w:rPr>
          <w:lang w:val="fr-FR"/>
        </w:rPr>
        <w:t> </w:t>
      </w:r>
      <w:r w:rsidRPr="00D40E57">
        <w:rPr>
          <w:lang w:val="fr-FR"/>
        </w:rPr>
        <w:t>; ou</w:t>
      </w:r>
    </w:p>
    <w:p w14:paraId="256A92AD" w14:textId="77777777" w:rsidR="00E82533" w:rsidRPr="00D40E57" w:rsidRDefault="00E82533" w:rsidP="00E82533">
      <w:pPr>
        <w:pStyle w:val="SingleTxtG"/>
        <w:ind w:left="2835" w:hanging="567"/>
      </w:pPr>
      <w:r w:rsidRPr="00D40E57">
        <w:rPr>
          <w:lang w:val="fr-FR"/>
        </w:rPr>
        <w:t>b)</w:t>
      </w:r>
      <w:r w:rsidRPr="00D40E57">
        <w:rPr>
          <w:lang w:val="fr-FR"/>
        </w:rPr>
        <w:tab/>
        <w:t>En cas de défaillance du module ou d</w:t>
      </w:r>
      <w:r>
        <w:rPr>
          <w:lang w:val="fr-FR"/>
        </w:rPr>
        <w:t>’</w:t>
      </w:r>
      <w:r w:rsidRPr="00D40E57">
        <w:rPr>
          <w:lang w:val="fr-FR"/>
        </w:rPr>
        <w:t>un quelconque des modules produisant le faisceau de croisement principal, sauf si leur branchement électrique est tel que la défaillance d</w:t>
      </w:r>
      <w:r>
        <w:rPr>
          <w:lang w:val="fr-FR"/>
        </w:rPr>
        <w:t>’</w:t>
      </w:r>
      <w:r w:rsidRPr="00D40E57">
        <w:rPr>
          <w:lang w:val="fr-FR"/>
        </w:rPr>
        <w:t>un quelconque des modules DEL cause l</w:t>
      </w:r>
      <w:r>
        <w:rPr>
          <w:lang w:val="fr-FR"/>
        </w:rPr>
        <w:t>’</w:t>
      </w:r>
      <w:r w:rsidRPr="00D40E57">
        <w:rPr>
          <w:lang w:val="fr-FR"/>
        </w:rPr>
        <w:t>extinction de tous.</w:t>
      </w:r>
    </w:p>
    <w:p w14:paraId="0489B591" w14:textId="77777777" w:rsidR="00E82533" w:rsidRDefault="00E82533" w:rsidP="00E82533">
      <w:pPr>
        <w:pStyle w:val="SingleTxtG"/>
        <w:ind w:left="2268"/>
      </w:pPr>
      <w:r w:rsidRPr="00D40E57">
        <w:t>Il doit rester activé aussi longtemps que dure la défaillance. Il peut être désactivé temporairement, mais doit être remis en fonction chaque fois que le dispositif qui met le moteur en marche ou le coupe est activé ou désactivé.</w:t>
      </w:r>
      <w:r>
        <w:t> </w:t>
      </w:r>
      <w:r w:rsidRPr="00D40E57">
        <w:t>».</w:t>
      </w:r>
    </w:p>
    <w:p w14:paraId="3207306D" w14:textId="77777777" w:rsidR="00E82533" w:rsidRPr="005B0501" w:rsidRDefault="00E82533" w:rsidP="00E82533">
      <w:pPr>
        <w:pStyle w:val="SingleTxtG"/>
        <w:rPr>
          <w:i/>
          <w:iCs/>
        </w:rPr>
      </w:pPr>
      <w:r w:rsidRPr="005B0501">
        <w:rPr>
          <w:i/>
          <w:iCs/>
        </w:rPr>
        <w:t>Paragraphe 6.3.5, note de bas de page 13</w:t>
      </w:r>
      <w:r w:rsidRPr="0024530A">
        <w:t xml:space="preserve">, </w:t>
      </w:r>
      <w:r w:rsidRPr="005B0501">
        <w:t>supprimer</w:t>
      </w:r>
      <w:r w:rsidRPr="005B0501">
        <w:rPr>
          <w:i/>
          <w:iCs/>
        </w:rPr>
        <w:t>.</w:t>
      </w:r>
    </w:p>
    <w:p w14:paraId="58D99AA4" w14:textId="77777777" w:rsidR="00E82533" w:rsidRPr="00D71C2C" w:rsidRDefault="00E82533" w:rsidP="00E82533">
      <w:pPr>
        <w:pStyle w:val="SingleTxtG"/>
        <w:rPr>
          <w:i/>
          <w:iCs/>
        </w:rPr>
      </w:pPr>
      <w:r w:rsidRPr="005B0501">
        <w:rPr>
          <w:i/>
          <w:iCs/>
        </w:rPr>
        <w:t xml:space="preserve">Paragraphe 6.3.6.1.1, appel de </w:t>
      </w:r>
      <w:r>
        <w:rPr>
          <w:i/>
          <w:iCs/>
        </w:rPr>
        <w:t xml:space="preserve">note </w:t>
      </w:r>
      <w:r w:rsidRPr="005B0501">
        <w:rPr>
          <w:i/>
          <w:iCs/>
        </w:rPr>
        <w:t>de bas de page 13</w:t>
      </w:r>
      <w:r w:rsidRPr="0024530A">
        <w:t xml:space="preserve">, </w:t>
      </w:r>
      <w:r w:rsidRPr="005B0501">
        <w:t>supprimer</w:t>
      </w:r>
      <w:r w:rsidRPr="005B0501">
        <w:rPr>
          <w:i/>
          <w:iCs/>
        </w:rPr>
        <w:t>.</w:t>
      </w:r>
    </w:p>
    <w:p w14:paraId="2F0E65A3" w14:textId="77777777" w:rsidR="00E82533" w:rsidRPr="00D40E57" w:rsidRDefault="00E82533" w:rsidP="00E82533">
      <w:pPr>
        <w:pStyle w:val="SingleTxtG"/>
      </w:pPr>
      <w:r w:rsidRPr="00D40E57">
        <w:rPr>
          <w:i/>
          <w:iCs/>
          <w:lang w:val="fr-FR"/>
        </w:rPr>
        <w:t>Paragraphe 6.3.8</w:t>
      </w:r>
      <w:r w:rsidRPr="00D40E57">
        <w:rPr>
          <w:lang w:val="fr-FR"/>
        </w:rPr>
        <w:t>, lire</w:t>
      </w:r>
      <w:r>
        <w:rPr>
          <w:lang w:val="fr-FR"/>
        </w:rPr>
        <w:t> </w:t>
      </w:r>
      <w:r w:rsidRPr="00D40E57">
        <w:rPr>
          <w:lang w:val="fr-FR"/>
        </w:rPr>
        <w:t>:</w:t>
      </w:r>
    </w:p>
    <w:p w14:paraId="565DF2CF" w14:textId="77777777" w:rsidR="00E82533" w:rsidRPr="00D40E57" w:rsidRDefault="00E82533" w:rsidP="00E82533">
      <w:pPr>
        <w:pStyle w:val="SingleTxtG"/>
        <w:rPr>
          <w:lang w:val="fr-FR"/>
        </w:rPr>
      </w:pPr>
      <w:r w:rsidRPr="00D40E57">
        <w:rPr>
          <w:lang w:val="fr-FR"/>
        </w:rPr>
        <w:t>« 6.3.8</w:t>
      </w:r>
      <w:r w:rsidRPr="00D40E57">
        <w:rPr>
          <w:lang w:val="fr-FR"/>
        </w:rPr>
        <w:tab/>
      </w:r>
      <w:r>
        <w:rPr>
          <w:lang w:val="fr-FR"/>
        </w:rPr>
        <w:tab/>
      </w:r>
      <w:r w:rsidRPr="00D40E57">
        <w:rPr>
          <w:lang w:val="fr-FR"/>
        </w:rPr>
        <w:t>Témoin</w:t>
      </w:r>
    </w:p>
    <w:p w14:paraId="6D38CBCF" w14:textId="77777777" w:rsidR="00E82533" w:rsidRPr="00D40E57" w:rsidRDefault="00E82533" w:rsidP="00E82533">
      <w:pPr>
        <w:pStyle w:val="SingleTxtG"/>
        <w:ind w:left="2268"/>
      </w:pPr>
      <w:r w:rsidRPr="00D40E57">
        <w:rPr>
          <w:lang w:val="fr-FR"/>
        </w:rPr>
        <w:t>Témoin d</w:t>
      </w:r>
      <w:r>
        <w:rPr>
          <w:lang w:val="fr-FR"/>
        </w:rPr>
        <w:t>’</w:t>
      </w:r>
      <w:r w:rsidRPr="00D40E57">
        <w:rPr>
          <w:lang w:val="fr-FR"/>
        </w:rPr>
        <w:t>enclenchement obligatoire</w:t>
      </w:r>
      <w:r>
        <w:rPr>
          <w:lang w:val="fr-FR"/>
        </w:rPr>
        <w:t>.</w:t>
      </w:r>
      <w:r w:rsidRPr="00D40E57">
        <w:rPr>
          <w:lang w:val="fr-FR"/>
        </w:rPr>
        <w:t> ».</w:t>
      </w:r>
    </w:p>
    <w:p w14:paraId="36EFB185" w14:textId="77777777" w:rsidR="00E82533" w:rsidRPr="00D40E57" w:rsidRDefault="00E82533" w:rsidP="00E82533">
      <w:pPr>
        <w:pStyle w:val="SingleTxtG"/>
      </w:pPr>
      <w:r w:rsidRPr="00D40E57">
        <w:rPr>
          <w:i/>
          <w:iCs/>
          <w:lang w:val="fr-FR"/>
        </w:rPr>
        <w:t>Paragraphe 6.4.8</w:t>
      </w:r>
      <w:r w:rsidRPr="00D40E57">
        <w:rPr>
          <w:lang w:val="fr-FR"/>
        </w:rPr>
        <w:t>, lire</w:t>
      </w:r>
      <w:r>
        <w:rPr>
          <w:lang w:val="fr-FR"/>
        </w:rPr>
        <w:t> </w:t>
      </w:r>
      <w:r w:rsidRPr="00D40E57">
        <w:rPr>
          <w:lang w:val="fr-FR"/>
        </w:rPr>
        <w:t>:</w:t>
      </w:r>
    </w:p>
    <w:p w14:paraId="247A15C2" w14:textId="77777777" w:rsidR="00E82533" w:rsidRPr="00D40E57" w:rsidRDefault="00E82533" w:rsidP="00E82533">
      <w:pPr>
        <w:pStyle w:val="SingleTxtG"/>
      </w:pPr>
      <w:r w:rsidRPr="00D40E57">
        <w:rPr>
          <w:lang w:val="fr-FR"/>
        </w:rPr>
        <w:t>« 6.4.8</w:t>
      </w:r>
      <w:r w:rsidRPr="00D40E57">
        <w:rPr>
          <w:lang w:val="fr-FR"/>
        </w:rPr>
        <w:tab/>
      </w:r>
      <w:r>
        <w:rPr>
          <w:lang w:val="fr-FR"/>
        </w:rPr>
        <w:tab/>
      </w:r>
      <w:r w:rsidRPr="00D40E57">
        <w:rPr>
          <w:lang w:val="fr-FR"/>
        </w:rPr>
        <w:t>Témoin</w:t>
      </w:r>
    </w:p>
    <w:p w14:paraId="7AA1702A" w14:textId="77777777" w:rsidR="00E82533" w:rsidRDefault="00E82533" w:rsidP="00E82533">
      <w:pPr>
        <w:pStyle w:val="SingleTxtG"/>
        <w:ind w:left="2268"/>
        <w:rPr>
          <w:lang w:val="fr-FR"/>
        </w:rPr>
      </w:pPr>
      <w:r w:rsidRPr="004E4892">
        <w:t>Témoin</w:t>
      </w:r>
      <w:r w:rsidRPr="00D40E57">
        <w:rPr>
          <w:lang w:val="fr-FR"/>
        </w:rPr>
        <w:t xml:space="preserve"> facultatif</w:t>
      </w:r>
      <w:r>
        <w:rPr>
          <w:lang w:val="fr-FR"/>
        </w:rPr>
        <w:t xml:space="preserve"> ; </w:t>
      </w:r>
      <w:r w:rsidRPr="00D71C2C">
        <w:rPr>
          <w:lang w:val="fr-FR"/>
        </w:rPr>
        <w:t>toutefois, un témoin de défaut de fonctionnement est obligatoire s</w:t>
      </w:r>
      <w:r>
        <w:rPr>
          <w:lang w:val="fr-FR"/>
        </w:rPr>
        <w:t>’</w:t>
      </w:r>
      <w:r w:rsidRPr="00D71C2C">
        <w:rPr>
          <w:lang w:val="fr-FR"/>
        </w:rPr>
        <w:t>il est prescrit par le Règlement applicable au dispositif</w:t>
      </w:r>
      <w:r w:rsidRPr="002C2F83">
        <w:rPr>
          <w:lang w:val="fr-FR"/>
        </w:rPr>
        <w:t>.</w:t>
      </w:r>
      <w:r w:rsidRPr="00D40E57">
        <w:rPr>
          <w:lang w:val="fr-FR"/>
        </w:rPr>
        <w:t> ».</w:t>
      </w:r>
    </w:p>
    <w:p w14:paraId="1E590068" w14:textId="77777777" w:rsidR="00E82533" w:rsidRPr="00D40E57" w:rsidRDefault="00E82533" w:rsidP="00E82533">
      <w:pPr>
        <w:pStyle w:val="SingleTxtG"/>
      </w:pPr>
      <w:r w:rsidRPr="00D71C2C">
        <w:rPr>
          <w:i/>
          <w:iCs/>
        </w:rPr>
        <w:t>Paragraphe 6.5.8,</w:t>
      </w:r>
      <w:r w:rsidRPr="008F7080">
        <w:rPr>
          <w:i/>
          <w:iCs/>
        </w:rPr>
        <w:t xml:space="preserve"> appel</w:t>
      </w:r>
      <w:r w:rsidRPr="005B0501">
        <w:rPr>
          <w:i/>
          <w:iCs/>
        </w:rPr>
        <w:t xml:space="preserve"> de </w:t>
      </w:r>
      <w:r>
        <w:rPr>
          <w:i/>
          <w:iCs/>
        </w:rPr>
        <w:t xml:space="preserve">note </w:t>
      </w:r>
      <w:r w:rsidRPr="005B0501">
        <w:rPr>
          <w:i/>
          <w:iCs/>
        </w:rPr>
        <w:t>de bas de page 13</w:t>
      </w:r>
      <w:r w:rsidRPr="0024530A">
        <w:t xml:space="preserve">, </w:t>
      </w:r>
      <w:r w:rsidRPr="005B0501">
        <w:t>supprimer</w:t>
      </w:r>
      <w:r>
        <w:t>.</w:t>
      </w:r>
    </w:p>
    <w:p w14:paraId="57716714" w14:textId="77777777" w:rsidR="00E82533" w:rsidRPr="00D40E57" w:rsidRDefault="00E82533" w:rsidP="00E82533">
      <w:pPr>
        <w:pStyle w:val="SingleTxtG"/>
      </w:pPr>
      <w:r w:rsidRPr="00D40E57">
        <w:rPr>
          <w:i/>
          <w:iCs/>
          <w:lang w:val="fr-FR"/>
        </w:rPr>
        <w:t>Paragraphe 6.6.8</w:t>
      </w:r>
      <w:r>
        <w:rPr>
          <w:lang w:val="fr-FR"/>
        </w:rPr>
        <w:t>,</w:t>
      </w:r>
      <w:r w:rsidRPr="00D40E57">
        <w:rPr>
          <w:lang w:val="fr-FR"/>
        </w:rPr>
        <w:t xml:space="preserve"> </w:t>
      </w:r>
      <w:r>
        <w:rPr>
          <w:lang w:val="fr-FR"/>
        </w:rPr>
        <w:t xml:space="preserve">modification </w:t>
      </w:r>
      <w:r w:rsidRPr="00D40E57">
        <w:rPr>
          <w:lang w:val="fr-FR"/>
        </w:rPr>
        <w:t>sans objet en français</w:t>
      </w:r>
      <w:r>
        <w:rPr>
          <w:lang w:val="fr-FR"/>
        </w:rPr>
        <w:t>.</w:t>
      </w:r>
    </w:p>
    <w:p w14:paraId="348C472D" w14:textId="77777777" w:rsidR="00E82533" w:rsidRPr="00D40E57" w:rsidRDefault="00E82533" w:rsidP="00A279CF">
      <w:pPr>
        <w:pStyle w:val="SingleTxtG"/>
        <w:keepNext/>
      </w:pPr>
      <w:r w:rsidRPr="00D40E57">
        <w:rPr>
          <w:i/>
          <w:iCs/>
          <w:lang w:val="fr-FR"/>
        </w:rPr>
        <w:lastRenderedPageBreak/>
        <w:t>Paragraphe 6.7.8</w:t>
      </w:r>
      <w:r w:rsidRPr="00D40E57">
        <w:rPr>
          <w:lang w:val="fr-FR"/>
        </w:rPr>
        <w:t>, lire</w:t>
      </w:r>
      <w:r>
        <w:rPr>
          <w:lang w:val="fr-FR"/>
        </w:rPr>
        <w:t> </w:t>
      </w:r>
      <w:r w:rsidRPr="00D40E57">
        <w:rPr>
          <w:lang w:val="fr-FR"/>
        </w:rPr>
        <w:t>:</w:t>
      </w:r>
    </w:p>
    <w:p w14:paraId="04936C2F" w14:textId="77777777" w:rsidR="00E82533" w:rsidRPr="00D40E57" w:rsidRDefault="00E82533" w:rsidP="00A279CF">
      <w:pPr>
        <w:pStyle w:val="SingleTxtG"/>
        <w:keepNext/>
      </w:pPr>
      <w:r w:rsidRPr="00D40E57">
        <w:rPr>
          <w:lang w:val="fr-FR"/>
        </w:rPr>
        <w:t>« 6.7.8</w:t>
      </w:r>
      <w:r w:rsidRPr="00D40E57">
        <w:rPr>
          <w:lang w:val="fr-FR"/>
        </w:rPr>
        <w:tab/>
      </w:r>
      <w:r>
        <w:rPr>
          <w:lang w:val="fr-FR"/>
        </w:rPr>
        <w:tab/>
      </w:r>
      <w:r w:rsidRPr="00D40E57">
        <w:rPr>
          <w:lang w:val="fr-FR"/>
        </w:rPr>
        <w:t>Témoin</w:t>
      </w:r>
    </w:p>
    <w:p w14:paraId="26A9EA98" w14:textId="77777777" w:rsidR="00E82533" w:rsidRPr="00D40E57" w:rsidRDefault="00E82533" w:rsidP="00E82533">
      <w:pPr>
        <w:pStyle w:val="SingleTxtG"/>
        <w:ind w:left="2268"/>
        <w:rPr>
          <w:i/>
          <w:strike/>
        </w:rPr>
      </w:pPr>
      <w:r w:rsidRPr="00D40E57">
        <w:rPr>
          <w:lang w:val="fr-FR"/>
        </w:rPr>
        <w:t>Facultatif, mais un témoin de défaut de fonctionnement est obligatoire s</w:t>
      </w:r>
      <w:r>
        <w:rPr>
          <w:lang w:val="fr-FR"/>
        </w:rPr>
        <w:t>’</w:t>
      </w:r>
      <w:r w:rsidRPr="00D40E57">
        <w:rPr>
          <w:lang w:val="fr-FR"/>
        </w:rPr>
        <w:t xml:space="preserve">il est prescrit par le </w:t>
      </w:r>
      <w:r>
        <w:rPr>
          <w:lang w:val="fr-FR"/>
        </w:rPr>
        <w:t>R</w:t>
      </w:r>
      <w:r w:rsidRPr="00D40E57">
        <w:rPr>
          <w:lang w:val="fr-FR"/>
        </w:rPr>
        <w:t>èglement applicable au dispositif.</w:t>
      </w:r>
      <w:r>
        <w:rPr>
          <w:lang w:val="fr-FR"/>
        </w:rPr>
        <w:t> </w:t>
      </w:r>
      <w:r w:rsidRPr="00D40E57">
        <w:rPr>
          <w:lang w:val="fr-FR"/>
        </w:rPr>
        <w:t>».</w:t>
      </w:r>
    </w:p>
    <w:p w14:paraId="5F998070" w14:textId="77777777" w:rsidR="00E82533" w:rsidRPr="00D40E57" w:rsidRDefault="00E82533" w:rsidP="00E82533">
      <w:pPr>
        <w:pStyle w:val="SingleTxtG"/>
      </w:pPr>
      <w:r w:rsidRPr="00D40E57">
        <w:rPr>
          <w:i/>
          <w:iCs/>
          <w:lang w:val="fr-FR"/>
        </w:rPr>
        <w:t>Paragraphe 6.9.8</w:t>
      </w:r>
      <w:r>
        <w:rPr>
          <w:lang w:val="fr-FR"/>
        </w:rPr>
        <w:t>,</w:t>
      </w:r>
      <w:r w:rsidRPr="00D40E57">
        <w:t xml:space="preserve"> </w:t>
      </w:r>
      <w:r>
        <w:rPr>
          <w:lang w:val="fr-FR"/>
        </w:rPr>
        <w:t xml:space="preserve">modification </w:t>
      </w:r>
      <w:r w:rsidRPr="00D40E57">
        <w:rPr>
          <w:lang w:val="fr-FR"/>
        </w:rPr>
        <w:t>sans objet en français.</w:t>
      </w:r>
    </w:p>
    <w:p w14:paraId="1EE143DF" w14:textId="77777777" w:rsidR="00E82533" w:rsidRPr="00D40E57" w:rsidRDefault="00E82533" w:rsidP="00E82533">
      <w:pPr>
        <w:pStyle w:val="SingleTxtG"/>
      </w:pPr>
      <w:r w:rsidRPr="00D40E57">
        <w:rPr>
          <w:i/>
          <w:iCs/>
          <w:lang w:val="fr-FR"/>
        </w:rPr>
        <w:t>Paragraphe 6.10.8</w:t>
      </w:r>
      <w:r>
        <w:rPr>
          <w:lang w:val="fr-FR"/>
        </w:rPr>
        <w:t>,</w:t>
      </w:r>
      <w:r w:rsidRPr="00D40E57">
        <w:t xml:space="preserve"> </w:t>
      </w:r>
      <w:r>
        <w:rPr>
          <w:lang w:val="fr-FR"/>
        </w:rPr>
        <w:t xml:space="preserve">modification </w:t>
      </w:r>
      <w:r w:rsidRPr="00D40E57">
        <w:rPr>
          <w:lang w:val="fr-FR"/>
        </w:rPr>
        <w:t>sans objet en français.</w:t>
      </w:r>
    </w:p>
    <w:p w14:paraId="42F58D2A" w14:textId="77777777" w:rsidR="00E82533" w:rsidRPr="00D40E57" w:rsidRDefault="00E82533" w:rsidP="00A279CF">
      <w:pPr>
        <w:pStyle w:val="SingleTxtG"/>
        <w:keepNext/>
      </w:pPr>
      <w:r w:rsidRPr="00D40E57">
        <w:rPr>
          <w:i/>
          <w:iCs/>
          <w:lang w:val="fr-FR"/>
        </w:rPr>
        <w:t>Paragraphe 6.11.8</w:t>
      </w:r>
      <w:r w:rsidRPr="00D40E57">
        <w:rPr>
          <w:lang w:val="fr-FR"/>
        </w:rPr>
        <w:t>, lire</w:t>
      </w:r>
      <w:r>
        <w:rPr>
          <w:lang w:val="fr-FR"/>
        </w:rPr>
        <w:t> </w:t>
      </w:r>
      <w:r w:rsidRPr="00D40E57">
        <w:rPr>
          <w:lang w:val="fr-FR"/>
        </w:rPr>
        <w:t>:</w:t>
      </w:r>
    </w:p>
    <w:p w14:paraId="61356537" w14:textId="77777777" w:rsidR="00E82533" w:rsidRPr="00D40E57" w:rsidRDefault="00E82533" w:rsidP="00E82533">
      <w:pPr>
        <w:pStyle w:val="SingleTxtG"/>
      </w:pPr>
      <w:r w:rsidRPr="00D40E57">
        <w:rPr>
          <w:lang w:val="fr-FR"/>
        </w:rPr>
        <w:t>« 6.11.8</w:t>
      </w:r>
      <w:r w:rsidRPr="00D40E57">
        <w:rPr>
          <w:lang w:val="fr-FR"/>
        </w:rPr>
        <w:tab/>
        <w:t>Témoin</w:t>
      </w:r>
    </w:p>
    <w:p w14:paraId="5878CA77" w14:textId="77777777" w:rsidR="00E82533" w:rsidRPr="00D40E57" w:rsidRDefault="00E82533" w:rsidP="00E82533">
      <w:pPr>
        <w:pStyle w:val="SingleTxtG"/>
        <w:ind w:left="2268"/>
      </w:pPr>
      <w:r w:rsidRPr="00D40E57">
        <w:rPr>
          <w:lang w:val="fr-FR"/>
        </w:rPr>
        <w:t>Témoin d</w:t>
      </w:r>
      <w:r>
        <w:rPr>
          <w:lang w:val="fr-FR"/>
        </w:rPr>
        <w:t>’</w:t>
      </w:r>
      <w:r w:rsidRPr="00D40E57">
        <w:rPr>
          <w:lang w:val="fr-FR"/>
        </w:rPr>
        <w:t>enclenchement obligatoire</w:t>
      </w:r>
      <w:r>
        <w:rPr>
          <w:lang w:val="fr-FR"/>
        </w:rPr>
        <w:t>.</w:t>
      </w:r>
    </w:p>
    <w:p w14:paraId="2CFC2F1E" w14:textId="77777777" w:rsidR="00E82533" w:rsidRPr="00D40E57" w:rsidRDefault="00E82533" w:rsidP="00E82533">
      <w:pPr>
        <w:pStyle w:val="SingleTxtG"/>
        <w:ind w:left="2268"/>
      </w:pPr>
      <w:r w:rsidRPr="00D71C2C">
        <w:rPr>
          <w:lang w:val="fr-FR"/>
        </w:rPr>
        <w:t>Un témoin de défaut de fonctionnement est obligatoire s</w:t>
      </w:r>
      <w:r>
        <w:rPr>
          <w:lang w:val="fr-FR"/>
        </w:rPr>
        <w:t>’</w:t>
      </w:r>
      <w:r w:rsidRPr="00D71C2C">
        <w:rPr>
          <w:lang w:val="fr-FR"/>
        </w:rPr>
        <w:t>il est prescrit par le Règlement applicable au dispositif</w:t>
      </w:r>
      <w:r w:rsidRPr="002A16E6">
        <w:rPr>
          <w:lang w:val="fr-FR"/>
        </w:rPr>
        <w:t>.</w:t>
      </w:r>
      <w:r w:rsidRPr="00D40E57">
        <w:rPr>
          <w:lang w:val="fr-FR"/>
        </w:rPr>
        <w:t> </w:t>
      </w:r>
      <w:r w:rsidRPr="004E6BB4">
        <w:rPr>
          <w:lang w:val="fr-FR"/>
        </w:rPr>
        <w:t>».</w:t>
      </w:r>
    </w:p>
    <w:p w14:paraId="61A85D59" w14:textId="77777777" w:rsidR="00E82533" w:rsidRPr="00D40E57" w:rsidRDefault="00E82533" w:rsidP="00E82533">
      <w:pPr>
        <w:pStyle w:val="SingleTxtG"/>
      </w:pPr>
      <w:r w:rsidRPr="004E6BB4">
        <w:rPr>
          <w:i/>
          <w:iCs/>
          <w:lang w:val="fr-FR"/>
        </w:rPr>
        <w:t>Paragraphe</w:t>
      </w:r>
      <w:r w:rsidRPr="00D40E57">
        <w:rPr>
          <w:i/>
          <w:iCs/>
          <w:lang w:val="fr-FR"/>
        </w:rPr>
        <w:t xml:space="preserve"> 6.12.8</w:t>
      </w:r>
      <w:r w:rsidRPr="00D40E57">
        <w:rPr>
          <w:lang w:val="fr-FR"/>
        </w:rPr>
        <w:t>, lire</w:t>
      </w:r>
      <w:r>
        <w:rPr>
          <w:lang w:val="fr-FR"/>
        </w:rPr>
        <w:t> </w:t>
      </w:r>
      <w:r w:rsidRPr="00D40E57">
        <w:rPr>
          <w:lang w:val="fr-FR"/>
        </w:rPr>
        <w:t>:</w:t>
      </w:r>
    </w:p>
    <w:p w14:paraId="13121C2A" w14:textId="77777777" w:rsidR="00E82533" w:rsidRPr="00D40E57" w:rsidRDefault="00E82533" w:rsidP="00E82533">
      <w:pPr>
        <w:pStyle w:val="SingleTxtG"/>
      </w:pPr>
      <w:r w:rsidRPr="00D40E57">
        <w:rPr>
          <w:lang w:val="fr-FR"/>
        </w:rPr>
        <w:t>« 6.12.8</w:t>
      </w:r>
      <w:r w:rsidRPr="00D40E57">
        <w:rPr>
          <w:lang w:val="fr-FR"/>
        </w:rPr>
        <w:tab/>
        <w:t>Témoin</w:t>
      </w:r>
    </w:p>
    <w:p w14:paraId="38CF4243" w14:textId="77777777" w:rsidR="00E82533" w:rsidRPr="00D40E57" w:rsidRDefault="00E82533" w:rsidP="00E82533">
      <w:pPr>
        <w:pStyle w:val="SingleTxtG"/>
        <w:ind w:left="2268"/>
      </w:pPr>
      <w:r w:rsidRPr="00D40E57">
        <w:rPr>
          <w:lang w:val="fr-FR"/>
        </w:rPr>
        <w:t>Témoin d</w:t>
      </w:r>
      <w:r>
        <w:rPr>
          <w:lang w:val="fr-FR"/>
        </w:rPr>
        <w:t>’</w:t>
      </w:r>
      <w:r w:rsidRPr="00D40E57">
        <w:rPr>
          <w:lang w:val="fr-FR"/>
        </w:rPr>
        <w:t>enclenchement facultatif. S</w:t>
      </w:r>
      <w:r>
        <w:rPr>
          <w:lang w:val="fr-FR"/>
        </w:rPr>
        <w:t>’</w:t>
      </w:r>
      <w:r w:rsidRPr="00D40E57">
        <w:rPr>
          <w:lang w:val="fr-FR"/>
        </w:rPr>
        <w:t>il existe, il ne doit pas pouvoir être confondu avec le témoin des feux de position avant et arrière.</w:t>
      </w:r>
    </w:p>
    <w:p w14:paraId="022DD75D" w14:textId="77777777" w:rsidR="00E82533" w:rsidRPr="00AB25A1" w:rsidRDefault="00E82533" w:rsidP="00E82533">
      <w:pPr>
        <w:pStyle w:val="SingleTxtG"/>
        <w:ind w:left="2268"/>
      </w:pPr>
      <w:r w:rsidRPr="00D71C2C">
        <w:rPr>
          <w:lang w:val="fr-FR"/>
        </w:rPr>
        <w:t>Toutefois, un témoin de défaut de fonctionnement est obligatoire s</w:t>
      </w:r>
      <w:r>
        <w:rPr>
          <w:lang w:val="fr-FR"/>
        </w:rPr>
        <w:t>’</w:t>
      </w:r>
      <w:r w:rsidRPr="00D71C2C">
        <w:rPr>
          <w:lang w:val="fr-FR"/>
        </w:rPr>
        <w:t>il est prescrit par le Règlement applicable au dispositif</w:t>
      </w:r>
      <w:r w:rsidRPr="002A16E6">
        <w:rPr>
          <w:lang w:val="fr-FR"/>
        </w:rPr>
        <w:t>.</w:t>
      </w:r>
      <w:r w:rsidRPr="00D40E57">
        <w:rPr>
          <w:lang w:val="fr-FR"/>
        </w:rPr>
        <w:t> </w:t>
      </w:r>
      <w:r w:rsidRPr="004E6BB4">
        <w:rPr>
          <w:lang w:val="fr-FR"/>
        </w:rPr>
        <w:t>».</w:t>
      </w:r>
    </w:p>
    <w:p w14:paraId="33ABC827" w14:textId="77777777" w:rsidR="00E82533" w:rsidRPr="00D40E57" w:rsidRDefault="00E82533" w:rsidP="00E82533">
      <w:pPr>
        <w:pStyle w:val="SingleTxtG"/>
      </w:pPr>
      <w:r w:rsidRPr="00D40E57">
        <w:rPr>
          <w:i/>
          <w:iCs/>
          <w:lang w:val="fr-FR"/>
        </w:rPr>
        <w:t>Paragraphe 6.18.8</w:t>
      </w:r>
      <w:r w:rsidRPr="00D40E57">
        <w:rPr>
          <w:lang w:val="fr-FR"/>
        </w:rPr>
        <w:t>, lire</w:t>
      </w:r>
      <w:r>
        <w:rPr>
          <w:lang w:val="fr-FR"/>
        </w:rPr>
        <w:t> </w:t>
      </w:r>
      <w:r w:rsidRPr="00D40E57">
        <w:rPr>
          <w:lang w:val="fr-FR"/>
        </w:rPr>
        <w:t>:</w:t>
      </w:r>
    </w:p>
    <w:p w14:paraId="602A50F1" w14:textId="77777777" w:rsidR="00E82533" w:rsidRPr="00D40E57" w:rsidRDefault="00E82533" w:rsidP="00E82533">
      <w:pPr>
        <w:pStyle w:val="SingleTxtG"/>
      </w:pPr>
      <w:r w:rsidRPr="00D40E57">
        <w:rPr>
          <w:lang w:val="fr-FR"/>
        </w:rPr>
        <w:t>« 6.18.8</w:t>
      </w:r>
      <w:r w:rsidRPr="00D40E57">
        <w:rPr>
          <w:lang w:val="fr-FR"/>
        </w:rPr>
        <w:tab/>
        <w:t>Témoin</w:t>
      </w:r>
    </w:p>
    <w:p w14:paraId="5270170D" w14:textId="77777777" w:rsidR="00E82533" w:rsidRPr="00D40E57" w:rsidRDefault="00E82533" w:rsidP="00E82533">
      <w:pPr>
        <w:pStyle w:val="SingleTxtG"/>
        <w:ind w:left="2268"/>
      </w:pPr>
      <w:r>
        <w:rPr>
          <w:lang w:val="fr-FR"/>
        </w:rPr>
        <w:t>F</w:t>
      </w:r>
      <w:r w:rsidRPr="00D40E57">
        <w:rPr>
          <w:lang w:val="fr-FR"/>
        </w:rPr>
        <w:t>acultatif</w:t>
      </w:r>
      <w:r>
        <w:rPr>
          <w:lang w:val="fr-FR"/>
        </w:rPr>
        <w:t xml:space="preserve"> ; </w:t>
      </w:r>
      <w:r w:rsidRPr="00D40E57">
        <w:rPr>
          <w:lang w:val="fr-FR"/>
        </w:rPr>
        <w:t>s</w:t>
      </w:r>
      <w:r>
        <w:rPr>
          <w:lang w:val="fr-FR"/>
        </w:rPr>
        <w:t>’</w:t>
      </w:r>
      <w:r w:rsidRPr="00D40E57">
        <w:rPr>
          <w:lang w:val="fr-FR"/>
        </w:rPr>
        <w:t>il existe, sa fonction doit être assurée par le témoin prescrit pour les feux de position avant et arrière.</w:t>
      </w:r>
    </w:p>
    <w:p w14:paraId="31311DF9" w14:textId="77777777" w:rsidR="00E82533" w:rsidRPr="00D40E57" w:rsidRDefault="00E82533" w:rsidP="00E82533">
      <w:pPr>
        <w:pStyle w:val="SingleTxtG"/>
        <w:ind w:left="2268"/>
      </w:pPr>
      <w:bookmarkStart w:id="1" w:name="_Hlk98165948"/>
      <w:r w:rsidRPr="00D71C2C">
        <w:rPr>
          <w:lang w:val="fr-FR"/>
        </w:rPr>
        <w:t>Toutefois, un témoin de défaut de fonctionnement est obligatoire s</w:t>
      </w:r>
      <w:r>
        <w:rPr>
          <w:lang w:val="fr-FR"/>
        </w:rPr>
        <w:t>’</w:t>
      </w:r>
      <w:r w:rsidRPr="00D71C2C">
        <w:rPr>
          <w:lang w:val="fr-FR"/>
        </w:rPr>
        <w:t>il est prescrit par le Règlement applicable au dispositif</w:t>
      </w:r>
      <w:r w:rsidRPr="00D40E57">
        <w:rPr>
          <w:lang w:val="fr-FR"/>
        </w:rPr>
        <w:t>. </w:t>
      </w:r>
      <w:r w:rsidRPr="004E6BB4">
        <w:rPr>
          <w:lang w:val="fr-FR"/>
        </w:rPr>
        <w:t>».</w:t>
      </w:r>
    </w:p>
    <w:bookmarkEnd w:id="1"/>
    <w:p w14:paraId="4457A18A" w14:textId="77777777" w:rsidR="00E82533" w:rsidRDefault="00E82533" w:rsidP="00E82533">
      <w:pPr>
        <w:pStyle w:val="SingleTxtG"/>
        <w:rPr>
          <w:i/>
          <w:iCs/>
          <w:lang w:val="fr-FR"/>
        </w:rPr>
      </w:pPr>
      <w:r w:rsidRPr="00D40E57">
        <w:rPr>
          <w:i/>
          <w:iCs/>
          <w:lang w:val="fr-FR"/>
        </w:rPr>
        <w:t>Paragraphe</w:t>
      </w:r>
      <w:r>
        <w:rPr>
          <w:i/>
          <w:iCs/>
          <w:lang w:val="fr-FR"/>
        </w:rPr>
        <w:t xml:space="preserve"> 6.19,</w:t>
      </w:r>
      <w:r w:rsidRPr="002A16E6">
        <w:rPr>
          <w:lang w:val="fr-FR"/>
        </w:rPr>
        <w:t xml:space="preserve"> </w:t>
      </w:r>
      <w:r>
        <w:rPr>
          <w:lang w:val="fr-FR"/>
        </w:rPr>
        <w:t xml:space="preserve">modification </w:t>
      </w:r>
      <w:r w:rsidRPr="00D40E57">
        <w:rPr>
          <w:lang w:val="fr-FR"/>
        </w:rPr>
        <w:t>sans objet en français.</w:t>
      </w:r>
    </w:p>
    <w:p w14:paraId="70DCFAEE" w14:textId="77777777" w:rsidR="00E82533" w:rsidRPr="005B0501" w:rsidRDefault="00E82533" w:rsidP="00E82533">
      <w:pPr>
        <w:pStyle w:val="SingleTxtG"/>
        <w:rPr>
          <w:i/>
        </w:rPr>
      </w:pPr>
      <w:r w:rsidRPr="005B0501">
        <w:rPr>
          <w:i/>
          <w:iCs/>
        </w:rPr>
        <w:t>Paragraphe 6.19.7.3, note de bas de page 14</w:t>
      </w:r>
      <w:r w:rsidRPr="0024530A">
        <w:t xml:space="preserve">, </w:t>
      </w:r>
      <w:r w:rsidRPr="005B0501">
        <w:t>supprimer</w:t>
      </w:r>
      <w:r w:rsidRPr="005B0501">
        <w:rPr>
          <w:i/>
          <w:iCs/>
        </w:rPr>
        <w:t>.</w:t>
      </w:r>
    </w:p>
    <w:p w14:paraId="68936775" w14:textId="77777777" w:rsidR="00E82533" w:rsidRPr="005B0501" w:rsidRDefault="00E82533" w:rsidP="00E82533">
      <w:pPr>
        <w:pStyle w:val="SingleTxtG"/>
        <w:keepNext/>
      </w:pPr>
      <w:r w:rsidRPr="004E58D6">
        <w:rPr>
          <w:i/>
          <w:iCs/>
        </w:rPr>
        <w:t>Paragraphe</w:t>
      </w:r>
      <w:r w:rsidRPr="005B0501">
        <w:rPr>
          <w:i/>
        </w:rPr>
        <w:t xml:space="preserve"> 6.20</w:t>
      </w:r>
      <w:r w:rsidRPr="0024530A">
        <w:rPr>
          <w:iCs/>
        </w:rPr>
        <w:t xml:space="preserve">, </w:t>
      </w:r>
      <w:r w:rsidRPr="005B0501">
        <w:rPr>
          <w:rFonts w:eastAsia="MS Mincho"/>
        </w:rPr>
        <w:t>lire :</w:t>
      </w:r>
    </w:p>
    <w:p w14:paraId="79F4DC07" w14:textId="77777777" w:rsidR="00E82533" w:rsidRPr="005B0501" w:rsidRDefault="00E82533" w:rsidP="00E82533">
      <w:pPr>
        <w:pStyle w:val="SingleTxtG"/>
        <w:ind w:left="2268" w:hanging="1134"/>
      </w:pPr>
      <w:r w:rsidRPr="005B0501">
        <w:t>«</w:t>
      </w:r>
      <w:r>
        <w:t> </w:t>
      </w:r>
      <w:r w:rsidRPr="005B0501">
        <w:t>6.20</w:t>
      </w:r>
      <w:r w:rsidRPr="005B0501">
        <w:tab/>
        <w:t>Feu d</w:t>
      </w:r>
      <w:r>
        <w:t>’</w:t>
      </w:r>
      <w:r w:rsidRPr="005B0501">
        <w:t xml:space="preserve">angle (Règlement ONU </w:t>
      </w:r>
      <w:r w:rsidRPr="005B0501">
        <w:rPr>
          <w:rFonts w:eastAsia="MS Mincho"/>
        </w:rPr>
        <w:t>n</w:t>
      </w:r>
      <w:r w:rsidRPr="005B0501">
        <w:rPr>
          <w:rFonts w:eastAsia="MS Mincho"/>
          <w:vertAlign w:val="superscript"/>
        </w:rPr>
        <w:t>o</w:t>
      </w:r>
      <w:r w:rsidRPr="005B0501">
        <w:rPr>
          <w:rFonts w:eastAsia="MS Mincho"/>
        </w:rPr>
        <w:t> </w:t>
      </w:r>
      <w:r w:rsidRPr="005B0501">
        <w:t xml:space="preserve">119 ou </w:t>
      </w:r>
      <w:r w:rsidRPr="00D71C2C">
        <w:t>149</w:t>
      </w:r>
      <w:r w:rsidRPr="005B0501">
        <w:t>)</w:t>
      </w:r>
      <w:r>
        <w:t> </w:t>
      </w:r>
      <w:r w:rsidRPr="005B0501">
        <w:t>».</w:t>
      </w:r>
    </w:p>
    <w:p w14:paraId="41A9E14B" w14:textId="77777777" w:rsidR="00E82533" w:rsidRPr="00D40E57" w:rsidRDefault="00E82533" w:rsidP="00E82533">
      <w:pPr>
        <w:pStyle w:val="SingleTxtG"/>
      </w:pPr>
      <w:r w:rsidRPr="00D40E57">
        <w:rPr>
          <w:i/>
          <w:iCs/>
          <w:lang w:val="fr-FR"/>
        </w:rPr>
        <w:t>Paragraphe 6.20.8</w:t>
      </w:r>
      <w:r w:rsidRPr="00D40E57">
        <w:rPr>
          <w:lang w:val="fr-FR"/>
        </w:rPr>
        <w:t>, lire</w:t>
      </w:r>
      <w:r>
        <w:rPr>
          <w:lang w:val="fr-FR"/>
        </w:rPr>
        <w:t> </w:t>
      </w:r>
      <w:r w:rsidRPr="00D40E57">
        <w:rPr>
          <w:lang w:val="fr-FR"/>
        </w:rPr>
        <w:t>:</w:t>
      </w:r>
    </w:p>
    <w:p w14:paraId="2D34D1B0" w14:textId="77777777" w:rsidR="00E82533" w:rsidRPr="00D40E57" w:rsidRDefault="00E82533" w:rsidP="00E82533">
      <w:pPr>
        <w:pStyle w:val="SingleTxtG"/>
      </w:pPr>
      <w:r w:rsidRPr="00D40E57">
        <w:rPr>
          <w:lang w:val="fr-FR"/>
        </w:rPr>
        <w:t>« 6.20.8</w:t>
      </w:r>
      <w:r w:rsidRPr="00D40E57">
        <w:rPr>
          <w:lang w:val="fr-FR"/>
        </w:rPr>
        <w:tab/>
        <w:t>Témoin</w:t>
      </w:r>
    </w:p>
    <w:p w14:paraId="5E5D25CD" w14:textId="77777777" w:rsidR="00E82533" w:rsidRDefault="00E82533" w:rsidP="00E82533">
      <w:pPr>
        <w:pStyle w:val="SingleTxtG"/>
        <w:ind w:left="2268"/>
        <w:rPr>
          <w:lang w:val="fr-FR"/>
        </w:rPr>
      </w:pPr>
      <w:r w:rsidRPr="00D40E57">
        <w:rPr>
          <w:lang w:val="fr-FR"/>
        </w:rPr>
        <w:t xml:space="preserve">Aucun. </w:t>
      </w:r>
      <w:r w:rsidRPr="00D71C2C">
        <w:rPr>
          <w:lang w:val="fr-FR"/>
        </w:rPr>
        <w:t>Toutefois, un témoin de défaut de fonctionnement est obligatoire s</w:t>
      </w:r>
      <w:r>
        <w:rPr>
          <w:lang w:val="fr-FR"/>
        </w:rPr>
        <w:t>’</w:t>
      </w:r>
      <w:r w:rsidRPr="00D71C2C">
        <w:rPr>
          <w:lang w:val="fr-FR"/>
        </w:rPr>
        <w:t>il est prescrit par le Règlement applicable au dispositif</w:t>
      </w:r>
      <w:r w:rsidRPr="001948DD">
        <w:rPr>
          <w:lang w:val="fr-FR"/>
        </w:rPr>
        <w:t>.</w:t>
      </w:r>
      <w:r w:rsidRPr="00D40E57">
        <w:rPr>
          <w:lang w:val="fr-FR"/>
        </w:rPr>
        <w:t> </w:t>
      </w:r>
      <w:r w:rsidRPr="004E6BB4">
        <w:rPr>
          <w:lang w:val="fr-FR"/>
        </w:rPr>
        <w:t>».</w:t>
      </w:r>
    </w:p>
    <w:p w14:paraId="368013A6" w14:textId="77777777" w:rsidR="00E82533" w:rsidRPr="00D71C2C" w:rsidRDefault="00E82533" w:rsidP="00E82533">
      <w:pPr>
        <w:pStyle w:val="SingleTxtG"/>
        <w:keepNext/>
      </w:pPr>
      <w:r w:rsidRPr="005B0501">
        <w:rPr>
          <w:i/>
          <w:iCs/>
        </w:rPr>
        <w:t>Paragraphe 6.22.4.1.2</w:t>
      </w:r>
      <w:r w:rsidRPr="00A279CF">
        <w:t xml:space="preserve">, </w:t>
      </w:r>
      <w:r w:rsidRPr="00D71C2C">
        <w:t>la note de bas de page 15</w:t>
      </w:r>
      <w:r>
        <w:t xml:space="preserve"> devient la note de bas de page 13.</w:t>
      </w:r>
    </w:p>
    <w:p w14:paraId="6A7E898A" w14:textId="77777777" w:rsidR="00E82533" w:rsidRPr="005B0501" w:rsidRDefault="00E82533" w:rsidP="00E82533">
      <w:pPr>
        <w:pStyle w:val="SingleTxtG"/>
        <w:keepNext/>
      </w:pPr>
      <w:r w:rsidRPr="004E58D6">
        <w:rPr>
          <w:i/>
          <w:iCs/>
        </w:rPr>
        <w:t>Paragraphe</w:t>
      </w:r>
      <w:r w:rsidRPr="005B0501">
        <w:rPr>
          <w:i/>
        </w:rPr>
        <w:t xml:space="preserve"> 6.22.7.4.3</w:t>
      </w:r>
      <w:r w:rsidRPr="005B0501">
        <w:t>, lire :</w:t>
      </w:r>
    </w:p>
    <w:p w14:paraId="136F62DB" w14:textId="77777777" w:rsidR="00E82533" w:rsidRPr="005B0501" w:rsidRDefault="00E82533" w:rsidP="00E82533">
      <w:pPr>
        <w:pStyle w:val="SingleTxtG"/>
        <w:ind w:left="2268" w:hanging="1134"/>
        <w:rPr>
          <w:rFonts w:eastAsia="Calibri"/>
          <w:lang w:eastAsia="fr-FR"/>
        </w:rPr>
      </w:pPr>
      <w:r w:rsidRPr="005B0501">
        <w:t>«</w:t>
      </w:r>
      <w:r>
        <w:t> </w:t>
      </w:r>
      <w:r w:rsidRPr="005B0501">
        <w:rPr>
          <w:rFonts w:eastAsia="Calibri"/>
        </w:rPr>
        <w:t>6.22.7.4.3</w:t>
      </w:r>
      <w:r w:rsidRPr="005B0501">
        <w:rPr>
          <w:rFonts w:eastAsia="Calibri"/>
        </w:rPr>
        <w:tab/>
      </w:r>
      <w:r w:rsidRPr="00295078">
        <w:t>Le</w:t>
      </w:r>
      <w:r w:rsidRPr="005B0501">
        <w:rPr>
          <w:rFonts w:eastAsia="Calibri"/>
          <w:lang w:eastAsia="fr-FR"/>
        </w:rPr>
        <w:t xml:space="preserve"> ou les modes de la classe</w:t>
      </w:r>
      <w:r>
        <w:rPr>
          <w:rFonts w:eastAsia="Calibri"/>
          <w:lang w:eastAsia="fr-FR"/>
        </w:rPr>
        <w:t xml:space="preserve"> </w:t>
      </w:r>
      <w:r w:rsidRPr="005B0501">
        <w:rPr>
          <w:rFonts w:eastAsia="Calibri"/>
          <w:lang w:eastAsia="fr-FR"/>
        </w:rPr>
        <w:t>E du faisceau de croisement ne doivent fonctionner que si la vitesse du véhicule dépasse 60 km/h et une ou plusieurs des conditions ci-dessous sont automatiquement détectées :</w:t>
      </w:r>
    </w:p>
    <w:p w14:paraId="3330185E" w14:textId="77777777" w:rsidR="00E82533" w:rsidRPr="005B0501" w:rsidRDefault="00E82533" w:rsidP="00E82533">
      <w:pPr>
        <w:pStyle w:val="SingleTxtG"/>
        <w:ind w:left="2835" w:hanging="567"/>
      </w:pPr>
      <w:r w:rsidRPr="005B0501">
        <w:t>a)</w:t>
      </w:r>
      <w:r w:rsidRPr="005B0501">
        <w:tab/>
      </w:r>
      <w:r w:rsidRPr="005B0501">
        <w:rPr>
          <w:lang w:eastAsia="fr-FR"/>
        </w:rPr>
        <w:t>Les caractéristiques de la route correspondent à celles d</w:t>
      </w:r>
      <w:r>
        <w:rPr>
          <w:lang w:eastAsia="fr-FR"/>
        </w:rPr>
        <w:t>’</w:t>
      </w:r>
      <w:r w:rsidRPr="005B0501">
        <w:rPr>
          <w:lang w:eastAsia="fr-FR"/>
        </w:rPr>
        <w:t>une autoroute</w:t>
      </w:r>
      <w:r w:rsidRPr="00D71C2C">
        <w:rPr>
          <w:sz w:val="18"/>
          <w:szCs w:val="18"/>
          <w:vertAlign w:val="superscript"/>
          <w:lang w:eastAsia="fr-FR"/>
        </w:rPr>
        <w:t>14</w:t>
      </w:r>
      <w:r w:rsidRPr="005B0501">
        <w:t xml:space="preserve"> </w:t>
      </w:r>
      <w:r w:rsidRPr="005B0501">
        <w:rPr>
          <w:lang w:eastAsia="fr-FR"/>
        </w:rPr>
        <w:t>ou la vitesse du véhicule dépasse 110 km/h (application du signal</w:t>
      </w:r>
      <w:r>
        <w:rPr>
          <w:lang w:eastAsia="fr-FR"/>
        </w:rPr>
        <w:t xml:space="preserve"> </w:t>
      </w:r>
      <w:r w:rsidRPr="005B0501">
        <w:rPr>
          <w:lang w:eastAsia="fr-FR"/>
        </w:rPr>
        <w:t>E) ;</w:t>
      </w:r>
    </w:p>
    <w:p w14:paraId="57239973" w14:textId="77777777" w:rsidR="00E82533" w:rsidRPr="005B0501" w:rsidRDefault="00E82533" w:rsidP="00E82533">
      <w:pPr>
        <w:pStyle w:val="SingleTxtG"/>
        <w:ind w:left="2835" w:hanging="567"/>
        <w:rPr>
          <w:rFonts w:eastAsia="Calibri"/>
        </w:rPr>
      </w:pPr>
      <w:r w:rsidRPr="005B0501">
        <w:rPr>
          <w:rFonts w:eastAsia="Calibri"/>
        </w:rPr>
        <w:t>b)</w:t>
      </w:r>
      <w:r w:rsidRPr="005B0501">
        <w:rPr>
          <w:rFonts w:eastAsia="Calibri"/>
        </w:rPr>
        <w:tab/>
      </w:r>
      <w:r w:rsidRPr="005A3A19">
        <w:t>Lorsqu</w:t>
      </w:r>
      <w:r>
        <w:t>’</w:t>
      </w:r>
      <w:r w:rsidRPr="005A3A19">
        <w:t>un</w:t>
      </w:r>
      <w:r w:rsidRPr="005B0501">
        <w:rPr>
          <w:rFonts w:eastAsia="Calibri"/>
          <w:lang w:eastAsia="fr-FR"/>
        </w:rPr>
        <w:t xml:space="preserve"> mode de la classe</w:t>
      </w:r>
      <w:r>
        <w:rPr>
          <w:rFonts w:eastAsia="Calibri"/>
          <w:lang w:eastAsia="fr-FR"/>
        </w:rPr>
        <w:t xml:space="preserve"> </w:t>
      </w:r>
      <w:r w:rsidRPr="005B0501">
        <w:rPr>
          <w:rFonts w:eastAsia="Calibri"/>
          <w:lang w:eastAsia="fr-FR"/>
        </w:rPr>
        <w:t>E du faisceau de croisement est conforme, d</w:t>
      </w:r>
      <w:r>
        <w:rPr>
          <w:rFonts w:eastAsia="Calibri"/>
          <w:lang w:eastAsia="fr-FR"/>
        </w:rPr>
        <w:t>’</w:t>
      </w:r>
      <w:r w:rsidRPr="005B0501">
        <w:rPr>
          <w:rFonts w:eastAsia="Calibri"/>
          <w:lang w:eastAsia="fr-FR"/>
        </w:rPr>
        <w:t>après les documents d</w:t>
      </w:r>
      <w:r>
        <w:rPr>
          <w:rFonts w:eastAsia="Calibri"/>
          <w:lang w:eastAsia="fr-FR"/>
        </w:rPr>
        <w:t>’</w:t>
      </w:r>
      <w:r w:rsidRPr="005B0501">
        <w:rPr>
          <w:rFonts w:eastAsia="Calibri"/>
          <w:lang w:eastAsia="fr-FR"/>
        </w:rPr>
        <w:t>homologation ou la fiche de communication du système, à un ensemble de données du tableau</w:t>
      </w:r>
      <w:r>
        <w:rPr>
          <w:rFonts w:eastAsia="Calibri"/>
          <w:lang w:eastAsia="fr-FR"/>
        </w:rPr>
        <w:t xml:space="preserve"> </w:t>
      </w:r>
      <w:r w:rsidRPr="005B0501">
        <w:rPr>
          <w:rFonts w:eastAsia="Calibri"/>
          <w:lang w:eastAsia="fr-FR"/>
        </w:rPr>
        <w:t>6 de</w:t>
      </w:r>
      <w:r>
        <w:rPr>
          <w:rFonts w:eastAsia="Calibri"/>
          <w:lang w:eastAsia="fr-FR"/>
        </w:rPr>
        <w:t xml:space="preserve"> </w:t>
      </w:r>
      <w:r w:rsidRPr="005B0501">
        <w:rPr>
          <w:rFonts w:eastAsia="Calibri"/>
          <w:lang w:eastAsia="fr-FR"/>
        </w:rPr>
        <w:t>l</w:t>
      </w:r>
      <w:r>
        <w:rPr>
          <w:rFonts w:eastAsia="Calibri"/>
          <w:lang w:eastAsia="fr-FR"/>
        </w:rPr>
        <w:t>’</w:t>
      </w:r>
      <w:r w:rsidRPr="005B0501">
        <w:rPr>
          <w:rFonts w:eastAsia="Calibri"/>
          <w:lang w:eastAsia="fr-FR"/>
        </w:rPr>
        <w:t>annexe</w:t>
      </w:r>
      <w:r>
        <w:rPr>
          <w:rFonts w:eastAsia="Calibri"/>
          <w:lang w:eastAsia="fr-FR"/>
        </w:rPr>
        <w:t xml:space="preserve"> </w:t>
      </w:r>
      <w:r w:rsidRPr="005B0501">
        <w:rPr>
          <w:rFonts w:eastAsia="Calibri"/>
          <w:lang w:eastAsia="fr-FR"/>
        </w:rPr>
        <w:t xml:space="preserve">3 du Règlement ONU </w:t>
      </w:r>
      <w:r w:rsidRPr="005B0501">
        <w:rPr>
          <w:rFonts w:eastAsia="MS Mincho"/>
        </w:rPr>
        <w:t>n</w:t>
      </w:r>
      <w:r w:rsidRPr="005B0501">
        <w:rPr>
          <w:rFonts w:eastAsia="MS Mincho"/>
          <w:vertAlign w:val="superscript"/>
        </w:rPr>
        <w:t>o</w:t>
      </w:r>
      <w:r w:rsidRPr="005B0501">
        <w:rPr>
          <w:rFonts w:eastAsia="MS Mincho"/>
        </w:rPr>
        <w:t> </w:t>
      </w:r>
      <w:r w:rsidRPr="005B0501">
        <w:rPr>
          <w:rFonts w:eastAsia="Calibri"/>
          <w:lang w:eastAsia="fr-FR"/>
        </w:rPr>
        <w:t xml:space="preserve">123 ou du tableau 14 du Règlement ONU </w:t>
      </w:r>
      <w:r w:rsidRPr="005B0501">
        <w:rPr>
          <w:rFonts w:eastAsia="MS Mincho"/>
        </w:rPr>
        <w:t>n</w:t>
      </w:r>
      <w:r w:rsidRPr="005B0501">
        <w:rPr>
          <w:rFonts w:eastAsia="MS Mincho"/>
          <w:vertAlign w:val="superscript"/>
        </w:rPr>
        <w:t>o</w:t>
      </w:r>
      <w:r w:rsidRPr="005B0501">
        <w:rPr>
          <w:rFonts w:eastAsia="MS Mincho"/>
        </w:rPr>
        <w:t> </w:t>
      </w:r>
      <w:r w:rsidRPr="005B0501">
        <w:rPr>
          <w:rFonts w:eastAsia="Calibri"/>
          <w:lang w:eastAsia="fr-FR"/>
        </w:rPr>
        <w:t>149.</w:t>
      </w:r>
    </w:p>
    <w:p w14:paraId="493FFCBB" w14:textId="163F8331" w:rsidR="00E82533" w:rsidRPr="00D71C2C" w:rsidRDefault="00E82533" w:rsidP="00CC2221">
      <w:pPr>
        <w:pStyle w:val="SingleTxtG"/>
        <w:keepNext/>
        <w:ind w:left="2835"/>
      </w:pPr>
      <w:r w:rsidRPr="005B0501">
        <w:lastRenderedPageBreak/>
        <w:tab/>
      </w:r>
      <w:r w:rsidRPr="00D71C2C">
        <w:t>Ensemble de données E1 : vitesse du véhicule supérieure à 100 km/h (application du signal E1) ;</w:t>
      </w:r>
    </w:p>
    <w:p w14:paraId="36CF6435" w14:textId="77777777" w:rsidR="00E82533" w:rsidRPr="00D71C2C" w:rsidRDefault="00E82533" w:rsidP="00E82533">
      <w:pPr>
        <w:pStyle w:val="SingleTxtG"/>
        <w:ind w:left="2835"/>
      </w:pPr>
      <w:r w:rsidRPr="00D71C2C">
        <w:t>Ensemble de données E2 : vitesse du véhicule supérieure à 90 km/h (application du signal E2) ;</w:t>
      </w:r>
    </w:p>
    <w:p w14:paraId="4D4409AA" w14:textId="77777777" w:rsidR="00E82533" w:rsidRPr="005B0501" w:rsidRDefault="00E82533" w:rsidP="00E82533">
      <w:pPr>
        <w:pStyle w:val="SingleTxtG"/>
        <w:ind w:left="2835"/>
        <w:rPr>
          <w:strike/>
        </w:rPr>
      </w:pPr>
      <w:r w:rsidRPr="00D71C2C">
        <w:t>Ensemble de données E3 : vitesse du véhicule supérieure à 80 km/h (application du signal E3).</w:t>
      </w:r>
      <w:r>
        <w:t> </w:t>
      </w:r>
      <w:r w:rsidRPr="005B0501">
        <w:t>»</w:t>
      </w:r>
      <w:r>
        <w:t>.</w:t>
      </w:r>
    </w:p>
    <w:p w14:paraId="46339261" w14:textId="77777777" w:rsidR="00E82533" w:rsidRDefault="00E82533" w:rsidP="00E82533">
      <w:pPr>
        <w:pStyle w:val="SingleTxtG"/>
        <w:keepNext/>
      </w:pPr>
      <w:r w:rsidRPr="005B0501">
        <w:rPr>
          <w:i/>
          <w:iCs/>
        </w:rPr>
        <w:t>Paragraphe 6.22.7.4.5</w:t>
      </w:r>
      <w:r w:rsidRPr="00A279CF">
        <w:t>,</w:t>
      </w:r>
      <w:r w:rsidRPr="005B0501">
        <w:rPr>
          <w:i/>
          <w:iCs/>
        </w:rPr>
        <w:t xml:space="preserve"> </w:t>
      </w:r>
      <w:r w:rsidRPr="00D71C2C">
        <w:t>la note de bas de page 17 devient la note de bas de page 15</w:t>
      </w:r>
      <w:r>
        <w:t>.</w:t>
      </w:r>
    </w:p>
    <w:p w14:paraId="438361FD" w14:textId="77777777" w:rsidR="00E82533" w:rsidRPr="005B0501" w:rsidRDefault="00E82533" w:rsidP="00E82533">
      <w:pPr>
        <w:pStyle w:val="SingleTxtG"/>
        <w:keepNext/>
        <w:rPr>
          <w:szCs w:val="16"/>
        </w:rPr>
      </w:pPr>
      <w:r w:rsidRPr="004E58D6">
        <w:rPr>
          <w:i/>
          <w:iCs/>
        </w:rPr>
        <w:t>Paragraphe</w:t>
      </w:r>
      <w:r w:rsidRPr="005B0501">
        <w:rPr>
          <w:i/>
          <w:szCs w:val="16"/>
        </w:rPr>
        <w:t xml:space="preserve"> 6.22.9.1</w:t>
      </w:r>
      <w:r w:rsidRPr="0024530A">
        <w:rPr>
          <w:iCs/>
          <w:szCs w:val="16"/>
        </w:rPr>
        <w:t xml:space="preserve">, </w:t>
      </w:r>
      <w:r w:rsidRPr="005B0501">
        <w:rPr>
          <w:szCs w:val="16"/>
        </w:rPr>
        <w:t>lire :</w:t>
      </w:r>
    </w:p>
    <w:p w14:paraId="2252FD14" w14:textId="3866301B" w:rsidR="00E82533" w:rsidRDefault="00E82533" w:rsidP="00E82533">
      <w:pPr>
        <w:pStyle w:val="SingleTxtG"/>
        <w:ind w:left="2268" w:hanging="1134"/>
      </w:pPr>
      <w:r w:rsidRPr="005B0501">
        <w:t>«</w:t>
      </w:r>
      <w:r>
        <w:t> </w:t>
      </w:r>
      <w:r w:rsidRPr="005B0501">
        <w:t>6.22.9.1</w:t>
      </w:r>
      <w:r w:rsidRPr="005B0501">
        <w:tab/>
      </w:r>
      <w:r w:rsidRPr="005B0501">
        <w:tab/>
      </w:r>
      <w:r w:rsidRPr="005B0501">
        <w:rPr>
          <w:lang w:eastAsia="fr-FR"/>
        </w:rPr>
        <w:t>Le montage d</w:t>
      </w:r>
      <w:r>
        <w:rPr>
          <w:lang w:eastAsia="fr-FR"/>
        </w:rPr>
        <w:t>’</w:t>
      </w:r>
      <w:r w:rsidRPr="005B0501">
        <w:rPr>
          <w:lang w:eastAsia="fr-FR"/>
        </w:rPr>
        <w:t>un système AFS n</w:t>
      </w:r>
      <w:r>
        <w:rPr>
          <w:lang w:eastAsia="fr-FR"/>
        </w:rPr>
        <w:t>’</w:t>
      </w:r>
      <w:r w:rsidRPr="005B0501">
        <w:rPr>
          <w:lang w:eastAsia="fr-FR"/>
        </w:rPr>
        <w:t>est autorisé que si le véhicule est aussi équipé de dispositifs de nettoyage des projecteurs conformes au Règlement</w:t>
      </w:r>
      <w:r>
        <w:rPr>
          <w:lang w:eastAsia="fr-FR"/>
        </w:rPr>
        <w:t xml:space="preserve"> </w:t>
      </w:r>
      <w:r w:rsidRPr="005B0501">
        <w:rPr>
          <w:lang w:eastAsia="fr-FR"/>
        </w:rPr>
        <w:t xml:space="preserve">ONU </w:t>
      </w:r>
      <w:r w:rsidRPr="005B0501">
        <w:rPr>
          <w:rFonts w:eastAsia="MS Mincho"/>
        </w:rPr>
        <w:t>n</w:t>
      </w:r>
      <w:r w:rsidRPr="005B0501">
        <w:rPr>
          <w:rFonts w:eastAsia="MS Mincho"/>
          <w:vertAlign w:val="superscript"/>
        </w:rPr>
        <w:t>o</w:t>
      </w:r>
      <w:r w:rsidRPr="005B0501">
        <w:rPr>
          <w:rFonts w:eastAsia="MS Mincho"/>
        </w:rPr>
        <w:t> </w:t>
      </w:r>
      <w:r w:rsidRPr="005B0501">
        <w:t>45</w:t>
      </w:r>
      <w:r w:rsidRPr="00A279CF">
        <w:rPr>
          <w:sz w:val="18"/>
          <w:szCs w:val="18"/>
          <w:vertAlign w:val="superscript"/>
        </w:rPr>
        <w:t>16</w:t>
      </w:r>
      <w:r w:rsidRPr="005B0501">
        <w:rPr>
          <w:lang w:eastAsia="fr-FR"/>
        </w:rPr>
        <w:t>, au moins sur les unités d</w:t>
      </w:r>
      <w:r>
        <w:rPr>
          <w:lang w:eastAsia="fr-FR"/>
        </w:rPr>
        <w:t>’</w:t>
      </w:r>
      <w:r w:rsidRPr="005B0501">
        <w:rPr>
          <w:lang w:eastAsia="fr-FR"/>
        </w:rPr>
        <w:t>éclairage énumérées au point</w:t>
      </w:r>
      <w:r>
        <w:rPr>
          <w:lang w:eastAsia="fr-FR"/>
        </w:rPr>
        <w:t xml:space="preserve"> </w:t>
      </w:r>
      <w:r w:rsidRPr="005B0501">
        <w:rPr>
          <w:lang w:eastAsia="fr-FR"/>
        </w:rPr>
        <w:t xml:space="preserve">9.2.3 </w:t>
      </w:r>
      <w:bookmarkStart w:id="2" w:name="_Hlk112772105"/>
      <w:r w:rsidRPr="005B0501">
        <w:rPr>
          <w:lang w:eastAsia="fr-FR"/>
        </w:rPr>
        <w:t>de la fiche de communication conforme au modèle de l</w:t>
      </w:r>
      <w:r>
        <w:rPr>
          <w:lang w:eastAsia="fr-FR"/>
        </w:rPr>
        <w:t>’</w:t>
      </w:r>
      <w:r w:rsidRPr="005B0501">
        <w:rPr>
          <w:lang w:eastAsia="fr-FR"/>
        </w:rPr>
        <w:t>annexe</w:t>
      </w:r>
      <w:r w:rsidR="00A279CF">
        <w:rPr>
          <w:lang w:eastAsia="fr-FR"/>
        </w:rPr>
        <w:t> </w:t>
      </w:r>
      <w:r w:rsidRPr="005B0501">
        <w:rPr>
          <w:lang w:eastAsia="fr-FR"/>
        </w:rPr>
        <w:t xml:space="preserve">1 du Règlement ONU </w:t>
      </w:r>
      <w:r w:rsidRPr="005B0501">
        <w:rPr>
          <w:rFonts w:eastAsia="MS Mincho"/>
        </w:rPr>
        <w:t>n</w:t>
      </w:r>
      <w:r w:rsidRPr="005B0501">
        <w:rPr>
          <w:rFonts w:eastAsia="MS Mincho"/>
          <w:vertAlign w:val="superscript"/>
        </w:rPr>
        <w:t>o</w:t>
      </w:r>
      <w:r w:rsidRPr="005B0501">
        <w:rPr>
          <w:rFonts w:eastAsia="MS Mincho"/>
        </w:rPr>
        <w:t> </w:t>
      </w:r>
      <w:r w:rsidRPr="005B0501">
        <w:rPr>
          <w:lang w:eastAsia="fr-FR"/>
        </w:rPr>
        <w:t xml:space="preserve">123 </w:t>
      </w:r>
      <w:bookmarkEnd w:id="2"/>
      <w:r w:rsidRPr="005B0501">
        <w:rPr>
          <w:lang w:eastAsia="fr-FR"/>
        </w:rPr>
        <w:t>ou au point</w:t>
      </w:r>
      <w:r w:rsidRPr="0024530A">
        <w:rPr>
          <w:lang w:eastAsia="fr-FR"/>
        </w:rPr>
        <w:t xml:space="preserve"> </w:t>
      </w:r>
      <w:r w:rsidRPr="00D71C2C">
        <w:rPr>
          <w:bCs/>
          <w:iCs/>
          <w:kern w:val="2"/>
          <w:lang w:eastAsia="ja-JP"/>
        </w:rPr>
        <w:t xml:space="preserve">9.3.2.3 de la fiche de communication conforme au modèle </w:t>
      </w:r>
      <w:r w:rsidRPr="00AF7D39">
        <w:rPr>
          <w:bCs/>
          <w:iCs/>
          <w:kern w:val="2"/>
          <w:lang w:eastAsia="ja-JP"/>
        </w:rPr>
        <w:t>de l</w:t>
      </w:r>
      <w:r>
        <w:rPr>
          <w:bCs/>
          <w:iCs/>
          <w:kern w:val="2"/>
          <w:lang w:eastAsia="ja-JP"/>
        </w:rPr>
        <w:t>’</w:t>
      </w:r>
      <w:r w:rsidRPr="00AF7D39">
        <w:rPr>
          <w:bCs/>
          <w:iCs/>
          <w:kern w:val="2"/>
          <w:lang w:eastAsia="ja-JP"/>
        </w:rPr>
        <w:t>annexe 1</w:t>
      </w:r>
      <w:r w:rsidRPr="00D71C2C">
        <w:rPr>
          <w:bCs/>
          <w:iCs/>
          <w:kern w:val="2"/>
          <w:lang w:eastAsia="ja-JP"/>
        </w:rPr>
        <w:t xml:space="preserve"> de</w:t>
      </w:r>
      <w:r w:rsidRPr="00AF7D39">
        <w:rPr>
          <w:bCs/>
          <w:iCs/>
          <w:kern w:val="2"/>
          <w:lang w:eastAsia="ja-JP"/>
        </w:rPr>
        <w:t xml:space="preserve"> </w:t>
      </w:r>
      <w:r w:rsidRPr="00D71C2C">
        <w:rPr>
          <w:bCs/>
          <w:iCs/>
          <w:kern w:val="2"/>
          <w:lang w:eastAsia="ja-JP"/>
        </w:rPr>
        <w:t>la série 00 d</w:t>
      </w:r>
      <w:r>
        <w:rPr>
          <w:bCs/>
          <w:iCs/>
          <w:kern w:val="2"/>
          <w:lang w:eastAsia="ja-JP"/>
        </w:rPr>
        <w:t>’</w:t>
      </w:r>
      <w:r w:rsidRPr="00D71C2C">
        <w:rPr>
          <w:bCs/>
          <w:iCs/>
          <w:kern w:val="2"/>
          <w:lang w:eastAsia="ja-JP"/>
        </w:rPr>
        <w:t>amendements au</w:t>
      </w:r>
      <w:r w:rsidRPr="00AF7D39">
        <w:rPr>
          <w:bCs/>
          <w:iCs/>
          <w:kern w:val="2"/>
          <w:lang w:eastAsia="ja-JP"/>
        </w:rPr>
        <w:t xml:space="preserve"> Règlement ONU </w:t>
      </w:r>
      <w:r w:rsidRPr="00D71C2C">
        <w:rPr>
          <w:rFonts w:eastAsia="MS Mincho"/>
          <w:bCs/>
        </w:rPr>
        <w:t>n</w:t>
      </w:r>
      <w:r w:rsidRPr="00D71C2C">
        <w:rPr>
          <w:rFonts w:eastAsia="MS Mincho"/>
          <w:bCs/>
          <w:vertAlign w:val="superscript"/>
        </w:rPr>
        <w:t>o</w:t>
      </w:r>
      <w:r w:rsidRPr="00D71C2C">
        <w:rPr>
          <w:rFonts w:eastAsia="MS Mincho"/>
          <w:bCs/>
        </w:rPr>
        <w:t> </w:t>
      </w:r>
      <w:r w:rsidRPr="00AF7D39">
        <w:rPr>
          <w:bCs/>
          <w:iCs/>
          <w:kern w:val="2"/>
          <w:lang w:eastAsia="ja-JP"/>
        </w:rPr>
        <w:t>149</w:t>
      </w:r>
      <w:r w:rsidRPr="00D71C2C">
        <w:rPr>
          <w:bCs/>
        </w:rPr>
        <w:t xml:space="preserve">, </w:t>
      </w:r>
      <w:r w:rsidRPr="00D71C2C">
        <w:rPr>
          <w:bCs/>
          <w:iCs/>
          <w:kern w:val="2"/>
          <w:lang w:eastAsia="ja-JP"/>
        </w:rPr>
        <w:t>ou au point 9.2.2.3 de la fiche de communication conforme au modèle de l</w:t>
      </w:r>
      <w:r>
        <w:rPr>
          <w:bCs/>
          <w:iCs/>
          <w:kern w:val="2"/>
          <w:lang w:eastAsia="ja-JP"/>
        </w:rPr>
        <w:t>’</w:t>
      </w:r>
      <w:r w:rsidRPr="00D71C2C">
        <w:rPr>
          <w:bCs/>
          <w:iCs/>
          <w:kern w:val="2"/>
          <w:lang w:eastAsia="ja-JP"/>
        </w:rPr>
        <w:t>annexe 1 de la série 01 d</w:t>
      </w:r>
      <w:r>
        <w:rPr>
          <w:bCs/>
          <w:iCs/>
          <w:kern w:val="2"/>
          <w:lang w:eastAsia="ja-JP"/>
        </w:rPr>
        <w:t>’</w:t>
      </w:r>
      <w:r w:rsidRPr="00D71C2C">
        <w:rPr>
          <w:bCs/>
          <w:iCs/>
          <w:kern w:val="2"/>
          <w:lang w:eastAsia="ja-JP"/>
        </w:rPr>
        <w:t xml:space="preserve">amendements au Règlement ONU </w:t>
      </w:r>
      <w:r w:rsidRPr="00D71C2C">
        <w:rPr>
          <w:rFonts w:eastAsia="MS Mincho"/>
          <w:bCs/>
        </w:rPr>
        <w:t>n</w:t>
      </w:r>
      <w:r w:rsidRPr="00D71C2C">
        <w:rPr>
          <w:rFonts w:eastAsia="MS Mincho"/>
          <w:bCs/>
          <w:vertAlign w:val="superscript"/>
        </w:rPr>
        <w:t>o</w:t>
      </w:r>
      <w:r w:rsidRPr="00D71C2C">
        <w:rPr>
          <w:rFonts w:eastAsia="MS Mincho"/>
          <w:bCs/>
        </w:rPr>
        <w:t> </w:t>
      </w:r>
      <w:r w:rsidRPr="00D71C2C">
        <w:rPr>
          <w:bCs/>
          <w:iCs/>
          <w:kern w:val="2"/>
          <w:lang w:eastAsia="ja-JP"/>
        </w:rPr>
        <w:t>149</w:t>
      </w:r>
      <w:r w:rsidRPr="005B0501">
        <w:rPr>
          <w:lang w:eastAsia="fr-FR"/>
        </w:rPr>
        <w:t>, si le flux lumineux normal total des sources lumineuses de ces unités d</w:t>
      </w:r>
      <w:r>
        <w:rPr>
          <w:lang w:eastAsia="fr-FR"/>
        </w:rPr>
        <w:t>’</w:t>
      </w:r>
      <w:r w:rsidRPr="005B0501">
        <w:rPr>
          <w:lang w:eastAsia="fr-FR"/>
        </w:rPr>
        <w:t>éclairage dépasse 2</w:t>
      </w:r>
      <w:r w:rsidR="00A279CF">
        <w:rPr>
          <w:lang w:eastAsia="fr-FR"/>
        </w:rPr>
        <w:t> </w:t>
      </w:r>
      <w:r w:rsidRPr="005B0501">
        <w:rPr>
          <w:lang w:eastAsia="fr-FR"/>
        </w:rPr>
        <w:t>000</w:t>
      </w:r>
      <w:r w:rsidR="00A279CF">
        <w:rPr>
          <w:lang w:eastAsia="fr-FR"/>
        </w:rPr>
        <w:t> </w:t>
      </w:r>
      <w:r w:rsidRPr="005B0501">
        <w:rPr>
          <w:lang w:eastAsia="fr-FR"/>
        </w:rPr>
        <w:t>lm par côté, et si ces unités contribuent au faisceau de croisement (élémentaire) classe</w:t>
      </w:r>
      <w:r>
        <w:rPr>
          <w:lang w:eastAsia="fr-FR"/>
        </w:rPr>
        <w:t xml:space="preserve"> </w:t>
      </w:r>
      <w:r w:rsidRPr="005B0501">
        <w:rPr>
          <w:lang w:eastAsia="fr-FR"/>
        </w:rPr>
        <w:t>C.</w:t>
      </w:r>
      <w:r>
        <w:t> </w:t>
      </w:r>
      <w:r w:rsidRPr="005B0501">
        <w:t>»</w:t>
      </w:r>
      <w:r>
        <w:t>.</w:t>
      </w:r>
    </w:p>
    <w:p w14:paraId="64C3BDC2" w14:textId="77777777" w:rsidR="00E82533" w:rsidRDefault="00E82533" w:rsidP="00E82533">
      <w:pPr>
        <w:pStyle w:val="SingleTxtG"/>
        <w:ind w:left="2268" w:hanging="1134"/>
        <w:rPr>
          <w:lang w:val="fr-FR"/>
        </w:rPr>
      </w:pPr>
      <w:r>
        <w:rPr>
          <w:i/>
        </w:rPr>
        <w:t xml:space="preserve">Paragraphe </w:t>
      </w:r>
      <w:r>
        <w:rPr>
          <w:rFonts w:hint="eastAsia"/>
          <w:i/>
        </w:rPr>
        <w:t>6.24.9.2</w:t>
      </w:r>
      <w:r w:rsidRPr="00A279CF">
        <w:rPr>
          <w:iCs/>
        </w:rPr>
        <w:t xml:space="preserve">, </w:t>
      </w:r>
      <w:r>
        <w:rPr>
          <w:lang w:val="fr-FR"/>
        </w:rPr>
        <w:t xml:space="preserve">modification </w:t>
      </w:r>
      <w:r w:rsidRPr="00D40E57">
        <w:rPr>
          <w:lang w:val="fr-FR"/>
        </w:rPr>
        <w:t>sans objet en français.</w:t>
      </w:r>
    </w:p>
    <w:p w14:paraId="44539EFB" w14:textId="77777777" w:rsidR="00E82533" w:rsidRPr="00D40E57" w:rsidRDefault="00E82533" w:rsidP="00E82533">
      <w:pPr>
        <w:pStyle w:val="SingleTxtG"/>
        <w:ind w:left="2268" w:hanging="1134"/>
      </w:pPr>
      <w:r w:rsidRPr="005B0501">
        <w:rPr>
          <w:i/>
          <w:iCs/>
        </w:rPr>
        <w:t>Paragraphe 12.2</w:t>
      </w:r>
      <w:r w:rsidRPr="00A279CF">
        <w:t xml:space="preserve">, </w:t>
      </w:r>
      <w:r w:rsidRPr="00D71C2C">
        <w:t>la note de bas de page 19 devient la note de bas de page 17.</w:t>
      </w:r>
    </w:p>
    <w:p w14:paraId="5706E56A" w14:textId="77777777" w:rsidR="00E82533" w:rsidRDefault="00E82533" w:rsidP="00E82533">
      <w:pPr>
        <w:pStyle w:val="SingleTxtG"/>
        <w:rPr>
          <w:i/>
          <w:iCs/>
          <w:lang w:val="fr-FR"/>
        </w:rPr>
      </w:pPr>
      <w:r w:rsidRPr="00D40E57">
        <w:rPr>
          <w:i/>
          <w:iCs/>
          <w:lang w:val="fr-FR"/>
        </w:rPr>
        <w:t>Annexe 1</w:t>
      </w:r>
      <w:r w:rsidRPr="00A279CF">
        <w:rPr>
          <w:lang w:val="fr-FR"/>
        </w:rPr>
        <w:t>,</w:t>
      </w:r>
    </w:p>
    <w:p w14:paraId="3E9BF25E" w14:textId="77777777" w:rsidR="00E82533" w:rsidRPr="00D40E57" w:rsidRDefault="00E82533" w:rsidP="00E82533">
      <w:pPr>
        <w:pStyle w:val="SingleTxtG"/>
      </w:pPr>
      <w:r>
        <w:rPr>
          <w:i/>
          <w:iCs/>
          <w:lang w:val="fr-FR"/>
        </w:rPr>
        <w:t>P</w:t>
      </w:r>
      <w:r w:rsidRPr="00D40E57">
        <w:rPr>
          <w:i/>
          <w:iCs/>
          <w:lang w:val="fr-FR"/>
        </w:rPr>
        <w:t>oint 9.2</w:t>
      </w:r>
      <w:r w:rsidRPr="00D40E57">
        <w:rPr>
          <w:lang w:val="fr-FR"/>
        </w:rPr>
        <w:t>, lire</w:t>
      </w:r>
      <w:r>
        <w:rPr>
          <w:lang w:val="fr-FR"/>
        </w:rPr>
        <w:t> </w:t>
      </w:r>
      <w:r w:rsidRPr="00D40E57">
        <w:rPr>
          <w:lang w:val="fr-FR"/>
        </w:rPr>
        <w:t>:</w:t>
      </w:r>
    </w:p>
    <w:p w14:paraId="7FADD856" w14:textId="77777777" w:rsidR="00E82533" w:rsidRPr="00D40E57" w:rsidRDefault="00E82533" w:rsidP="00E82533">
      <w:pPr>
        <w:pStyle w:val="SingleTxtG"/>
        <w:tabs>
          <w:tab w:val="right" w:leader="dot" w:pos="8505"/>
        </w:tabs>
        <w:ind w:left="2268" w:hanging="1134"/>
      </w:pPr>
      <w:r w:rsidRPr="00D40E57">
        <w:rPr>
          <w:lang w:val="fr-FR"/>
        </w:rPr>
        <w:t>« 9.2</w:t>
      </w:r>
      <w:r w:rsidRPr="00D40E57">
        <w:rPr>
          <w:lang w:val="fr-FR"/>
        </w:rPr>
        <w:tab/>
      </w:r>
      <w:r w:rsidRPr="0016718E">
        <w:rPr>
          <w:lang w:val="fr-FR"/>
        </w:rPr>
        <w:t>Feux</w:t>
      </w:r>
      <w:r w:rsidRPr="00D40E57">
        <w:rPr>
          <w:lang w:val="fr-FR"/>
        </w:rPr>
        <w:t xml:space="preserve"> de croisement</w:t>
      </w:r>
      <w:r>
        <w:rPr>
          <w:lang w:val="fr-FR"/>
        </w:rPr>
        <w:t xml:space="preserve"> : </w:t>
      </w:r>
      <w:r w:rsidRPr="00D40E57">
        <w:rPr>
          <w:lang w:val="fr-FR"/>
        </w:rPr>
        <w:t>Oui/Non</w:t>
      </w:r>
      <w:r w:rsidRPr="00A279CF">
        <w:rPr>
          <w:sz w:val="18"/>
          <w:szCs w:val="18"/>
          <w:vertAlign w:val="superscript"/>
          <w:lang w:val="fr-FR"/>
        </w:rPr>
        <w:t>2</w:t>
      </w:r>
      <w:r w:rsidRPr="0089708C">
        <w:rPr>
          <w:lang w:val="fr-FR"/>
        </w:rPr>
        <w:tab/>
      </w:r>
      <w:r>
        <w:rPr>
          <w:lang w:val="fr-FR"/>
        </w:rPr>
        <w:tab/>
      </w:r>
    </w:p>
    <w:p w14:paraId="4B51536D" w14:textId="77777777" w:rsidR="00E82533" w:rsidRPr="00D40E57" w:rsidRDefault="00E82533" w:rsidP="00E82533">
      <w:pPr>
        <w:pStyle w:val="SingleTxtG"/>
        <w:tabs>
          <w:tab w:val="right" w:leader="dot" w:pos="8505"/>
        </w:tabs>
        <w:ind w:left="2268" w:hanging="1134"/>
        <w:jc w:val="left"/>
      </w:pPr>
      <w:r w:rsidRPr="00D71C2C">
        <w:rPr>
          <w:lang w:val="fr-FR"/>
        </w:rPr>
        <w:t>9.2.1</w:t>
      </w:r>
      <w:r w:rsidRPr="00D71C2C">
        <w:rPr>
          <w:lang w:val="fr-FR"/>
        </w:rPr>
        <w:tab/>
      </w:r>
      <w:bookmarkStart w:id="3" w:name="_Hlk112400686"/>
      <w:r w:rsidRPr="00D71C2C">
        <w:t>Témoin</w:t>
      </w:r>
      <w:r w:rsidRPr="00D71C2C">
        <w:rPr>
          <w:lang w:val="fr-FR"/>
        </w:rPr>
        <w:t xml:space="preserve"> de défaut de fonctionnement tel que prescrit par le Règlement applicable au dispositif et/ou témoin de défaut de fonctionnement de la fonction d</w:t>
      </w:r>
      <w:r>
        <w:rPr>
          <w:lang w:val="fr-FR"/>
        </w:rPr>
        <w:t>’</w:t>
      </w:r>
      <w:r w:rsidRPr="00D71C2C">
        <w:rPr>
          <w:lang w:val="fr-FR"/>
        </w:rPr>
        <w:t>éclairage de virage tel que prescrit au paragraphe 6.2.8.1, installé </w:t>
      </w:r>
      <w:bookmarkEnd w:id="3"/>
      <w:r w:rsidRPr="00D71C2C">
        <w:rPr>
          <w:lang w:val="fr-FR"/>
        </w:rPr>
        <w:t>: Oui/Non</w:t>
      </w:r>
      <w:r w:rsidRPr="00A279CF">
        <w:rPr>
          <w:sz w:val="18"/>
          <w:szCs w:val="18"/>
          <w:vertAlign w:val="superscript"/>
          <w:lang w:val="fr-FR"/>
        </w:rPr>
        <w:t>2</w:t>
      </w:r>
      <w:r>
        <w:rPr>
          <w:lang w:val="fr-FR"/>
        </w:rPr>
        <w:tab/>
        <w:t> </w:t>
      </w:r>
      <w:r w:rsidRPr="00D40E57">
        <w:rPr>
          <w:lang w:val="fr-FR"/>
        </w:rPr>
        <w:t>».</w:t>
      </w:r>
    </w:p>
    <w:p w14:paraId="09FA63ED" w14:textId="77777777" w:rsidR="00E82533" w:rsidRPr="00D40E57" w:rsidRDefault="00E82533" w:rsidP="00E82533">
      <w:pPr>
        <w:pStyle w:val="SingleTxtG"/>
      </w:pPr>
      <w:r>
        <w:rPr>
          <w:i/>
          <w:iCs/>
          <w:lang w:val="fr-FR"/>
        </w:rPr>
        <w:t>P</w:t>
      </w:r>
      <w:r w:rsidRPr="00D40E57">
        <w:rPr>
          <w:i/>
          <w:iCs/>
          <w:lang w:val="fr-FR"/>
        </w:rPr>
        <w:t>oint 9.4</w:t>
      </w:r>
      <w:r w:rsidRPr="00D40E57">
        <w:rPr>
          <w:lang w:val="fr-FR"/>
        </w:rPr>
        <w:t>, lire</w:t>
      </w:r>
      <w:r>
        <w:rPr>
          <w:lang w:val="fr-FR"/>
        </w:rPr>
        <w:t> </w:t>
      </w:r>
      <w:r w:rsidRPr="00D40E57">
        <w:rPr>
          <w:lang w:val="fr-FR"/>
        </w:rPr>
        <w:t>:</w:t>
      </w:r>
    </w:p>
    <w:p w14:paraId="65D84114" w14:textId="77777777" w:rsidR="00E82533" w:rsidRPr="00D40E57" w:rsidRDefault="00E82533" w:rsidP="00E82533">
      <w:pPr>
        <w:pStyle w:val="SingleTxtG"/>
        <w:tabs>
          <w:tab w:val="right" w:leader="dot" w:pos="8505"/>
        </w:tabs>
        <w:ind w:left="2268" w:hanging="1134"/>
      </w:pPr>
      <w:r w:rsidRPr="00D40E57">
        <w:rPr>
          <w:lang w:val="fr-FR"/>
        </w:rPr>
        <w:t>« 9.4</w:t>
      </w:r>
      <w:r w:rsidRPr="00D40E57">
        <w:rPr>
          <w:lang w:val="fr-FR"/>
        </w:rPr>
        <w:tab/>
        <w:t>Feux de marche arrière</w:t>
      </w:r>
      <w:r>
        <w:rPr>
          <w:lang w:val="fr-FR"/>
        </w:rPr>
        <w:t> </w:t>
      </w:r>
      <w:r w:rsidRPr="00D40E57">
        <w:rPr>
          <w:lang w:val="fr-FR"/>
        </w:rPr>
        <w:t>: Oui/Non</w:t>
      </w:r>
      <w:r w:rsidRPr="00A279CF">
        <w:rPr>
          <w:sz w:val="18"/>
          <w:szCs w:val="18"/>
          <w:vertAlign w:val="superscript"/>
          <w:lang w:val="fr-FR"/>
        </w:rPr>
        <w:t>2</w:t>
      </w:r>
      <w:r>
        <w:rPr>
          <w:lang w:val="fr-FR"/>
        </w:rPr>
        <w:tab/>
      </w:r>
    </w:p>
    <w:p w14:paraId="34458F22" w14:textId="77777777" w:rsidR="00E82533" w:rsidRPr="00D40E57" w:rsidRDefault="00E82533" w:rsidP="00E82533">
      <w:pPr>
        <w:pStyle w:val="SingleTxtG"/>
        <w:tabs>
          <w:tab w:val="right" w:leader="dot" w:pos="8505"/>
        </w:tabs>
        <w:ind w:left="2268" w:hanging="1134"/>
        <w:jc w:val="left"/>
      </w:pPr>
      <w:r w:rsidRPr="00D71C2C">
        <w:rPr>
          <w:lang w:val="fr-FR"/>
        </w:rPr>
        <w:t>9.4.1</w:t>
      </w:r>
      <w:r w:rsidRPr="00D71C2C">
        <w:rPr>
          <w:lang w:val="fr-FR"/>
        </w:rPr>
        <w:tab/>
        <w:t>Témoin de défaut de fonctionnement tel que prescrit par le Règlement applicable au dispositif, installé</w:t>
      </w:r>
      <w:r w:rsidRPr="001B4077">
        <w:rPr>
          <w:lang w:val="fr-FR"/>
        </w:rPr>
        <w:t> :</w:t>
      </w:r>
      <w:r w:rsidRPr="001B4077">
        <w:t xml:space="preserve"> </w:t>
      </w:r>
      <w:r w:rsidRPr="001B4077">
        <w:br/>
      </w:r>
      <w:r w:rsidRPr="00D71C2C">
        <w:rPr>
          <w:lang w:val="fr-FR"/>
        </w:rPr>
        <w:t>Oui/Non</w:t>
      </w:r>
      <w:r w:rsidRPr="00A279CF">
        <w:rPr>
          <w:sz w:val="18"/>
          <w:szCs w:val="18"/>
          <w:vertAlign w:val="superscript"/>
          <w:lang w:val="fr-FR"/>
        </w:rPr>
        <w:t>2</w:t>
      </w:r>
      <w:r w:rsidRPr="00D71C2C">
        <w:rPr>
          <w:lang w:val="fr-FR"/>
        </w:rPr>
        <w:tab/>
      </w:r>
      <w:r w:rsidRPr="00D40E57">
        <w:rPr>
          <w:lang w:val="fr-FR"/>
        </w:rPr>
        <w:t> ».</w:t>
      </w:r>
    </w:p>
    <w:p w14:paraId="6B90D049" w14:textId="77777777" w:rsidR="00E82533" w:rsidRPr="00D40E57" w:rsidRDefault="00E82533" w:rsidP="00E82533">
      <w:pPr>
        <w:pStyle w:val="SingleTxtG"/>
      </w:pPr>
      <w:r>
        <w:rPr>
          <w:i/>
          <w:iCs/>
          <w:lang w:val="fr-FR"/>
        </w:rPr>
        <w:t>P</w:t>
      </w:r>
      <w:r w:rsidRPr="00D40E57">
        <w:rPr>
          <w:i/>
          <w:iCs/>
          <w:lang w:val="fr-FR"/>
        </w:rPr>
        <w:t>oint 9.13</w:t>
      </w:r>
      <w:r w:rsidRPr="00D40E57">
        <w:rPr>
          <w:lang w:val="fr-FR"/>
        </w:rPr>
        <w:t>, lire</w:t>
      </w:r>
      <w:r>
        <w:rPr>
          <w:lang w:val="fr-FR"/>
        </w:rPr>
        <w:t> </w:t>
      </w:r>
      <w:r w:rsidRPr="00D40E57">
        <w:rPr>
          <w:lang w:val="fr-FR"/>
        </w:rPr>
        <w:t>:</w:t>
      </w:r>
    </w:p>
    <w:p w14:paraId="2D935E8E" w14:textId="77777777" w:rsidR="00E82533" w:rsidRPr="00D40E57" w:rsidRDefault="00E82533" w:rsidP="00E82533">
      <w:pPr>
        <w:pStyle w:val="SingleTxtG"/>
        <w:tabs>
          <w:tab w:val="right" w:leader="dot" w:pos="8505"/>
        </w:tabs>
        <w:ind w:left="2268" w:hanging="1134"/>
      </w:pPr>
      <w:r w:rsidRPr="00D40E57">
        <w:rPr>
          <w:lang w:val="fr-FR"/>
        </w:rPr>
        <w:t>« 9.13</w:t>
      </w:r>
      <w:r w:rsidRPr="00D40E57">
        <w:rPr>
          <w:lang w:val="fr-FR"/>
        </w:rPr>
        <w:tab/>
        <w:t>Feux de brouillard arrière</w:t>
      </w:r>
      <w:r>
        <w:rPr>
          <w:lang w:val="fr-FR"/>
        </w:rPr>
        <w:t> </w:t>
      </w:r>
      <w:r w:rsidRPr="00D40E57">
        <w:rPr>
          <w:lang w:val="fr-FR"/>
        </w:rPr>
        <w:t xml:space="preserve">: </w:t>
      </w:r>
      <w:r>
        <w:rPr>
          <w:lang w:val="fr-FR"/>
        </w:rPr>
        <w:t>O</w:t>
      </w:r>
      <w:r w:rsidRPr="00D40E57">
        <w:rPr>
          <w:lang w:val="fr-FR"/>
        </w:rPr>
        <w:t>ui/</w:t>
      </w:r>
      <w:r>
        <w:rPr>
          <w:lang w:val="fr-FR"/>
        </w:rPr>
        <w:t>N</w:t>
      </w:r>
      <w:r w:rsidRPr="00D40E57">
        <w:rPr>
          <w:lang w:val="fr-FR"/>
        </w:rPr>
        <w:t>on</w:t>
      </w:r>
      <w:r w:rsidRPr="00A279CF">
        <w:rPr>
          <w:sz w:val="18"/>
          <w:szCs w:val="18"/>
          <w:vertAlign w:val="superscript"/>
          <w:lang w:val="fr-FR"/>
        </w:rPr>
        <w:t>2</w:t>
      </w:r>
      <w:r w:rsidRPr="0089708C">
        <w:rPr>
          <w:lang w:val="fr-FR"/>
        </w:rPr>
        <w:tab/>
      </w:r>
    </w:p>
    <w:p w14:paraId="099F45EE" w14:textId="77777777" w:rsidR="00E82533" w:rsidRPr="00D40E57" w:rsidRDefault="00E82533" w:rsidP="00E82533">
      <w:pPr>
        <w:pStyle w:val="SingleTxtG"/>
        <w:tabs>
          <w:tab w:val="right" w:leader="dot" w:pos="8505"/>
        </w:tabs>
        <w:ind w:left="2268" w:hanging="1134"/>
      </w:pPr>
      <w:r w:rsidRPr="00D71C2C">
        <w:rPr>
          <w:lang w:val="fr-FR"/>
        </w:rPr>
        <w:t>9.13.1</w:t>
      </w:r>
      <w:r w:rsidRPr="00D71C2C">
        <w:rPr>
          <w:lang w:val="fr-FR"/>
        </w:rPr>
        <w:tab/>
        <w:t>Témoin de défaut de fonctionnement tel que prescrit par le Règlement applicable au dispositif, installé : Oui/Non</w:t>
      </w:r>
      <w:r w:rsidRPr="00A279CF">
        <w:rPr>
          <w:sz w:val="18"/>
          <w:szCs w:val="18"/>
          <w:vertAlign w:val="superscript"/>
          <w:lang w:val="fr-FR"/>
        </w:rPr>
        <w:t>2</w:t>
      </w:r>
      <w:r w:rsidRPr="00D71C2C">
        <w:rPr>
          <w:lang w:val="fr-FR"/>
        </w:rPr>
        <w:tab/>
      </w:r>
      <w:r w:rsidRPr="00D40E57">
        <w:rPr>
          <w:lang w:val="fr-FR"/>
        </w:rPr>
        <w:t> ».</w:t>
      </w:r>
    </w:p>
    <w:p w14:paraId="3E4A74DB" w14:textId="77777777" w:rsidR="00E82533" w:rsidRPr="00D40E57" w:rsidRDefault="00E82533" w:rsidP="00E82533">
      <w:pPr>
        <w:pStyle w:val="SingleTxtG"/>
      </w:pPr>
      <w:r>
        <w:rPr>
          <w:i/>
          <w:iCs/>
          <w:lang w:val="fr-FR"/>
        </w:rPr>
        <w:t>P</w:t>
      </w:r>
      <w:r w:rsidRPr="00D40E57">
        <w:rPr>
          <w:i/>
          <w:iCs/>
          <w:lang w:val="fr-FR"/>
        </w:rPr>
        <w:t>oint 9.14</w:t>
      </w:r>
      <w:r w:rsidRPr="00D40E57">
        <w:rPr>
          <w:lang w:val="fr-FR"/>
        </w:rPr>
        <w:t>, lire</w:t>
      </w:r>
      <w:r>
        <w:rPr>
          <w:lang w:val="fr-FR"/>
        </w:rPr>
        <w:t> </w:t>
      </w:r>
      <w:r w:rsidRPr="00D40E57">
        <w:rPr>
          <w:lang w:val="fr-FR"/>
        </w:rPr>
        <w:t>:</w:t>
      </w:r>
    </w:p>
    <w:p w14:paraId="4971D4A4" w14:textId="77777777" w:rsidR="00E82533" w:rsidRPr="00D40E57" w:rsidRDefault="00E82533" w:rsidP="00E82533">
      <w:pPr>
        <w:pStyle w:val="SingleTxtG"/>
        <w:tabs>
          <w:tab w:val="right" w:leader="dot" w:pos="8505"/>
        </w:tabs>
        <w:ind w:left="2268" w:hanging="1134"/>
      </w:pPr>
      <w:r w:rsidRPr="00D40E57">
        <w:rPr>
          <w:lang w:val="fr-FR"/>
        </w:rPr>
        <w:t>« 9.14</w:t>
      </w:r>
      <w:r w:rsidRPr="00D40E57">
        <w:rPr>
          <w:lang w:val="fr-FR"/>
        </w:rPr>
        <w:tab/>
        <w:t>Feux de stationnement</w:t>
      </w:r>
      <w:r>
        <w:rPr>
          <w:lang w:val="fr-FR"/>
        </w:rPr>
        <w:t> </w:t>
      </w:r>
      <w:r w:rsidRPr="00D40E57">
        <w:rPr>
          <w:lang w:val="fr-FR"/>
        </w:rPr>
        <w:t>: Oui/Non</w:t>
      </w:r>
      <w:r w:rsidRPr="00A279CF">
        <w:rPr>
          <w:sz w:val="18"/>
          <w:szCs w:val="18"/>
          <w:vertAlign w:val="superscript"/>
          <w:lang w:val="fr-FR"/>
        </w:rPr>
        <w:t>2</w:t>
      </w:r>
      <w:r>
        <w:rPr>
          <w:lang w:val="fr-FR"/>
        </w:rPr>
        <w:tab/>
      </w:r>
    </w:p>
    <w:p w14:paraId="2EF784AD" w14:textId="77777777" w:rsidR="00E82533" w:rsidRPr="00D40E57" w:rsidRDefault="00E82533" w:rsidP="00E82533">
      <w:pPr>
        <w:pStyle w:val="SingleTxtG"/>
        <w:tabs>
          <w:tab w:val="right" w:leader="dot" w:pos="8505"/>
        </w:tabs>
        <w:ind w:left="2268" w:hanging="1134"/>
      </w:pPr>
      <w:r w:rsidRPr="00D71C2C">
        <w:rPr>
          <w:lang w:val="fr-FR"/>
        </w:rPr>
        <w:t>9.14.1</w:t>
      </w:r>
      <w:r w:rsidRPr="00D71C2C">
        <w:rPr>
          <w:lang w:val="fr-FR"/>
        </w:rPr>
        <w:tab/>
        <w:t>Témoin de défaut de fonctionnement tel que prescrit par le Règlement applicable au dispositif, installé : Oui/Non</w:t>
      </w:r>
      <w:r w:rsidRPr="00A279CF">
        <w:rPr>
          <w:sz w:val="18"/>
          <w:szCs w:val="18"/>
          <w:vertAlign w:val="superscript"/>
          <w:lang w:val="fr-FR"/>
        </w:rPr>
        <w:t>2</w:t>
      </w:r>
      <w:r w:rsidRPr="00D71C2C">
        <w:rPr>
          <w:lang w:val="fr-FR"/>
        </w:rPr>
        <w:tab/>
      </w:r>
      <w:r w:rsidRPr="00D40E57">
        <w:rPr>
          <w:lang w:val="fr-FR"/>
        </w:rPr>
        <w:t> ».</w:t>
      </w:r>
    </w:p>
    <w:p w14:paraId="68A9A64E" w14:textId="77777777" w:rsidR="00E82533" w:rsidRPr="00D40E57" w:rsidRDefault="00E82533" w:rsidP="00E82533">
      <w:pPr>
        <w:pStyle w:val="SingleTxtG"/>
      </w:pPr>
      <w:r>
        <w:rPr>
          <w:i/>
          <w:iCs/>
          <w:lang w:val="fr-FR"/>
        </w:rPr>
        <w:t>P</w:t>
      </w:r>
      <w:r w:rsidRPr="00D40E57">
        <w:rPr>
          <w:i/>
          <w:iCs/>
          <w:lang w:val="fr-FR"/>
        </w:rPr>
        <w:t>oint 9.20</w:t>
      </w:r>
      <w:r w:rsidRPr="00D40E57">
        <w:rPr>
          <w:lang w:val="fr-FR"/>
        </w:rPr>
        <w:t>, lire</w:t>
      </w:r>
      <w:r>
        <w:rPr>
          <w:lang w:val="fr-FR"/>
        </w:rPr>
        <w:t> </w:t>
      </w:r>
      <w:r w:rsidRPr="00D40E57">
        <w:rPr>
          <w:lang w:val="fr-FR"/>
        </w:rPr>
        <w:t>:</w:t>
      </w:r>
    </w:p>
    <w:p w14:paraId="4F5DE6C9" w14:textId="77777777" w:rsidR="00E82533" w:rsidRPr="00D40E57" w:rsidRDefault="00E82533" w:rsidP="00E82533">
      <w:pPr>
        <w:pStyle w:val="SingleTxtG"/>
        <w:tabs>
          <w:tab w:val="right" w:leader="dot" w:pos="8505"/>
        </w:tabs>
        <w:ind w:left="2268" w:hanging="1134"/>
      </w:pPr>
      <w:r w:rsidRPr="00D40E57">
        <w:rPr>
          <w:lang w:val="fr-FR"/>
        </w:rPr>
        <w:t>« 9.20</w:t>
      </w:r>
      <w:r w:rsidRPr="00D40E57">
        <w:rPr>
          <w:lang w:val="fr-FR"/>
        </w:rPr>
        <w:tab/>
        <w:t>Feux de position latéraux</w:t>
      </w:r>
      <w:r>
        <w:rPr>
          <w:lang w:val="fr-FR"/>
        </w:rPr>
        <w:t> </w:t>
      </w:r>
      <w:r w:rsidRPr="00D40E57">
        <w:rPr>
          <w:lang w:val="fr-FR"/>
        </w:rPr>
        <w:t xml:space="preserve">: </w:t>
      </w:r>
      <w:r>
        <w:rPr>
          <w:lang w:val="fr-FR"/>
        </w:rPr>
        <w:t>O</w:t>
      </w:r>
      <w:r w:rsidRPr="00D40E57">
        <w:rPr>
          <w:lang w:val="fr-FR"/>
        </w:rPr>
        <w:t>ui/</w:t>
      </w:r>
      <w:r>
        <w:rPr>
          <w:lang w:val="fr-FR"/>
        </w:rPr>
        <w:t>N</w:t>
      </w:r>
      <w:r w:rsidRPr="00D40E57">
        <w:rPr>
          <w:lang w:val="fr-FR"/>
        </w:rPr>
        <w:t>on</w:t>
      </w:r>
      <w:r w:rsidRPr="00A279CF">
        <w:rPr>
          <w:sz w:val="18"/>
          <w:szCs w:val="18"/>
          <w:vertAlign w:val="superscript"/>
          <w:lang w:val="fr-FR"/>
        </w:rPr>
        <w:t>2</w:t>
      </w:r>
      <w:r>
        <w:rPr>
          <w:lang w:val="fr-FR"/>
        </w:rPr>
        <w:tab/>
      </w:r>
    </w:p>
    <w:p w14:paraId="606B8ECD" w14:textId="77777777" w:rsidR="00E82533" w:rsidRPr="00D40E57" w:rsidRDefault="00E82533" w:rsidP="00E82533">
      <w:pPr>
        <w:pStyle w:val="SingleTxtG"/>
        <w:tabs>
          <w:tab w:val="right" w:leader="dot" w:pos="8505"/>
        </w:tabs>
        <w:ind w:left="2268" w:hanging="1134"/>
      </w:pPr>
      <w:bookmarkStart w:id="4" w:name="_Hlk98166645"/>
      <w:r w:rsidRPr="00D71C2C">
        <w:rPr>
          <w:lang w:val="fr-FR"/>
        </w:rPr>
        <w:t>9.20.1</w:t>
      </w:r>
      <w:r w:rsidRPr="00D71C2C">
        <w:rPr>
          <w:lang w:val="fr-FR"/>
        </w:rPr>
        <w:tab/>
        <w:t>Témoin de défaut de fonctionnement tel que prescrit par le Règlement applicable au dispositif, installé : Oui/Non</w:t>
      </w:r>
      <w:r w:rsidRPr="00A279CF">
        <w:rPr>
          <w:sz w:val="18"/>
          <w:szCs w:val="18"/>
          <w:vertAlign w:val="superscript"/>
          <w:lang w:val="fr-FR"/>
        </w:rPr>
        <w:t>2</w:t>
      </w:r>
      <w:r w:rsidRPr="00D71C2C">
        <w:rPr>
          <w:lang w:val="fr-FR"/>
        </w:rPr>
        <w:tab/>
      </w:r>
      <w:r w:rsidRPr="00D40E57">
        <w:rPr>
          <w:lang w:val="fr-FR"/>
        </w:rPr>
        <w:t> ».</w:t>
      </w:r>
    </w:p>
    <w:bookmarkEnd w:id="4"/>
    <w:p w14:paraId="195229E3" w14:textId="77777777" w:rsidR="00E82533" w:rsidRPr="00D40E57" w:rsidRDefault="00E82533" w:rsidP="00CC2221">
      <w:pPr>
        <w:pStyle w:val="SingleTxtG"/>
        <w:keepNext/>
      </w:pPr>
      <w:r>
        <w:rPr>
          <w:i/>
          <w:iCs/>
          <w:lang w:val="fr-FR"/>
        </w:rPr>
        <w:lastRenderedPageBreak/>
        <w:t>P</w:t>
      </w:r>
      <w:r w:rsidRPr="00D40E57">
        <w:rPr>
          <w:i/>
          <w:iCs/>
          <w:lang w:val="fr-FR"/>
        </w:rPr>
        <w:t>oint 9.23</w:t>
      </w:r>
      <w:r w:rsidRPr="00D40E57">
        <w:rPr>
          <w:lang w:val="fr-FR"/>
        </w:rPr>
        <w:t>, lire</w:t>
      </w:r>
      <w:r>
        <w:rPr>
          <w:lang w:val="fr-FR"/>
        </w:rPr>
        <w:t> </w:t>
      </w:r>
      <w:r w:rsidRPr="00D40E57">
        <w:rPr>
          <w:lang w:val="fr-FR"/>
        </w:rPr>
        <w:t>:</w:t>
      </w:r>
    </w:p>
    <w:p w14:paraId="001DB406" w14:textId="77777777" w:rsidR="00E82533" w:rsidRPr="00D40E57" w:rsidRDefault="00E82533" w:rsidP="00CC2221">
      <w:pPr>
        <w:pStyle w:val="SingleTxtG"/>
        <w:keepNext/>
        <w:tabs>
          <w:tab w:val="right" w:leader="dot" w:pos="8505"/>
        </w:tabs>
        <w:ind w:left="2268" w:hanging="1134"/>
      </w:pPr>
      <w:r w:rsidRPr="00D40E57">
        <w:rPr>
          <w:lang w:val="fr-FR"/>
        </w:rPr>
        <w:t>« 9.23</w:t>
      </w:r>
      <w:r w:rsidRPr="00D40E57">
        <w:rPr>
          <w:lang w:val="fr-FR"/>
        </w:rPr>
        <w:tab/>
        <w:t>Feux d</w:t>
      </w:r>
      <w:r>
        <w:rPr>
          <w:lang w:val="fr-FR"/>
        </w:rPr>
        <w:t>’</w:t>
      </w:r>
      <w:r w:rsidRPr="00D40E57">
        <w:rPr>
          <w:lang w:val="fr-FR"/>
        </w:rPr>
        <w:t>angle</w:t>
      </w:r>
      <w:r>
        <w:rPr>
          <w:lang w:val="fr-FR"/>
        </w:rPr>
        <w:t> </w:t>
      </w:r>
      <w:r w:rsidRPr="00D40E57">
        <w:rPr>
          <w:lang w:val="fr-FR"/>
        </w:rPr>
        <w:t>: Oui/Non</w:t>
      </w:r>
      <w:r w:rsidRPr="00A279CF">
        <w:rPr>
          <w:sz w:val="18"/>
          <w:szCs w:val="18"/>
          <w:vertAlign w:val="superscript"/>
          <w:lang w:val="fr-FR"/>
        </w:rPr>
        <w:t>2</w:t>
      </w:r>
      <w:r w:rsidRPr="00DE1931">
        <w:rPr>
          <w:lang w:val="fr-FR"/>
        </w:rPr>
        <w:tab/>
      </w:r>
    </w:p>
    <w:p w14:paraId="0E8FF365" w14:textId="73D640C4" w:rsidR="00E82533" w:rsidRDefault="00E82533" w:rsidP="00E82533">
      <w:pPr>
        <w:pStyle w:val="SingleTxtG"/>
        <w:tabs>
          <w:tab w:val="right" w:leader="dot" w:pos="8505"/>
        </w:tabs>
        <w:ind w:left="2268" w:hanging="1134"/>
        <w:rPr>
          <w:lang w:val="fr-FR"/>
        </w:rPr>
      </w:pPr>
      <w:r w:rsidRPr="00D71C2C">
        <w:rPr>
          <w:lang w:val="fr-FR"/>
        </w:rPr>
        <w:t>9.23.1</w:t>
      </w:r>
      <w:r w:rsidRPr="00D71C2C">
        <w:rPr>
          <w:lang w:val="fr-FR"/>
        </w:rPr>
        <w:tab/>
        <w:t>Témoin de défaut de fonctionnement tel que prescrit par le Règlement applicable au dispositif, installé : Oui/Non</w:t>
      </w:r>
      <w:r w:rsidRPr="00A279CF">
        <w:rPr>
          <w:sz w:val="18"/>
          <w:szCs w:val="18"/>
          <w:vertAlign w:val="superscript"/>
          <w:lang w:val="fr-FR"/>
        </w:rPr>
        <w:t>2</w:t>
      </w:r>
      <w:r w:rsidRPr="00D71C2C">
        <w:rPr>
          <w:lang w:val="fr-FR"/>
        </w:rPr>
        <w:tab/>
      </w:r>
      <w:r w:rsidRPr="00D40E57">
        <w:rPr>
          <w:lang w:val="fr-FR"/>
        </w:rPr>
        <w:t> ».</w:t>
      </w:r>
    </w:p>
    <w:p w14:paraId="7D7F9237" w14:textId="54AB16BC" w:rsidR="00A279CF" w:rsidRPr="00A279CF" w:rsidRDefault="00A279CF" w:rsidP="00A279CF">
      <w:pPr>
        <w:pStyle w:val="SingleTxtG"/>
        <w:spacing w:before="240" w:after="0"/>
        <w:jc w:val="center"/>
        <w:rPr>
          <w:u w:val="single"/>
        </w:rPr>
      </w:pPr>
      <w:r>
        <w:rPr>
          <w:u w:val="single"/>
        </w:rPr>
        <w:tab/>
      </w:r>
      <w:r>
        <w:rPr>
          <w:u w:val="single"/>
        </w:rPr>
        <w:tab/>
      </w:r>
      <w:r>
        <w:rPr>
          <w:u w:val="single"/>
        </w:rPr>
        <w:tab/>
      </w:r>
      <w:r>
        <w:rPr>
          <w:u w:val="single"/>
        </w:rPr>
        <w:tab/>
      </w:r>
    </w:p>
    <w:sectPr w:rsidR="00A279CF" w:rsidRPr="00A279CF" w:rsidSect="00E8253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82EB6" w14:textId="77777777" w:rsidR="00B30097" w:rsidRDefault="00B30097" w:rsidP="00F95C08">
      <w:pPr>
        <w:spacing w:line="240" w:lineRule="auto"/>
      </w:pPr>
    </w:p>
  </w:endnote>
  <w:endnote w:type="continuationSeparator" w:id="0">
    <w:p w14:paraId="0A8FE685" w14:textId="77777777" w:rsidR="00B30097" w:rsidRPr="00AC3823" w:rsidRDefault="00B30097" w:rsidP="00AC3823">
      <w:pPr>
        <w:pStyle w:val="Pieddepage"/>
      </w:pPr>
    </w:p>
  </w:endnote>
  <w:endnote w:type="continuationNotice" w:id="1">
    <w:p w14:paraId="6F61F42A" w14:textId="77777777" w:rsidR="00B30097" w:rsidRDefault="00B300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4827" w14:textId="728E06D2" w:rsidR="00E82533" w:rsidRPr="00E82533" w:rsidRDefault="00E82533" w:rsidP="00E82533">
    <w:pPr>
      <w:pStyle w:val="Pieddepage"/>
      <w:tabs>
        <w:tab w:val="right" w:pos="9638"/>
      </w:tabs>
    </w:pPr>
    <w:r w:rsidRPr="00E82533">
      <w:rPr>
        <w:b/>
        <w:sz w:val="18"/>
      </w:rPr>
      <w:fldChar w:fldCharType="begin"/>
    </w:r>
    <w:r w:rsidRPr="00E82533">
      <w:rPr>
        <w:b/>
        <w:sz w:val="18"/>
      </w:rPr>
      <w:instrText xml:space="preserve"> PAGE  \* MERGEFORMAT </w:instrText>
    </w:r>
    <w:r w:rsidRPr="00E82533">
      <w:rPr>
        <w:b/>
        <w:sz w:val="18"/>
      </w:rPr>
      <w:fldChar w:fldCharType="separate"/>
    </w:r>
    <w:r w:rsidRPr="00E82533">
      <w:rPr>
        <w:b/>
        <w:noProof/>
        <w:sz w:val="18"/>
      </w:rPr>
      <w:t>2</w:t>
    </w:r>
    <w:r w:rsidRPr="00E82533">
      <w:rPr>
        <w:b/>
        <w:sz w:val="18"/>
      </w:rPr>
      <w:fldChar w:fldCharType="end"/>
    </w:r>
    <w:r>
      <w:rPr>
        <w:b/>
        <w:sz w:val="18"/>
      </w:rPr>
      <w:tab/>
    </w:r>
    <w:r>
      <w:t>GE.22-28595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06EC" w14:textId="3977578A" w:rsidR="00E82533" w:rsidRPr="00E82533" w:rsidRDefault="00E82533" w:rsidP="00E82533">
    <w:pPr>
      <w:pStyle w:val="Pieddepage"/>
      <w:tabs>
        <w:tab w:val="right" w:pos="9638"/>
      </w:tabs>
      <w:rPr>
        <w:b/>
        <w:sz w:val="18"/>
      </w:rPr>
    </w:pPr>
    <w:r>
      <w:t>GE.22-28595</w:t>
    </w:r>
    <w:r>
      <w:tab/>
    </w:r>
    <w:r w:rsidRPr="00E82533">
      <w:rPr>
        <w:b/>
        <w:sz w:val="18"/>
      </w:rPr>
      <w:fldChar w:fldCharType="begin"/>
    </w:r>
    <w:r w:rsidRPr="00E82533">
      <w:rPr>
        <w:b/>
        <w:sz w:val="18"/>
      </w:rPr>
      <w:instrText xml:space="preserve"> PAGE  \* MERGEFORMAT </w:instrText>
    </w:r>
    <w:r w:rsidRPr="00E82533">
      <w:rPr>
        <w:b/>
        <w:sz w:val="18"/>
      </w:rPr>
      <w:fldChar w:fldCharType="separate"/>
    </w:r>
    <w:r w:rsidRPr="00E82533">
      <w:rPr>
        <w:b/>
        <w:noProof/>
        <w:sz w:val="18"/>
      </w:rPr>
      <w:t>3</w:t>
    </w:r>
    <w:r w:rsidRPr="00E8253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ACB0" w14:textId="35814D21" w:rsidR="007F20FA" w:rsidRPr="00E82533" w:rsidRDefault="00E82533" w:rsidP="00E82533">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C5CDE96" wp14:editId="2E1D3E4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22-28595  (F)</w:t>
    </w:r>
    <w:r>
      <w:rPr>
        <w:noProof/>
        <w:sz w:val="20"/>
      </w:rPr>
      <w:drawing>
        <wp:anchor distT="0" distB="0" distL="114300" distR="114300" simplePos="0" relativeHeight="251660288" behindDoc="0" locked="0" layoutInCell="1" allowOverlap="1" wp14:anchorId="62C9C758" wp14:editId="3B700E22">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180123    180123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66373" w14:textId="77777777" w:rsidR="00B30097" w:rsidRPr="00AC3823" w:rsidRDefault="00B30097" w:rsidP="00AC3823">
      <w:pPr>
        <w:pStyle w:val="Pieddepage"/>
        <w:tabs>
          <w:tab w:val="right" w:pos="2155"/>
        </w:tabs>
        <w:spacing w:after="80" w:line="240" w:lineRule="atLeast"/>
        <w:ind w:left="680"/>
        <w:rPr>
          <w:u w:val="single"/>
        </w:rPr>
      </w:pPr>
      <w:r>
        <w:rPr>
          <w:u w:val="single"/>
        </w:rPr>
        <w:tab/>
      </w:r>
    </w:p>
  </w:footnote>
  <w:footnote w:type="continuationSeparator" w:id="0">
    <w:p w14:paraId="5514948C" w14:textId="77777777" w:rsidR="00B30097" w:rsidRPr="00AC3823" w:rsidRDefault="00B30097" w:rsidP="00AC3823">
      <w:pPr>
        <w:pStyle w:val="Pieddepage"/>
        <w:tabs>
          <w:tab w:val="right" w:pos="2155"/>
        </w:tabs>
        <w:spacing w:after="80" w:line="240" w:lineRule="atLeast"/>
        <w:ind w:left="680"/>
        <w:rPr>
          <w:u w:val="single"/>
        </w:rPr>
      </w:pPr>
      <w:r>
        <w:rPr>
          <w:u w:val="single"/>
        </w:rPr>
        <w:tab/>
      </w:r>
    </w:p>
  </w:footnote>
  <w:footnote w:type="continuationNotice" w:id="1">
    <w:p w14:paraId="673332BD" w14:textId="77777777" w:rsidR="00B30097" w:rsidRPr="00AC3823" w:rsidRDefault="00B30097">
      <w:pPr>
        <w:spacing w:line="240" w:lineRule="auto"/>
        <w:rPr>
          <w:sz w:val="2"/>
          <w:szCs w:val="2"/>
        </w:rPr>
      </w:pPr>
    </w:p>
  </w:footnote>
  <w:footnote w:id="2">
    <w:p w14:paraId="17D12121" w14:textId="1B5B03C2" w:rsidR="00E82533" w:rsidRDefault="00E82533" w:rsidP="00E82533">
      <w:pPr>
        <w:pStyle w:val="Notedebasdepage"/>
        <w:rPr>
          <w:lang w:val="fr-FR"/>
        </w:rPr>
      </w:pPr>
      <w:r>
        <w:rPr>
          <w:rStyle w:val="Appelnotedebasdep"/>
        </w:rPr>
        <w:tab/>
      </w:r>
      <w:r w:rsidRPr="007B6454">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2023 tel qu’il figure dans le projet de budget-programme pour 2023 (A/77/6 (Sect. 20), tableau 20.6), le Forum mondial a pour mission d’élaborer, d’harmoniser et de mettre à jour les Règlements ONU en vue d’améliorer les caractéristiques fonctionnelles des véhicules. Le présent document est soumis en vertu de ce mandat.</w:t>
      </w:r>
    </w:p>
    <w:p w14:paraId="0DABE366" w14:textId="77777777" w:rsidR="00A279CF" w:rsidRPr="007B6454" w:rsidRDefault="00A279CF" w:rsidP="00E82533">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5C49" w14:textId="6DD11AE6" w:rsidR="00E82533" w:rsidRPr="00E82533" w:rsidRDefault="00E82533">
    <w:pPr>
      <w:pStyle w:val="En-tte"/>
    </w:pPr>
    <w:fldSimple w:instr=" TITLE  \* MERGEFORMAT ">
      <w:r w:rsidR="00E07BE8">
        <w:t>ECE/TRANS/WP.29/2023/28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0342" w14:textId="0241598A" w:rsidR="00E82533" w:rsidRPr="00E82533" w:rsidRDefault="00E82533" w:rsidP="00E82533">
    <w:pPr>
      <w:pStyle w:val="En-tte"/>
      <w:jc w:val="right"/>
    </w:pPr>
    <w:fldSimple w:instr=" TITLE  \* MERGEFORMAT ">
      <w:r w:rsidR="00E07BE8">
        <w:t>ECE/TRANS/WP.29/2023/28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521577872">
    <w:abstractNumId w:val="12"/>
  </w:num>
  <w:num w:numId="2" w16cid:durableId="1065882173">
    <w:abstractNumId w:val="11"/>
  </w:num>
  <w:num w:numId="3" w16cid:durableId="1632635104">
    <w:abstractNumId w:val="10"/>
  </w:num>
  <w:num w:numId="4" w16cid:durableId="1745176857">
    <w:abstractNumId w:val="8"/>
  </w:num>
  <w:num w:numId="5" w16cid:durableId="1199974952">
    <w:abstractNumId w:val="3"/>
  </w:num>
  <w:num w:numId="6" w16cid:durableId="1781531516">
    <w:abstractNumId w:val="2"/>
  </w:num>
  <w:num w:numId="7" w16cid:durableId="125587452">
    <w:abstractNumId w:val="1"/>
  </w:num>
  <w:num w:numId="8" w16cid:durableId="406347757">
    <w:abstractNumId w:val="0"/>
  </w:num>
  <w:num w:numId="9" w16cid:durableId="970287176">
    <w:abstractNumId w:val="9"/>
  </w:num>
  <w:num w:numId="10" w16cid:durableId="609091824">
    <w:abstractNumId w:val="7"/>
  </w:num>
  <w:num w:numId="11" w16cid:durableId="2029943006">
    <w:abstractNumId w:val="6"/>
  </w:num>
  <w:num w:numId="12" w16cid:durableId="1763992339">
    <w:abstractNumId w:val="5"/>
  </w:num>
  <w:num w:numId="13" w16cid:durableId="2048918347">
    <w:abstractNumId w:val="4"/>
  </w:num>
  <w:num w:numId="14" w16cid:durableId="793447054">
    <w:abstractNumId w:val="12"/>
  </w:num>
  <w:num w:numId="15" w16cid:durableId="1923442741">
    <w:abstractNumId w:val="11"/>
  </w:num>
  <w:num w:numId="16" w16cid:durableId="19167459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097"/>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54BAB"/>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279CF"/>
    <w:rsid w:val="00A3029F"/>
    <w:rsid w:val="00A30353"/>
    <w:rsid w:val="00AC3823"/>
    <w:rsid w:val="00AE323C"/>
    <w:rsid w:val="00AF0CB5"/>
    <w:rsid w:val="00B00181"/>
    <w:rsid w:val="00B00B0D"/>
    <w:rsid w:val="00B30097"/>
    <w:rsid w:val="00B45F2E"/>
    <w:rsid w:val="00B765F7"/>
    <w:rsid w:val="00B77993"/>
    <w:rsid w:val="00BA0CA9"/>
    <w:rsid w:val="00C02897"/>
    <w:rsid w:val="00C97039"/>
    <w:rsid w:val="00CC2221"/>
    <w:rsid w:val="00D3439C"/>
    <w:rsid w:val="00D7622E"/>
    <w:rsid w:val="00DB1831"/>
    <w:rsid w:val="00DD3BFD"/>
    <w:rsid w:val="00DF6678"/>
    <w:rsid w:val="00E0299A"/>
    <w:rsid w:val="00E07BE8"/>
    <w:rsid w:val="00E82533"/>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AE8E2"/>
  <w15:docId w15:val="{6BAB1656-7FDB-4684-80BD-936B5CA7E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E82533"/>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0051C9-6F54-44CD-90F8-4C61C4351B32}"/>
</file>

<file path=customXml/itemProps2.xml><?xml version="1.0" encoding="utf-8"?>
<ds:datastoreItem xmlns:ds="http://schemas.openxmlformats.org/officeDocument/2006/customXml" ds:itemID="{7493027C-1E98-4FDA-8927-821B079D06CF}"/>
</file>

<file path=docProps/app.xml><?xml version="1.0" encoding="utf-8"?>
<Properties xmlns="http://schemas.openxmlformats.org/officeDocument/2006/extended-properties" xmlns:vt="http://schemas.openxmlformats.org/officeDocument/2006/docPropsVTypes">
  <Template>ECE_TRANS.dotm</Template>
  <TotalTime>2</TotalTime>
  <Pages>5</Pages>
  <Words>1290</Words>
  <Characters>6824</Characters>
  <Application>Microsoft Office Word</Application>
  <DocSecurity>0</DocSecurity>
  <Lines>165</Lines>
  <Paragraphs>102</Paragraphs>
  <ScaleCrop>false</ScaleCrop>
  <HeadingPairs>
    <vt:vector size="2" baseType="variant">
      <vt:variant>
        <vt:lpstr>Titre</vt:lpstr>
      </vt:variant>
      <vt:variant>
        <vt:i4>1</vt:i4>
      </vt:variant>
    </vt:vector>
  </HeadingPairs>
  <TitlesOfParts>
    <vt:vector size="1" baseType="lpstr">
      <vt:lpstr>ECE/TRANS/WP.29/2023/28</vt:lpstr>
    </vt:vector>
  </TitlesOfParts>
  <Company>DCM</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ECE/TRANS/WP.29/2023/28</dc:title>
  <dc:subject/>
  <dc:creator>Christine CHAUTAGNAT</dc:creator>
  <cp:keywords/>
  <cp:lastModifiedBy>Christine Chautagnat</cp:lastModifiedBy>
  <cp:revision>3</cp:revision>
  <cp:lastPrinted>2023-01-18T08:50:00Z</cp:lastPrinted>
  <dcterms:created xsi:type="dcterms:W3CDTF">2023-01-18T08:50:00Z</dcterms:created>
  <dcterms:modified xsi:type="dcterms:W3CDTF">2023-01-18T08:52:00Z</dcterms:modified>
</cp:coreProperties>
</file>