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DEB376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7656BA" w14:textId="77777777" w:rsidR="002D5AAC" w:rsidRDefault="002D5AAC" w:rsidP="003965C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E9E9A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B4609D" w14:textId="784A444F" w:rsidR="002D5AAC" w:rsidRDefault="003965C3" w:rsidP="003965C3">
            <w:pPr>
              <w:jc w:val="right"/>
            </w:pPr>
            <w:r w:rsidRPr="003965C3">
              <w:rPr>
                <w:sz w:val="40"/>
              </w:rPr>
              <w:t>ECE</w:t>
            </w:r>
            <w:r>
              <w:t>/TRANS/WP.15/AC.2/2023/13</w:t>
            </w:r>
          </w:p>
        </w:tc>
      </w:tr>
      <w:tr w:rsidR="002D5AAC" w14:paraId="5D54651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BA735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3D0ED5D" wp14:editId="512EC6F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E7BE8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6F55BDA" w14:textId="77777777" w:rsidR="002D5AAC" w:rsidRDefault="003965C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8800DF" w14:textId="77777777" w:rsidR="003965C3" w:rsidRDefault="003965C3" w:rsidP="003965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2022</w:t>
            </w:r>
          </w:p>
          <w:p w14:paraId="6F5704C0" w14:textId="77777777" w:rsidR="003965C3" w:rsidRDefault="003965C3" w:rsidP="003965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F85066D" w14:textId="5221548B" w:rsidR="003965C3" w:rsidRPr="008D53B6" w:rsidRDefault="003965C3" w:rsidP="003965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B6963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BB6BE64" w14:textId="77777777" w:rsidR="003965C3" w:rsidRPr="00B33EC3" w:rsidRDefault="003965C3" w:rsidP="003965C3">
      <w:pPr>
        <w:spacing w:before="120"/>
        <w:rPr>
          <w:sz w:val="28"/>
          <w:szCs w:val="28"/>
        </w:rPr>
      </w:pPr>
      <w:r w:rsidRPr="00B33EC3">
        <w:rPr>
          <w:sz w:val="28"/>
          <w:szCs w:val="28"/>
        </w:rPr>
        <w:t>Комитет по внутреннему транспорту</w:t>
      </w:r>
    </w:p>
    <w:p w14:paraId="4CB2CA69" w14:textId="77777777" w:rsidR="003965C3" w:rsidRPr="00B33EC3" w:rsidRDefault="003965C3" w:rsidP="003965C3">
      <w:pPr>
        <w:spacing w:before="120"/>
        <w:rPr>
          <w:b/>
          <w:sz w:val="24"/>
          <w:szCs w:val="24"/>
        </w:rPr>
      </w:pPr>
      <w:r w:rsidRPr="00B33EC3">
        <w:rPr>
          <w:b/>
          <w:bCs/>
          <w:sz w:val="24"/>
          <w:szCs w:val="24"/>
        </w:rPr>
        <w:t>Рабочая группа по перевозкам опасных грузов</w:t>
      </w:r>
    </w:p>
    <w:p w14:paraId="020BEDF3" w14:textId="66EA4870" w:rsidR="003965C3" w:rsidRPr="00B17B76" w:rsidRDefault="003965C3" w:rsidP="003965C3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1EB4218D" w14:textId="77777777" w:rsidR="003965C3" w:rsidRPr="00B17B76" w:rsidRDefault="003965C3" w:rsidP="003965C3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7F77E062" w14:textId="77777777" w:rsidR="003965C3" w:rsidRPr="00B17B76" w:rsidRDefault="003965C3" w:rsidP="003965C3">
      <w:pPr>
        <w:spacing w:before="120"/>
        <w:rPr>
          <w:b/>
        </w:rPr>
      </w:pPr>
      <w:r>
        <w:rPr>
          <w:b/>
          <w:bCs/>
        </w:rPr>
        <w:t>Сорок первая сессия</w:t>
      </w:r>
    </w:p>
    <w:p w14:paraId="34E80F5B" w14:textId="77777777" w:rsidR="003965C3" w:rsidRPr="00B17B76" w:rsidRDefault="003965C3" w:rsidP="003965C3">
      <w:r>
        <w:t>Женева, 23–27 января 2023 года</w:t>
      </w:r>
    </w:p>
    <w:p w14:paraId="45A1E45C" w14:textId="77777777" w:rsidR="003965C3" w:rsidRPr="00B17B76" w:rsidRDefault="003965C3" w:rsidP="003965C3">
      <w:r>
        <w:t>Пункт 6 предварительной повестки дня</w:t>
      </w:r>
    </w:p>
    <w:p w14:paraId="6EC27024" w14:textId="77777777" w:rsidR="003965C3" w:rsidRPr="00B17B76" w:rsidRDefault="003965C3" w:rsidP="003965C3">
      <w:pPr>
        <w:rPr>
          <w:b/>
        </w:rPr>
      </w:pPr>
      <w:r>
        <w:rPr>
          <w:b/>
          <w:bCs/>
        </w:rPr>
        <w:t>Доклады неофициальных рабочих групп</w:t>
      </w:r>
    </w:p>
    <w:p w14:paraId="3455034C" w14:textId="77777777" w:rsidR="003965C3" w:rsidRPr="00B17B76" w:rsidRDefault="003965C3" w:rsidP="003965C3">
      <w:pPr>
        <w:pStyle w:val="HChG"/>
      </w:pPr>
      <w:r>
        <w:tab/>
      </w:r>
      <w:r>
        <w:tab/>
      </w:r>
      <w:r>
        <w:rPr>
          <w:bCs/>
        </w:rPr>
        <w:t>Отчет о работе двадцать четвертого совещания группы Рекомендованных классификационных обществ ВОПОГ</w:t>
      </w:r>
    </w:p>
    <w:p w14:paraId="3C6C5BF1" w14:textId="77777777" w:rsidR="003965C3" w:rsidRPr="00B17B76" w:rsidRDefault="003965C3" w:rsidP="003965C3">
      <w:pPr>
        <w:pStyle w:val="H1G"/>
      </w:pPr>
      <w:r>
        <w:tab/>
      </w:r>
      <w:r>
        <w:tab/>
      </w:r>
      <w:r>
        <w:rPr>
          <w:bCs/>
        </w:rPr>
        <w:t>Представлено группой Рекомендованных классификационных обществ ВОПОГ</w:t>
      </w:r>
      <w:r w:rsidRPr="003965C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3965C3">
        <w:rPr>
          <w:b w:val="0"/>
          <w:bCs/>
          <w:sz w:val="20"/>
        </w:rPr>
        <w:t xml:space="preserve"> </w:t>
      </w:r>
      <w:r w:rsidRPr="003965C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3965C3">
        <w:rPr>
          <w:b w:val="0"/>
          <w:bCs/>
          <w:sz w:val="20"/>
        </w:rPr>
        <w:t xml:space="preserve"> </w:t>
      </w:r>
      <w:r w:rsidRPr="003965C3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</w:p>
    <w:p w14:paraId="24100485" w14:textId="77777777" w:rsidR="003965C3" w:rsidRPr="00B17B76" w:rsidRDefault="003965C3" w:rsidP="003965C3">
      <w:pPr>
        <w:pStyle w:val="SingleTxtG"/>
      </w:pPr>
      <w:r>
        <w:t>Дата проведения: 26 октября 2022 года, 9 ч 30 мин — 12 ч 30 мин</w:t>
      </w:r>
    </w:p>
    <w:p w14:paraId="158A1F3C" w14:textId="77777777" w:rsidR="003965C3" w:rsidRPr="00B17B76" w:rsidRDefault="003965C3" w:rsidP="003965C3">
      <w:pPr>
        <w:pStyle w:val="SingleTxtG"/>
      </w:pPr>
      <w:r>
        <w:t>Место проведения: онлайн-совещание в Microsoft Teams</w:t>
      </w:r>
    </w:p>
    <w:p w14:paraId="6EDD0E1F" w14:textId="77777777" w:rsidR="003965C3" w:rsidRPr="00A05C2E" w:rsidRDefault="003965C3" w:rsidP="003965C3">
      <w:pPr>
        <w:pStyle w:val="SingleTxtG"/>
      </w:pPr>
      <w:r>
        <w:t>Присутствовали:</w:t>
      </w:r>
    </w:p>
    <w:p w14:paraId="3173A67C" w14:textId="2553AA07" w:rsidR="003965C3" w:rsidRPr="00B17B76" w:rsidRDefault="003965C3" w:rsidP="002C6D74">
      <w:pPr>
        <w:pStyle w:val="Bullet1G"/>
      </w:pPr>
      <w:r w:rsidRPr="00B17B76">
        <w:tab/>
      </w:r>
      <w:r>
        <w:t>«Бюро Веритас» (BV): г-н Гай Джейкобс, г-н Раффаэле Кочито</w:t>
      </w:r>
    </w:p>
    <w:p w14:paraId="3CC6BA30" w14:textId="15AE88D7" w:rsidR="003965C3" w:rsidRPr="00B17B76" w:rsidRDefault="003965C3" w:rsidP="002C6D74">
      <w:pPr>
        <w:pStyle w:val="Bullet1G"/>
      </w:pPr>
      <w:r w:rsidRPr="00B17B76">
        <w:tab/>
      </w:r>
      <w:r>
        <w:t>Хорватский регистр судоходства (CRS): г-н Иван Билич-Прчич (председатель), г-н Ведран Клисарич</w:t>
      </w:r>
    </w:p>
    <w:p w14:paraId="2EE1A6CB" w14:textId="63C45FB8" w:rsidR="003965C3" w:rsidRPr="00B17B76" w:rsidRDefault="003965C3" w:rsidP="002C6D74">
      <w:pPr>
        <w:pStyle w:val="Bullet1G"/>
      </w:pPr>
      <w:r w:rsidRPr="00B17B76">
        <w:tab/>
      </w:r>
      <w:r>
        <w:t xml:space="preserve">«Дет норске веритас» (DNV): г-н Торстен Досдал </w:t>
      </w:r>
    </w:p>
    <w:p w14:paraId="21C88E0B" w14:textId="7F98F7D9" w:rsidR="003965C3" w:rsidRPr="00B17B76" w:rsidRDefault="003965C3" w:rsidP="002C6D74">
      <w:pPr>
        <w:pStyle w:val="Bullet1G"/>
      </w:pPr>
      <w:r w:rsidRPr="00B17B76">
        <w:tab/>
      </w:r>
      <w:r>
        <w:t>Регистр Ллойда (LR): г-н Бас Йорманн, г-н Карел Винке</w:t>
      </w:r>
    </w:p>
    <w:p w14:paraId="25FDFCBC" w14:textId="2A693027" w:rsidR="003965C3" w:rsidRPr="00B17B76" w:rsidRDefault="003965C3" w:rsidP="002C6D74">
      <w:pPr>
        <w:pStyle w:val="Bullet1G"/>
      </w:pPr>
      <w:r w:rsidRPr="00B17B76">
        <w:tab/>
      </w:r>
      <w:r>
        <w:t>Итальянский морской регистр (RINA): г-н Патрицио Ди Франческо</w:t>
      </w:r>
    </w:p>
    <w:p w14:paraId="1BD58FBE" w14:textId="20690670" w:rsidR="003965C3" w:rsidRPr="00B17B76" w:rsidRDefault="003965C3" w:rsidP="002C6D74">
      <w:pPr>
        <w:pStyle w:val="Bullet1G"/>
      </w:pPr>
      <w:r w:rsidRPr="00B17B76">
        <w:tab/>
      </w:r>
      <w:r>
        <w:t xml:space="preserve">Российский морской регистр судоходства (РС): г-н Сергей Легуша </w:t>
      </w:r>
    </w:p>
    <w:p w14:paraId="6AF81E86" w14:textId="7828A7FD" w:rsidR="003965C3" w:rsidRPr="00B17B76" w:rsidRDefault="003965C3" w:rsidP="002C6D74">
      <w:pPr>
        <w:pStyle w:val="Bullet1G"/>
      </w:pPr>
      <w:r w:rsidRPr="00B17B76">
        <w:tab/>
      </w:r>
      <w:r>
        <w:t>Российский речной регистр (РКО): г-н Михаил Козин</w:t>
      </w:r>
    </w:p>
    <w:p w14:paraId="4BB7E4DA" w14:textId="4AC182AE" w:rsidR="003965C3" w:rsidRPr="00B17B76" w:rsidRDefault="003965C3" w:rsidP="002C6D74">
      <w:pPr>
        <w:pStyle w:val="Bullet1G"/>
      </w:pPr>
      <w:r w:rsidRPr="00B17B76">
        <w:tab/>
      </w:r>
      <w:r>
        <w:t>Регистр судоходства Украины (РСУ): г-н Микола Сльозко</w:t>
      </w:r>
    </w:p>
    <w:p w14:paraId="68D367DE" w14:textId="77777777" w:rsidR="003965C3" w:rsidRPr="00E60464" w:rsidRDefault="003965C3" w:rsidP="003965C3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Открытие совещания</w:t>
      </w:r>
    </w:p>
    <w:p w14:paraId="1144A657" w14:textId="77777777" w:rsidR="003965C3" w:rsidRPr="00B17B76" w:rsidRDefault="003965C3" w:rsidP="003965C3">
      <w:pPr>
        <w:pStyle w:val="SingleTxtG"/>
      </w:pPr>
      <w:r w:rsidRPr="00B17B76">
        <w:t>1.</w:t>
      </w:r>
      <w:r w:rsidRPr="00B17B76">
        <w:tab/>
      </w:r>
      <w:r>
        <w:t>Председатель приветствовал участников онлайн-совещания. Он также отметил отсутствие наблюдателя от Комитета по вопросам безопасности ВОПОГ. Повестка дня была утверждена с небольшими изменениями. LR предложил добавить новую тему в пункт 6: Прочие вопросы, касающиеся финансирования переводов ISGINNT (Международное руководство по безопасности для танкеров внутреннего плавания и терминалов).</w:t>
      </w:r>
    </w:p>
    <w:p w14:paraId="11AE004B" w14:textId="77777777" w:rsidR="003965C3" w:rsidRPr="00B17B76" w:rsidRDefault="003965C3" w:rsidP="003965C3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Отчет о работе двадцать третьего совещания, направления работы — документ 23 IG 10</w:t>
      </w:r>
    </w:p>
    <w:p w14:paraId="5B4E08EC" w14:textId="77777777" w:rsidR="003965C3" w:rsidRPr="00B17B76" w:rsidRDefault="003965C3" w:rsidP="003965C3">
      <w:pPr>
        <w:pStyle w:val="SingleTxtG"/>
      </w:pPr>
      <w:bookmarkStart w:id="0" w:name="_Hlk66878600"/>
      <w:r w:rsidRPr="00B17B76">
        <w:t>2.</w:t>
      </w:r>
      <w:r w:rsidRPr="00B17B76">
        <w:tab/>
      </w:r>
      <w:r>
        <w:t>Участники обсудили перечень направлений работы.</w:t>
      </w:r>
    </w:p>
    <w:bookmarkEnd w:id="0"/>
    <w:p w14:paraId="5BB9311B" w14:textId="77777777" w:rsidR="003965C3" w:rsidRPr="00B17B76" w:rsidRDefault="003965C3" w:rsidP="002C6D74">
      <w:pPr>
        <w:pStyle w:val="H23G"/>
      </w:pPr>
      <w:r>
        <w:tab/>
        <w:t>a)</w:t>
      </w:r>
      <w:r>
        <w:tab/>
        <w:t>Пропилена оксид (ответственный участник: LR) — документ 17 IG 02a + документ 22 IG 02a</w:t>
      </w:r>
    </w:p>
    <w:p w14:paraId="6A9DBDCF" w14:textId="77777777" w:rsidR="003965C3" w:rsidRPr="00B17B76" w:rsidRDefault="003965C3" w:rsidP="003965C3">
      <w:pPr>
        <w:pStyle w:val="SingleTxtG"/>
      </w:pPr>
      <w:r w:rsidRPr="00B17B76">
        <w:t>3.</w:t>
      </w:r>
      <w:r w:rsidRPr="00B17B76">
        <w:tab/>
      </w:r>
      <w:r>
        <w:t>Работа по этой теме еще не завершена, и она останется в повестке дня (ответственный участник: LR).</w:t>
      </w:r>
    </w:p>
    <w:p w14:paraId="4087A8B5" w14:textId="77777777" w:rsidR="003965C3" w:rsidRPr="00B17B76" w:rsidRDefault="003965C3" w:rsidP="003965C3">
      <w:pPr>
        <w:pStyle w:val="H23G"/>
      </w:pPr>
      <w:r>
        <w:rPr>
          <w:bCs/>
        </w:rPr>
        <w:tab/>
        <w:t>b)</w:t>
      </w:r>
      <w:r>
        <w:tab/>
      </w:r>
      <w:r>
        <w:tab/>
      </w:r>
      <w:r>
        <w:rPr>
          <w:bCs/>
        </w:rPr>
        <w:t>Быстродействующие клапаны, рассчитанные на более высокие температуры (ответственные участники: BV+RINA) — документ 19 IG 02h</w:t>
      </w:r>
    </w:p>
    <w:p w14:paraId="2F6000EB" w14:textId="4659F0DB" w:rsidR="003965C3" w:rsidRPr="00A16080" w:rsidRDefault="003965C3" w:rsidP="003965C3">
      <w:pPr>
        <w:pStyle w:val="SingleTxtG"/>
      </w:pPr>
      <w:r w:rsidRPr="00A16080">
        <w:t>4.</w:t>
      </w:r>
      <w:r w:rsidRPr="00A16080">
        <w:tab/>
      </w:r>
      <w:r>
        <w:t>Работа по этой теме еще не завершена. Оценка рисков будет организована RINA. Будут также участвовать классификационные общества LR, BV и CRS. DNV</w:t>
      </w:r>
      <w:r w:rsidR="002C6D74">
        <w:rPr>
          <w:lang w:val="en-US"/>
        </w:rPr>
        <w:t> </w:t>
      </w:r>
      <w:r w:rsidRPr="003965C3">
        <w:t>рассмотрит</w:t>
      </w:r>
      <w:r>
        <w:t xml:space="preserve"> вопрос об участии исходя из наличия экспертов (ответственные участники: RINA+LR/BV/CRS).</w:t>
      </w:r>
    </w:p>
    <w:p w14:paraId="1110170F" w14:textId="0E4C252E" w:rsidR="003965C3" w:rsidRPr="00B17B76" w:rsidRDefault="003965C3" w:rsidP="003965C3">
      <w:pPr>
        <w:pStyle w:val="H23G"/>
      </w:pPr>
      <w:r>
        <w:rPr>
          <w:bCs/>
        </w:rPr>
        <w:tab/>
        <w:t>c)</w:t>
      </w:r>
      <w:r>
        <w:tab/>
      </w:r>
      <w:r>
        <w:tab/>
      </w:r>
      <w:r>
        <w:rPr>
          <w:bCs/>
        </w:rPr>
        <w:t>Соответствие стандарту EN ISO/IEC 17020:2012 — документ 22 IG 10 — Отчет о</w:t>
      </w:r>
      <w:r w:rsidR="002C6D74">
        <w:rPr>
          <w:bCs/>
          <w:lang w:val="en-US"/>
        </w:rPr>
        <w:t> </w:t>
      </w:r>
      <w:r>
        <w:rPr>
          <w:bCs/>
        </w:rPr>
        <w:t xml:space="preserve">работе двадцать второго совещания 2021-10-29 (2f) </w:t>
      </w:r>
      <w:r w:rsidR="002C6D74">
        <w:rPr>
          <w:bCs/>
        </w:rPr>
        <w:br/>
      </w:r>
      <w:r>
        <w:rPr>
          <w:bCs/>
        </w:rPr>
        <w:t>и ECE/TRANS/WP.15/AC.2/82, B (58)</w:t>
      </w:r>
    </w:p>
    <w:p w14:paraId="31514C34" w14:textId="77777777" w:rsidR="003965C3" w:rsidRPr="00B17B76" w:rsidRDefault="003965C3" w:rsidP="003965C3">
      <w:pPr>
        <w:pStyle w:val="SingleTxtG"/>
      </w:pPr>
      <w:r w:rsidRPr="00B17B76">
        <w:t>5.</w:t>
      </w:r>
      <w:r w:rsidRPr="00B17B76">
        <w:tab/>
      </w:r>
      <w:r>
        <w:t>Работа по этой теме еще не завершена. LR направит проект документа до конца ноября 2022 года (</w:t>
      </w:r>
      <w:r w:rsidRPr="003965C3">
        <w:t>ответственный</w:t>
      </w:r>
      <w:r>
        <w:t xml:space="preserve"> участник: LR).</w:t>
      </w:r>
    </w:p>
    <w:p w14:paraId="16E531BF" w14:textId="77777777" w:rsidR="003965C3" w:rsidRPr="00B17B76" w:rsidRDefault="003965C3" w:rsidP="003965C3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Вопросы, обсуждавшиеся на последней сессии Комитета по вопросам безопасности ВОПОГ (документ ECE/TRANS/WP.15/AC.2/82)</w:t>
      </w:r>
    </w:p>
    <w:p w14:paraId="71B23178" w14:textId="7552C4AE" w:rsidR="003965C3" w:rsidRPr="00B17B76" w:rsidRDefault="003965C3" w:rsidP="003965C3">
      <w:pPr>
        <w:pStyle w:val="H23G"/>
        <w:ind w:left="1129" w:hanging="420"/>
      </w:pPr>
      <w:r w:rsidRPr="00B17B76">
        <w:t>a)</w:t>
      </w:r>
      <w:r w:rsidRPr="00B17B76">
        <w:tab/>
      </w:r>
      <w:r>
        <w:rPr>
          <w:bCs/>
        </w:rPr>
        <w:t xml:space="preserve">Перечень толкований </w:t>
      </w:r>
      <w:r w:rsidR="002C6D74" w:rsidRPr="002C6D74">
        <w:rPr>
          <w:bCs/>
        </w:rPr>
        <w:t>—</w:t>
      </w:r>
      <w:r>
        <w:rPr>
          <w:bCs/>
        </w:rPr>
        <w:t xml:space="preserve"> документ ECE/TRANS/WP.15/AC.2/82, C, тема 1(16): Толкование переходного положения 1.6.7.2.2.2, относящегося к пункту 9.3.x.40.2 (ECE/TRANS/WP.15/AC.2/2022/29)</w:t>
      </w:r>
    </w:p>
    <w:p w14:paraId="5C20B490" w14:textId="38A86C80" w:rsidR="003965C3" w:rsidRPr="00E60464" w:rsidRDefault="003965C3" w:rsidP="003965C3">
      <w:pPr>
        <w:pStyle w:val="SingleTxtG"/>
      </w:pPr>
      <w:r w:rsidRPr="00E60464">
        <w:t>6.</w:t>
      </w:r>
      <w:r w:rsidRPr="00E60464">
        <w:tab/>
      </w:r>
      <w:r>
        <w:t>Данный документ был представлен г-ном Досдалом (DNV) и был принят. Он</w:t>
      </w:r>
      <w:r w:rsidR="002C6D74">
        <w:rPr>
          <w:lang w:val="en-US"/>
        </w:rPr>
        <w:t> </w:t>
      </w:r>
      <w:r>
        <w:t>будет направлен Комитету по вопросам безопасности ВОПОГ для окончательного принятия. Данная тема закрыта.</w:t>
      </w:r>
    </w:p>
    <w:p w14:paraId="6DBBEEC6" w14:textId="77777777" w:rsidR="003965C3" w:rsidRPr="00B17B76" w:rsidRDefault="003965C3" w:rsidP="003965C3">
      <w:pPr>
        <w:pStyle w:val="H23G"/>
        <w:ind w:left="1129" w:hanging="420"/>
      </w:pPr>
      <w:r w:rsidRPr="00B17B76">
        <w:t>b)</w:t>
      </w:r>
      <w:r w:rsidRPr="00B17B76">
        <w:tab/>
      </w:r>
      <w:r>
        <w:rPr>
          <w:bCs/>
        </w:rPr>
        <w:t>Перечни толкований — документ ECE/TRANS/WP.15/AC.2/82, C, тема 1(17): Толкование правил, прилагаемых к ВОПОГ</w:t>
      </w:r>
    </w:p>
    <w:p w14:paraId="5DC40270" w14:textId="77777777" w:rsidR="003965C3" w:rsidRPr="00E60464" w:rsidRDefault="003965C3" w:rsidP="003965C3">
      <w:pPr>
        <w:pStyle w:val="SingleTxtG"/>
      </w:pPr>
      <w:r w:rsidRPr="00E60464">
        <w:t>7.</w:t>
      </w:r>
      <w:r w:rsidRPr="00E60464">
        <w:tab/>
      </w:r>
      <w:r>
        <w:t xml:space="preserve">Группа составила перечень толкований, запрошенных на предыдущих сессиях Комитета по </w:t>
      </w:r>
      <w:r w:rsidRPr="003965C3">
        <w:t>вопросам</w:t>
      </w:r>
      <w:r>
        <w:t xml:space="preserve"> безопасности ВОПОГ. Перечень приведен ниже:</w:t>
      </w:r>
    </w:p>
    <w:p w14:paraId="439E5ABA" w14:textId="1236A64F" w:rsidR="003965C3" w:rsidRPr="002C6D74" w:rsidRDefault="003965C3" w:rsidP="002C6D74">
      <w:pPr>
        <w:pStyle w:val="Bullet1G"/>
      </w:pPr>
      <w:r w:rsidRPr="00B17B76">
        <w:tab/>
      </w:r>
      <w:r w:rsidRPr="002C6D74">
        <w:t>неофициальный документ INF.4 девятнадцатой сессии (август 2011 года), пункт</w:t>
      </w:r>
      <w:r w:rsidR="002C6D74">
        <w:rPr>
          <w:lang w:val="en-US"/>
        </w:rPr>
        <w:t> </w:t>
      </w:r>
      <w:r w:rsidRPr="002C6D74">
        <w:t>6</w:t>
      </w:r>
    </w:p>
    <w:p w14:paraId="2D0B7BD2" w14:textId="1A1203F1" w:rsidR="003965C3" w:rsidRPr="002C6D74" w:rsidRDefault="003965C3" w:rsidP="002C6D74">
      <w:pPr>
        <w:pStyle w:val="Bullet1G"/>
      </w:pPr>
      <w:r w:rsidRPr="002C6D74">
        <w:tab/>
        <w:t xml:space="preserve">неофициальный документ INF.6 двадцатой сессии (январь 2012 года), </w:t>
      </w:r>
      <w:r w:rsidR="002C6D74">
        <w:br/>
      </w:r>
      <w:r w:rsidRPr="002C6D74">
        <w:t>пункт 6 d) и f)</w:t>
      </w:r>
    </w:p>
    <w:p w14:paraId="2C99F07F" w14:textId="3C45050D" w:rsidR="003965C3" w:rsidRPr="002C6D74" w:rsidRDefault="003965C3" w:rsidP="002C6D74">
      <w:pPr>
        <w:pStyle w:val="Bullet1G"/>
      </w:pPr>
      <w:r w:rsidRPr="002C6D74">
        <w:t>неофициальный документ INF.3 двадцать первой сессии (август 2012 года), пункт 6 i)</w:t>
      </w:r>
    </w:p>
    <w:p w14:paraId="28ABFD5F" w14:textId="3EDF9E63" w:rsidR="003965C3" w:rsidRPr="002C6D74" w:rsidRDefault="003965C3" w:rsidP="002C6D74">
      <w:pPr>
        <w:pStyle w:val="Bullet1G"/>
      </w:pPr>
      <w:r w:rsidRPr="002C6D74">
        <w:lastRenderedPageBreak/>
        <w:tab/>
        <w:t>неофициальный документ INF.9 двадцать второй сессии (январь 2013 года), пункт 6 a), g), i) и l)</w:t>
      </w:r>
    </w:p>
    <w:p w14:paraId="6923F90E" w14:textId="23CC0D90" w:rsidR="003965C3" w:rsidRPr="002C6D74" w:rsidRDefault="003965C3" w:rsidP="002C6D74">
      <w:pPr>
        <w:pStyle w:val="Bullet1G"/>
      </w:pPr>
      <w:r w:rsidRPr="002C6D74">
        <w:tab/>
        <w:t>неофициальный документ INF.23 двадцать четвертой сессии (январь 2014 года), пункты 2/10, 3/15, 4b/18, 4d/20, 5f/40, 5h/44, 45, 6/48 и 49</w:t>
      </w:r>
    </w:p>
    <w:p w14:paraId="24167C3C" w14:textId="66311FBB" w:rsidR="003965C3" w:rsidRPr="002C6D74" w:rsidRDefault="003965C3" w:rsidP="002C6D74">
      <w:pPr>
        <w:pStyle w:val="Bullet1G"/>
      </w:pPr>
      <w:r w:rsidRPr="002C6D74">
        <w:tab/>
        <w:t>неофициальный документ INF.13 двадцать пятой сессии (август 2014 года), пункты 4a, 4b и 4c</w:t>
      </w:r>
    </w:p>
    <w:p w14:paraId="0DA8BDBA" w14:textId="059B41A6" w:rsidR="003965C3" w:rsidRPr="002C6D74" w:rsidRDefault="003965C3" w:rsidP="002C6D74">
      <w:pPr>
        <w:pStyle w:val="Bullet1G"/>
      </w:pPr>
      <w:r w:rsidRPr="002C6D74">
        <w:tab/>
        <w:t>неофициальный документ INF.30 двадцать шестой сессии (январь 2015 года)</w:t>
      </w:r>
    </w:p>
    <w:p w14:paraId="1D833754" w14:textId="30322252" w:rsidR="003965C3" w:rsidRPr="002C6D74" w:rsidRDefault="003965C3" w:rsidP="002C6D74">
      <w:pPr>
        <w:pStyle w:val="Bullet1G"/>
      </w:pPr>
      <w:r w:rsidRPr="002C6D74">
        <w:tab/>
        <w:t>неофициальный документ INF.5 двадцать шестой сессии (январь 2015 года), пункты 3b и 4b</w:t>
      </w:r>
    </w:p>
    <w:p w14:paraId="4DEE522E" w14:textId="0E5B734B" w:rsidR="003965C3" w:rsidRPr="002C6D74" w:rsidRDefault="003965C3" w:rsidP="002C6D74">
      <w:pPr>
        <w:pStyle w:val="Bullet1G"/>
      </w:pPr>
      <w:r w:rsidRPr="002C6D74">
        <w:tab/>
        <w:t>неофициальный документ INF.14 двадцать восьмой сессии (январь 2016 года), часть 2, пункты 5, 20 и 24</w:t>
      </w:r>
    </w:p>
    <w:p w14:paraId="4AD37F2F" w14:textId="68AC3BC3" w:rsidR="003965C3" w:rsidRPr="002C6D74" w:rsidRDefault="003965C3" w:rsidP="002C6D74">
      <w:pPr>
        <w:pStyle w:val="Bullet1G"/>
      </w:pPr>
      <w:r w:rsidRPr="002C6D74">
        <w:tab/>
        <w:t>неофициальный документ INF.13 тридцатой сессии (январь 2017 года), пункты</w:t>
      </w:r>
      <w:r w:rsidR="002C6D74">
        <w:rPr>
          <w:lang w:val="en-US"/>
        </w:rPr>
        <w:t> </w:t>
      </w:r>
      <w:r w:rsidRPr="002C6D74">
        <w:t>2.7 и 2.8</w:t>
      </w:r>
    </w:p>
    <w:p w14:paraId="2EC30B10" w14:textId="327D8D38" w:rsidR="003965C3" w:rsidRPr="002C6D74" w:rsidRDefault="003965C3" w:rsidP="002C6D74">
      <w:pPr>
        <w:pStyle w:val="Bullet1G"/>
      </w:pPr>
      <w:r w:rsidRPr="002C6D74">
        <w:tab/>
        <w:t>неофициальный документ INF.10 тридцать первой сессии (август 2017 года), пункты 4 e) и 6</w:t>
      </w:r>
    </w:p>
    <w:p w14:paraId="0B8C2840" w14:textId="2A736662" w:rsidR="003965C3" w:rsidRPr="002C6D74" w:rsidRDefault="003965C3" w:rsidP="002C6D74">
      <w:pPr>
        <w:pStyle w:val="Bullet1G"/>
      </w:pPr>
      <w:r w:rsidRPr="002C6D74">
        <w:tab/>
        <w:t>неофициальный документ INF.12 тридцать второй сессии (январь 2018 года), часть II, пункт 2 h)</w:t>
      </w:r>
    </w:p>
    <w:p w14:paraId="1AF0E503" w14:textId="204A87A8" w:rsidR="003965C3" w:rsidRPr="002C6D74" w:rsidRDefault="003965C3" w:rsidP="002C6D74">
      <w:pPr>
        <w:pStyle w:val="Bullet1G"/>
      </w:pPr>
      <w:r w:rsidRPr="002C6D74">
        <w:tab/>
        <w:t>неофициальный документ INF.4 тридцать четвертой сессии (январь 2019 года), пункты 4 c), d) и f)</w:t>
      </w:r>
    </w:p>
    <w:p w14:paraId="268E5BB0" w14:textId="6642F339" w:rsidR="003965C3" w:rsidRPr="002C6D74" w:rsidRDefault="003965C3" w:rsidP="002C6D74">
      <w:pPr>
        <w:pStyle w:val="Bullet1G"/>
      </w:pPr>
      <w:r w:rsidRPr="002C6D74">
        <w:tab/>
        <w:t>неофициальный документ INF.11 тридцать пятой сессии (август 2019 года), пункты 4 c), d), i), k), m) и r)</w:t>
      </w:r>
    </w:p>
    <w:p w14:paraId="3E60403C" w14:textId="3179BE94" w:rsidR="003965C3" w:rsidRPr="002C6D74" w:rsidRDefault="003965C3" w:rsidP="002C6D74">
      <w:pPr>
        <w:pStyle w:val="Bullet1G"/>
      </w:pPr>
      <w:r w:rsidRPr="002C6D74">
        <w:tab/>
        <w:t>неофициальный документ INF.9 тридцать шестой сессии (январь 2020 года), пункты 3.i., 4.b. и с.</w:t>
      </w:r>
    </w:p>
    <w:p w14:paraId="0D8D1AB6" w14:textId="77D6200A" w:rsidR="003965C3" w:rsidRPr="00B17B76" w:rsidRDefault="003965C3" w:rsidP="003965C3">
      <w:pPr>
        <w:pStyle w:val="SingleTxtG"/>
      </w:pPr>
      <w:r w:rsidRPr="00B17B76">
        <w:t>8.</w:t>
      </w:r>
      <w:r w:rsidRPr="00B17B76">
        <w:tab/>
      </w:r>
      <w:r>
        <w:t xml:space="preserve">Было решено, что эти документы будут проверены и будет подготовлен общий перечень. CRS подготовит проект общего документа, который может быть дополнен другими участниками. DNV займется проверкой первых пяти документов (2011 год </w:t>
      </w:r>
      <w:r w:rsidR="00124664" w:rsidRPr="00124664">
        <w:t>—</w:t>
      </w:r>
      <w:r>
        <w:t xml:space="preserve">январь 2014 года), LR </w:t>
      </w:r>
      <w:r w:rsidR="00124664" w:rsidRPr="00124664">
        <w:t>—</w:t>
      </w:r>
      <w:r>
        <w:t xml:space="preserve"> документов № 6–№ 10 (август 2014 года </w:t>
      </w:r>
      <w:r w:rsidR="00124664" w:rsidRPr="00124664">
        <w:t>—</w:t>
      </w:r>
      <w:r>
        <w:t xml:space="preserve"> январь 2017 года) и BV </w:t>
      </w:r>
      <w:r w:rsidR="00124664" w:rsidRPr="00124664">
        <w:t>—</w:t>
      </w:r>
      <w:r>
        <w:t xml:space="preserve"> документов № 11–№ 15 (август 2017 года </w:t>
      </w:r>
      <w:r w:rsidR="00124664" w:rsidRPr="00124664">
        <w:t>—</w:t>
      </w:r>
      <w:r>
        <w:t xml:space="preserve"> 2020 год). BV также проверит доклады, которых нет в перечне. CRS организует совещание для обсуждения результатов. </w:t>
      </w:r>
    </w:p>
    <w:p w14:paraId="79467495" w14:textId="77777777" w:rsidR="003965C3" w:rsidRPr="00B17B76" w:rsidRDefault="003965C3" w:rsidP="003965C3">
      <w:pPr>
        <w:pStyle w:val="SingleTxtG"/>
      </w:pPr>
      <w:r w:rsidRPr="00B17B76">
        <w:t>9.</w:t>
      </w:r>
      <w:r w:rsidRPr="00B17B76">
        <w:tab/>
      </w:r>
      <w:r>
        <w:t>Окончательный документ будет представлен Комитету по вопросам безопасности ВОПОГ для рассмотрения на январской сессии 2023 года (ответственные участники: BV/CRS/DNV/LR).</w:t>
      </w:r>
    </w:p>
    <w:p w14:paraId="1EF36860" w14:textId="171581A0" w:rsidR="003965C3" w:rsidRPr="00B17B76" w:rsidRDefault="003965C3" w:rsidP="003965C3">
      <w:pPr>
        <w:pStyle w:val="H23G"/>
        <w:ind w:left="1129" w:hanging="420"/>
      </w:pPr>
      <w:r w:rsidRPr="00B17B76">
        <w:t>c)</w:t>
      </w:r>
      <w:r w:rsidRPr="00B17B76">
        <w:tab/>
      </w:r>
      <w:r>
        <w:rPr>
          <w:bCs/>
        </w:rPr>
        <w:t xml:space="preserve">Доклад о двенадцатом совещании неофициальной рабочей группы </w:t>
      </w:r>
      <w:r w:rsidR="00124664">
        <w:rPr>
          <w:bCs/>
        </w:rPr>
        <w:br/>
      </w:r>
      <w:r>
        <w:rPr>
          <w:bCs/>
        </w:rPr>
        <w:t xml:space="preserve">по веществам </w:t>
      </w:r>
      <w:r w:rsidR="00124664" w:rsidRPr="00124664">
        <w:rPr>
          <w:bCs/>
        </w:rPr>
        <w:t>—</w:t>
      </w:r>
      <w:r>
        <w:rPr>
          <w:bCs/>
        </w:rPr>
        <w:t xml:space="preserve"> неофициальные документы: INF.12 (Германия/ЦКСР), </w:t>
      </w:r>
      <w:r w:rsidR="00124664">
        <w:rPr>
          <w:bCs/>
        </w:rPr>
        <w:br/>
      </w:r>
      <w:r>
        <w:rPr>
          <w:bCs/>
        </w:rPr>
        <w:t>INF.18 (ЕСРС/ЕОС) сороковой сессии Комитета по вопросам безопасности ВОПОГ</w:t>
      </w:r>
    </w:p>
    <w:p w14:paraId="7AF7E23E" w14:textId="77777777" w:rsidR="003965C3" w:rsidRPr="00B17B76" w:rsidRDefault="003965C3" w:rsidP="003965C3">
      <w:pPr>
        <w:pStyle w:val="SingleTxtG"/>
      </w:pPr>
      <w:r w:rsidRPr="00B17B76">
        <w:t>10.</w:t>
      </w:r>
      <w:r w:rsidRPr="00B17B76">
        <w:tab/>
      </w:r>
      <w:r>
        <w:t xml:space="preserve">Пункт С: Обсуждение позиций таблицы С, в </w:t>
      </w:r>
      <w:r w:rsidRPr="003965C3">
        <w:t>которых</w:t>
      </w:r>
      <w:r>
        <w:t xml:space="preserve"> указано замечание 44</w:t>
      </w:r>
    </w:p>
    <w:p w14:paraId="12AF6DA5" w14:textId="77777777" w:rsidR="003965C3" w:rsidRPr="00B17B76" w:rsidRDefault="003965C3" w:rsidP="003965C3">
      <w:pPr>
        <w:pStyle w:val="SingleTxtG"/>
        <w:ind w:left="1701"/>
      </w:pPr>
      <w:r>
        <w:t>Проблема заключается в том, что многие грузы повторяются в перечне грузов. Г-н Винке (LR) работает над новой версией перечня веществ LR, в которой попытается избежать повторения позиций, чтобы сделать перечень более удобочитаемым.</w:t>
      </w:r>
    </w:p>
    <w:p w14:paraId="6F0E1600" w14:textId="18FB12B2" w:rsidR="003965C3" w:rsidRPr="00B17B76" w:rsidRDefault="003965C3" w:rsidP="003965C3">
      <w:pPr>
        <w:pStyle w:val="SingleTxtG"/>
        <w:ind w:left="1701"/>
      </w:pPr>
      <w:r>
        <w:t xml:space="preserve">Г-н Досдал (DNV) предложил обратиться к Комитету по вопросам безопасности и неофициальной рабочей группе по веществам с просьбой проверить, можно ли будет решить проблему путем возвращения к системе таблицы С в том виде, в котором она была до включения позиций, помеченных звездочкой. </w:t>
      </w:r>
      <w:r w:rsidR="00124664">
        <w:br/>
      </w:r>
      <w:r>
        <w:t>DNV и LR подготовят документ с разъяснением проблемы и новое предложение (ответственные участники: LR и DNV).</w:t>
      </w:r>
    </w:p>
    <w:p w14:paraId="274CD2BE" w14:textId="77777777" w:rsidR="00124664" w:rsidRDefault="0012466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A6EEDA6" w14:textId="2F1A8429" w:rsidR="003965C3" w:rsidRPr="00B17B76" w:rsidRDefault="003965C3" w:rsidP="003965C3">
      <w:pPr>
        <w:pStyle w:val="SingleTxtG"/>
      </w:pPr>
      <w:r w:rsidRPr="00B17B76">
        <w:lastRenderedPageBreak/>
        <w:t>11.</w:t>
      </w:r>
      <w:r w:rsidRPr="00B17B76">
        <w:tab/>
      </w:r>
      <w:r>
        <w:t xml:space="preserve">Пункт H: Замечание 37, которое не используется в </w:t>
      </w:r>
      <w:r w:rsidRPr="003965C3">
        <w:t>таблице</w:t>
      </w:r>
      <w:r>
        <w:t xml:space="preserve"> C</w:t>
      </w:r>
    </w:p>
    <w:p w14:paraId="5C9F9F4B" w14:textId="77777777" w:rsidR="003965C3" w:rsidRPr="00E60464" w:rsidRDefault="003965C3" w:rsidP="003965C3">
      <w:pPr>
        <w:pStyle w:val="SingleTxtG"/>
        <w:ind w:left="1701"/>
      </w:pPr>
      <w:r>
        <w:t>После обсуждения г-н Досдал (DNV) предложил оставить это замечание в Правилах, прилагаемых к ВОПОГ, и группа приняла это предложение. Данная тема закрыта.</w:t>
      </w:r>
    </w:p>
    <w:p w14:paraId="72AEDD9B" w14:textId="37112401" w:rsidR="003965C3" w:rsidRPr="00B17B76" w:rsidRDefault="003965C3" w:rsidP="003965C3">
      <w:pPr>
        <w:pStyle w:val="H23G"/>
        <w:ind w:left="1129" w:hanging="420"/>
      </w:pPr>
      <w:r w:rsidRPr="00B17B76">
        <w:t>d)</w:t>
      </w:r>
      <w:r w:rsidRPr="00B17B76">
        <w:tab/>
      </w:r>
      <w:r>
        <w:rPr>
          <w:bCs/>
        </w:rPr>
        <w:t xml:space="preserve">Пересмотр раздела 9.3.4 ВОПОГ </w:t>
      </w:r>
      <w:r w:rsidR="00124664" w:rsidRPr="00124664">
        <w:rPr>
          <w:bCs/>
        </w:rPr>
        <w:t>—</w:t>
      </w:r>
      <w:r>
        <w:rPr>
          <w:bCs/>
        </w:rPr>
        <w:t xml:space="preserve"> документ ECE/TRANS/WP.15/AC.2/82, IX.</w:t>
      </w:r>
      <w:r>
        <w:t xml:space="preserve"> </w:t>
      </w:r>
      <w:r>
        <w:rPr>
          <w:bCs/>
        </w:rPr>
        <w:t>Прочие вопросы, тема A (72–75), неофициальный документ INF. 22 (TНO)</w:t>
      </w:r>
    </w:p>
    <w:p w14:paraId="39786996" w14:textId="1992BBAE" w:rsidR="003965C3" w:rsidRPr="00B17B76" w:rsidRDefault="003965C3" w:rsidP="003965C3">
      <w:pPr>
        <w:pStyle w:val="SingleTxtG"/>
      </w:pPr>
      <w:r w:rsidRPr="00B17B76">
        <w:t>12.</w:t>
      </w:r>
      <w:r w:rsidRPr="00B17B76">
        <w:tab/>
      </w:r>
      <w:r>
        <w:t xml:space="preserve">Г-н Йорманн (LR) представил обновленную информацию по этому проекту. Окончательный </w:t>
      </w:r>
      <w:r w:rsidRPr="003965C3">
        <w:t>доклад</w:t>
      </w:r>
      <w:r>
        <w:t xml:space="preserve"> был опубликован TНO. Эта организация готовит для следующего совещания Комитета по вопросам безопасности ВОПОГ документ с предложениями по некоторым изменениям в методах расчета, описанных в разделе</w:t>
      </w:r>
      <w:r w:rsidR="00124664">
        <w:rPr>
          <w:lang w:val="en-US"/>
        </w:rPr>
        <w:t> </w:t>
      </w:r>
      <w:r>
        <w:t>9.3.4. Исследование показало, что грузовые танки вместимостью более 1000</w:t>
      </w:r>
      <w:r w:rsidR="00124664">
        <w:rPr>
          <w:lang w:val="en-US"/>
        </w:rPr>
        <w:t> </w:t>
      </w:r>
      <w:r>
        <w:t>м</w:t>
      </w:r>
      <w:r>
        <w:rPr>
          <w:vertAlign w:val="superscript"/>
        </w:rPr>
        <w:t>3</w:t>
      </w:r>
      <w:r>
        <w:t xml:space="preserve"> будут нежелательны. Однако этот вопрос может быть дополнительно изучен применительно к перевозке СПГ.</w:t>
      </w:r>
    </w:p>
    <w:p w14:paraId="5B777715" w14:textId="77777777" w:rsidR="003965C3" w:rsidRPr="00E60464" w:rsidRDefault="003965C3" w:rsidP="003965C3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Технические вопросы</w:t>
      </w:r>
    </w:p>
    <w:p w14:paraId="1120476F" w14:textId="26910AAF" w:rsidR="003965C3" w:rsidRPr="00E60464" w:rsidRDefault="003965C3" w:rsidP="003965C3">
      <w:pPr>
        <w:pStyle w:val="SingleTxtG"/>
      </w:pPr>
      <w:r w:rsidRPr="00E60464">
        <w:t>13.</w:t>
      </w:r>
      <w:r w:rsidRPr="00E60464">
        <w:tab/>
      </w:r>
      <w:r>
        <w:t xml:space="preserve">Новые вопросы не </w:t>
      </w:r>
      <w:r w:rsidRPr="003965C3">
        <w:t>поднимались</w:t>
      </w:r>
      <w:r>
        <w:t>.</w:t>
      </w:r>
    </w:p>
    <w:p w14:paraId="1E6128E5" w14:textId="77777777" w:rsidR="003965C3" w:rsidRPr="00B17B76" w:rsidRDefault="003965C3" w:rsidP="003965C3">
      <w:pPr>
        <w:pStyle w:val="HChG"/>
      </w:pPr>
      <w:r>
        <w:rPr>
          <w:bCs/>
        </w:rPr>
        <w:tab/>
        <w:t>V.</w:t>
      </w:r>
      <w:r>
        <w:tab/>
      </w:r>
      <w:r>
        <w:rPr>
          <w:bCs/>
        </w:rPr>
        <w:t>Обмен опытом между классификационными обществами</w:t>
      </w:r>
    </w:p>
    <w:p w14:paraId="106A9C2E" w14:textId="77777777" w:rsidR="003965C3" w:rsidRPr="00B17B76" w:rsidRDefault="003965C3" w:rsidP="003965C3">
      <w:pPr>
        <w:pStyle w:val="SingleTxtG"/>
      </w:pPr>
      <w:bookmarkStart w:id="1" w:name="_Hlk117145326"/>
      <w:r w:rsidRPr="00B17B76">
        <w:t>14.</w:t>
      </w:r>
      <w:r w:rsidRPr="00B17B76">
        <w:tab/>
      </w:r>
      <w:r>
        <w:t xml:space="preserve">Толкование взрывоопасных зон согласно ВОПОГ (документ IG </w:t>
      </w:r>
      <w:r w:rsidRPr="003965C3">
        <w:t>24</w:t>
      </w:r>
      <w:r>
        <w:t xml:space="preserve"> 05a)</w:t>
      </w:r>
      <w:bookmarkEnd w:id="1"/>
    </w:p>
    <w:p w14:paraId="64F65305" w14:textId="77777777" w:rsidR="003965C3" w:rsidRPr="00B17B76" w:rsidRDefault="003965C3" w:rsidP="003965C3">
      <w:pPr>
        <w:pStyle w:val="SingleTxtG"/>
        <w:ind w:left="1701"/>
      </w:pPr>
      <w:r>
        <w:t>Г-н Клисарич (CRS) представил указанный документ. Этот вопрос уже обсуждался, когда в Правила, прилагаемые к ВОПОГ, были включены требования, касающиеся взрывов. Результаты состоявшихся в то время обсуждений будут проверены и переданы группе (ответственный участник: LR).</w:t>
      </w:r>
    </w:p>
    <w:p w14:paraId="58DBDD80" w14:textId="77777777" w:rsidR="003965C3" w:rsidRPr="00E60464" w:rsidRDefault="003965C3" w:rsidP="003965C3">
      <w:pPr>
        <w:pStyle w:val="HChG"/>
      </w:pPr>
      <w:r>
        <w:rPr>
          <w:bCs/>
        </w:rPr>
        <w:tab/>
        <w:t>VI.</w:t>
      </w:r>
      <w:r>
        <w:tab/>
      </w:r>
      <w:r>
        <w:rPr>
          <w:bCs/>
        </w:rPr>
        <w:t>Прочие вопросы</w:t>
      </w:r>
    </w:p>
    <w:p w14:paraId="05CD6CEB" w14:textId="0D7C4A83" w:rsidR="003965C3" w:rsidRPr="00B17B76" w:rsidRDefault="002C6D74" w:rsidP="002C6D74">
      <w:pPr>
        <w:pStyle w:val="H23G"/>
      </w:pPr>
      <w:r>
        <w:tab/>
      </w:r>
      <w:r w:rsidR="003965C3" w:rsidRPr="00B17B76">
        <w:t>a)</w:t>
      </w:r>
      <w:r w:rsidR="003965C3" w:rsidRPr="00B17B76">
        <w:tab/>
      </w:r>
      <w:r w:rsidR="003965C3">
        <w:t xml:space="preserve">Разработка </w:t>
      </w:r>
      <w:r w:rsidR="003965C3" w:rsidRPr="002C6D74">
        <w:t>предложения</w:t>
      </w:r>
      <w:r w:rsidR="003965C3">
        <w:t xml:space="preserve"> по использованию топлива с низкой температурой вспышки (LR+ ЕСРС) </w:t>
      </w:r>
    </w:p>
    <w:p w14:paraId="34D818B0" w14:textId="37C099F3" w:rsidR="003965C3" w:rsidRPr="00B17B76" w:rsidRDefault="003965C3" w:rsidP="003965C3">
      <w:pPr>
        <w:pStyle w:val="SingleTxtG"/>
      </w:pPr>
      <w:r w:rsidRPr="00B17B76">
        <w:t>15.</w:t>
      </w:r>
      <w:r w:rsidRPr="00B17B76">
        <w:tab/>
      </w:r>
      <w:r>
        <w:t>Г-н Йорманн (LR) представил обновленную информацию по этому вопросу. В</w:t>
      </w:r>
      <w:r w:rsidR="00124664">
        <w:rPr>
          <w:lang w:val="en-US"/>
        </w:rPr>
        <w:t> </w:t>
      </w:r>
      <w:r>
        <w:t xml:space="preserve">сотрудничестве с ЕСРС г-н </w:t>
      </w:r>
      <w:r w:rsidRPr="003965C3">
        <w:t>Йорманн</w:t>
      </w:r>
      <w:r>
        <w:t xml:space="preserve"> (LR) разрабатывает новый документ для Комитета по вопросам безопасности ВОПОГ. Как представляется, Комитет по вопросам безопасности ВОПОГ уже согласился с использованием топлива с </w:t>
      </w:r>
      <w:r w:rsidR="00124664">
        <w:br/>
      </w:r>
      <w:r>
        <w:t>низкой температурой вспышки при условии соблюдения требований приложения</w:t>
      </w:r>
      <w:r w:rsidR="00124664">
        <w:rPr>
          <w:lang w:val="en-US"/>
        </w:rPr>
        <w:t> </w:t>
      </w:r>
      <w:r>
        <w:t>8</w:t>
      </w:r>
      <w:r w:rsidR="00124664">
        <w:rPr>
          <w:lang w:val="en-US"/>
        </w:rPr>
        <w:t> </w:t>
      </w:r>
      <w:r>
        <w:t>ЕС-ТТСВП. Это будет отражено в документе (ответственный участник: LR).</w:t>
      </w:r>
    </w:p>
    <w:p w14:paraId="6137DCF2" w14:textId="72DEC508" w:rsidR="003965C3" w:rsidRPr="00B17B76" w:rsidRDefault="002C6D74" w:rsidP="002C6D74">
      <w:pPr>
        <w:pStyle w:val="H23G"/>
      </w:pPr>
      <w:r>
        <w:tab/>
      </w:r>
      <w:r w:rsidR="003965C3" w:rsidRPr="00B17B76">
        <w:t>b)</w:t>
      </w:r>
      <w:r w:rsidR="003965C3" w:rsidRPr="00B17B76">
        <w:tab/>
      </w:r>
      <w:r w:rsidR="003965C3">
        <w:tab/>
      </w:r>
      <w:r w:rsidR="003965C3" w:rsidRPr="002C6D74">
        <w:t>Финансирование</w:t>
      </w:r>
      <w:r w:rsidR="003965C3">
        <w:t xml:space="preserve"> переводов Международного руководства по безопасности </w:t>
      </w:r>
      <w:r w:rsidR="00124664">
        <w:br/>
      </w:r>
      <w:r w:rsidR="003965C3">
        <w:t>для танкеров внутреннего плавания и терминалов (ISGINNT)</w:t>
      </w:r>
    </w:p>
    <w:p w14:paraId="372414EB" w14:textId="77777777" w:rsidR="003965C3" w:rsidRPr="00B17B76" w:rsidRDefault="003965C3" w:rsidP="003965C3">
      <w:pPr>
        <w:pStyle w:val="SingleTxtG"/>
      </w:pPr>
      <w:r w:rsidRPr="00B17B76">
        <w:t>16.</w:t>
      </w:r>
      <w:r w:rsidRPr="00B17B76">
        <w:tab/>
      </w:r>
      <w:r>
        <w:t xml:space="preserve">Г-н Йорманн (LR) представил дополнительный пункт о финансировании переводов ISGINNT в соответствии с просьбой ЦКСР. Некоторые классификационные общества (BV, DNV и LR) были приглашены к участию в таком финансировании. Группа была проинформирована о том, что все они решили не участвовать в этом </w:t>
      </w:r>
      <w:r w:rsidRPr="003965C3">
        <w:t>проекте</w:t>
      </w:r>
      <w:r>
        <w:t>. Представляется также, что в этих переводах нет реальной необходимости. Данная тема закрыта.</w:t>
      </w:r>
    </w:p>
    <w:p w14:paraId="7E434F83" w14:textId="571CB5A5" w:rsidR="003965C3" w:rsidRPr="00B17B76" w:rsidRDefault="002C6D74" w:rsidP="002C6D74">
      <w:pPr>
        <w:pStyle w:val="H23G"/>
      </w:pPr>
      <w:r>
        <w:tab/>
      </w:r>
      <w:r w:rsidR="003965C3" w:rsidRPr="00B17B76">
        <w:t>c)</w:t>
      </w:r>
      <w:r w:rsidR="003965C3" w:rsidRPr="00B17B76">
        <w:tab/>
      </w:r>
      <w:r w:rsidR="003965C3">
        <w:t>Количество позиций, которым назначена группа взрывоопасности IIB</w:t>
      </w:r>
    </w:p>
    <w:p w14:paraId="774E541D" w14:textId="77777777" w:rsidR="003965C3" w:rsidRPr="00B17B76" w:rsidRDefault="003965C3" w:rsidP="003965C3">
      <w:pPr>
        <w:pStyle w:val="SingleTxtG"/>
      </w:pPr>
      <w:r w:rsidRPr="00B17B76">
        <w:t>17.</w:t>
      </w:r>
      <w:r w:rsidRPr="00B17B76">
        <w:tab/>
      </w:r>
      <w:r>
        <w:t xml:space="preserve">Этот </w:t>
      </w:r>
      <w:r w:rsidRPr="003965C3">
        <w:t>вопрос</w:t>
      </w:r>
      <w:r>
        <w:t xml:space="preserve"> обсуждался в рамках пункта 3 с) повестки дня. </w:t>
      </w:r>
    </w:p>
    <w:p w14:paraId="12FDE2BC" w14:textId="037164D2" w:rsidR="003965C3" w:rsidRPr="00B17B76" w:rsidRDefault="002C6D74" w:rsidP="002C6D74">
      <w:pPr>
        <w:pStyle w:val="H23G"/>
      </w:pPr>
      <w:r>
        <w:lastRenderedPageBreak/>
        <w:tab/>
      </w:r>
      <w:r w:rsidR="003965C3" w:rsidRPr="00B17B76">
        <w:t>d)</w:t>
      </w:r>
      <w:r w:rsidR="003965C3" w:rsidRPr="00B17B76">
        <w:tab/>
      </w:r>
      <w:r w:rsidR="003965C3" w:rsidRPr="002C6D74">
        <w:t>Выборы</w:t>
      </w:r>
      <w:r w:rsidR="003965C3">
        <w:t xml:space="preserve"> председателя группы на период 2023–2024 годов</w:t>
      </w:r>
    </w:p>
    <w:p w14:paraId="30F00610" w14:textId="2EC350E2" w:rsidR="003965C3" w:rsidRPr="003965C3" w:rsidRDefault="003965C3" w:rsidP="003965C3">
      <w:pPr>
        <w:pStyle w:val="SingleTxtG"/>
      </w:pPr>
      <w:r w:rsidRPr="00B17B76">
        <w:t>18.</w:t>
      </w:r>
      <w:r w:rsidRPr="00B17B76">
        <w:tab/>
      </w:r>
      <w:r>
        <w:t xml:space="preserve">Г-н Йорманн (LR) был избран председателем группы на следующие два года </w:t>
      </w:r>
      <w:r w:rsidR="00124664" w:rsidRPr="00124664">
        <w:t>—</w:t>
      </w:r>
      <w:r>
        <w:t xml:space="preserve"> на период 2023–2024 годов.</w:t>
      </w:r>
    </w:p>
    <w:p w14:paraId="03255D65" w14:textId="77777777" w:rsidR="003965C3" w:rsidRPr="00B17B76" w:rsidRDefault="003965C3" w:rsidP="003965C3">
      <w:pPr>
        <w:pStyle w:val="HChG"/>
      </w:pPr>
      <w:r>
        <w:rPr>
          <w:bCs/>
        </w:rPr>
        <w:tab/>
        <w:t>VII.</w:t>
      </w:r>
      <w:r>
        <w:tab/>
      </w:r>
      <w:r>
        <w:rPr>
          <w:bCs/>
        </w:rPr>
        <w:t>Сроки и место проведения следующего совещания</w:t>
      </w:r>
    </w:p>
    <w:p w14:paraId="4B7CAD67" w14:textId="77777777" w:rsidR="003965C3" w:rsidRPr="00B17B76" w:rsidRDefault="003965C3" w:rsidP="003965C3">
      <w:pPr>
        <w:pStyle w:val="SingleTxtG"/>
      </w:pPr>
      <w:r w:rsidRPr="00B17B76">
        <w:t>19.</w:t>
      </w:r>
      <w:r w:rsidRPr="00B17B76">
        <w:tab/>
      </w:r>
      <w:r>
        <w:t xml:space="preserve">Следующее совещание состоится в среду, 22 марта 2023 года. Необходимо принять решение о месте проведения </w:t>
      </w:r>
      <w:r w:rsidRPr="003965C3">
        <w:t>совещания</w:t>
      </w:r>
      <w:r>
        <w:t>, однако предлагается провести его в Брюсселе.</w:t>
      </w:r>
    </w:p>
    <w:p w14:paraId="09152DBA" w14:textId="77777777" w:rsidR="003965C3" w:rsidRDefault="003965C3" w:rsidP="003965C3">
      <w:pPr>
        <w:pStyle w:val="HChG"/>
      </w:pPr>
      <w:r>
        <w:rPr>
          <w:bCs/>
        </w:rPr>
        <w:tab/>
        <w:t>VIII.</w:t>
      </w:r>
      <w:r>
        <w:tab/>
      </w:r>
      <w:r>
        <w:rPr>
          <w:bCs/>
        </w:rPr>
        <w:t>Закрытие совещания</w:t>
      </w:r>
    </w:p>
    <w:p w14:paraId="0C87F2DE" w14:textId="3B878679" w:rsidR="003965C3" w:rsidRPr="00B17B76" w:rsidRDefault="003965C3" w:rsidP="003965C3">
      <w:pPr>
        <w:pStyle w:val="SingleTxtG"/>
      </w:pPr>
      <w:r w:rsidRPr="00B17B76">
        <w:t>20.</w:t>
      </w:r>
      <w:r w:rsidRPr="00B17B76">
        <w:tab/>
      </w:r>
      <w:r>
        <w:t xml:space="preserve">Председатель закрыл совещание в 12 ч 30 </w:t>
      </w:r>
      <w:r w:rsidRPr="003965C3">
        <w:t>мин</w:t>
      </w:r>
      <w:r>
        <w:t xml:space="preserve"> и поблагодарил всех участников за плодотворную работу.</w:t>
      </w:r>
      <w:bookmarkStart w:id="2" w:name="_Hlk119673003"/>
      <w:bookmarkEnd w:id="2"/>
    </w:p>
    <w:p w14:paraId="4D421DC8" w14:textId="5D83CA5D" w:rsidR="00E12C5F" w:rsidRPr="003965C3" w:rsidRDefault="003965C3" w:rsidP="003965C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965C3" w:rsidSect="003965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B286" w14:textId="77777777" w:rsidR="000E1E13" w:rsidRPr="00A312BC" w:rsidRDefault="000E1E13" w:rsidP="00A312BC"/>
  </w:endnote>
  <w:endnote w:type="continuationSeparator" w:id="0">
    <w:p w14:paraId="3C6C341C" w14:textId="77777777" w:rsidR="000E1E13" w:rsidRPr="00A312BC" w:rsidRDefault="000E1E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F74D" w14:textId="7035FC15" w:rsidR="003965C3" w:rsidRPr="003965C3" w:rsidRDefault="003965C3">
    <w:pPr>
      <w:pStyle w:val="a8"/>
    </w:pPr>
    <w:r w:rsidRPr="003965C3">
      <w:rPr>
        <w:b/>
        <w:sz w:val="18"/>
      </w:rPr>
      <w:fldChar w:fldCharType="begin"/>
    </w:r>
    <w:r w:rsidRPr="003965C3">
      <w:rPr>
        <w:b/>
        <w:sz w:val="18"/>
      </w:rPr>
      <w:instrText xml:space="preserve"> PAGE  \* MERGEFORMAT </w:instrText>
    </w:r>
    <w:r w:rsidRPr="003965C3">
      <w:rPr>
        <w:b/>
        <w:sz w:val="18"/>
      </w:rPr>
      <w:fldChar w:fldCharType="separate"/>
    </w:r>
    <w:r w:rsidRPr="003965C3">
      <w:rPr>
        <w:b/>
        <w:noProof/>
        <w:sz w:val="18"/>
      </w:rPr>
      <w:t>2</w:t>
    </w:r>
    <w:r w:rsidRPr="003965C3">
      <w:rPr>
        <w:b/>
        <w:sz w:val="18"/>
      </w:rPr>
      <w:fldChar w:fldCharType="end"/>
    </w:r>
    <w:r>
      <w:rPr>
        <w:b/>
        <w:sz w:val="18"/>
      </w:rPr>
      <w:tab/>
    </w:r>
    <w:r>
      <w:t>GE.22-26455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80C0" w14:textId="355B522A" w:rsidR="003965C3" w:rsidRPr="003965C3" w:rsidRDefault="003965C3" w:rsidP="003965C3">
    <w:pPr>
      <w:pStyle w:val="a8"/>
      <w:tabs>
        <w:tab w:val="clear" w:pos="9639"/>
        <w:tab w:val="right" w:pos="9638"/>
      </w:tabs>
      <w:rPr>
        <w:b/>
        <w:sz w:val="18"/>
      </w:rPr>
    </w:pPr>
    <w:r>
      <w:t>GE.22-26455</w:t>
    </w:r>
    <w:r>
      <w:tab/>
    </w:r>
    <w:r w:rsidRPr="003965C3">
      <w:rPr>
        <w:b/>
        <w:sz w:val="18"/>
      </w:rPr>
      <w:fldChar w:fldCharType="begin"/>
    </w:r>
    <w:r w:rsidRPr="003965C3">
      <w:rPr>
        <w:b/>
        <w:sz w:val="18"/>
      </w:rPr>
      <w:instrText xml:space="preserve"> PAGE  \* MERGEFORMAT </w:instrText>
    </w:r>
    <w:r w:rsidRPr="003965C3">
      <w:rPr>
        <w:b/>
        <w:sz w:val="18"/>
      </w:rPr>
      <w:fldChar w:fldCharType="separate"/>
    </w:r>
    <w:r w:rsidRPr="003965C3">
      <w:rPr>
        <w:b/>
        <w:noProof/>
        <w:sz w:val="18"/>
      </w:rPr>
      <w:t>3</w:t>
    </w:r>
    <w:r w:rsidRPr="003965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8449" w14:textId="3C77C758" w:rsidR="00042B72" w:rsidRPr="003965C3" w:rsidRDefault="003965C3" w:rsidP="003965C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EB81DF" wp14:editId="0540497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22-26455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75783F" wp14:editId="1D9645A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011222  021222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3586" w14:textId="77777777" w:rsidR="000E1E13" w:rsidRPr="001075E9" w:rsidRDefault="000E1E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050DE8" w14:textId="77777777" w:rsidR="000E1E13" w:rsidRDefault="000E1E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7CEE43" w14:textId="77777777" w:rsidR="003965C3" w:rsidRPr="00B17B76" w:rsidRDefault="003965C3" w:rsidP="003965C3">
      <w:pPr>
        <w:pStyle w:val="ad"/>
      </w:pPr>
      <w:r>
        <w:tab/>
        <w:t>*</w:t>
      </w:r>
      <w:r>
        <w:tab/>
        <w:t>Настоящий документ был представлен с</w:t>
      </w:r>
      <w:r w:rsidRPr="00DC28A3">
        <w:t xml:space="preserve"> </w:t>
      </w:r>
      <w:r>
        <w:t>опозданием в связи с непредвиденными обстоятельствами.</w:t>
      </w:r>
    </w:p>
  </w:footnote>
  <w:footnote w:id="2">
    <w:p w14:paraId="11CD6259" w14:textId="77777777" w:rsidR="003965C3" w:rsidRPr="00B17B76" w:rsidRDefault="003965C3" w:rsidP="003965C3">
      <w:pPr>
        <w:pStyle w:val="ad"/>
      </w:pPr>
      <w:r>
        <w:tab/>
        <w:t>**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CCNR-ZKR/ADN/WP.15/AC.2/2023/13.</w:t>
      </w:r>
    </w:p>
  </w:footnote>
  <w:footnote w:id="3">
    <w:p w14:paraId="0F42BA4A" w14:textId="77777777" w:rsidR="003965C3" w:rsidRPr="007D6592" w:rsidRDefault="003965C3" w:rsidP="003965C3">
      <w:pPr>
        <w:pStyle w:val="ad"/>
      </w:pPr>
      <w:r>
        <w:tab/>
        <w:t>***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AAD8" w14:textId="6E5C16FD" w:rsidR="003965C3" w:rsidRPr="003965C3" w:rsidRDefault="003965C3">
    <w:pPr>
      <w:pStyle w:val="a5"/>
    </w:pPr>
    <w:fldSimple w:instr=" TITLE  \* MERGEFORMAT ">
      <w:r>
        <w:t>ECE/TRANS/WP.15/AC.2/2023/13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E7D4" w14:textId="13FCE718" w:rsidR="003965C3" w:rsidRPr="003965C3" w:rsidRDefault="003965C3" w:rsidP="003965C3">
    <w:pPr>
      <w:pStyle w:val="a5"/>
      <w:jc w:val="right"/>
    </w:pPr>
    <w:fldSimple w:instr=" TITLE  \* MERGEFORMAT ">
      <w:r>
        <w:t>ECE/TRANS/WP.15/AC.2/2023/13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5132"/>
        </w:tabs>
        <w:ind w:left="5132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1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18"/>
  </w:num>
  <w:num w:numId="20">
    <w:abstractNumId w:val="14"/>
  </w:num>
  <w:num w:numId="21">
    <w:abstractNumId w:val="16"/>
  </w:num>
  <w:num w:numId="22">
    <w:abstractNumId w:val="17"/>
  </w:num>
  <w:num w:numId="23">
    <w:abstractNumId w:val="21"/>
  </w:num>
  <w:num w:numId="24">
    <w:abstractNumId w:val="10"/>
  </w:num>
  <w:num w:numId="2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3"/>
    <w:rsid w:val="00033EE1"/>
    <w:rsid w:val="00042B72"/>
    <w:rsid w:val="000558BD"/>
    <w:rsid w:val="000B57E7"/>
    <w:rsid w:val="000B6373"/>
    <w:rsid w:val="000E1E13"/>
    <w:rsid w:val="000E4E5B"/>
    <w:rsid w:val="000F09DF"/>
    <w:rsid w:val="000F61B2"/>
    <w:rsid w:val="001075E9"/>
    <w:rsid w:val="00124664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6D74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65C3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ED2E3"/>
  <w15:docId w15:val="{88FF3E6F-58AE-4DFB-9B40-A741CC28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3965C3"/>
    <w:pPr>
      <w:numPr>
        <w:numId w:val="24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3965C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uiPriority w:val="99"/>
    <w:qFormat/>
    <w:locked/>
    <w:rsid w:val="003965C3"/>
    <w:rPr>
      <w:lang w:val="ru-RU" w:eastAsia="en-US"/>
    </w:rPr>
  </w:style>
  <w:style w:type="character" w:customStyle="1" w:styleId="H23GChar">
    <w:name w:val="_ H_2/3_G Char"/>
    <w:link w:val="H23G"/>
    <w:rsid w:val="003965C3"/>
    <w:rPr>
      <w:b/>
      <w:lang w:val="ru-RU" w:eastAsia="ru-RU"/>
    </w:rPr>
  </w:style>
  <w:style w:type="character" w:customStyle="1" w:styleId="HChGChar">
    <w:name w:val="_ H _Ch_G Char"/>
    <w:link w:val="HChG"/>
    <w:rsid w:val="003965C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E151E-6203-4BAE-B8F3-5D062E8F2021}"/>
</file>

<file path=customXml/itemProps2.xml><?xml version="1.0" encoding="utf-8"?>
<ds:datastoreItem xmlns:ds="http://schemas.openxmlformats.org/officeDocument/2006/customXml" ds:itemID="{B8A91B7D-7DAB-499C-9271-5A34CF5070F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1290</Words>
  <Characters>8242</Characters>
  <Application>Microsoft Office Word</Application>
  <DocSecurity>0</DocSecurity>
  <Lines>749</Lines>
  <Paragraphs>317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ECE/TRANS/WP.15/AC.2/2023/13</vt:lpstr>
      <vt:lpstr>A/</vt:lpstr>
      <vt:lpstr>A/</vt:lpstr>
    </vt:vector>
  </TitlesOfParts>
  <Company>DCM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ECE/TRANS/WP.15/AC.2/2023/13</dc:title>
  <dc:subject/>
  <dc:creator>Anna BLAGODATSKIKH</dc:creator>
  <cp:keywords/>
  <cp:lastModifiedBy>Anna Blagodatskikh</cp:lastModifiedBy>
  <cp:revision>2</cp:revision>
  <cp:lastPrinted>2008-01-15T07:58:00Z</cp:lastPrinted>
  <dcterms:created xsi:type="dcterms:W3CDTF">2022-12-02T09:36:00Z</dcterms:created>
  <dcterms:modified xsi:type="dcterms:W3CDTF">2022-12-02T09:36:00Z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