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7B1E99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E6B100" w14:textId="77777777" w:rsidR="00F35BAF" w:rsidRPr="00DB58B5" w:rsidRDefault="00F35BAF" w:rsidP="00B6414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21279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F8967C" w14:textId="71C01B24" w:rsidR="00F35BAF" w:rsidRPr="00DB58B5" w:rsidRDefault="00B64148" w:rsidP="00B64148">
            <w:pPr>
              <w:jc w:val="right"/>
            </w:pPr>
            <w:r w:rsidRPr="00B64148">
              <w:rPr>
                <w:sz w:val="40"/>
              </w:rPr>
              <w:t>ECE</w:t>
            </w:r>
            <w:r>
              <w:t>/TRANS/WP.15/AC.2/2023/13</w:t>
            </w:r>
          </w:p>
        </w:tc>
      </w:tr>
      <w:tr w:rsidR="00F35BAF" w:rsidRPr="00DB58B5" w14:paraId="012104C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5B17D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E7B944B" wp14:editId="45F4EBD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ADEEE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46592D" w14:textId="77777777" w:rsidR="00F35BAF" w:rsidRDefault="00B6414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18387DC" w14:textId="77777777" w:rsidR="00B64148" w:rsidRDefault="00B64148" w:rsidP="00B64148">
            <w:pPr>
              <w:spacing w:line="240" w:lineRule="exact"/>
            </w:pPr>
            <w:r>
              <w:t>22 novembre 2022</w:t>
            </w:r>
          </w:p>
          <w:p w14:paraId="2EAE4D8F" w14:textId="77777777" w:rsidR="00B64148" w:rsidRDefault="00B64148" w:rsidP="00B64148">
            <w:pPr>
              <w:spacing w:line="240" w:lineRule="exact"/>
            </w:pPr>
            <w:r>
              <w:t>Français</w:t>
            </w:r>
          </w:p>
          <w:p w14:paraId="5FB36B1C" w14:textId="531C16BD" w:rsidR="00B64148" w:rsidRPr="00DB58B5" w:rsidRDefault="00B64148" w:rsidP="00B64148">
            <w:pPr>
              <w:spacing w:line="240" w:lineRule="exact"/>
            </w:pPr>
            <w:r>
              <w:t>Original : anglais</w:t>
            </w:r>
          </w:p>
        </w:tc>
      </w:tr>
    </w:tbl>
    <w:p w14:paraId="6AC1774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B09939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943868B" w14:textId="6377829B" w:rsidR="00B64148" w:rsidRPr="00EA5A5E" w:rsidRDefault="00B64148" w:rsidP="00B64148">
      <w:pPr>
        <w:spacing w:before="120"/>
        <w:rPr>
          <w:b/>
          <w:sz w:val="32"/>
          <w:szCs w:val="32"/>
          <w:lang w:val="fr-FR"/>
        </w:rPr>
      </w:pPr>
      <w:r w:rsidRPr="00EA5A5E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EA5A5E">
        <w:rPr>
          <w:b/>
          <w:bCs/>
          <w:sz w:val="24"/>
          <w:szCs w:val="24"/>
          <w:lang w:val="fr-FR"/>
        </w:rPr>
        <w:t>de marchandises dangereuses</w:t>
      </w:r>
    </w:p>
    <w:p w14:paraId="0E8D622F" w14:textId="258187A2" w:rsidR="00B64148" w:rsidRPr="00EA5A5E" w:rsidRDefault="00B64148" w:rsidP="00B64148">
      <w:pPr>
        <w:spacing w:before="120"/>
        <w:rPr>
          <w:b/>
          <w:lang w:val="fr-FR"/>
        </w:rPr>
      </w:pPr>
      <w:r w:rsidRPr="00EA5A5E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EA5A5E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EA5A5E">
        <w:rPr>
          <w:b/>
          <w:bCs/>
          <w:lang w:val="fr-FR"/>
        </w:rPr>
        <w:t xml:space="preserve">Accord </w:t>
      </w:r>
      <w:r>
        <w:rPr>
          <w:b/>
          <w:bCs/>
          <w:lang w:val="fr-FR"/>
        </w:rPr>
        <w:br/>
      </w:r>
      <w:r w:rsidRPr="00EA5A5E">
        <w:rPr>
          <w:b/>
          <w:bCs/>
          <w:lang w:val="fr-FR"/>
        </w:rPr>
        <w:t xml:space="preserve">européen relatif au transport international des marchandises </w:t>
      </w:r>
      <w:r>
        <w:rPr>
          <w:b/>
          <w:bCs/>
          <w:lang w:val="fr-FR"/>
        </w:rPr>
        <w:br/>
      </w:r>
      <w:r w:rsidRPr="00EA5A5E">
        <w:rPr>
          <w:b/>
          <w:bCs/>
          <w:lang w:val="fr-FR"/>
        </w:rPr>
        <w:t>dangereuses par voies de navigation intérieures (ADN)</w:t>
      </w:r>
    </w:p>
    <w:p w14:paraId="60FC56D3" w14:textId="77777777" w:rsidR="00B64148" w:rsidRPr="00EA5A5E" w:rsidRDefault="00B64148" w:rsidP="00B64148">
      <w:pPr>
        <w:rPr>
          <w:b/>
          <w:lang w:val="fr-FR"/>
        </w:rPr>
      </w:pPr>
      <w:r w:rsidRPr="00EA5A5E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EA5A5E">
        <w:rPr>
          <w:b/>
          <w:bCs/>
          <w:lang w:val="fr-FR"/>
        </w:rPr>
        <w:t>ADN)</w:t>
      </w:r>
    </w:p>
    <w:p w14:paraId="4B9BCDDE" w14:textId="77777777" w:rsidR="00B64148" w:rsidRPr="00EA5A5E" w:rsidRDefault="00B64148" w:rsidP="00B64148">
      <w:pPr>
        <w:spacing w:before="120"/>
        <w:rPr>
          <w:b/>
          <w:lang w:val="fr-FR"/>
        </w:rPr>
      </w:pPr>
      <w:r w:rsidRPr="00EA5A5E">
        <w:rPr>
          <w:b/>
          <w:bCs/>
          <w:lang w:val="fr-FR"/>
        </w:rPr>
        <w:t>Quarante et unième session</w:t>
      </w:r>
    </w:p>
    <w:p w14:paraId="3335A919" w14:textId="77777777" w:rsidR="00B64148" w:rsidRPr="00EA5A5E" w:rsidRDefault="00B64148" w:rsidP="00B64148">
      <w:pPr>
        <w:rPr>
          <w:lang w:val="fr-FR"/>
        </w:rPr>
      </w:pPr>
      <w:r w:rsidRPr="00EA5A5E">
        <w:rPr>
          <w:lang w:val="fr-FR"/>
        </w:rPr>
        <w:t>Genève, 23-27 janvier 2023</w:t>
      </w:r>
    </w:p>
    <w:p w14:paraId="2CA4E9B1" w14:textId="77777777" w:rsidR="00B64148" w:rsidRPr="00EA5A5E" w:rsidRDefault="00B64148" w:rsidP="00B64148">
      <w:pPr>
        <w:rPr>
          <w:lang w:val="fr-FR"/>
        </w:rPr>
      </w:pPr>
      <w:r w:rsidRPr="00EA5A5E">
        <w:rPr>
          <w:lang w:val="fr-FR"/>
        </w:rPr>
        <w:t>Point 6 de l</w:t>
      </w:r>
      <w:r>
        <w:rPr>
          <w:lang w:val="fr-FR"/>
        </w:rPr>
        <w:t>’</w:t>
      </w:r>
      <w:r w:rsidRPr="00EA5A5E">
        <w:rPr>
          <w:lang w:val="fr-FR"/>
        </w:rPr>
        <w:t>ordre du jour provisoire</w:t>
      </w:r>
    </w:p>
    <w:p w14:paraId="4DA5FB53" w14:textId="77777777" w:rsidR="00B64148" w:rsidRPr="00EA5A5E" w:rsidRDefault="00B64148" w:rsidP="00B64148">
      <w:pPr>
        <w:rPr>
          <w:b/>
          <w:lang w:val="fr-FR"/>
        </w:rPr>
      </w:pPr>
      <w:r w:rsidRPr="00EA5A5E">
        <w:rPr>
          <w:b/>
          <w:bCs/>
          <w:lang w:val="fr-FR"/>
        </w:rPr>
        <w:t>Rapports des groupes de travail informels</w:t>
      </w:r>
    </w:p>
    <w:p w14:paraId="73A778B0" w14:textId="41F3AE53" w:rsidR="00B64148" w:rsidRPr="00EA5A5E" w:rsidRDefault="00B64148" w:rsidP="00B64148">
      <w:pPr>
        <w:pStyle w:val="HChG"/>
        <w:rPr>
          <w:lang w:val="fr-FR"/>
        </w:rPr>
      </w:pPr>
      <w:r w:rsidRPr="00EA5A5E">
        <w:rPr>
          <w:lang w:val="fr-FR"/>
        </w:rPr>
        <w:tab/>
      </w:r>
      <w:r w:rsidRPr="00EA5A5E">
        <w:rPr>
          <w:lang w:val="fr-FR"/>
        </w:rPr>
        <w:tab/>
        <w:t xml:space="preserve">Rapport du groupe de travail informel des sociétés </w:t>
      </w:r>
      <w:r>
        <w:rPr>
          <w:lang w:val="fr-FR"/>
        </w:rPr>
        <w:br/>
      </w:r>
      <w:r w:rsidRPr="00EA5A5E">
        <w:rPr>
          <w:lang w:val="fr-FR"/>
        </w:rPr>
        <w:t xml:space="preserve">de classification ADN recommandées sur les travaux </w:t>
      </w:r>
      <w:r>
        <w:rPr>
          <w:lang w:val="fr-FR"/>
        </w:rPr>
        <w:br/>
      </w:r>
      <w:r w:rsidRPr="00EA5A5E">
        <w:rPr>
          <w:lang w:val="fr-FR"/>
        </w:rPr>
        <w:t>de sa vingt-quatrième réunion</w:t>
      </w:r>
    </w:p>
    <w:p w14:paraId="7ACDFA76" w14:textId="7C1D0718" w:rsidR="00B64148" w:rsidRPr="00EA5A5E" w:rsidRDefault="00B64148" w:rsidP="00B64148">
      <w:pPr>
        <w:pStyle w:val="H1G"/>
        <w:rPr>
          <w:lang w:val="fr-FR"/>
        </w:rPr>
      </w:pPr>
      <w:r w:rsidRPr="00EA5A5E">
        <w:rPr>
          <w:lang w:val="fr-FR"/>
        </w:rPr>
        <w:tab/>
      </w:r>
      <w:r w:rsidRPr="00EA5A5E">
        <w:rPr>
          <w:lang w:val="fr-FR"/>
        </w:rPr>
        <w:tab/>
        <w:t xml:space="preserve">Communication du groupe de travail informel des sociétés </w:t>
      </w:r>
      <w:r>
        <w:rPr>
          <w:lang w:val="fr-FR"/>
        </w:rPr>
        <w:br/>
      </w:r>
      <w:r w:rsidRPr="00EA5A5E">
        <w:rPr>
          <w:lang w:val="fr-FR"/>
        </w:rPr>
        <w:t>de classification ADN recommandée</w:t>
      </w:r>
      <w:r w:rsidRPr="00B6414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B64148">
        <w:rPr>
          <w:b w:val="0"/>
          <w:sz w:val="20"/>
          <w:vertAlign w:val="superscript"/>
          <w:lang w:val="fr-FR"/>
        </w:rPr>
        <w:t>,</w:t>
      </w:r>
      <w:r w:rsidRPr="00B64148">
        <w:rPr>
          <w:b w:val="0"/>
          <w:sz w:val="20"/>
          <w:vertAlign w:val="superscript"/>
          <w:lang w:val="fr-FR"/>
        </w:rPr>
        <w:t xml:space="preserve"> </w:t>
      </w:r>
      <w:r w:rsidRPr="00B64148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  <w:r w:rsidRPr="00B64148">
        <w:rPr>
          <w:b w:val="0"/>
          <w:bCs/>
          <w:sz w:val="20"/>
          <w:vertAlign w:val="superscript"/>
          <w:lang w:val="fr-FR"/>
        </w:rPr>
        <w:t>,</w:t>
      </w:r>
      <w:r w:rsidRPr="00B64148">
        <w:rPr>
          <w:b w:val="0"/>
          <w:bCs/>
          <w:sz w:val="20"/>
          <w:vertAlign w:val="superscript"/>
          <w:lang w:val="fr-FR"/>
        </w:rPr>
        <w:t xml:space="preserve"> </w:t>
      </w:r>
      <w:r w:rsidRPr="00B64148">
        <w:rPr>
          <w:rStyle w:val="Appelnotedebasdep"/>
          <w:b w:val="0"/>
          <w:bCs/>
          <w:sz w:val="20"/>
          <w:vertAlign w:val="baseline"/>
        </w:rPr>
        <w:footnoteReference w:customMarkFollows="1" w:id="4"/>
        <w:t>***</w:t>
      </w:r>
    </w:p>
    <w:p w14:paraId="4B0E6AE4" w14:textId="77777777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Date : 26 octobre 2022, 9 h 30-12 h 30</w:t>
      </w:r>
    </w:p>
    <w:p w14:paraId="03278792" w14:textId="77777777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Lieu : réunion en ligne sur Microsoft Teams</w:t>
      </w:r>
    </w:p>
    <w:p w14:paraId="1E889E3E" w14:textId="77777777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Participants :</w:t>
      </w:r>
    </w:p>
    <w:p w14:paraId="7A2B7ED3" w14:textId="47E81C23" w:rsidR="00B64148" w:rsidRPr="00EA5A5E" w:rsidRDefault="00B64148" w:rsidP="00B64148">
      <w:pPr>
        <w:pStyle w:val="Bullet2G"/>
        <w:numPr>
          <w:ilvl w:val="0"/>
          <w:numId w:val="0"/>
        </w:numPr>
        <w:tabs>
          <w:tab w:val="left" w:pos="5132"/>
        </w:tabs>
        <w:kinsoku/>
        <w:overflowPunct/>
        <w:autoSpaceDE/>
        <w:autoSpaceDN/>
        <w:adjustRightInd/>
        <w:snapToGrid/>
        <w:ind w:left="1843" w:hanging="142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 xml:space="preserve">Bureau Veritas (BV) : MM. Guy Jacobs et Raffaele </w:t>
      </w:r>
      <w:proofErr w:type="spellStart"/>
      <w:r w:rsidRPr="00EA5A5E">
        <w:rPr>
          <w:lang w:val="fr-FR"/>
        </w:rPr>
        <w:t>Cocito</w:t>
      </w:r>
      <w:proofErr w:type="spellEnd"/>
      <w:r w:rsidRPr="00EA5A5E">
        <w:rPr>
          <w:lang w:val="fr-FR"/>
        </w:rPr>
        <w:t xml:space="preserve"> ;</w:t>
      </w:r>
    </w:p>
    <w:p w14:paraId="71AD4E60" w14:textId="21F17A28" w:rsidR="00B64148" w:rsidRPr="00EA5A5E" w:rsidRDefault="00B64148" w:rsidP="00B64148">
      <w:pPr>
        <w:pStyle w:val="Bullet2G"/>
        <w:numPr>
          <w:ilvl w:val="0"/>
          <w:numId w:val="0"/>
        </w:numPr>
        <w:tabs>
          <w:tab w:val="left" w:pos="5132"/>
        </w:tabs>
        <w:kinsoku/>
        <w:overflowPunct/>
        <w:autoSpaceDE/>
        <w:autoSpaceDN/>
        <w:adjustRightInd/>
        <w:snapToGrid/>
        <w:ind w:left="1843" w:hanging="142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 xml:space="preserve">Registre de la navigation croate (CRS) : MM. Ivan </w:t>
      </w:r>
      <w:proofErr w:type="spellStart"/>
      <w:r w:rsidRPr="00EA5A5E">
        <w:rPr>
          <w:lang w:val="fr-FR"/>
        </w:rPr>
        <w:t>Bilić</w:t>
      </w:r>
      <w:proofErr w:type="spellEnd"/>
      <w:r w:rsidRPr="00EA5A5E">
        <w:rPr>
          <w:lang w:val="fr-FR"/>
        </w:rPr>
        <w:t xml:space="preserve"> </w:t>
      </w:r>
      <w:proofErr w:type="spellStart"/>
      <w:r w:rsidRPr="00EA5A5E">
        <w:rPr>
          <w:lang w:val="fr-FR"/>
        </w:rPr>
        <w:t>Prcić</w:t>
      </w:r>
      <w:proofErr w:type="spellEnd"/>
      <w:r w:rsidRPr="00EA5A5E">
        <w:rPr>
          <w:lang w:val="fr-FR"/>
        </w:rPr>
        <w:t xml:space="preserve"> (Président) et </w:t>
      </w:r>
      <w:proofErr w:type="spellStart"/>
      <w:r w:rsidRPr="00EA5A5E">
        <w:rPr>
          <w:lang w:val="fr-FR"/>
        </w:rPr>
        <w:t>Vedran</w:t>
      </w:r>
      <w:proofErr w:type="spellEnd"/>
      <w:r w:rsidRPr="00EA5A5E">
        <w:rPr>
          <w:lang w:val="fr-FR"/>
        </w:rPr>
        <w:t> </w:t>
      </w:r>
      <w:proofErr w:type="spellStart"/>
      <w:r w:rsidRPr="00EA5A5E">
        <w:rPr>
          <w:lang w:val="fr-FR"/>
        </w:rPr>
        <w:t>Klisarić</w:t>
      </w:r>
      <w:proofErr w:type="spellEnd"/>
      <w:r w:rsidRPr="00EA5A5E">
        <w:rPr>
          <w:lang w:val="fr-FR"/>
        </w:rPr>
        <w:t> ;</w:t>
      </w:r>
    </w:p>
    <w:p w14:paraId="20A49E1B" w14:textId="011F1EE9" w:rsidR="00B64148" w:rsidRPr="00A766DE" w:rsidRDefault="00B64148" w:rsidP="00B64148">
      <w:pPr>
        <w:pStyle w:val="Bullet2G"/>
        <w:numPr>
          <w:ilvl w:val="0"/>
          <w:numId w:val="0"/>
        </w:numPr>
        <w:tabs>
          <w:tab w:val="left" w:pos="5132"/>
        </w:tabs>
        <w:kinsoku/>
        <w:overflowPunct/>
        <w:autoSpaceDE/>
        <w:autoSpaceDN/>
        <w:adjustRightInd/>
        <w:snapToGrid/>
        <w:ind w:left="1843" w:hanging="142"/>
        <w:rPr>
          <w:lang w:val="en-US"/>
        </w:rPr>
      </w:pPr>
      <w:r w:rsidRPr="00A766DE">
        <w:rPr>
          <w:lang w:val="en-US"/>
        </w:rPr>
        <w:t>•</w:t>
      </w:r>
      <w:r w:rsidRPr="00A766DE">
        <w:rPr>
          <w:lang w:val="en-US"/>
        </w:rPr>
        <w:tab/>
      </w:r>
      <w:r w:rsidRPr="00A766DE">
        <w:rPr>
          <w:lang w:val="en-US"/>
        </w:rPr>
        <w:t xml:space="preserve">Det Norske Veritas (DNV) : M. </w:t>
      </w:r>
      <w:proofErr w:type="spellStart"/>
      <w:r w:rsidRPr="00A766DE">
        <w:rPr>
          <w:lang w:val="en-US"/>
        </w:rPr>
        <w:t>Torsten</w:t>
      </w:r>
      <w:proofErr w:type="spellEnd"/>
      <w:r w:rsidRPr="00A766DE">
        <w:rPr>
          <w:lang w:val="en-US"/>
        </w:rPr>
        <w:t xml:space="preserve"> </w:t>
      </w:r>
      <w:proofErr w:type="spellStart"/>
      <w:r w:rsidRPr="00A766DE">
        <w:rPr>
          <w:lang w:val="en-US"/>
        </w:rPr>
        <w:t>Dosdahl</w:t>
      </w:r>
      <w:proofErr w:type="spellEnd"/>
      <w:r w:rsidRPr="00A766DE">
        <w:rPr>
          <w:lang w:val="en-US"/>
        </w:rPr>
        <w:t xml:space="preserve"> ; </w:t>
      </w:r>
    </w:p>
    <w:p w14:paraId="66523491" w14:textId="601E2FDD" w:rsidR="00B64148" w:rsidRPr="00B64148" w:rsidRDefault="00B64148" w:rsidP="00B64148">
      <w:pPr>
        <w:pStyle w:val="Bullet2G"/>
        <w:numPr>
          <w:ilvl w:val="0"/>
          <w:numId w:val="0"/>
        </w:numPr>
        <w:tabs>
          <w:tab w:val="left" w:pos="5132"/>
        </w:tabs>
        <w:kinsoku/>
        <w:overflowPunct/>
        <w:autoSpaceDE/>
        <w:autoSpaceDN/>
        <w:adjustRightInd/>
        <w:snapToGrid/>
        <w:ind w:left="1843" w:hanging="142"/>
        <w:rPr>
          <w:lang w:val="en-US"/>
        </w:rPr>
      </w:pPr>
      <w:r w:rsidRPr="00B64148">
        <w:rPr>
          <w:lang w:val="en-US"/>
        </w:rPr>
        <w:t>•</w:t>
      </w:r>
      <w:r w:rsidRPr="00B64148">
        <w:rPr>
          <w:lang w:val="en-US"/>
        </w:rPr>
        <w:tab/>
      </w:r>
      <w:r w:rsidRPr="00B64148">
        <w:rPr>
          <w:lang w:val="en-US"/>
        </w:rPr>
        <w:t xml:space="preserve">Lloyds Register (LR) : MM. Bas </w:t>
      </w:r>
      <w:proofErr w:type="spellStart"/>
      <w:r w:rsidRPr="00B64148">
        <w:rPr>
          <w:lang w:val="en-US"/>
        </w:rPr>
        <w:t>Joormann</w:t>
      </w:r>
      <w:proofErr w:type="spellEnd"/>
      <w:r w:rsidRPr="00B64148">
        <w:rPr>
          <w:lang w:val="en-US"/>
        </w:rPr>
        <w:t xml:space="preserve"> et Karel </w:t>
      </w:r>
      <w:proofErr w:type="spellStart"/>
      <w:r w:rsidRPr="00B64148">
        <w:rPr>
          <w:lang w:val="en-US"/>
        </w:rPr>
        <w:t>Vinke</w:t>
      </w:r>
      <w:proofErr w:type="spellEnd"/>
      <w:r w:rsidRPr="00B64148">
        <w:rPr>
          <w:lang w:val="en-US"/>
        </w:rPr>
        <w:t> ;</w:t>
      </w:r>
    </w:p>
    <w:p w14:paraId="7AB798CE" w14:textId="5A3C8DF1" w:rsidR="00B64148" w:rsidRPr="00B64148" w:rsidRDefault="00B64148" w:rsidP="00B64148">
      <w:pPr>
        <w:pStyle w:val="Bullet2G"/>
        <w:numPr>
          <w:ilvl w:val="0"/>
          <w:numId w:val="0"/>
        </w:numPr>
        <w:tabs>
          <w:tab w:val="left" w:pos="5132"/>
        </w:tabs>
        <w:kinsoku/>
        <w:overflowPunct/>
        <w:autoSpaceDE/>
        <w:autoSpaceDN/>
        <w:adjustRightInd/>
        <w:snapToGrid/>
        <w:ind w:left="1843" w:hanging="142"/>
        <w:rPr>
          <w:lang w:val="en-US"/>
        </w:rPr>
      </w:pPr>
      <w:r w:rsidRPr="00B64148">
        <w:rPr>
          <w:lang w:val="en-US"/>
        </w:rPr>
        <w:t>•</w:t>
      </w:r>
      <w:r w:rsidRPr="00B64148">
        <w:rPr>
          <w:lang w:val="en-US"/>
        </w:rPr>
        <w:tab/>
      </w:r>
      <w:proofErr w:type="spellStart"/>
      <w:r w:rsidRPr="00B64148">
        <w:rPr>
          <w:lang w:val="en-US"/>
        </w:rPr>
        <w:t>Registro</w:t>
      </w:r>
      <w:proofErr w:type="spellEnd"/>
      <w:r w:rsidRPr="00B64148">
        <w:rPr>
          <w:lang w:val="en-US"/>
        </w:rPr>
        <w:t xml:space="preserve"> </w:t>
      </w:r>
      <w:proofErr w:type="spellStart"/>
      <w:r w:rsidRPr="00B64148">
        <w:rPr>
          <w:lang w:val="en-US"/>
        </w:rPr>
        <w:t>Italiano</w:t>
      </w:r>
      <w:proofErr w:type="spellEnd"/>
      <w:r w:rsidRPr="00B64148">
        <w:rPr>
          <w:lang w:val="en-US"/>
        </w:rPr>
        <w:t xml:space="preserve"> </w:t>
      </w:r>
      <w:proofErr w:type="spellStart"/>
      <w:r w:rsidRPr="00B64148">
        <w:rPr>
          <w:lang w:val="en-US"/>
        </w:rPr>
        <w:t>Navale</w:t>
      </w:r>
      <w:proofErr w:type="spellEnd"/>
      <w:r w:rsidRPr="00B64148">
        <w:rPr>
          <w:lang w:val="en-US"/>
        </w:rPr>
        <w:t xml:space="preserve"> (RINA) : M. Patrizio Di Francesco ;</w:t>
      </w:r>
    </w:p>
    <w:p w14:paraId="706E19E2" w14:textId="62B1CE19" w:rsidR="00B64148" w:rsidRPr="00B64148" w:rsidRDefault="00B64148" w:rsidP="00B64148">
      <w:pPr>
        <w:pStyle w:val="Bullet2G"/>
        <w:numPr>
          <w:ilvl w:val="0"/>
          <w:numId w:val="0"/>
        </w:numPr>
        <w:tabs>
          <w:tab w:val="left" w:pos="5132"/>
        </w:tabs>
        <w:kinsoku/>
        <w:overflowPunct/>
        <w:autoSpaceDE/>
        <w:autoSpaceDN/>
        <w:adjustRightInd/>
        <w:snapToGrid/>
        <w:ind w:left="1843" w:hanging="142"/>
        <w:rPr>
          <w:lang w:val="en-US"/>
        </w:rPr>
      </w:pPr>
      <w:r w:rsidRPr="00B64148">
        <w:rPr>
          <w:lang w:val="en-US"/>
        </w:rPr>
        <w:t>•</w:t>
      </w:r>
      <w:r w:rsidRPr="00B64148">
        <w:rPr>
          <w:lang w:val="en-US"/>
        </w:rPr>
        <w:tab/>
      </w:r>
      <w:proofErr w:type="spellStart"/>
      <w:r w:rsidRPr="00B64148">
        <w:rPr>
          <w:lang w:val="en-US"/>
        </w:rPr>
        <w:t>Registre</w:t>
      </w:r>
      <w:proofErr w:type="spellEnd"/>
      <w:r w:rsidRPr="00B64148">
        <w:rPr>
          <w:lang w:val="en-US"/>
        </w:rPr>
        <w:t xml:space="preserve"> maritime russe (RS) : M. Sergey </w:t>
      </w:r>
      <w:proofErr w:type="spellStart"/>
      <w:r w:rsidRPr="00B64148">
        <w:rPr>
          <w:lang w:val="en-US"/>
        </w:rPr>
        <w:t>Legusha</w:t>
      </w:r>
      <w:proofErr w:type="spellEnd"/>
      <w:r w:rsidRPr="00B64148">
        <w:rPr>
          <w:lang w:val="en-US"/>
        </w:rPr>
        <w:t xml:space="preserve"> ; </w:t>
      </w:r>
    </w:p>
    <w:p w14:paraId="4AE3E777" w14:textId="626BF563" w:rsidR="00B64148" w:rsidRPr="00EA5A5E" w:rsidRDefault="00B64148" w:rsidP="00B64148">
      <w:pPr>
        <w:pStyle w:val="Bullet2G"/>
        <w:numPr>
          <w:ilvl w:val="0"/>
          <w:numId w:val="0"/>
        </w:numPr>
        <w:tabs>
          <w:tab w:val="left" w:pos="5132"/>
        </w:tabs>
        <w:kinsoku/>
        <w:overflowPunct/>
        <w:autoSpaceDE/>
        <w:autoSpaceDN/>
        <w:adjustRightInd/>
        <w:snapToGrid/>
        <w:ind w:left="1843" w:hanging="142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Registre fluvial russe (</w:t>
      </w:r>
      <w:r>
        <w:rPr>
          <w:lang w:val="fr-FR"/>
        </w:rPr>
        <w:t>RCS</w:t>
      </w:r>
      <w:r w:rsidRPr="00EA5A5E">
        <w:rPr>
          <w:lang w:val="fr-FR"/>
        </w:rPr>
        <w:t xml:space="preserve">) : M. Michael </w:t>
      </w:r>
      <w:proofErr w:type="spellStart"/>
      <w:r w:rsidRPr="00EA5A5E">
        <w:rPr>
          <w:lang w:val="fr-FR"/>
        </w:rPr>
        <w:t>Kozin</w:t>
      </w:r>
      <w:proofErr w:type="spellEnd"/>
      <w:r w:rsidRPr="00EA5A5E">
        <w:rPr>
          <w:lang w:val="fr-FR"/>
        </w:rPr>
        <w:t xml:space="preserve"> ;</w:t>
      </w:r>
    </w:p>
    <w:p w14:paraId="24339D85" w14:textId="30C3CBBE" w:rsidR="00B64148" w:rsidRPr="00EA5A5E" w:rsidRDefault="00B64148" w:rsidP="00B64148">
      <w:pPr>
        <w:pStyle w:val="Bullet2G"/>
        <w:numPr>
          <w:ilvl w:val="0"/>
          <w:numId w:val="0"/>
        </w:numPr>
        <w:tabs>
          <w:tab w:val="left" w:pos="5132"/>
        </w:tabs>
        <w:kinsoku/>
        <w:overflowPunct/>
        <w:autoSpaceDE/>
        <w:autoSpaceDN/>
        <w:adjustRightInd/>
        <w:snapToGrid/>
        <w:ind w:left="1843" w:hanging="142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 xml:space="preserve">Registre ukrainien de la navigation (SRU) : M. </w:t>
      </w:r>
      <w:proofErr w:type="spellStart"/>
      <w:r w:rsidRPr="00EA5A5E">
        <w:rPr>
          <w:lang w:val="fr-FR"/>
        </w:rPr>
        <w:t>Mykola</w:t>
      </w:r>
      <w:proofErr w:type="spellEnd"/>
      <w:r w:rsidRPr="00EA5A5E">
        <w:rPr>
          <w:lang w:val="fr-FR"/>
        </w:rPr>
        <w:t xml:space="preserve"> </w:t>
      </w:r>
      <w:proofErr w:type="spellStart"/>
      <w:r w:rsidRPr="00EA5A5E">
        <w:rPr>
          <w:lang w:val="fr-FR"/>
        </w:rPr>
        <w:t>Slozko</w:t>
      </w:r>
      <w:proofErr w:type="spellEnd"/>
      <w:r w:rsidRPr="00EA5A5E">
        <w:rPr>
          <w:lang w:val="fr-FR"/>
        </w:rPr>
        <w:t>.</w:t>
      </w:r>
    </w:p>
    <w:p w14:paraId="6B2EB042" w14:textId="77777777" w:rsidR="00B64148" w:rsidRPr="00EA5A5E" w:rsidRDefault="00B64148" w:rsidP="00B64148">
      <w:pPr>
        <w:pStyle w:val="HChG"/>
        <w:rPr>
          <w:lang w:val="fr-FR"/>
        </w:rPr>
      </w:pPr>
      <w:r>
        <w:rPr>
          <w:bCs/>
          <w:lang w:val="fr-FR"/>
        </w:rPr>
        <w:lastRenderedPageBreak/>
        <w:tab/>
      </w:r>
      <w:r w:rsidRPr="00EA5A5E">
        <w:rPr>
          <w:bCs/>
          <w:lang w:val="fr-FR"/>
        </w:rPr>
        <w:t>I.</w:t>
      </w:r>
      <w:r w:rsidRPr="00EA5A5E">
        <w:rPr>
          <w:lang w:val="fr-FR"/>
        </w:rPr>
        <w:tab/>
      </w:r>
      <w:r w:rsidRPr="00EA5A5E">
        <w:rPr>
          <w:bCs/>
          <w:lang w:val="fr-FR"/>
        </w:rPr>
        <w:t>Ouverture de la réunion</w:t>
      </w:r>
    </w:p>
    <w:p w14:paraId="792CD5F9" w14:textId="05DA7815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1.</w:t>
      </w:r>
      <w:r w:rsidRPr="00EA5A5E">
        <w:rPr>
          <w:lang w:val="fr-FR"/>
        </w:rPr>
        <w:tab/>
      </w:r>
      <w:r w:rsidRPr="00EA5A5E">
        <w:rPr>
          <w:lang w:val="fr-FR"/>
        </w:rPr>
        <w:t>Le Président a souhaité la bienvenue aux participants à cette réunion en ligne. Il a également évoqué l</w:t>
      </w:r>
      <w:r>
        <w:rPr>
          <w:lang w:val="fr-FR"/>
        </w:rPr>
        <w:t>’</w:t>
      </w:r>
      <w:r w:rsidRPr="00EA5A5E">
        <w:rPr>
          <w:lang w:val="fr-FR"/>
        </w:rPr>
        <w:t>absence de l</w:t>
      </w:r>
      <w:r>
        <w:rPr>
          <w:lang w:val="fr-FR"/>
        </w:rPr>
        <w:t>’</w:t>
      </w:r>
      <w:r w:rsidRPr="00EA5A5E">
        <w:rPr>
          <w:lang w:val="fr-FR"/>
        </w:rPr>
        <w:t>observateur du Comité de sécurité de l</w:t>
      </w:r>
      <w:r>
        <w:rPr>
          <w:lang w:val="fr-FR"/>
        </w:rPr>
        <w:t>’</w:t>
      </w:r>
      <w:r w:rsidRPr="00EA5A5E">
        <w:rPr>
          <w:lang w:val="fr-FR"/>
        </w:rPr>
        <w:t xml:space="preserve">ADN. </w:t>
      </w:r>
      <w:r>
        <w:rPr>
          <w:lang w:val="fr-FR"/>
        </w:rPr>
        <w:t>De légères modifications ont été apportées à l’</w:t>
      </w:r>
      <w:r w:rsidRPr="009D14AB">
        <w:rPr>
          <w:lang w:val="fr-FR"/>
        </w:rPr>
        <w:t>ordre du jour</w:t>
      </w:r>
      <w:r>
        <w:rPr>
          <w:lang w:val="fr-FR"/>
        </w:rPr>
        <w:t xml:space="preserve">, qui </w:t>
      </w:r>
      <w:r w:rsidRPr="009D14AB">
        <w:rPr>
          <w:lang w:val="fr-FR"/>
        </w:rPr>
        <w:t xml:space="preserve">a </w:t>
      </w:r>
      <w:r>
        <w:rPr>
          <w:lang w:val="fr-FR"/>
        </w:rPr>
        <w:t xml:space="preserve">ensuite </w:t>
      </w:r>
      <w:r w:rsidRPr="009D14AB">
        <w:rPr>
          <w:lang w:val="fr-FR"/>
        </w:rPr>
        <w:t>été adopté</w:t>
      </w:r>
      <w:r w:rsidRPr="00EA5A5E">
        <w:rPr>
          <w:lang w:val="fr-FR"/>
        </w:rPr>
        <w:t>. LR a proposé d</w:t>
      </w:r>
      <w:r>
        <w:rPr>
          <w:lang w:val="fr-FR"/>
        </w:rPr>
        <w:t>’</w:t>
      </w:r>
      <w:r w:rsidRPr="00EA5A5E">
        <w:rPr>
          <w:lang w:val="fr-FR"/>
        </w:rPr>
        <w:t>ajouter au point 6 le nouveau sujet suivant : Autres questions relatives au financement de la traduction du Guide international de sécurité pour les bateaux-citernes de la navigation intérieure et les terminaux (ISGINTT).</w:t>
      </w:r>
    </w:p>
    <w:p w14:paraId="4819B75B" w14:textId="0FB63952" w:rsidR="00B64148" w:rsidRPr="00EA5A5E" w:rsidRDefault="00B64148" w:rsidP="00B64148">
      <w:pPr>
        <w:pStyle w:val="HCh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II.</w:t>
      </w:r>
      <w:r w:rsidRPr="00EA5A5E">
        <w:rPr>
          <w:lang w:val="fr-FR"/>
        </w:rPr>
        <w:tab/>
        <w:t xml:space="preserve">Rapport sur les travaux de la vingt-troisième réunion, </w:t>
      </w:r>
      <w:r>
        <w:rPr>
          <w:lang w:val="fr-FR"/>
        </w:rPr>
        <w:br/>
      </w:r>
      <w:r w:rsidRPr="00EA5A5E">
        <w:rPr>
          <w:lang w:val="fr-FR"/>
        </w:rPr>
        <w:t>tâches à entreprendre − document 23 IG 10</w:t>
      </w:r>
    </w:p>
    <w:p w14:paraId="1D9BE851" w14:textId="4825A6AF" w:rsidR="00B64148" w:rsidRPr="00EA5A5E" w:rsidRDefault="00B64148" w:rsidP="00B64148">
      <w:pPr>
        <w:pStyle w:val="SingleTxtG"/>
        <w:rPr>
          <w:lang w:val="fr-FR"/>
        </w:rPr>
      </w:pPr>
      <w:bookmarkStart w:id="0" w:name="_Hlk66878600"/>
      <w:r w:rsidRPr="00EA5A5E">
        <w:rPr>
          <w:lang w:val="fr-FR"/>
        </w:rPr>
        <w:t>2.</w:t>
      </w:r>
      <w:r w:rsidRPr="00EA5A5E">
        <w:rPr>
          <w:lang w:val="fr-FR"/>
        </w:rPr>
        <w:tab/>
      </w:r>
      <w:r w:rsidRPr="00EA5A5E">
        <w:rPr>
          <w:lang w:val="fr-FR"/>
        </w:rPr>
        <w:t>La liste des tâches à entreprendre a été examinée.</w:t>
      </w:r>
    </w:p>
    <w:bookmarkEnd w:id="0"/>
    <w:p w14:paraId="012C1F21" w14:textId="77777777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a)</w:t>
      </w:r>
      <w:r w:rsidRPr="00EA5A5E">
        <w:rPr>
          <w:lang w:val="fr-FR"/>
        </w:rPr>
        <w:tab/>
        <w:t>Oxyde de propylène (tâche : LR) − documents 17 IG 02a et 22 IG 02a</w:t>
      </w:r>
    </w:p>
    <w:p w14:paraId="14B2F534" w14:textId="767D835E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3.</w:t>
      </w:r>
      <w:r w:rsidRPr="00EA5A5E">
        <w:rPr>
          <w:lang w:val="fr-FR"/>
        </w:rPr>
        <w:tab/>
      </w:r>
      <w:r w:rsidRPr="00EA5A5E">
        <w:rPr>
          <w:lang w:val="fr-FR"/>
        </w:rPr>
        <w:t>Ce sujet n</w:t>
      </w:r>
      <w:r>
        <w:rPr>
          <w:lang w:val="fr-FR"/>
        </w:rPr>
        <w:t>’était</w:t>
      </w:r>
      <w:r w:rsidRPr="00EA5A5E">
        <w:rPr>
          <w:lang w:val="fr-FR"/>
        </w:rPr>
        <w:t xml:space="preserve"> pas encore clos et restera</w:t>
      </w:r>
      <w:r>
        <w:rPr>
          <w:lang w:val="fr-FR"/>
        </w:rPr>
        <w:t>it</w:t>
      </w:r>
      <w:r w:rsidRPr="00EA5A5E">
        <w:rPr>
          <w:lang w:val="fr-FR"/>
        </w:rPr>
        <w:t xml:space="preserve"> à l</w:t>
      </w:r>
      <w:r>
        <w:rPr>
          <w:lang w:val="fr-FR"/>
        </w:rPr>
        <w:t>’</w:t>
      </w:r>
      <w:r w:rsidRPr="00EA5A5E">
        <w:rPr>
          <w:lang w:val="fr-FR"/>
        </w:rPr>
        <w:t>ordre du jour (tâche : LR).</w:t>
      </w:r>
    </w:p>
    <w:p w14:paraId="307598EB" w14:textId="5CC1B004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b)</w:t>
      </w:r>
      <w:r w:rsidRPr="00EA5A5E">
        <w:rPr>
          <w:lang w:val="fr-FR"/>
        </w:rPr>
        <w:tab/>
      </w:r>
      <w:r w:rsidRPr="00EA5A5E">
        <w:rPr>
          <w:lang w:val="fr-FR"/>
        </w:rPr>
        <w:tab/>
        <w:t xml:space="preserve">Soupapes de dégagement à grande vitesse pour les températures élevées </w:t>
      </w:r>
      <w:r>
        <w:rPr>
          <w:lang w:val="fr-FR"/>
        </w:rPr>
        <w:br/>
      </w:r>
      <w:r w:rsidRPr="00EA5A5E">
        <w:rPr>
          <w:lang w:val="fr-FR"/>
        </w:rPr>
        <w:t>(tâche : BV + RINA) − document 19 IG 02h</w:t>
      </w:r>
    </w:p>
    <w:p w14:paraId="2A784A39" w14:textId="1CFB79D4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4.</w:t>
      </w:r>
      <w:r w:rsidRPr="00EA5A5E">
        <w:rPr>
          <w:lang w:val="fr-FR"/>
        </w:rPr>
        <w:tab/>
      </w:r>
      <w:r w:rsidRPr="00EA5A5E">
        <w:rPr>
          <w:lang w:val="fr-FR"/>
        </w:rPr>
        <w:t>Ce sujet n</w:t>
      </w:r>
      <w:r>
        <w:rPr>
          <w:lang w:val="fr-FR"/>
        </w:rPr>
        <w:t>’</w:t>
      </w:r>
      <w:r w:rsidRPr="00EA5A5E">
        <w:rPr>
          <w:lang w:val="fr-FR"/>
        </w:rPr>
        <w:t>était pas encore clos. L</w:t>
      </w:r>
      <w:r>
        <w:rPr>
          <w:lang w:val="fr-FR"/>
        </w:rPr>
        <w:t>’</w:t>
      </w:r>
      <w:r w:rsidRPr="00EA5A5E">
        <w:rPr>
          <w:lang w:val="fr-FR"/>
        </w:rPr>
        <w:t>évaluation des risques serait organisée par RINA. Les sociétés de classification LR, BV et CRS y participeraient également. DNV envisagerait d</w:t>
      </w:r>
      <w:r>
        <w:rPr>
          <w:lang w:val="fr-FR"/>
        </w:rPr>
        <w:t>’</w:t>
      </w:r>
      <w:r w:rsidRPr="00EA5A5E">
        <w:rPr>
          <w:lang w:val="fr-FR"/>
        </w:rPr>
        <w:t>y participer en fonction de la disponibilité des experts (tâche : RINA+LR/BV/CRS).</w:t>
      </w:r>
    </w:p>
    <w:p w14:paraId="63C43C8B" w14:textId="77777777" w:rsidR="00B64148" w:rsidRPr="00EA5A5E" w:rsidRDefault="00B64148" w:rsidP="00B64148">
      <w:pPr>
        <w:pStyle w:val="H23G"/>
        <w:rPr>
          <w:lang w:val="fr-FR"/>
        </w:rPr>
      </w:pPr>
      <w:r>
        <w:rPr>
          <w:bCs/>
          <w:lang w:val="fr-FR"/>
        </w:rPr>
        <w:tab/>
      </w:r>
      <w:r w:rsidRPr="00EA5A5E">
        <w:rPr>
          <w:bCs/>
          <w:lang w:val="fr-FR"/>
        </w:rPr>
        <w:t>c)</w:t>
      </w:r>
      <w:r w:rsidRPr="00EA5A5E">
        <w:rPr>
          <w:lang w:val="fr-FR"/>
        </w:rPr>
        <w:tab/>
      </w:r>
      <w:r w:rsidRPr="00EA5A5E">
        <w:rPr>
          <w:lang w:val="fr-FR"/>
        </w:rPr>
        <w:tab/>
      </w:r>
      <w:r w:rsidRPr="00EA5A5E">
        <w:rPr>
          <w:bCs/>
          <w:lang w:val="fr-FR"/>
        </w:rPr>
        <w:t>Conformité avec la norme EN ISO/IEC 17020:2012 − document 22 IG 10 − Rapport de la vingt-deuxième réunion 2021-10-29 (2f) et ECE/TRANS/WP.15/AC.2/82, B (58)</w:t>
      </w:r>
    </w:p>
    <w:p w14:paraId="7A537BCB" w14:textId="78562CA4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5.</w:t>
      </w:r>
      <w:r w:rsidRPr="00EA5A5E">
        <w:rPr>
          <w:lang w:val="fr-FR"/>
        </w:rPr>
        <w:tab/>
      </w:r>
      <w:r w:rsidRPr="00EA5A5E">
        <w:rPr>
          <w:lang w:val="fr-FR"/>
        </w:rPr>
        <w:t>Ce sujet n</w:t>
      </w:r>
      <w:r>
        <w:rPr>
          <w:lang w:val="fr-FR"/>
        </w:rPr>
        <w:t>’</w:t>
      </w:r>
      <w:r w:rsidRPr="00EA5A5E">
        <w:rPr>
          <w:lang w:val="fr-FR"/>
        </w:rPr>
        <w:t>était pas encore clos. LR enverrait un projet de document avant la fin de novembre 2022 (tâche : LR).</w:t>
      </w:r>
    </w:p>
    <w:p w14:paraId="6FC1146D" w14:textId="77777777" w:rsidR="00B64148" w:rsidRPr="00EA5A5E" w:rsidRDefault="00B64148" w:rsidP="00B64148">
      <w:pPr>
        <w:pStyle w:val="HCh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III.</w:t>
      </w:r>
      <w:r w:rsidRPr="00EA5A5E">
        <w:rPr>
          <w:lang w:val="fr-FR"/>
        </w:rPr>
        <w:tab/>
        <w:t>Points à retenir de la dernière session du Comité de sécurité de l</w:t>
      </w:r>
      <w:r>
        <w:rPr>
          <w:lang w:val="fr-FR"/>
        </w:rPr>
        <w:t>’</w:t>
      </w:r>
      <w:r w:rsidRPr="00EA5A5E">
        <w:rPr>
          <w:lang w:val="fr-FR"/>
        </w:rPr>
        <w:t>ADN (document ECE/TRANS/WP.15/AC.2/82)</w:t>
      </w:r>
    </w:p>
    <w:p w14:paraId="5D399933" w14:textId="3AF24E94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a)</w:t>
      </w:r>
      <w:r w:rsidRPr="00EA5A5E">
        <w:rPr>
          <w:lang w:val="fr-FR"/>
        </w:rPr>
        <w:tab/>
      </w:r>
      <w:r w:rsidRPr="00EA5A5E">
        <w:rPr>
          <w:lang w:val="fr-FR"/>
        </w:rPr>
        <w:t xml:space="preserve">Liste des interprétations </w:t>
      </w:r>
      <w:r w:rsidR="00FA51BF">
        <w:rPr>
          <w:lang w:val="fr-FR"/>
        </w:rPr>
        <w:t>−</w:t>
      </w:r>
      <w:r w:rsidRPr="00EA5A5E">
        <w:rPr>
          <w:lang w:val="fr-FR"/>
        </w:rPr>
        <w:t xml:space="preserve"> document ECE/TRANS/WP.15/AC.2/82, C, sujet 1 (16), Interprétation de la disposition transitoire 1.6.7.2.2.2 par rapport </w:t>
      </w:r>
      <w:r>
        <w:rPr>
          <w:lang w:val="fr-FR"/>
        </w:rPr>
        <w:br/>
      </w:r>
      <w:r w:rsidRPr="00EA5A5E">
        <w:rPr>
          <w:lang w:val="fr-FR"/>
        </w:rPr>
        <w:t>au 9.3.x.40.2 (ECE/TRANS/WP.15/AC.2/2022/29)</w:t>
      </w:r>
    </w:p>
    <w:p w14:paraId="05B72042" w14:textId="05E5DE61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6.</w:t>
      </w:r>
      <w:r w:rsidRPr="00EA5A5E">
        <w:rPr>
          <w:lang w:val="fr-FR"/>
        </w:rPr>
        <w:tab/>
      </w:r>
      <w:r w:rsidRPr="00EA5A5E">
        <w:rPr>
          <w:lang w:val="fr-FR"/>
        </w:rPr>
        <w:t xml:space="preserve">Le document a été présenté par M. </w:t>
      </w:r>
      <w:proofErr w:type="spellStart"/>
      <w:r w:rsidRPr="00EA5A5E">
        <w:rPr>
          <w:lang w:val="fr-FR"/>
        </w:rPr>
        <w:t>Dosdahl</w:t>
      </w:r>
      <w:proofErr w:type="spellEnd"/>
      <w:r w:rsidRPr="00EA5A5E">
        <w:rPr>
          <w:lang w:val="fr-FR"/>
        </w:rPr>
        <w:t xml:space="preserve"> (DNV) et adopté. Il serait envoyé au Comité de sécurité de l</w:t>
      </w:r>
      <w:r>
        <w:rPr>
          <w:lang w:val="fr-FR"/>
        </w:rPr>
        <w:t>’</w:t>
      </w:r>
      <w:r w:rsidRPr="00EA5A5E">
        <w:rPr>
          <w:lang w:val="fr-FR"/>
        </w:rPr>
        <w:t>ADN pour adoption définitive. Le sujet a été déclaré clos.</w:t>
      </w:r>
    </w:p>
    <w:p w14:paraId="5D5D3893" w14:textId="38FC675D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b)</w:t>
      </w:r>
      <w:r w:rsidRPr="00EA5A5E">
        <w:rPr>
          <w:lang w:val="fr-FR"/>
        </w:rPr>
        <w:tab/>
      </w:r>
      <w:r w:rsidRPr="00EA5A5E">
        <w:rPr>
          <w:lang w:val="fr-FR"/>
        </w:rPr>
        <w:t>Listes d</w:t>
      </w:r>
      <w:r>
        <w:rPr>
          <w:lang w:val="fr-FR"/>
        </w:rPr>
        <w:t>’</w:t>
      </w:r>
      <w:r w:rsidRPr="00EA5A5E">
        <w:rPr>
          <w:lang w:val="fr-FR"/>
        </w:rPr>
        <w:t>interprétations − document ECE/TRANS/WP.15/AC.2/82, C, Sujet 1(17) Interprétation du Règlement annexé à l</w:t>
      </w:r>
      <w:r>
        <w:rPr>
          <w:lang w:val="fr-FR"/>
        </w:rPr>
        <w:t>’</w:t>
      </w:r>
      <w:r w:rsidRPr="00EA5A5E">
        <w:rPr>
          <w:lang w:val="fr-FR"/>
        </w:rPr>
        <w:t>ADN</w:t>
      </w:r>
    </w:p>
    <w:p w14:paraId="5C504CDF" w14:textId="35345A32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7.</w:t>
      </w:r>
      <w:r w:rsidRPr="00EA5A5E">
        <w:rPr>
          <w:lang w:val="fr-FR"/>
        </w:rPr>
        <w:tab/>
      </w:r>
      <w:r w:rsidRPr="00EA5A5E">
        <w:rPr>
          <w:lang w:val="fr-FR"/>
        </w:rPr>
        <w:t>Le Groupe a établi la liste ci-après des interprétations demandées aux précédentes sessions du Comité de sécurité de l</w:t>
      </w:r>
      <w:r>
        <w:rPr>
          <w:lang w:val="fr-FR"/>
        </w:rPr>
        <w:t>’</w:t>
      </w:r>
      <w:r w:rsidRPr="00EA5A5E">
        <w:rPr>
          <w:lang w:val="fr-FR"/>
        </w:rPr>
        <w:t xml:space="preserve">ADN : </w:t>
      </w:r>
    </w:p>
    <w:p w14:paraId="0FA1EF51" w14:textId="508481C6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INF.4 de la dix-neuvième session (août 2011), point 6</w:t>
      </w:r>
      <w:r>
        <w:rPr>
          <w:lang w:val="fr-FR"/>
        </w:rPr>
        <w:t> ;</w:t>
      </w:r>
    </w:p>
    <w:p w14:paraId="5266A3E8" w14:textId="004AFF76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INF.6 de la vingtième session, (janvier 2012), point 6 d) et f)</w:t>
      </w:r>
      <w:r>
        <w:rPr>
          <w:lang w:val="fr-FR"/>
        </w:rPr>
        <w:t> ;</w:t>
      </w:r>
    </w:p>
    <w:p w14:paraId="46AADEF0" w14:textId="588683F9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INF.3 de la vingt et unième session (août 2012), point 6 i)</w:t>
      </w:r>
      <w:r>
        <w:rPr>
          <w:lang w:val="fr-FR"/>
        </w:rPr>
        <w:t> ;</w:t>
      </w:r>
    </w:p>
    <w:p w14:paraId="243766FE" w14:textId="128DA7EB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INF.9 de la vingt-deuxième session (janvier 2013), point 6 a), g), i) et l)</w:t>
      </w:r>
      <w:r>
        <w:rPr>
          <w:lang w:val="fr-FR"/>
        </w:rPr>
        <w:t> ;</w:t>
      </w:r>
    </w:p>
    <w:p w14:paraId="7C76F4E3" w14:textId="2679908F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INF.23 de la vingt-quatrième session (janvier 2014), points</w:t>
      </w:r>
      <w:r w:rsidR="004424AA">
        <w:rPr>
          <w:lang w:val="fr-FR"/>
        </w:rPr>
        <w:t> </w:t>
      </w:r>
      <w:r w:rsidRPr="00EA5A5E">
        <w:rPr>
          <w:lang w:val="fr-FR"/>
        </w:rPr>
        <w:t>2/10, 3/15, 4b/18, 4d/20, 5f/40, 5h/44, 45, 6/48 et 49</w:t>
      </w:r>
      <w:r>
        <w:rPr>
          <w:lang w:val="fr-FR"/>
        </w:rPr>
        <w:t> ;</w:t>
      </w:r>
    </w:p>
    <w:p w14:paraId="7A9DA7C4" w14:textId="2D83A7CF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INF.13 de la vingt-cinquième session (août 2014), paragraphes 4a, 4b et 4c</w:t>
      </w:r>
      <w:r>
        <w:rPr>
          <w:lang w:val="fr-FR"/>
        </w:rPr>
        <w:t> ;</w:t>
      </w:r>
    </w:p>
    <w:p w14:paraId="0D39FB6C" w14:textId="64DDAF28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INF.30 de la vingt-sixième session (janvier 2015)</w:t>
      </w:r>
      <w:r>
        <w:rPr>
          <w:lang w:val="fr-FR"/>
        </w:rPr>
        <w:t> ;</w:t>
      </w:r>
    </w:p>
    <w:p w14:paraId="046F2366" w14:textId="46E4ED19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lastRenderedPageBreak/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INF.5 de la vingt-sixième session (janvier 2015), points 3b et</w:t>
      </w:r>
      <w:r>
        <w:rPr>
          <w:lang w:val="fr-FR"/>
        </w:rPr>
        <w:t> </w:t>
      </w:r>
      <w:r w:rsidRPr="00EA5A5E">
        <w:rPr>
          <w:lang w:val="fr-FR"/>
        </w:rPr>
        <w:t>4b</w:t>
      </w:r>
      <w:r>
        <w:rPr>
          <w:lang w:val="fr-FR"/>
        </w:rPr>
        <w:t> ;</w:t>
      </w:r>
    </w:p>
    <w:p w14:paraId="36ADA645" w14:textId="22592C28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INF.14 de la vingt-huitième session (janvier 2016), partie 2, points 5, 20 et 24</w:t>
      </w:r>
      <w:r>
        <w:rPr>
          <w:lang w:val="fr-FR"/>
        </w:rPr>
        <w:t> ;</w:t>
      </w:r>
    </w:p>
    <w:p w14:paraId="3ED070F8" w14:textId="5B24B8FB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INF.13 de la trentième session (janvier 2017), points 2.7 et</w:t>
      </w:r>
      <w:r>
        <w:rPr>
          <w:lang w:val="fr-FR"/>
        </w:rPr>
        <w:t> </w:t>
      </w:r>
      <w:r w:rsidRPr="00EA5A5E">
        <w:rPr>
          <w:lang w:val="fr-FR"/>
        </w:rPr>
        <w:t>2.8</w:t>
      </w:r>
      <w:r>
        <w:rPr>
          <w:lang w:val="fr-FR"/>
        </w:rPr>
        <w:t> ;</w:t>
      </w:r>
    </w:p>
    <w:p w14:paraId="5D8AB402" w14:textId="63A42657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INF.10 de la trente et unième session (août 2017), points 4 e) et 6</w:t>
      </w:r>
      <w:r>
        <w:rPr>
          <w:lang w:val="fr-FR"/>
        </w:rPr>
        <w:t> ;</w:t>
      </w:r>
    </w:p>
    <w:p w14:paraId="2D28895E" w14:textId="25D94F15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INF.12 de la trente-deuxième session (janvier 2018), partie II, paragraphe 2 h)</w:t>
      </w:r>
      <w:r>
        <w:rPr>
          <w:lang w:val="fr-FR"/>
        </w:rPr>
        <w:t> ;</w:t>
      </w:r>
    </w:p>
    <w:p w14:paraId="072AB06C" w14:textId="2D0F3CDF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INF.4 de la trente-quatrième session (janvier 2019), points</w:t>
      </w:r>
      <w:r w:rsidR="004424AA">
        <w:rPr>
          <w:lang w:val="fr-FR"/>
        </w:rPr>
        <w:t> </w:t>
      </w:r>
      <w:r w:rsidRPr="00EA5A5E">
        <w:rPr>
          <w:lang w:val="fr-FR"/>
        </w:rPr>
        <w:t>4</w:t>
      </w:r>
      <w:r w:rsidR="004424AA">
        <w:rPr>
          <w:lang w:val="fr-FR"/>
        </w:rPr>
        <w:t> </w:t>
      </w:r>
      <w:r w:rsidRPr="00EA5A5E">
        <w:rPr>
          <w:lang w:val="fr-FR"/>
        </w:rPr>
        <w:t>c), d) et f)</w:t>
      </w:r>
      <w:r>
        <w:rPr>
          <w:lang w:val="fr-FR"/>
        </w:rPr>
        <w:t> ;</w:t>
      </w:r>
    </w:p>
    <w:p w14:paraId="0BBEC779" w14:textId="646B70CC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INF.11 de la trente-cinquième session (août 2019), points</w:t>
      </w:r>
      <w:r w:rsidR="004424AA">
        <w:rPr>
          <w:lang w:val="fr-FR"/>
        </w:rPr>
        <w:t> </w:t>
      </w:r>
      <w:r w:rsidRPr="00EA5A5E">
        <w:rPr>
          <w:lang w:val="fr-FR"/>
        </w:rPr>
        <w:t>4</w:t>
      </w:r>
      <w:r w:rsidR="004424AA">
        <w:rPr>
          <w:lang w:val="fr-FR"/>
        </w:rPr>
        <w:t> </w:t>
      </w:r>
      <w:r w:rsidRPr="00EA5A5E">
        <w:rPr>
          <w:lang w:val="fr-FR"/>
        </w:rPr>
        <w:t>c), d), i), k), m) et r)</w:t>
      </w:r>
      <w:r>
        <w:rPr>
          <w:lang w:val="fr-FR"/>
        </w:rPr>
        <w:t> ;</w:t>
      </w:r>
    </w:p>
    <w:p w14:paraId="30F73530" w14:textId="26EF5EEC" w:rsidR="00B64148" w:rsidRPr="00EA5A5E" w:rsidRDefault="00B64148" w:rsidP="00B64148">
      <w:pPr>
        <w:pStyle w:val="Bullet1G"/>
        <w:numPr>
          <w:ilvl w:val="0"/>
          <w:numId w:val="0"/>
        </w:numPr>
        <w:tabs>
          <w:tab w:val="left" w:pos="1985"/>
        </w:tabs>
        <w:kinsoku/>
        <w:overflowPunct/>
        <w:autoSpaceDE/>
        <w:autoSpaceDN/>
        <w:adjustRightInd/>
        <w:snapToGrid/>
        <w:ind w:left="1985" w:hanging="263"/>
        <w:rPr>
          <w:lang w:val="fr-FR"/>
        </w:rPr>
      </w:pPr>
      <w:r w:rsidRPr="00EA5A5E">
        <w:rPr>
          <w:lang w:val="fr-FR"/>
        </w:rPr>
        <w:t>•</w:t>
      </w:r>
      <w:r w:rsidRPr="00EA5A5E">
        <w:rPr>
          <w:lang w:val="fr-FR"/>
        </w:rPr>
        <w:tab/>
      </w:r>
      <w:r w:rsidRPr="00EA5A5E">
        <w:rPr>
          <w:lang w:val="fr-FR"/>
        </w:rPr>
        <w:t>Document informel INF.9 de la trente-sixième session (janvier 2020), points 3 i., 4</w:t>
      </w:r>
      <w:r w:rsidR="004424AA">
        <w:rPr>
          <w:lang w:val="fr-FR"/>
        </w:rPr>
        <w:t> </w:t>
      </w:r>
      <w:r w:rsidRPr="00EA5A5E">
        <w:rPr>
          <w:lang w:val="fr-FR"/>
        </w:rPr>
        <w:t>b et c.</w:t>
      </w:r>
    </w:p>
    <w:p w14:paraId="16C0502D" w14:textId="6FFD9062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8.</w:t>
      </w:r>
      <w:r w:rsidRPr="00EA5A5E">
        <w:rPr>
          <w:lang w:val="fr-FR"/>
        </w:rPr>
        <w:tab/>
      </w:r>
      <w:r w:rsidRPr="00EA5A5E">
        <w:rPr>
          <w:lang w:val="fr-FR"/>
        </w:rPr>
        <w:t>Il a été décidé de vérifier ces documents et d</w:t>
      </w:r>
      <w:r>
        <w:rPr>
          <w:lang w:val="fr-FR"/>
        </w:rPr>
        <w:t>’</w:t>
      </w:r>
      <w:r w:rsidRPr="00EA5A5E">
        <w:rPr>
          <w:lang w:val="fr-FR"/>
        </w:rPr>
        <w:t xml:space="preserve">établir une liste commune. Le CRS rédigerait un document général qui pourrait être complété par les autres. DNV </w:t>
      </w:r>
      <w:r>
        <w:rPr>
          <w:lang w:val="fr-FR"/>
        </w:rPr>
        <w:t>s’est chargé</w:t>
      </w:r>
      <w:r w:rsidRPr="00EA5A5E">
        <w:rPr>
          <w:lang w:val="fr-FR"/>
        </w:rPr>
        <w:t xml:space="preserve"> </w:t>
      </w:r>
      <w:r>
        <w:rPr>
          <w:lang w:val="fr-FR"/>
        </w:rPr>
        <w:t>d</w:t>
      </w:r>
      <w:r w:rsidRPr="00EA5A5E">
        <w:rPr>
          <w:lang w:val="fr-FR"/>
        </w:rPr>
        <w:t xml:space="preserve">es cinq premiers documents (2011-janvier 2014), LR </w:t>
      </w:r>
      <w:r>
        <w:rPr>
          <w:lang w:val="fr-FR"/>
        </w:rPr>
        <w:t>d</w:t>
      </w:r>
      <w:r w:rsidRPr="00EA5A5E">
        <w:rPr>
          <w:lang w:val="fr-FR"/>
        </w:rPr>
        <w:t xml:space="preserve">es documents </w:t>
      </w:r>
      <w:r w:rsidR="004424AA" w:rsidRPr="004424AA">
        <w:rPr>
          <w:rFonts w:eastAsia="MS Mincho"/>
          <w:lang w:val="fr-FR"/>
        </w:rPr>
        <w:t>n</w:t>
      </w:r>
      <w:r w:rsidR="004424AA" w:rsidRPr="004424AA">
        <w:rPr>
          <w:rFonts w:eastAsia="MS Mincho"/>
          <w:vertAlign w:val="superscript"/>
          <w:lang w:val="fr-FR"/>
        </w:rPr>
        <w:t>o</w:t>
      </w:r>
      <w:r w:rsidR="004424AA">
        <w:rPr>
          <w:rFonts w:eastAsia="MS Mincho"/>
          <w:vertAlign w:val="superscript"/>
          <w:lang w:val="fr-FR"/>
        </w:rPr>
        <w:t>s</w:t>
      </w:r>
      <w:r w:rsidR="004424AA">
        <w:rPr>
          <w:lang w:val="fr-FR"/>
        </w:rPr>
        <w:t> </w:t>
      </w:r>
      <w:r w:rsidRPr="00EA5A5E">
        <w:rPr>
          <w:lang w:val="fr-FR"/>
        </w:rPr>
        <w:t xml:space="preserve">6 à 10 (août 2014-janvier 2017), et BV </w:t>
      </w:r>
      <w:r>
        <w:rPr>
          <w:lang w:val="fr-FR"/>
        </w:rPr>
        <w:t>d</w:t>
      </w:r>
      <w:r w:rsidRPr="00EA5A5E">
        <w:rPr>
          <w:lang w:val="fr-FR"/>
        </w:rPr>
        <w:t xml:space="preserve">es documents </w:t>
      </w:r>
      <w:r w:rsidR="004424AA" w:rsidRPr="004424AA">
        <w:rPr>
          <w:rFonts w:eastAsia="MS Mincho"/>
          <w:lang w:val="fr-FR"/>
        </w:rPr>
        <w:t>n</w:t>
      </w:r>
      <w:r w:rsidR="004424AA" w:rsidRPr="004424AA">
        <w:rPr>
          <w:rFonts w:eastAsia="MS Mincho"/>
          <w:vertAlign w:val="superscript"/>
          <w:lang w:val="fr-FR"/>
        </w:rPr>
        <w:t>o</w:t>
      </w:r>
      <w:r w:rsidR="004424AA">
        <w:rPr>
          <w:rFonts w:eastAsia="MS Mincho"/>
          <w:vertAlign w:val="superscript"/>
          <w:lang w:val="fr-FR"/>
        </w:rPr>
        <w:t>s</w:t>
      </w:r>
      <w:r w:rsidR="004424AA">
        <w:rPr>
          <w:lang w:val="fr-FR"/>
        </w:rPr>
        <w:t> </w:t>
      </w:r>
      <w:r w:rsidRPr="00EA5A5E">
        <w:rPr>
          <w:lang w:val="fr-FR"/>
        </w:rPr>
        <w:t xml:space="preserve">11 à 15 (août 2017-2020). BV vérifierait également les rapports qui ne figuraient pas sur la liste. Le CRS organiserait une réunion pour examiner les résultats. </w:t>
      </w:r>
    </w:p>
    <w:p w14:paraId="6AD08ABD" w14:textId="2EC66791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9.</w:t>
      </w:r>
      <w:r w:rsidRPr="00EA5A5E">
        <w:rPr>
          <w:lang w:val="fr-FR"/>
        </w:rPr>
        <w:tab/>
      </w:r>
      <w:r w:rsidRPr="00EA5A5E">
        <w:rPr>
          <w:lang w:val="fr-FR"/>
        </w:rPr>
        <w:t>Le document final serait soumis au Comité de sécurité de l</w:t>
      </w:r>
      <w:r>
        <w:rPr>
          <w:lang w:val="fr-FR"/>
        </w:rPr>
        <w:t>’</w:t>
      </w:r>
      <w:r w:rsidRPr="00EA5A5E">
        <w:rPr>
          <w:lang w:val="fr-FR"/>
        </w:rPr>
        <w:t>ADN pour la session de janvier 2023 (tâche : BV, CRS, DNV et LR).</w:t>
      </w:r>
    </w:p>
    <w:p w14:paraId="5D675DEF" w14:textId="46161D8C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c)</w:t>
      </w:r>
      <w:r w:rsidRPr="00EA5A5E">
        <w:rPr>
          <w:lang w:val="fr-FR"/>
        </w:rPr>
        <w:tab/>
      </w:r>
      <w:r w:rsidRPr="00EA5A5E">
        <w:rPr>
          <w:lang w:val="fr-FR"/>
        </w:rPr>
        <w:t xml:space="preserve">Rapport sur la douzième réunion du groupe de travail informel des matières </w:t>
      </w:r>
      <w:r>
        <w:rPr>
          <w:lang w:val="fr-FR"/>
        </w:rPr>
        <w:t>− </w:t>
      </w:r>
      <w:r w:rsidRPr="00EA5A5E">
        <w:rPr>
          <w:lang w:val="fr-FR"/>
        </w:rPr>
        <w:t xml:space="preserve">Documents informels : INF.12 (Allemagne et CCNR), INF.18 (UER et ESO) </w:t>
      </w:r>
      <w:r>
        <w:rPr>
          <w:lang w:val="fr-FR"/>
        </w:rPr>
        <w:br/>
      </w:r>
      <w:r w:rsidRPr="00EA5A5E">
        <w:rPr>
          <w:lang w:val="fr-FR"/>
        </w:rPr>
        <w:t>de la quarantième session du Comité de sécurité de l</w:t>
      </w:r>
      <w:r>
        <w:rPr>
          <w:lang w:val="fr-FR"/>
        </w:rPr>
        <w:t>’</w:t>
      </w:r>
      <w:r w:rsidRPr="00EA5A5E">
        <w:rPr>
          <w:lang w:val="fr-FR"/>
        </w:rPr>
        <w:t>ADN</w:t>
      </w:r>
    </w:p>
    <w:p w14:paraId="618B7B9B" w14:textId="3EC9CFE4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10.</w:t>
      </w:r>
      <w:r w:rsidRPr="00EA5A5E">
        <w:rPr>
          <w:lang w:val="fr-FR"/>
        </w:rPr>
        <w:tab/>
      </w:r>
      <w:r w:rsidRPr="00EA5A5E">
        <w:rPr>
          <w:lang w:val="fr-FR"/>
        </w:rPr>
        <w:t>Point C : Examen des rubriques du tableau C contenant l</w:t>
      </w:r>
      <w:r>
        <w:rPr>
          <w:lang w:val="fr-FR"/>
        </w:rPr>
        <w:t>’</w:t>
      </w:r>
      <w:r w:rsidRPr="00EA5A5E">
        <w:rPr>
          <w:lang w:val="fr-FR"/>
        </w:rPr>
        <w:t>observation 44</w:t>
      </w:r>
    </w:p>
    <w:p w14:paraId="3F11C4B9" w14:textId="77777777" w:rsidR="00B64148" w:rsidRPr="00EA5A5E" w:rsidRDefault="00B64148" w:rsidP="00B64148">
      <w:pPr>
        <w:pStyle w:val="SingleTxtG"/>
        <w:ind w:left="1701"/>
        <w:rPr>
          <w:lang w:val="fr-FR"/>
        </w:rPr>
      </w:pPr>
      <w:r w:rsidRPr="00EA5A5E">
        <w:rPr>
          <w:lang w:val="fr-FR"/>
        </w:rPr>
        <w:t xml:space="preserve">Le problème était que de nombreuses cargaisons se répétaient dans la liste des cargaisons. M. </w:t>
      </w:r>
      <w:proofErr w:type="spellStart"/>
      <w:r w:rsidRPr="00EA5A5E">
        <w:rPr>
          <w:lang w:val="fr-FR"/>
        </w:rPr>
        <w:t>Vinke</w:t>
      </w:r>
      <w:proofErr w:type="spellEnd"/>
      <w:r w:rsidRPr="00EA5A5E">
        <w:rPr>
          <w:lang w:val="fr-FR"/>
        </w:rPr>
        <w:t xml:space="preserve"> (LR) travaillait sur une nouvelle version de la liste des matières de LR dans laquelle ces doublons étaient évités afin de rendre la liste plus lisible.</w:t>
      </w:r>
    </w:p>
    <w:p w14:paraId="27B4B7C3" w14:textId="77777777" w:rsidR="00B64148" w:rsidRPr="00EA5A5E" w:rsidRDefault="00B64148" w:rsidP="00B64148">
      <w:pPr>
        <w:pStyle w:val="SingleTxtG"/>
        <w:ind w:left="1701"/>
        <w:rPr>
          <w:lang w:val="fr-FR"/>
        </w:rPr>
      </w:pPr>
      <w:r w:rsidRPr="00EA5A5E">
        <w:rPr>
          <w:lang w:val="fr-FR"/>
        </w:rPr>
        <w:t xml:space="preserve">M. </w:t>
      </w:r>
      <w:proofErr w:type="spellStart"/>
      <w:r w:rsidRPr="00EA5A5E">
        <w:rPr>
          <w:lang w:val="fr-FR"/>
        </w:rPr>
        <w:t>Dosdahl</w:t>
      </w:r>
      <w:proofErr w:type="spellEnd"/>
      <w:r w:rsidRPr="00EA5A5E">
        <w:rPr>
          <w:lang w:val="fr-FR"/>
        </w:rPr>
        <w:t xml:space="preserve"> (DNV) a proposé de demander au </w:t>
      </w:r>
      <w:r w:rsidRPr="00B452D2">
        <w:rPr>
          <w:lang w:val="fr-FR"/>
        </w:rPr>
        <w:t>Comité de sécurité de l</w:t>
      </w:r>
      <w:r>
        <w:rPr>
          <w:lang w:val="fr-FR"/>
        </w:rPr>
        <w:t>’</w:t>
      </w:r>
      <w:r w:rsidRPr="00B452D2">
        <w:rPr>
          <w:lang w:val="fr-FR"/>
        </w:rPr>
        <w:t xml:space="preserve">ADN </w:t>
      </w:r>
      <w:r w:rsidRPr="00EA5A5E">
        <w:rPr>
          <w:lang w:val="fr-FR"/>
        </w:rPr>
        <w:t>et au groupe de travail informel des matières de vérifier si le rétablissement du système du tableau C comme il était avant l</w:t>
      </w:r>
      <w:r>
        <w:rPr>
          <w:lang w:val="fr-FR"/>
        </w:rPr>
        <w:t>’</w:t>
      </w:r>
      <w:r w:rsidRPr="00EA5A5E">
        <w:rPr>
          <w:lang w:val="fr-FR"/>
        </w:rPr>
        <w:t xml:space="preserve">introduction des </w:t>
      </w:r>
      <w:r>
        <w:rPr>
          <w:lang w:val="fr-FR"/>
        </w:rPr>
        <w:t>entrées marquées d’un astérisque</w:t>
      </w:r>
      <w:r w:rsidRPr="00EA5A5E">
        <w:rPr>
          <w:lang w:val="fr-FR"/>
        </w:rPr>
        <w:t xml:space="preserve"> serait une solution. DNV et LR élaboreraient un document dans lequel figureraient l</w:t>
      </w:r>
      <w:r>
        <w:rPr>
          <w:lang w:val="fr-FR"/>
        </w:rPr>
        <w:t>’</w:t>
      </w:r>
      <w:r w:rsidRPr="00EA5A5E">
        <w:rPr>
          <w:lang w:val="fr-FR"/>
        </w:rPr>
        <w:t>explication du problème et une nouvelle proposition (tâche</w:t>
      </w:r>
      <w:r>
        <w:rPr>
          <w:lang w:val="fr-FR"/>
        </w:rPr>
        <w:t> :</w:t>
      </w:r>
      <w:r w:rsidRPr="00EA5A5E">
        <w:rPr>
          <w:lang w:val="fr-FR"/>
        </w:rPr>
        <w:t xml:space="preserve"> LR et DNV).</w:t>
      </w:r>
    </w:p>
    <w:p w14:paraId="5AFA836A" w14:textId="569F77F5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11.</w:t>
      </w:r>
      <w:r w:rsidRPr="00EA5A5E">
        <w:rPr>
          <w:lang w:val="fr-FR"/>
        </w:rPr>
        <w:tab/>
      </w:r>
      <w:r w:rsidRPr="00EA5A5E">
        <w:rPr>
          <w:lang w:val="fr-FR"/>
        </w:rPr>
        <w:t>Point H : Observation 37 qui n</w:t>
      </w:r>
      <w:r>
        <w:rPr>
          <w:lang w:val="fr-FR"/>
        </w:rPr>
        <w:t>’</w:t>
      </w:r>
      <w:r w:rsidRPr="00EA5A5E">
        <w:rPr>
          <w:lang w:val="fr-FR"/>
        </w:rPr>
        <w:t>est pas utilisée dans le tableau C.</w:t>
      </w:r>
    </w:p>
    <w:p w14:paraId="57904F99" w14:textId="77777777" w:rsidR="00B64148" w:rsidRPr="00EA5A5E" w:rsidRDefault="00B64148" w:rsidP="00B64148">
      <w:pPr>
        <w:pStyle w:val="SingleTxtG"/>
        <w:ind w:left="1701"/>
        <w:rPr>
          <w:lang w:val="fr-FR"/>
        </w:rPr>
      </w:pPr>
      <w:r w:rsidRPr="00EA5A5E">
        <w:rPr>
          <w:lang w:val="fr-FR"/>
        </w:rPr>
        <w:t xml:space="preserve">Après examen, M. </w:t>
      </w:r>
      <w:proofErr w:type="spellStart"/>
      <w:r w:rsidRPr="00EA5A5E">
        <w:rPr>
          <w:lang w:val="fr-FR"/>
        </w:rPr>
        <w:t>Dosdahl</w:t>
      </w:r>
      <w:proofErr w:type="spellEnd"/>
      <w:r w:rsidRPr="00EA5A5E">
        <w:rPr>
          <w:lang w:val="fr-FR"/>
        </w:rPr>
        <w:t xml:space="preserve"> (DNV) a proposé de laisser l</w:t>
      </w:r>
      <w:r>
        <w:rPr>
          <w:lang w:val="fr-FR"/>
        </w:rPr>
        <w:t>’</w:t>
      </w:r>
      <w:r w:rsidRPr="00EA5A5E">
        <w:rPr>
          <w:lang w:val="fr-FR"/>
        </w:rPr>
        <w:t>observation dans l</w:t>
      </w:r>
      <w:r>
        <w:rPr>
          <w:lang w:val="fr-FR"/>
        </w:rPr>
        <w:t>’</w:t>
      </w:r>
      <w:r w:rsidRPr="00EA5A5E">
        <w:rPr>
          <w:lang w:val="fr-FR"/>
        </w:rPr>
        <w:t>ADN, ce que le Groupe a accepté. Le sujet a été déclaré clos.</w:t>
      </w:r>
    </w:p>
    <w:p w14:paraId="564A9578" w14:textId="05C2EBBF" w:rsidR="00B64148" w:rsidRPr="00EA5A5E" w:rsidRDefault="00B64148" w:rsidP="00B64148">
      <w:pPr>
        <w:pStyle w:val="H23G"/>
        <w:kinsoku/>
        <w:overflowPunct/>
        <w:autoSpaceDE/>
        <w:autoSpaceDN/>
        <w:adjustRightInd/>
        <w:snapToGrid/>
        <w:ind w:left="1129" w:hanging="420"/>
        <w:outlineLvl w:val="9"/>
        <w:rPr>
          <w:lang w:val="fr-FR"/>
        </w:rPr>
      </w:pPr>
      <w:r w:rsidRPr="00EA5A5E">
        <w:rPr>
          <w:lang w:val="fr-FR"/>
        </w:rPr>
        <w:t>d)</w:t>
      </w:r>
      <w:r w:rsidRPr="00EA5A5E">
        <w:rPr>
          <w:lang w:val="fr-FR"/>
        </w:rPr>
        <w:tab/>
      </w:r>
      <w:r w:rsidRPr="00EA5A5E">
        <w:rPr>
          <w:bCs/>
          <w:lang w:val="fr-FR"/>
        </w:rPr>
        <w:t>Révision du 9.3.4 de l</w:t>
      </w:r>
      <w:r>
        <w:rPr>
          <w:bCs/>
          <w:lang w:val="fr-FR"/>
        </w:rPr>
        <w:t>’</w:t>
      </w:r>
      <w:r w:rsidRPr="00EA5A5E">
        <w:rPr>
          <w:bCs/>
          <w:lang w:val="fr-FR"/>
        </w:rPr>
        <w:t xml:space="preserve">ADN </w:t>
      </w:r>
      <w:r w:rsidR="00FA51BF">
        <w:rPr>
          <w:bCs/>
          <w:lang w:val="fr-FR"/>
        </w:rPr>
        <w:t>−</w:t>
      </w:r>
      <w:r w:rsidRPr="00EA5A5E">
        <w:rPr>
          <w:bCs/>
          <w:lang w:val="fr-FR"/>
        </w:rPr>
        <w:t xml:space="preserve"> document ECE/TRANS/WP.15/AC.2/82, IX.</w:t>
      </w:r>
      <w:r w:rsidRPr="00EA5A5E">
        <w:rPr>
          <w:lang w:val="fr-FR"/>
        </w:rPr>
        <w:t xml:space="preserve"> </w:t>
      </w:r>
      <w:r>
        <w:rPr>
          <w:lang w:val="fr-FR"/>
        </w:rPr>
        <w:br/>
      </w:r>
      <w:r w:rsidRPr="00EA5A5E">
        <w:rPr>
          <w:bCs/>
          <w:lang w:val="fr-FR"/>
        </w:rPr>
        <w:t>Questions diverses, sujet A (72 à 75), Document informel INF. 22 (TNO)</w:t>
      </w:r>
    </w:p>
    <w:p w14:paraId="06550439" w14:textId="4E14ED1F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12.</w:t>
      </w:r>
      <w:r w:rsidRPr="00EA5A5E">
        <w:rPr>
          <w:lang w:val="fr-FR"/>
        </w:rPr>
        <w:tab/>
      </w:r>
      <w:r w:rsidRPr="00EA5A5E">
        <w:rPr>
          <w:lang w:val="fr-FR"/>
        </w:rPr>
        <w:t>M. </w:t>
      </w:r>
      <w:proofErr w:type="spellStart"/>
      <w:r w:rsidRPr="00EA5A5E">
        <w:rPr>
          <w:lang w:val="fr-FR"/>
        </w:rPr>
        <w:t>Joormann</w:t>
      </w:r>
      <w:proofErr w:type="spellEnd"/>
      <w:r w:rsidRPr="00EA5A5E">
        <w:rPr>
          <w:lang w:val="fr-FR"/>
        </w:rPr>
        <w:t xml:space="preserve"> (LR) a fait le point sur le projet. Le rapport final a été publié par l</w:t>
      </w:r>
      <w:r>
        <w:rPr>
          <w:lang w:val="fr-FR"/>
        </w:rPr>
        <w:t>’</w:t>
      </w:r>
      <w:r w:rsidRPr="00EA5A5E">
        <w:rPr>
          <w:lang w:val="fr-FR"/>
        </w:rPr>
        <w:t xml:space="preserve">Organisation néerlandaise pour la recherche scientifique appliquée (TNO). </w:t>
      </w:r>
      <w:r>
        <w:rPr>
          <w:lang w:val="fr-FR"/>
        </w:rPr>
        <w:t>Celle-ci</w:t>
      </w:r>
      <w:r w:rsidRPr="00EA5A5E">
        <w:rPr>
          <w:lang w:val="fr-FR"/>
        </w:rPr>
        <w:t xml:space="preserve"> élaborait, pour la prochaine réunion du Comité de sécurité de l</w:t>
      </w:r>
      <w:r>
        <w:rPr>
          <w:lang w:val="fr-FR"/>
        </w:rPr>
        <w:t>’</w:t>
      </w:r>
      <w:r w:rsidRPr="00EA5A5E">
        <w:rPr>
          <w:lang w:val="fr-FR"/>
        </w:rPr>
        <w:t xml:space="preserve">ADN, un document contenant des propositions de modifications concernant les méthodes de calcul décrites à </w:t>
      </w:r>
      <w:r>
        <w:rPr>
          <w:lang w:val="fr-FR"/>
        </w:rPr>
        <w:t xml:space="preserve">la </w:t>
      </w:r>
      <w:r w:rsidRPr="00EA5A5E">
        <w:rPr>
          <w:lang w:val="fr-FR"/>
        </w:rPr>
        <w:t>section</w:t>
      </w:r>
      <w:r>
        <w:rPr>
          <w:lang w:val="fr-FR"/>
        </w:rPr>
        <w:t> </w:t>
      </w:r>
      <w:r w:rsidRPr="00EA5A5E">
        <w:rPr>
          <w:lang w:val="fr-FR"/>
        </w:rPr>
        <w:t>9.3.4. Une enquête avait montré que les citernes à cargaison de plus de 1</w:t>
      </w:r>
      <w:r>
        <w:rPr>
          <w:lang w:val="fr-FR"/>
        </w:rPr>
        <w:t> </w:t>
      </w:r>
      <w:r w:rsidRPr="00EA5A5E">
        <w:rPr>
          <w:lang w:val="fr-FR"/>
        </w:rPr>
        <w:t>000 m</w:t>
      </w:r>
      <w:r w:rsidRPr="00EA5A5E">
        <w:rPr>
          <w:vertAlign w:val="superscript"/>
          <w:lang w:val="fr-FR"/>
        </w:rPr>
        <w:t>3</w:t>
      </w:r>
      <w:r w:rsidRPr="00EA5A5E">
        <w:rPr>
          <w:lang w:val="fr-FR"/>
        </w:rPr>
        <w:t xml:space="preserve"> ne seraient pas souhaitables. Toutefois, cette question pouvait être étudiée plus avant pour le transport du gaz naturel liquéfié.</w:t>
      </w:r>
    </w:p>
    <w:p w14:paraId="068FBA34" w14:textId="77777777" w:rsidR="00B64148" w:rsidRPr="00EA5A5E" w:rsidRDefault="00B64148" w:rsidP="00B64148">
      <w:pPr>
        <w:pStyle w:val="HChG"/>
        <w:rPr>
          <w:lang w:val="fr-FR"/>
        </w:rPr>
      </w:pPr>
      <w:r>
        <w:rPr>
          <w:bCs/>
          <w:lang w:val="fr-FR"/>
        </w:rPr>
        <w:lastRenderedPageBreak/>
        <w:tab/>
      </w:r>
      <w:r w:rsidRPr="00EA5A5E">
        <w:rPr>
          <w:bCs/>
          <w:lang w:val="fr-FR"/>
        </w:rPr>
        <w:t>IV.</w:t>
      </w:r>
      <w:r w:rsidRPr="00EA5A5E">
        <w:rPr>
          <w:lang w:val="fr-FR"/>
        </w:rPr>
        <w:tab/>
      </w:r>
      <w:r w:rsidRPr="00EA5A5E">
        <w:rPr>
          <w:bCs/>
          <w:lang w:val="fr-FR"/>
        </w:rPr>
        <w:t>Questions techniques</w:t>
      </w:r>
    </w:p>
    <w:p w14:paraId="52E718E8" w14:textId="63E616E3" w:rsidR="00B64148" w:rsidRPr="00EA5A5E" w:rsidRDefault="00B64148" w:rsidP="00B64148">
      <w:pPr>
        <w:pStyle w:val="SingleTxtG"/>
        <w:kinsoku/>
        <w:overflowPunct/>
        <w:autoSpaceDE/>
        <w:autoSpaceDN/>
        <w:adjustRightInd/>
        <w:snapToGrid/>
        <w:ind w:left="1701" w:hanging="567"/>
        <w:rPr>
          <w:lang w:val="fr-FR"/>
        </w:rPr>
      </w:pPr>
      <w:r w:rsidRPr="00EA5A5E">
        <w:rPr>
          <w:lang w:val="fr-FR"/>
        </w:rPr>
        <w:t>13.</w:t>
      </w:r>
      <w:r w:rsidRPr="00EA5A5E">
        <w:rPr>
          <w:lang w:val="fr-FR"/>
        </w:rPr>
        <w:tab/>
      </w:r>
      <w:r w:rsidRPr="00EA5A5E">
        <w:rPr>
          <w:lang w:val="fr-FR"/>
        </w:rPr>
        <w:tab/>
        <w:t>Aucune nouvelle question n</w:t>
      </w:r>
      <w:r>
        <w:rPr>
          <w:lang w:val="fr-FR"/>
        </w:rPr>
        <w:t>’</w:t>
      </w:r>
      <w:r w:rsidRPr="00EA5A5E">
        <w:rPr>
          <w:lang w:val="fr-FR"/>
        </w:rPr>
        <w:t>a été soulevée.</w:t>
      </w:r>
    </w:p>
    <w:p w14:paraId="06B36915" w14:textId="13D9AC8F" w:rsidR="00B64148" w:rsidRPr="00EA5A5E" w:rsidRDefault="00B64148" w:rsidP="00B64148">
      <w:pPr>
        <w:pStyle w:val="HChG"/>
        <w:rPr>
          <w:lang w:val="fr-FR"/>
        </w:rPr>
      </w:pPr>
      <w:r>
        <w:rPr>
          <w:bCs/>
          <w:lang w:val="fr-FR"/>
        </w:rPr>
        <w:tab/>
      </w:r>
      <w:r w:rsidRPr="00EA5A5E">
        <w:rPr>
          <w:bCs/>
          <w:lang w:val="fr-FR"/>
        </w:rPr>
        <w:t>V.</w:t>
      </w:r>
      <w:r w:rsidRPr="00EA5A5E">
        <w:rPr>
          <w:lang w:val="fr-FR"/>
        </w:rPr>
        <w:tab/>
      </w:r>
      <w:r w:rsidRPr="00EA5A5E">
        <w:rPr>
          <w:bCs/>
          <w:lang w:val="fr-FR"/>
        </w:rPr>
        <w:t>Échange de données d</w:t>
      </w:r>
      <w:r>
        <w:rPr>
          <w:bCs/>
          <w:lang w:val="fr-FR"/>
        </w:rPr>
        <w:t>’</w:t>
      </w:r>
      <w:r w:rsidRPr="00EA5A5E">
        <w:rPr>
          <w:bCs/>
          <w:lang w:val="fr-FR"/>
        </w:rPr>
        <w:t xml:space="preserve">expérience entre les sociétés </w:t>
      </w:r>
      <w:r>
        <w:rPr>
          <w:bCs/>
          <w:lang w:val="fr-FR"/>
        </w:rPr>
        <w:br/>
      </w:r>
      <w:r w:rsidRPr="00EA5A5E">
        <w:rPr>
          <w:bCs/>
          <w:lang w:val="fr-FR"/>
        </w:rPr>
        <w:t>de classification</w:t>
      </w:r>
    </w:p>
    <w:p w14:paraId="2BD2F437" w14:textId="16F7785F" w:rsidR="00B64148" w:rsidRPr="00EA5A5E" w:rsidRDefault="00B64148" w:rsidP="00B64148">
      <w:pPr>
        <w:pStyle w:val="SingleTxtG"/>
        <w:kinsoku/>
        <w:overflowPunct/>
        <w:autoSpaceDE/>
        <w:autoSpaceDN/>
        <w:adjustRightInd/>
        <w:snapToGrid/>
        <w:ind w:left="1701" w:hanging="567"/>
        <w:rPr>
          <w:lang w:val="fr-FR"/>
        </w:rPr>
      </w:pPr>
      <w:bookmarkStart w:id="1" w:name="_Hlk117145326"/>
      <w:r w:rsidRPr="00EA5A5E">
        <w:rPr>
          <w:lang w:val="fr-FR"/>
        </w:rPr>
        <w:t>14.</w:t>
      </w:r>
      <w:r w:rsidRPr="00EA5A5E">
        <w:rPr>
          <w:lang w:val="fr-FR"/>
        </w:rPr>
        <w:tab/>
      </w:r>
      <w:r w:rsidRPr="00EA5A5E">
        <w:rPr>
          <w:lang w:val="fr-FR"/>
        </w:rPr>
        <w:t>Interprétation des zones de risque d</w:t>
      </w:r>
      <w:r>
        <w:rPr>
          <w:lang w:val="fr-FR"/>
        </w:rPr>
        <w:t>’</w:t>
      </w:r>
      <w:r w:rsidRPr="00EA5A5E">
        <w:rPr>
          <w:lang w:val="fr-FR"/>
        </w:rPr>
        <w:t>explosion dans l</w:t>
      </w:r>
      <w:r>
        <w:rPr>
          <w:lang w:val="fr-FR"/>
        </w:rPr>
        <w:t>’</w:t>
      </w:r>
      <w:r w:rsidRPr="00EA5A5E">
        <w:rPr>
          <w:lang w:val="fr-FR"/>
        </w:rPr>
        <w:t>ADN (Document IG 24 05a)</w:t>
      </w:r>
      <w:bookmarkEnd w:id="1"/>
      <w:r>
        <w:rPr>
          <w:lang w:val="fr-FR"/>
        </w:rPr>
        <w:t>.</w:t>
      </w:r>
    </w:p>
    <w:p w14:paraId="56EFB48D" w14:textId="77777777" w:rsidR="00B64148" w:rsidRPr="00EA5A5E" w:rsidRDefault="00B64148" w:rsidP="00B64148">
      <w:pPr>
        <w:pStyle w:val="SingleTxtG"/>
        <w:ind w:left="1701"/>
        <w:rPr>
          <w:lang w:val="fr-FR"/>
        </w:rPr>
      </w:pPr>
      <w:r w:rsidRPr="00EA5A5E">
        <w:rPr>
          <w:lang w:val="fr-FR"/>
        </w:rPr>
        <w:t xml:space="preserve">M.  </w:t>
      </w:r>
      <w:proofErr w:type="spellStart"/>
      <w:r w:rsidRPr="00EA5A5E">
        <w:rPr>
          <w:lang w:val="fr-FR"/>
        </w:rPr>
        <w:t>Klisaric</w:t>
      </w:r>
      <w:proofErr w:type="spellEnd"/>
      <w:r w:rsidRPr="00EA5A5E">
        <w:rPr>
          <w:lang w:val="fr-FR"/>
        </w:rPr>
        <w:t xml:space="preserve"> (CSR) a présenté le document. Cette question a</w:t>
      </w:r>
      <w:r>
        <w:rPr>
          <w:lang w:val="fr-FR"/>
        </w:rPr>
        <w:t>vait</w:t>
      </w:r>
      <w:r w:rsidRPr="00EA5A5E">
        <w:rPr>
          <w:lang w:val="fr-FR"/>
        </w:rPr>
        <w:t xml:space="preserve"> déjà été examinée lors de l</w:t>
      </w:r>
      <w:r>
        <w:rPr>
          <w:lang w:val="fr-FR"/>
        </w:rPr>
        <w:t>’</w:t>
      </w:r>
      <w:r w:rsidRPr="00EA5A5E">
        <w:rPr>
          <w:lang w:val="fr-FR"/>
        </w:rPr>
        <w:t>introduction des prescriptions relatives aux explosions dans l</w:t>
      </w:r>
      <w:r>
        <w:rPr>
          <w:lang w:val="fr-FR"/>
        </w:rPr>
        <w:t>’</w:t>
      </w:r>
      <w:r w:rsidRPr="00EA5A5E">
        <w:rPr>
          <w:lang w:val="fr-FR"/>
        </w:rPr>
        <w:t>ADN. Les résultats de cet examen seraient vérifiés et communiqués au Groupe (tâche : LR).</w:t>
      </w:r>
    </w:p>
    <w:p w14:paraId="44EE6581" w14:textId="77777777" w:rsidR="00B64148" w:rsidRPr="00EA5A5E" w:rsidRDefault="00B64148" w:rsidP="00B64148">
      <w:pPr>
        <w:pStyle w:val="HChG"/>
        <w:rPr>
          <w:lang w:val="fr-FR"/>
        </w:rPr>
      </w:pPr>
      <w:r>
        <w:rPr>
          <w:bCs/>
          <w:lang w:val="fr-FR"/>
        </w:rPr>
        <w:tab/>
      </w:r>
      <w:r w:rsidRPr="00EA5A5E">
        <w:rPr>
          <w:bCs/>
          <w:lang w:val="fr-FR"/>
        </w:rPr>
        <w:t>VI.</w:t>
      </w:r>
      <w:r w:rsidRPr="00EA5A5E">
        <w:rPr>
          <w:lang w:val="fr-FR"/>
        </w:rPr>
        <w:tab/>
      </w:r>
      <w:r w:rsidRPr="00EA5A5E">
        <w:rPr>
          <w:bCs/>
          <w:lang w:val="fr-FR"/>
        </w:rPr>
        <w:t>Questions diverses</w:t>
      </w:r>
    </w:p>
    <w:p w14:paraId="08B8EF5E" w14:textId="6D9902A6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a)</w:t>
      </w:r>
      <w:r w:rsidRPr="00EA5A5E">
        <w:rPr>
          <w:lang w:val="fr-FR"/>
        </w:rPr>
        <w:tab/>
      </w:r>
      <w:r w:rsidRPr="00EA5A5E">
        <w:rPr>
          <w:lang w:val="fr-FR"/>
        </w:rPr>
        <w:t>Élaboration de la proposition relative à l</w:t>
      </w:r>
      <w:r>
        <w:rPr>
          <w:lang w:val="fr-FR"/>
        </w:rPr>
        <w:t>’</w:t>
      </w:r>
      <w:r w:rsidRPr="00EA5A5E">
        <w:rPr>
          <w:lang w:val="fr-FR"/>
        </w:rPr>
        <w:t xml:space="preserve">utilisation de combustibles </w:t>
      </w:r>
      <w:r w:rsidR="004424AA">
        <w:rPr>
          <w:lang w:val="fr-FR"/>
        </w:rPr>
        <w:br/>
      </w:r>
      <w:r w:rsidRPr="00EA5A5E">
        <w:rPr>
          <w:lang w:val="fr-FR"/>
        </w:rPr>
        <w:t>dont le point d</w:t>
      </w:r>
      <w:r>
        <w:rPr>
          <w:lang w:val="fr-FR"/>
        </w:rPr>
        <w:t>’</w:t>
      </w:r>
      <w:r w:rsidRPr="00EA5A5E">
        <w:rPr>
          <w:lang w:val="fr-FR"/>
        </w:rPr>
        <w:t xml:space="preserve">éclair est bas (LR et EBU) </w:t>
      </w:r>
    </w:p>
    <w:p w14:paraId="39C39309" w14:textId="333AA51C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15.</w:t>
      </w:r>
      <w:r w:rsidRPr="00EA5A5E">
        <w:rPr>
          <w:lang w:val="fr-FR"/>
        </w:rPr>
        <w:tab/>
      </w:r>
      <w:r w:rsidRPr="00EA5A5E">
        <w:rPr>
          <w:lang w:val="fr-FR"/>
        </w:rPr>
        <w:t>M. J</w:t>
      </w:r>
      <w:proofErr w:type="spellStart"/>
      <w:r w:rsidRPr="00EA5A5E">
        <w:rPr>
          <w:lang w:val="fr-FR"/>
        </w:rPr>
        <w:t>oormann</w:t>
      </w:r>
      <w:proofErr w:type="spellEnd"/>
      <w:r w:rsidRPr="00EA5A5E">
        <w:rPr>
          <w:lang w:val="fr-FR"/>
        </w:rPr>
        <w:t xml:space="preserve"> (LR) a fait le point sur le sujet. En coopération avec l</w:t>
      </w:r>
      <w:r>
        <w:rPr>
          <w:lang w:val="fr-FR"/>
        </w:rPr>
        <w:t>’</w:t>
      </w:r>
      <w:r w:rsidRPr="00EA5A5E">
        <w:rPr>
          <w:lang w:val="fr-FR"/>
        </w:rPr>
        <w:t xml:space="preserve">Union européenne de la navigation fluviale (UENF), M. </w:t>
      </w:r>
      <w:proofErr w:type="spellStart"/>
      <w:r w:rsidRPr="00EA5A5E">
        <w:rPr>
          <w:lang w:val="fr-FR"/>
        </w:rPr>
        <w:t>Joormann</w:t>
      </w:r>
      <w:proofErr w:type="spellEnd"/>
      <w:r w:rsidRPr="00EA5A5E">
        <w:rPr>
          <w:lang w:val="fr-FR"/>
        </w:rPr>
        <w:t xml:space="preserve"> (LR) </w:t>
      </w:r>
      <w:r>
        <w:rPr>
          <w:lang w:val="fr-FR"/>
        </w:rPr>
        <w:t xml:space="preserve">était en train de </w:t>
      </w:r>
      <w:r w:rsidRPr="00EA5A5E">
        <w:rPr>
          <w:lang w:val="fr-FR"/>
        </w:rPr>
        <w:t>rédige</w:t>
      </w:r>
      <w:r>
        <w:rPr>
          <w:lang w:val="fr-FR"/>
        </w:rPr>
        <w:t>r</w:t>
      </w:r>
      <w:r w:rsidRPr="00EA5A5E">
        <w:rPr>
          <w:lang w:val="fr-FR"/>
        </w:rPr>
        <w:t xml:space="preserve"> un nouveau document pour le Comité de sécurité de l</w:t>
      </w:r>
      <w:r>
        <w:rPr>
          <w:lang w:val="fr-FR"/>
        </w:rPr>
        <w:t>’</w:t>
      </w:r>
      <w:r w:rsidRPr="00EA5A5E">
        <w:rPr>
          <w:lang w:val="fr-FR"/>
        </w:rPr>
        <w:t xml:space="preserve">ADN. Il semblait que </w:t>
      </w:r>
      <w:r>
        <w:rPr>
          <w:lang w:val="fr-FR"/>
        </w:rPr>
        <w:t xml:space="preserve">celui-ci </w:t>
      </w:r>
      <w:r w:rsidRPr="00EA5A5E">
        <w:rPr>
          <w:lang w:val="fr-FR"/>
        </w:rPr>
        <w:t>avait déjà accepté l</w:t>
      </w:r>
      <w:r>
        <w:rPr>
          <w:lang w:val="fr-FR"/>
        </w:rPr>
        <w:t>’</w:t>
      </w:r>
      <w:r w:rsidRPr="00EA5A5E">
        <w:rPr>
          <w:lang w:val="fr-FR"/>
        </w:rPr>
        <w:t>utilisation de combustibles dont le point d</w:t>
      </w:r>
      <w:r>
        <w:rPr>
          <w:lang w:val="fr-FR"/>
        </w:rPr>
        <w:t>’</w:t>
      </w:r>
      <w:r w:rsidRPr="00EA5A5E">
        <w:rPr>
          <w:lang w:val="fr-FR"/>
        </w:rPr>
        <w:t>éclair est bas pour autant que les prescriptions de l</w:t>
      </w:r>
      <w:r>
        <w:rPr>
          <w:lang w:val="fr-FR"/>
        </w:rPr>
        <w:t>’</w:t>
      </w:r>
      <w:r w:rsidRPr="00EA5A5E">
        <w:rPr>
          <w:lang w:val="fr-FR"/>
        </w:rPr>
        <w:t>annexe 8 du Standard européen établissant les prescriptions techniques des bateaux de navigation intérieure (ES-TRIN) soient respectées. Cette acceptation serait prise en compte dans le document (</w:t>
      </w:r>
      <w:r>
        <w:rPr>
          <w:lang w:val="fr-FR"/>
        </w:rPr>
        <w:t>tâche :</w:t>
      </w:r>
      <w:r w:rsidRPr="00EA5A5E">
        <w:rPr>
          <w:lang w:val="fr-FR"/>
        </w:rPr>
        <w:t xml:space="preserve"> LR).</w:t>
      </w:r>
    </w:p>
    <w:p w14:paraId="1EEC885A" w14:textId="16F91369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b)</w:t>
      </w:r>
      <w:r w:rsidRPr="00EA5A5E">
        <w:rPr>
          <w:lang w:val="fr-FR"/>
        </w:rPr>
        <w:tab/>
      </w:r>
      <w:r w:rsidRPr="00EA5A5E">
        <w:rPr>
          <w:lang w:val="fr-FR"/>
        </w:rPr>
        <w:tab/>
        <w:t xml:space="preserve">Financement de la traduction du Guide international de sécurité </w:t>
      </w:r>
      <w:r w:rsidR="004424AA">
        <w:rPr>
          <w:lang w:val="fr-FR"/>
        </w:rPr>
        <w:br/>
      </w:r>
      <w:r w:rsidRPr="00EA5A5E">
        <w:rPr>
          <w:lang w:val="fr-FR"/>
        </w:rPr>
        <w:t>pour les bateaux-citernes de la navigation intérieure et les terminaux (ISGINTT)</w:t>
      </w:r>
    </w:p>
    <w:p w14:paraId="7337B47E" w14:textId="52141B13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16.</w:t>
      </w:r>
      <w:r w:rsidRPr="00EA5A5E">
        <w:rPr>
          <w:lang w:val="fr-FR"/>
        </w:rPr>
        <w:tab/>
      </w:r>
      <w:r w:rsidRPr="00EA5A5E">
        <w:rPr>
          <w:lang w:val="fr-FR"/>
        </w:rPr>
        <w:t>M. J</w:t>
      </w:r>
      <w:proofErr w:type="spellStart"/>
      <w:r w:rsidRPr="00EA5A5E">
        <w:rPr>
          <w:lang w:val="fr-FR"/>
        </w:rPr>
        <w:t>oormann</w:t>
      </w:r>
      <w:proofErr w:type="spellEnd"/>
      <w:r w:rsidRPr="00EA5A5E">
        <w:rPr>
          <w:lang w:val="fr-FR"/>
        </w:rPr>
        <w:t xml:space="preserve"> (LR) a ajouté un point supplémentaire concernant le financement de la traduction de l</w:t>
      </w:r>
      <w:r>
        <w:rPr>
          <w:lang w:val="fr-FR"/>
        </w:rPr>
        <w:t>’</w:t>
      </w:r>
      <w:r w:rsidRPr="00EA5A5E">
        <w:rPr>
          <w:lang w:val="fr-FR"/>
        </w:rPr>
        <w:t>ISGINTT comme demandé par la Commission centrale pour la navigation du Rhin (CCNR). Certaines sociétés de classification (BV, DNV et LR) ont été sollicitées pour ce financement et le Groupe a été informé qu</w:t>
      </w:r>
      <w:r>
        <w:rPr>
          <w:lang w:val="fr-FR"/>
        </w:rPr>
        <w:t>’</w:t>
      </w:r>
      <w:r w:rsidRPr="00EA5A5E">
        <w:rPr>
          <w:lang w:val="fr-FR"/>
        </w:rPr>
        <w:t>elles avaient toutes décidé de ne pas y contribuer. Il semblait également qu</w:t>
      </w:r>
      <w:r>
        <w:rPr>
          <w:lang w:val="fr-FR"/>
        </w:rPr>
        <w:t>’</w:t>
      </w:r>
      <w:r w:rsidRPr="00EA5A5E">
        <w:rPr>
          <w:lang w:val="fr-FR"/>
        </w:rPr>
        <w:t>il n</w:t>
      </w:r>
      <w:r>
        <w:rPr>
          <w:lang w:val="fr-FR"/>
        </w:rPr>
        <w:t>’</w:t>
      </w:r>
      <w:r w:rsidRPr="00EA5A5E">
        <w:rPr>
          <w:lang w:val="fr-FR"/>
        </w:rPr>
        <w:t>était pas réellement nécessaire de traduire ce document. Le sujet a été déclaré clos.</w:t>
      </w:r>
    </w:p>
    <w:p w14:paraId="3B1430C6" w14:textId="664AED06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c)</w:t>
      </w:r>
      <w:r w:rsidRPr="00EA5A5E">
        <w:rPr>
          <w:lang w:val="fr-FR"/>
        </w:rPr>
        <w:tab/>
      </w:r>
      <w:r w:rsidRPr="00EA5A5E">
        <w:rPr>
          <w:lang w:val="fr-FR"/>
        </w:rPr>
        <w:t>Nombre d</w:t>
      </w:r>
      <w:r>
        <w:rPr>
          <w:lang w:val="fr-FR"/>
        </w:rPr>
        <w:t>’</w:t>
      </w:r>
      <w:r w:rsidRPr="00EA5A5E">
        <w:rPr>
          <w:lang w:val="fr-FR"/>
        </w:rPr>
        <w:t xml:space="preserve">entrées </w:t>
      </w:r>
      <w:r>
        <w:rPr>
          <w:lang w:val="fr-FR"/>
        </w:rPr>
        <w:t>affectées au</w:t>
      </w:r>
      <w:r w:rsidRPr="00EA5A5E">
        <w:rPr>
          <w:lang w:val="fr-FR"/>
        </w:rPr>
        <w:t xml:space="preserve"> groupe d</w:t>
      </w:r>
      <w:r>
        <w:rPr>
          <w:lang w:val="fr-FR"/>
        </w:rPr>
        <w:t>’</w:t>
      </w:r>
      <w:r w:rsidRPr="00EA5A5E">
        <w:rPr>
          <w:lang w:val="fr-FR"/>
        </w:rPr>
        <w:t>explosion II B</w:t>
      </w:r>
    </w:p>
    <w:p w14:paraId="109FDE18" w14:textId="135CEDEF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17.</w:t>
      </w:r>
      <w:r w:rsidRPr="00EA5A5E">
        <w:rPr>
          <w:lang w:val="fr-FR"/>
        </w:rPr>
        <w:tab/>
      </w:r>
      <w:r w:rsidRPr="00EA5A5E">
        <w:rPr>
          <w:lang w:val="fr-FR"/>
        </w:rPr>
        <w:t>Ce sujet a été examiné au titre du point 3 c) de l</w:t>
      </w:r>
      <w:r>
        <w:rPr>
          <w:lang w:val="fr-FR"/>
        </w:rPr>
        <w:t>’</w:t>
      </w:r>
      <w:r w:rsidRPr="00EA5A5E">
        <w:rPr>
          <w:lang w:val="fr-FR"/>
        </w:rPr>
        <w:t xml:space="preserve">ordre du jour. </w:t>
      </w:r>
    </w:p>
    <w:p w14:paraId="6018011B" w14:textId="6373F56A" w:rsidR="00B64148" w:rsidRPr="00EA5A5E" w:rsidRDefault="00B64148" w:rsidP="00B64148">
      <w:pPr>
        <w:pStyle w:val="H23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d)</w:t>
      </w:r>
      <w:r w:rsidRPr="00EA5A5E">
        <w:rPr>
          <w:lang w:val="fr-FR"/>
        </w:rPr>
        <w:tab/>
      </w:r>
      <w:r w:rsidRPr="00EA5A5E">
        <w:rPr>
          <w:lang w:val="fr-FR"/>
        </w:rPr>
        <w:t>Élection du(de la) Président(e) du Groupe pour la période 2023-2024</w:t>
      </w:r>
    </w:p>
    <w:p w14:paraId="13EF401A" w14:textId="5D685262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18.</w:t>
      </w:r>
      <w:r w:rsidRPr="00EA5A5E">
        <w:rPr>
          <w:lang w:val="fr-FR"/>
        </w:rPr>
        <w:tab/>
      </w:r>
      <w:r w:rsidRPr="00EA5A5E">
        <w:rPr>
          <w:lang w:val="fr-FR"/>
        </w:rPr>
        <w:t>M. J</w:t>
      </w:r>
      <w:proofErr w:type="spellStart"/>
      <w:r w:rsidRPr="00EA5A5E">
        <w:rPr>
          <w:lang w:val="fr-FR"/>
        </w:rPr>
        <w:t>oormann</w:t>
      </w:r>
      <w:proofErr w:type="spellEnd"/>
      <w:r w:rsidRPr="00EA5A5E">
        <w:rPr>
          <w:lang w:val="fr-FR"/>
        </w:rPr>
        <w:t xml:space="preserve"> (LR) a été élu à la présidence du Groupe pour la période 2023-2024, soit pour les deux années suivantes.</w:t>
      </w:r>
    </w:p>
    <w:p w14:paraId="5C7AF05F" w14:textId="77777777" w:rsidR="00B64148" w:rsidRPr="00EA5A5E" w:rsidRDefault="00B64148" w:rsidP="00B64148">
      <w:pPr>
        <w:pStyle w:val="HCh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VII.</w:t>
      </w:r>
      <w:r w:rsidRPr="00EA5A5E">
        <w:rPr>
          <w:lang w:val="fr-FR"/>
        </w:rPr>
        <w:tab/>
        <w:t>Date et lieu de la réunion suivante</w:t>
      </w:r>
    </w:p>
    <w:p w14:paraId="73645EED" w14:textId="5CC3C4F8" w:rsidR="00B64148" w:rsidRPr="00EA5A5E" w:rsidRDefault="00B64148" w:rsidP="00B64148">
      <w:pPr>
        <w:pStyle w:val="SingleTxtG"/>
        <w:rPr>
          <w:lang w:val="fr-FR"/>
        </w:rPr>
      </w:pPr>
      <w:r w:rsidRPr="00EA5A5E">
        <w:rPr>
          <w:lang w:val="fr-FR"/>
        </w:rPr>
        <w:t>19.</w:t>
      </w:r>
      <w:r w:rsidRPr="00EA5A5E">
        <w:rPr>
          <w:lang w:val="fr-FR"/>
        </w:rPr>
        <w:tab/>
      </w:r>
      <w:r w:rsidRPr="00EA5A5E">
        <w:rPr>
          <w:lang w:val="fr-FR"/>
        </w:rPr>
        <w:t>La réunion suivante se tiendra le mercredi 22 mars 2023. Le lieu reste à déterminer, mais il est proposé d</w:t>
      </w:r>
      <w:r>
        <w:rPr>
          <w:lang w:val="fr-FR"/>
        </w:rPr>
        <w:t>’</w:t>
      </w:r>
      <w:r w:rsidRPr="00EA5A5E">
        <w:rPr>
          <w:lang w:val="fr-FR"/>
        </w:rPr>
        <w:t>organiser la réunion à Bruxelles.</w:t>
      </w:r>
    </w:p>
    <w:p w14:paraId="6C9A91F2" w14:textId="77777777" w:rsidR="00B64148" w:rsidRPr="00EA5A5E" w:rsidRDefault="00B64148" w:rsidP="00B64148">
      <w:pPr>
        <w:pStyle w:val="HChG"/>
        <w:rPr>
          <w:lang w:val="fr-FR"/>
        </w:rPr>
      </w:pPr>
      <w:r>
        <w:rPr>
          <w:lang w:val="fr-FR"/>
        </w:rPr>
        <w:tab/>
      </w:r>
      <w:r w:rsidRPr="00EA5A5E">
        <w:rPr>
          <w:lang w:val="fr-FR"/>
        </w:rPr>
        <w:t>VIII.</w:t>
      </w:r>
      <w:r w:rsidRPr="00EA5A5E">
        <w:rPr>
          <w:lang w:val="fr-FR"/>
        </w:rPr>
        <w:tab/>
        <w:t>Clôture</w:t>
      </w:r>
    </w:p>
    <w:p w14:paraId="1EAA4B97" w14:textId="17E170A2" w:rsidR="00F9573C" w:rsidRDefault="00B64148" w:rsidP="00B64148">
      <w:pPr>
        <w:pStyle w:val="SingleTxtG"/>
        <w:rPr>
          <w:lang w:val="fr-FR"/>
        </w:rPr>
      </w:pPr>
      <w:r>
        <w:rPr>
          <w:lang w:val="fr-FR"/>
        </w:rPr>
        <w:t>20.</w:t>
      </w:r>
      <w:r>
        <w:rPr>
          <w:lang w:val="fr-FR"/>
        </w:rPr>
        <w:tab/>
      </w:r>
      <w:r w:rsidRPr="00EA5A5E">
        <w:rPr>
          <w:lang w:val="fr-FR"/>
        </w:rPr>
        <w:t>Le Président a clos la réunion à 12 h 30 et remercié tous les participants pour les échanges fructueux.</w:t>
      </w:r>
    </w:p>
    <w:p w14:paraId="3EAAB711" w14:textId="2F802E28" w:rsidR="00B64148" w:rsidRPr="00B64148" w:rsidRDefault="00B64148" w:rsidP="00B64148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4148" w:rsidRPr="00B64148" w:rsidSect="00B641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A8E0" w14:textId="77777777" w:rsidR="003D3126" w:rsidRDefault="003D3126" w:rsidP="00F95C08">
      <w:pPr>
        <w:spacing w:line="240" w:lineRule="auto"/>
      </w:pPr>
    </w:p>
  </w:endnote>
  <w:endnote w:type="continuationSeparator" w:id="0">
    <w:p w14:paraId="402B0026" w14:textId="77777777" w:rsidR="003D3126" w:rsidRPr="00AC3823" w:rsidRDefault="003D3126" w:rsidP="00AC3823">
      <w:pPr>
        <w:pStyle w:val="Pieddepage"/>
      </w:pPr>
    </w:p>
  </w:endnote>
  <w:endnote w:type="continuationNotice" w:id="1">
    <w:p w14:paraId="53FBF6F4" w14:textId="77777777" w:rsidR="003D3126" w:rsidRDefault="003D31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CF70" w14:textId="6F604591" w:rsidR="00B64148" w:rsidRPr="00B64148" w:rsidRDefault="00B64148" w:rsidP="00B64148">
    <w:pPr>
      <w:pStyle w:val="Pieddepage"/>
      <w:tabs>
        <w:tab w:val="right" w:pos="9638"/>
      </w:tabs>
    </w:pPr>
    <w:r w:rsidRPr="00B64148">
      <w:rPr>
        <w:b/>
        <w:sz w:val="18"/>
      </w:rPr>
      <w:fldChar w:fldCharType="begin"/>
    </w:r>
    <w:r w:rsidRPr="00B64148">
      <w:rPr>
        <w:b/>
        <w:sz w:val="18"/>
      </w:rPr>
      <w:instrText xml:space="preserve"> PAGE  \* MERGEFORMAT </w:instrText>
    </w:r>
    <w:r w:rsidRPr="00B64148">
      <w:rPr>
        <w:b/>
        <w:sz w:val="18"/>
      </w:rPr>
      <w:fldChar w:fldCharType="separate"/>
    </w:r>
    <w:r w:rsidRPr="00B64148">
      <w:rPr>
        <w:b/>
        <w:noProof/>
        <w:sz w:val="18"/>
      </w:rPr>
      <w:t>2</w:t>
    </w:r>
    <w:r w:rsidRPr="00B64148">
      <w:rPr>
        <w:b/>
        <w:sz w:val="18"/>
      </w:rPr>
      <w:fldChar w:fldCharType="end"/>
    </w:r>
    <w:r>
      <w:rPr>
        <w:b/>
        <w:sz w:val="18"/>
      </w:rPr>
      <w:tab/>
    </w:r>
    <w:r>
      <w:t>GE.22-26455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94D8" w14:textId="4483D103" w:rsidR="00B64148" w:rsidRPr="00B64148" w:rsidRDefault="00B64148" w:rsidP="00B64148">
    <w:pPr>
      <w:pStyle w:val="Pieddepage"/>
      <w:tabs>
        <w:tab w:val="right" w:pos="9638"/>
      </w:tabs>
      <w:rPr>
        <w:b/>
        <w:sz w:val="18"/>
      </w:rPr>
    </w:pPr>
    <w:r>
      <w:t>GE.22-26455</w:t>
    </w:r>
    <w:r>
      <w:tab/>
    </w:r>
    <w:r w:rsidRPr="00B64148">
      <w:rPr>
        <w:b/>
        <w:sz w:val="18"/>
      </w:rPr>
      <w:fldChar w:fldCharType="begin"/>
    </w:r>
    <w:r w:rsidRPr="00B64148">
      <w:rPr>
        <w:b/>
        <w:sz w:val="18"/>
      </w:rPr>
      <w:instrText xml:space="preserve"> PAGE  \* MERGEFORMAT </w:instrText>
    </w:r>
    <w:r w:rsidRPr="00B64148">
      <w:rPr>
        <w:b/>
        <w:sz w:val="18"/>
      </w:rPr>
      <w:fldChar w:fldCharType="separate"/>
    </w:r>
    <w:r w:rsidRPr="00B64148">
      <w:rPr>
        <w:b/>
        <w:noProof/>
        <w:sz w:val="18"/>
      </w:rPr>
      <w:t>3</w:t>
    </w:r>
    <w:r w:rsidRPr="00B641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7CA4" w14:textId="3B8033B3" w:rsidR="007F20FA" w:rsidRPr="00B64148" w:rsidRDefault="00B64148" w:rsidP="00B6414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7AAD2D7" wp14:editId="232C2FA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22-26455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1109D2" wp14:editId="3C2B59A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170123    170123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8FB2" w14:textId="77777777" w:rsidR="003D3126" w:rsidRPr="00AC3823" w:rsidRDefault="003D31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06E072" w14:textId="77777777" w:rsidR="003D3126" w:rsidRPr="00AC3823" w:rsidRDefault="003D31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5D7B7D" w14:textId="77777777" w:rsidR="003D3126" w:rsidRPr="00AC3823" w:rsidRDefault="003D3126">
      <w:pPr>
        <w:spacing w:line="240" w:lineRule="auto"/>
        <w:rPr>
          <w:sz w:val="2"/>
          <w:szCs w:val="2"/>
        </w:rPr>
      </w:pPr>
    </w:p>
  </w:footnote>
  <w:footnote w:id="2">
    <w:p w14:paraId="5ACCD938" w14:textId="266903AC" w:rsidR="00B64148" w:rsidRPr="00B64148" w:rsidRDefault="00B64148">
      <w:pPr>
        <w:pStyle w:val="Notedebasdepage"/>
      </w:pPr>
      <w:r>
        <w:rPr>
          <w:rStyle w:val="Appelnotedebasdep"/>
        </w:rPr>
        <w:tab/>
      </w:r>
      <w:r w:rsidRPr="00B6414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 présent document a été soumis tardivement en raison de circonstances imprévues.</w:t>
      </w:r>
    </w:p>
  </w:footnote>
  <w:footnote w:id="3">
    <w:p w14:paraId="6EE4A2C4" w14:textId="53A1EBA8" w:rsidR="00B64148" w:rsidRPr="00B64148" w:rsidRDefault="00B64148">
      <w:pPr>
        <w:pStyle w:val="Notedebasdepage"/>
      </w:pPr>
      <w:r>
        <w:rPr>
          <w:rStyle w:val="Appelnotedebasdep"/>
        </w:rPr>
        <w:tab/>
      </w:r>
      <w:r w:rsidRPr="00B64148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 en allemand par la Commission centrale pour la navigation du Rhin sous la cote CCNR</w:t>
      </w:r>
      <w:r w:rsidR="00B24C87">
        <w:rPr>
          <w:lang w:val="fr-FR"/>
        </w:rPr>
        <w:noBreakHyphen/>
      </w:r>
      <w:r>
        <w:rPr>
          <w:lang w:val="fr-FR"/>
        </w:rPr>
        <w:t>ZKR/ADN/WP.15/AC.2/2023/13.</w:t>
      </w:r>
    </w:p>
  </w:footnote>
  <w:footnote w:id="4">
    <w:p w14:paraId="00A60F65" w14:textId="7AF1221A" w:rsidR="00B64148" w:rsidRPr="00B64148" w:rsidRDefault="00B64148">
      <w:pPr>
        <w:pStyle w:val="Notedebasdepage"/>
      </w:pPr>
      <w:r>
        <w:rPr>
          <w:rStyle w:val="Appelnotedebasdep"/>
        </w:rPr>
        <w:tab/>
      </w:r>
      <w:r w:rsidRPr="00B64148">
        <w:rPr>
          <w:rStyle w:val="Appelnotedebasdep"/>
          <w:sz w:val="20"/>
          <w:vertAlign w:val="baseline"/>
        </w:rPr>
        <w:t>***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A/76/6 (Sect. 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622E" w14:textId="061BDCDE" w:rsidR="00B64148" w:rsidRPr="00B64148" w:rsidRDefault="00B64148">
    <w:pPr>
      <w:pStyle w:val="En-tte"/>
    </w:pPr>
    <w:fldSimple w:instr=" TITLE  \* MERGEFORMAT ">
      <w:r w:rsidR="004B3214">
        <w:t>ECE/TRANS/WP.15/AC.2/2023/13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E404" w14:textId="50D49ACB" w:rsidR="00B64148" w:rsidRPr="00B64148" w:rsidRDefault="00B64148" w:rsidP="00B64148">
    <w:pPr>
      <w:pStyle w:val="En-tte"/>
      <w:jc w:val="right"/>
    </w:pPr>
    <w:fldSimple w:instr=" TITLE  \* MERGEFORMAT ">
      <w:r w:rsidR="004B3214">
        <w:t>ECE/TRANS/WP.15/AC.2/2023/13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53A00"/>
    <w:multiLevelType w:val="hybridMultilevel"/>
    <w:tmpl w:val="C84CA3DC"/>
    <w:lvl w:ilvl="0" w:tplc="280C0017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HCh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07D481F"/>
    <w:multiLevelType w:val="hybridMultilevel"/>
    <w:tmpl w:val="49A0F926"/>
    <w:lvl w:ilvl="0" w:tplc="52167BF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H1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37F28"/>
    <w:multiLevelType w:val="hybridMultilevel"/>
    <w:tmpl w:val="2AAED6DC"/>
    <w:lvl w:ilvl="0" w:tplc="280C0017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16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2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D3126"/>
    <w:rsid w:val="00421996"/>
    <w:rsid w:val="00441C3B"/>
    <w:rsid w:val="004424AA"/>
    <w:rsid w:val="00446FE5"/>
    <w:rsid w:val="00452396"/>
    <w:rsid w:val="00477EB2"/>
    <w:rsid w:val="004837D8"/>
    <w:rsid w:val="004B3214"/>
    <w:rsid w:val="004E2EED"/>
    <w:rsid w:val="004E468C"/>
    <w:rsid w:val="005505B7"/>
    <w:rsid w:val="00573BE5"/>
    <w:rsid w:val="00586ED3"/>
    <w:rsid w:val="00596AA9"/>
    <w:rsid w:val="006E240D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4C87"/>
    <w:rsid w:val="00B45F2E"/>
    <w:rsid w:val="00B64148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1E481"/>
  <w15:docId w15:val="{1A466FF9-E526-470F-B20A-4D421DB3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6414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B6414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23GChar">
    <w:name w:val="_ H_2/3_G Char"/>
    <w:link w:val="H23G"/>
    <w:rsid w:val="00B64148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HChGChar">
    <w:name w:val="_ H _Ch_G Char"/>
    <w:link w:val="HChG"/>
    <w:rsid w:val="00B6414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F4D96-E37F-4743-BA78-0603FE885B5B}"/>
</file>

<file path=customXml/itemProps2.xml><?xml version="1.0" encoding="utf-8"?>
<ds:datastoreItem xmlns:ds="http://schemas.openxmlformats.org/officeDocument/2006/customXml" ds:itemID="{BBD6EAA1-5503-4DA9-B211-20A1915C843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1247</Words>
  <Characters>8734</Characters>
  <Application>Microsoft Office Word</Application>
  <DocSecurity>0</DocSecurity>
  <Lines>727</Lines>
  <Paragraphs>399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ECE/TRANS/WP.15/AC.2/2023/13</dc:title>
  <dc:subject/>
  <dc:creator>Maud DARICHE</dc:creator>
  <cp:keywords/>
  <cp:lastModifiedBy>Maud Dariche</cp:lastModifiedBy>
  <cp:revision>3</cp:revision>
  <cp:lastPrinted>2023-01-17T11:42:00Z</cp:lastPrinted>
  <dcterms:created xsi:type="dcterms:W3CDTF">2023-01-17T11:42:00Z</dcterms:created>
  <dcterms:modified xsi:type="dcterms:W3CDTF">2023-01-17T11:42:00Z</dcterms:modified>
</cp:coreProperties>
</file>