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C23E6E"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A267DC" w:rsidRDefault="009E6CB7" w:rsidP="00417E98">
            <w:pPr>
              <w:pStyle w:val="SingleTxtG"/>
            </w:pPr>
          </w:p>
        </w:tc>
        <w:tc>
          <w:tcPr>
            <w:tcW w:w="2268" w:type="dxa"/>
            <w:tcBorders>
              <w:bottom w:val="single" w:sz="4" w:space="0" w:color="auto"/>
            </w:tcBorders>
            <w:vAlign w:val="bottom"/>
          </w:tcPr>
          <w:p w14:paraId="60899344" w14:textId="77777777" w:rsidR="009E6CB7" w:rsidRPr="00C23E6E" w:rsidRDefault="009E6CB7" w:rsidP="00B20551">
            <w:pPr>
              <w:spacing w:after="80" w:line="300" w:lineRule="exact"/>
              <w:rPr>
                <w:b/>
                <w:sz w:val="24"/>
                <w:szCs w:val="24"/>
              </w:rPr>
            </w:pPr>
            <w:r w:rsidRPr="00C23E6E">
              <w:rPr>
                <w:sz w:val="28"/>
                <w:szCs w:val="28"/>
              </w:rPr>
              <w:t>United Nations</w:t>
            </w:r>
          </w:p>
        </w:tc>
        <w:tc>
          <w:tcPr>
            <w:tcW w:w="6095" w:type="dxa"/>
            <w:gridSpan w:val="2"/>
            <w:tcBorders>
              <w:bottom w:val="single" w:sz="4" w:space="0" w:color="auto"/>
            </w:tcBorders>
            <w:vAlign w:val="bottom"/>
          </w:tcPr>
          <w:p w14:paraId="60899345" w14:textId="3AFD68EF" w:rsidR="009E6CB7" w:rsidRPr="00C23E6E" w:rsidRDefault="004A7908" w:rsidP="00954785">
            <w:pPr>
              <w:jc w:val="right"/>
            </w:pPr>
            <w:r w:rsidRPr="00C23E6E">
              <w:rPr>
                <w:sz w:val="40"/>
              </w:rPr>
              <w:t>ECE</w:t>
            </w:r>
            <w:r w:rsidRPr="00C23E6E">
              <w:t>/TRANS/20</w:t>
            </w:r>
            <w:r w:rsidR="00D96E72" w:rsidRPr="00C23E6E">
              <w:t>2</w:t>
            </w:r>
            <w:r w:rsidR="00F25AB8" w:rsidRPr="00C23E6E">
              <w:t>3/</w:t>
            </w:r>
            <w:r w:rsidR="00567BF5" w:rsidRPr="00C23E6E">
              <w:t>2</w:t>
            </w:r>
            <w:r w:rsidR="00B6057E" w:rsidRPr="00C23E6E">
              <w:t>9</w:t>
            </w:r>
          </w:p>
        </w:tc>
      </w:tr>
      <w:tr w:rsidR="00FF02F5" w:rsidRPr="00C23E6E"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C23E6E" w:rsidRDefault="00686A48" w:rsidP="00B20551">
            <w:pPr>
              <w:spacing w:before="120"/>
            </w:pPr>
            <w:r w:rsidRPr="002D00B1">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C23E6E" w:rsidRDefault="009E6CB7" w:rsidP="00B20551">
            <w:pPr>
              <w:spacing w:before="120" w:line="420" w:lineRule="exact"/>
              <w:rPr>
                <w:sz w:val="40"/>
                <w:szCs w:val="40"/>
              </w:rPr>
            </w:pPr>
            <w:r w:rsidRPr="00C23E6E">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C23E6E" w:rsidRDefault="00954785" w:rsidP="00954785">
            <w:pPr>
              <w:spacing w:before="240" w:line="240" w:lineRule="exact"/>
            </w:pPr>
            <w:r w:rsidRPr="00C23E6E">
              <w:t>Distr.: General</w:t>
            </w:r>
          </w:p>
          <w:p w14:paraId="6089934A" w14:textId="44D107CA" w:rsidR="00954785" w:rsidRPr="00C23E6E" w:rsidRDefault="006F538E" w:rsidP="00954785">
            <w:pPr>
              <w:spacing w:line="240" w:lineRule="exact"/>
            </w:pPr>
            <w:r w:rsidRPr="00C23E6E">
              <w:t>8</w:t>
            </w:r>
            <w:r w:rsidR="00F368C4" w:rsidRPr="00C23E6E">
              <w:t xml:space="preserve"> </w:t>
            </w:r>
            <w:r w:rsidR="00417E98" w:rsidRPr="00C23E6E">
              <w:t>December</w:t>
            </w:r>
            <w:r w:rsidR="009364E5" w:rsidRPr="00C23E6E">
              <w:t xml:space="preserve"> </w:t>
            </w:r>
            <w:r w:rsidR="00954785" w:rsidRPr="00C23E6E">
              <w:t>20</w:t>
            </w:r>
            <w:r w:rsidR="006B3ABA" w:rsidRPr="00C23E6E">
              <w:t>2</w:t>
            </w:r>
            <w:r w:rsidR="00F25AB8" w:rsidRPr="00C23E6E">
              <w:t>2</w:t>
            </w:r>
          </w:p>
          <w:p w14:paraId="6089934B" w14:textId="77777777" w:rsidR="00954785" w:rsidRPr="00C23E6E" w:rsidRDefault="00954785" w:rsidP="00954785">
            <w:pPr>
              <w:spacing w:line="240" w:lineRule="exact"/>
            </w:pPr>
          </w:p>
          <w:p w14:paraId="6089934C" w14:textId="77777777" w:rsidR="00954785" w:rsidRPr="00C23E6E" w:rsidRDefault="00954785" w:rsidP="00954785">
            <w:pPr>
              <w:spacing w:line="240" w:lineRule="exact"/>
            </w:pPr>
            <w:r w:rsidRPr="00C23E6E">
              <w:t>Original: English</w:t>
            </w:r>
          </w:p>
        </w:tc>
      </w:tr>
    </w:tbl>
    <w:p w14:paraId="06A0AEE6" w14:textId="77777777" w:rsidR="0095242B" w:rsidRPr="00C23E6E" w:rsidRDefault="0095242B" w:rsidP="0095242B">
      <w:pPr>
        <w:spacing w:before="120"/>
        <w:rPr>
          <w:b/>
          <w:bCs/>
          <w:sz w:val="28"/>
          <w:szCs w:val="28"/>
        </w:rPr>
      </w:pPr>
      <w:r w:rsidRPr="00C23E6E">
        <w:rPr>
          <w:b/>
          <w:bCs/>
          <w:sz w:val="28"/>
          <w:szCs w:val="28"/>
        </w:rPr>
        <w:t>Economic Commission for Europe</w:t>
      </w:r>
    </w:p>
    <w:p w14:paraId="5D62720A" w14:textId="77777777" w:rsidR="0095242B" w:rsidRPr="00C23E6E" w:rsidRDefault="0095242B" w:rsidP="0095242B">
      <w:pPr>
        <w:spacing w:before="120"/>
        <w:rPr>
          <w:sz w:val="28"/>
          <w:szCs w:val="28"/>
        </w:rPr>
      </w:pPr>
      <w:r w:rsidRPr="00C23E6E">
        <w:rPr>
          <w:sz w:val="28"/>
          <w:szCs w:val="28"/>
        </w:rPr>
        <w:t>Inland Transport Committee</w:t>
      </w:r>
    </w:p>
    <w:p w14:paraId="24BDC439" w14:textId="73E300F7" w:rsidR="0095242B" w:rsidRPr="00C23E6E" w:rsidRDefault="0095242B" w:rsidP="0095242B">
      <w:pPr>
        <w:spacing w:before="120"/>
        <w:rPr>
          <w:b/>
          <w:bCs/>
        </w:rPr>
      </w:pPr>
      <w:r w:rsidRPr="00C23E6E">
        <w:rPr>
          <w:b/>
          <w:bCs/>
        </w:rPr>
        <w:t>Eighty-</w:t>
      </w:r>
      <w:r w:rsidR="00D96E72" w:rsidRPr="00C23E6E">
        <w:rPr>
          <w:b/>
          <w:bCs/>
        </w:rPr>
        <w:t>f</w:t>
      </w:r>
      <w:r w:rsidR="00F25AB8" w:rsidRPr="00C23E6E">
        <w:rPr>
          <w:b/>
          <w:bCs/>
        </w:rPr>
        <w:t>if</w:t>
      </w:r>
      <w:r w:rsidR="00D96E72" w:rsidRPr="00C23E6E">
        <w:rPr>
          <w:b/>
          <w:bCs/>
        </w:rPr>
        <w:t>th</w:t>
      </w:r>
      <w:r w:rsidRPr="00C23E6E">
        <w:rPr>
          <w:b/>
          <w:bCs/>
        </w:rPr>
        <w:t xml:space="preserve"> session</w:t>
      </w:r>
    </w:p>
    <w:p w14:paraId="7C34DB42" w14:textId="6FD5BE39" w:rsidR="009A2C1E" w:rsidRPr="00C23E6E" w:rsidRDefault="0095242B" w:rsidP="009A2C1E">
      <w:pPr>
        <w:rPr>
          <w:b/>
        </w:rPr>
      </w:pPr>
      <w:r w:rsidRPr="00C23E6E">
        <w:t>Geneva, 2</w:t>
      </w:r>
      <w:r w:rsidR="00F25AB8" w:rsidRPr="00C23E6E">
        <w:t>1</w:t>
      </w:r>
      <w:r w:rsidRPr="00C23E6E">
        <w:t>–2</w:t>
      </w:r>
      <w:r w:rsidR="00F25AB8" w:rsidRPr="00C23E6E">
        <w:t>4</w:t>
      </w:r>
      <w:r w:rsidRPr="00C23E6E">
        <w:t xml:space="preserve"> February 202</w:t>
      </w:r>
      <w:r w:rsidR="00F25AB8" w:rsidRPr="00C23E6E">
        <w:t>3</w:t>
      </w:r>
      <w:r w:rsidRPr="00C23E6E">
        <w:br/>
        <w:t xml:space="preserve">Item </w:t>
      </w:r>
      <w:r w:rsidR="00A801E5" w:rsidRPr="00C23E6E">
        <w:t>7</w:t>
      </w:r>
      <w:r w:rsidRPr="00C23E6E">
        <w:t xml:space="preserve"> (</w:t>
      </w:r>
      <w:r w:rsidR="001B2AA2" w:rsidRPr="00C23E6E">
        <w:t>o</w:t>
      </w:r>
      <w:r w:rsidRPr="00C23E6E">
        <w:t>) of the provisional agenda</w:t>
      </w:r>
      <w:r w:rsidRPr="00C23E6E">
        <w:br/>
      </w:r>
      <w:r w:rsidR="009A2C1E" w:rsidRPr="00C23E6E">
        <w:rPr>
          <w:b/>
        </w:rPr>
        <w:t xml:space="preserve">Strategic </w:t>
      </w:r>
      <w:r w:rsidR="00417E98" w:rsidRPr="00C23E6E">
        <w:rPr>
          <w:b/>
        </w:rPr>
        <w:t>Q</w:t>
      </w:r>
      <w:r w:rsidR="009A2C1E" w:rsidRPr="00C23E6E">
        <w:rPr>
          <w:b/>
        </w:rPr>
        <w:t xml:space="preserve">uestions of a </w:t>
      </w:r>
      <w:r w:rsidR="00417E98" w:rsidRPr="00C23E6E">
        <w:rPr>
          <w:b/>
        </w:rPr>
        <w:t>H</w:t>
      </w:r>
      <w:r w:rsidR="009A2C1E" w:rsidRPr="00C23E6E">
        <w:rPr>
          <w:b/>
        </w:rPr>
        <w:t xml:space="preserve">orizontal and </w:t>
      </w:r>
      <w:r w:rsidR="009A2C1E" w:rsidRPr="00C23E6E">
        <w:rPr>
          <w:b/>
        </w:rPr>
        <w:br/>
      </w:r>
      <w:r w:rsidR="00417E98" w:rsidRPr="00C23E6E">
        <w:rPr>
          <w:b/>
        </w:rPr>
        <w:t>C</w:t>
      </w:r>
      <w:r w:rsidR="009A2C1E" w:rsidRPr="00C23E6E">
        <w:rPr>
          <w:b/>
        </w:rPr>
        <w:t xml:space="preserve">ross-sectoral </w:t>
      </w:r>
      <w:r w:rsidR="00417E98" w:rsidRPr="00C23E6E">
        <w:rPr>
          <w:b/>
        </w:rPr>
        <w:t>P</w:t>
      </w:r>
      <w:r w:rsidR="009A2C1E" w:rsidRPr="00C23E6E">
        <w:rPr>
          <w:b/>
        </w:rPr>
        <w:t xml:space="preserve">olicy or </w:t>
      </w:r>
      <w:r w:rsidR="00417E98" w:rsidRPr="00C23E6E">
        <w:rPr>
          <w:b/>
        </w:rPr>
        <w:t>R</w:t>
      </w:r>
      <w:r w:rsidR="009A2C1E" w:rsidRPr="00C23E6E">
        <w:rPr>
          <w:b/>
        </w:rPr>
        <w:t xml:space="preserve">egulatory </w:t>
      </w:r>
      <w:r w:rsidR="00417E98" w:rsidRPr="00C23E6E">
        <w:rPr>
          <w:b/>
        </w:rPr>
        <w:t>N</w:t>
      </w:r>
      <w:r w:rsidR="009A2C1E" w:rsidRPr="00C23E6E">
        <w:rPr>
          <w:b/>
        </w:rPr>
        <w:t>ature:</w:t>
      </w:r>
    </w:p>
    <w:p w14:paraId="7DE9905E" w14:textId="6C1B6577" w:rsidR="00892475" w:rsidRPr="00C23E6E" w:rsidRDefault="00892475" w:rsidP="00892475">
      <w:pPr>
        <w:rPr>
          <w:b/>
        </w:rPr>
      </w:pPr>
      <w:r w:rsidRPr="00C23E6E">
        <w:rPr>
          <w:b/>
        </w:rPr>
        <w:t xml:space="preserve">Strengthening </w:t>
      </w:r>
      <w:r w:rsidR="00417E98" w:rsidRPr="00C23E6E">
        <w:rPr>
          <w:b/>
        </w:rPr>
        <w:t>B</w:t>
      </w:r>
      <w:r w:rsidRPr="00C23E6E">
        <w:rPr>
          <w:b/>
        </w:rPr>
        <w:t xml:space="preserve">order </w:t>
      </w:r>
      <w:r w:rsidR="00417E98" w:rsidRPr="00C23E6E">
        <w:rPr>
          <w:b/>
        </w:rPr>
        <w:t>C</w:t>
      </w:r>
      <w:r w:rsidRPr="00C23E6E">
        <w:rPr>
          <w:b/>
        </w:rPr>
        <w:t xml:space="preserve">rossing </w:t>
      </w:r>
      <w:r w:rsidR="00417E98" w:rsidRPr="00C23E6E">
        <w:rPr>
          <w:b/>
        </w:rPr>
        <w:t>F</w:t>
      </w:r>
      <w:r w:rsidRPr="00C23E6E">
        <w:rPr>
          <w:b/>
        </w:rPr>
        <w:t xml:space="preserve">acilitation </w:t>
      </w:r>
    </w:p>
    <w:p w14:paraId="318BE309" w14:textId="77777777" w:rsidR="00892475" w:rsidRPr="00C23E6E" w:rsidRDefault="00892475" w:rsidP="00892475">
      <w:pPr>
        <w:rPr>
          <w:b/>
        </w:rPr>
      </w:pPr>
      <w:r w:rsidRPr="00C23E6E">
        <w:rPr>
          <w:b/>
        </w:rPr>
        <w:t xml:space="preserve">(TIR Convention, </w:t>
      </w:r>
      <w:proofErr w:type="spellStart"/>
      <w:r w:rsidRPr="00C23E6E">
        <w:rPr>
          <w:b/>
        </w:rPr>
        <w:t>eTIR</w:t>
      </w:r>
      <w:proofErr w:type="spellEnd"/>
      <w:r w:rsidRPr="00C23E6E">
        <w:rPr>
          <w:b/>
        </w:rPr>
        <w:t xml:space="preserve"> project, Harmonization Convention </w:t>
      </w:r>
    </w:p>
    <w:p w14:paraId="384EB6FE" w14:textId="046A6414" w:rsidR="0095242B" w:rsidRPr="00C23E6E" w:rsidRDefault="00892475" w:rsidP="00892475">
      <w:pPr>
        <w:rPr>
          <w:b/>
        </w:rPr>
      </w:pPr>
      <w:r w:rsidRPr="00C23E6E">
        <w:rPr>
          <w:b/>
        </w:rPr>
        <w:t xml:space="preserve">and </w:t>
      </w:r>
      <w:r w:rsidR="00417E98" w:rsidRPr="00C23E6E">
        <w:rPr>
          <w:b/>
        </w:rPr>
        <w:t>O</w:t>
      </w:r>
      <w:r w:rsidRPr="00C23E6E">
        <w:rPr>
          <w:b/>
        </w:rPr>
        <w:t xml:space="preserve">ther </w:t>
      </w:r>
      <w:r w:rsidR="00417E98" w:rsidRPr="00C23E6E">
        <w:rPr>
          <w:b/>
        </w:rPr>
        <w:t>C</w:t>
      </w:r>
      <w:r w:rsidRPr="00C23E6E">
        <w:rPr>
          <w:b/>
        </w:rPr>
        <w:t xml:space="preserve">ustoms </w:t>
      </w:r>
      <w:r w:rsidR="00417E98" w:rsidRPr="00C23E6E">
        <w:rPr>
          <w:b/>
        </w:rPr>
        <w:t>T</w:t>
      </w:r>
      <w:r w:rsidRPr="00C23E6E">
        <w:rPr>
          <w:b/>
        </w:rPr>
        <w:t xml:space="preserve">ransit </w:t>
      </w:r>
      <w:r w:rsidR="00417E98" w:rsidRPr="00C23E6E">
        <w:rPr>
          <w:b/>
        </w:rPr>
        <w:t>F</w:t>
      </w:r>
      <w:r w:rsidRPr="00C23E6E">
        <w:rPr>
          <w:b/>
        </w:rPr>
        <w:t xml:space="preserve">acilitation </w:t>
      </w:r>
      <w:r w:rsidR="00417E98" w:rsidRPr="00C23E6E">
        <w:rPr>
          <w:b/>
        </w:rPr>
        <w:t>M</w:t>
      </w:r>
      <w:r w:rsidRPr="00C23E6E">
        <w:rPr>
          <w:b/>
        </w:rPr>
        <w:t>easures)</w:t>
      </w:r>
    </w:p>
    <w:p w14:paraId="3ECEFD2C" w14:textId="11D756A3" w:rsidR="0095242B" w:rsidRPr="00C23E6E" w:rsidRDefault="0095242B" w:rsidP="00C7105F">
      <w:pPr>
        <w:pStyle w:val="HChG"/>
      </w:pPr>
      <w:r w:rsidRPr="00C23E6E">
        <w:rPr>
          <w:sz w:val="24"/>
          <w:szCs w:val="24"/>
        </w:rPr>
        <w:tab/>
      </w:r>
      <w:r w:rsidRPr="00C23E6E">
        <w:rPr>
          <w:sz w:val="24"/>
          <w:szCs w:val="24"/>
        </w:rPr>
        <w:tab/>
      </w:r>
      <w:r w:rsidR="009030A0" w:rsidRPr="00282B0C">
        <w:rPr>
          <w:szCs w:val="28"/>
        </w:rPr>
        <w:t xml:space="preserve">The </w:t>
      </w:r>
      <w:proofErr w:type="spellStart"/>
      <w:r w:rsidRPr="00282B0C">
        <w:rPr>
          <w:szCs w:val="28"/>
        </w:rPr>
        <w:t>e</w:t>
      </w:r>
      <w:r w:rsidRPr="00C23E6E">
        <w:t>TIR</w:t>
      </w:r>
      <w:proofErr w:type="spellEnd"/>
      <w:r w:rsidRPr="00C23E6E">
        <w:t xml:space="preserve"> </w:t>
      </w:r>
      <w:r w:rsidR="00783BDF" w:rsidRPr="00C23E6E">
        <w:t>International System</w:t>
      </w:r>
    </w:p>
    <w:p w14:paraId="25D36517" w14:textId="77777777" w:rsidR="0095242B" w:rsidRPr="00C23E6E" w:rsidRDefault="0095242B" w:rsidP="00C7105F">
      <w:pPr>
        <w:pStyle w:val="H1G"/>
      </w:pPr>
      <w:r w:rsidRPr="00C23E6E">
        <w:tab/>
      </w:r>
      <w:r w:rsidRPr="00C23E6E">
        <w:tab/>
        <w:t>Note by the secretariat</w:t>
      </w:r>
    </w:p>
    <w:tbl>
      <w:tblPr>
        <w:tblStyle w:val="TableGrid"/>
        <w:tblW w:w="9918" w:type="dxa"/>
        <w:jc w:val="center"/>
        <w:tblBorders>
          <w:insideH w:val="none" w:sz="0" w:space="0" w:color="auto"/>
        </w:tblBorders>
        <w:tblLook w:val="05E0" w:firstRow="1" w:lastRow="1" w:firstColumn="1" w:lastColumn="1" w:noHBand="0" w:noVBand="1"/>
      </w:tblPr>
      <w:tblGrid>
        <w:gridCol w:w="9918"/>
      </w:tblGrid>
      <w:tr w:rsidR="0095242B" w:rsidRPr="00C23E6E" w14:paraId="78F04E8F" w14:textId="77777777" w:rsidTr="0062089B">
        <w:trPr>
          <w:trHeight w:val="528"/>
          <w:jc w:val="center"/>
        </w:trPr>
        <w:tc>
          <w:tcPr>
            <w:tcW w:w="9918" w:type="dxa"/>
            <w:shd w:val="clear" w:color="auto" w:fill="auto"/>
          </w:tcPr>
          <w:p w14:paraId="39D9F09B" w14:textId="77777777" w:rsidR="0095242B" w:rsidRPr="00C23E6E" w:rsidRDefault="0095242B" w:rsidP="0062089B">
            <w:pPr>
              <w:spacing w:before="240" w:after="120"/>
              <w:ind w:left="255"/>
              <w:rPr>
                <w:i/>
                <w:sz w:val="24"/>
              </w:rPr>
            </w:pPr>
            <w:r w:rsidRPr="00C23E6E">
              <w:rPr>
                <w:i/>
                <w:sz w:val="24"/>
              </w:rPr>
              <w:t>Summary</w:t>
            </w:r>
          </w:p>
        </w:tc>
      </w:tr>
      <w:tr w:rsidR="0095242B" w:rsidRPr="00C23E6E" w14:paraId="235F9B97" w14:textId="77777777" w:rsidTr="0062089B">
        <w:trPr>
          <w:trHeight w:val="1288"/>
          <w:jc w:val="center"/>
        </w:trPr>
        <w:tc>
          <w:tcPr>
            <w:tcW w:w="9918" w:type="dxa"/>
            <w:shd w:val="clear" w:color="auto" w:fill="auto"/>
          </w:tcPr>
          <w:p w14:paraId="2B6F94E4" w14:textId="3F6DA741" w:rsidR="0010197F" w:rsidRPr="00C23E6E" w:rsidRDefault="0095242B" w:rsidP="0062089B">
            <w:pPr>
              <w:pStyle w:val="SingleTxtG"/>
            </w:pPr>
            <w:r w:rsidRPr="00C23E6E">
              <w:tab/>
              <w:t xml:space="preserve">This document contains </w:t>
            </w:r>
            <w:r w:rsidR="00BA2301" w:rsidRPr="00C23E6E">
              <w:t xml:space="preserve">an historical review </w:t>
            </w:r>
            <w:r w:rsidR="0084682A">
              <w:t>on</w:t>
            </w:r>
            <w:r w:rsidR="0084682A" w:rsidRPr="00C23E6E">
              <w:t xml:space="preserve"> </w:t>
            </w:r>
            <w:r w:rsidR="002C4A9E" w:rsidRPr="00C23E6E">
              <w:t xml:space="preserve">the development of the </w:t>
            </w:r>
            <w:proofErr w:type="spellStart"/>
            <w:r w:rsidR="002C4A9E" w:rsidRPr="00C23E6E">
              <w:t>eTIR</w:t>
            </w:r>
            <w:proofErr w:type="spellEnd"/>
            <w:r w:rsidR="002C4A9E" w:rsidRPr="00C23E6E">
              <w:t xml:space="preserve"> international system as well as </w:t>
            </w:r>
            <w:r w:rsidRPr="00C23E6E">
              <w:t xml:space="preserve">a summary of the activities </w:t>
            </w:r>
            <w:r w:rsidR="00B41446" w:rsidRPr="00C23E6E">
              <w:t xml:space="preserve">that took place in </w:t>
            </w:r>
            <w:r w:rsidR="00D64080" w:rsidRPr="00C23E6E">
              <w:t xml:space="preserve">2022 </w:t>
            </w:r>
            <w:r w:rsidR="00666A06" w:rsidRPr="00C23E6E">
              <w:t xml:space="preserve">to </w:t>
            </w:r>
            <w:r w:rsidR="00F12700" w:rsidRPr="00C23E6E">
              <w:t>finalise interconnections of the</w:t>
            </w:r>
            <w:r w:rsidR="00666A06" w:rsidRPr="00C23E6E">
              <w:t xml:space="preserve"> </w:t>
            </w:r>
            <w:proofErr w:type="spellStart"/>
            <w:r w:rsidR="007650B6" w:rsidRPr="00C23E6E">
              <w:t>e</w:t>
            </w:r>
            <w:r w:rsidR="00666A06" w:rsidRPr="00C23E6E">
              <w:t>TIR</w:t>
            </w:r>
            <w:proofErr w:type="spellEnd"/>
            <w:r w:rsidR="00666A06" w:rsidRPr="00C23E6E">
              <w:t xml:space="preserve"> international system </w:t>
            </w:r>
            <w:r w:rsidR="002A34A9" w:rsidRPr="00C23E6E">
              <w:t xml:space="preserve">with the national </w:t>
            </w:r>
            <w:r w:rsidR="00F12700" w:rsidRPr="00C23E6E">
              <w:t xml:space="preserve">customs </w:t>
            </w:r>
            <w:r w:rsidR="002A34A9" w:rsidRPr="00C23E6E">
              <w:t xml:space="preserve">systems of the contacting parties to </w:t>
            </w:r>
            <w:r w:rsidR="00215D05" w:rsidRPr="00C23E6E">
              <w:t xml:space="preserve">the TIR Convention. </w:t>
            </w:r>
            <w:r w:rsidRPr="00C23E6E">
              <w:t xml:space="preserve"> </w:t>
            </w:r>
          </w:p>
          <w:p w14:paraId="3602C580" w14:textId="259EFF25" w:rsidR="0095242B" w:rsidRPr="00C23E6E" w:rsidRDefault="005F3AB1" w:rsidP="005F3AB1">
            <w:pPr>
              <w:pStyle w:val="SingleTxtG"/>
            </w:pPr>
            <w:r w:rsidRPr="00C23E6E">
              <w:t xml:space="preserve">The Committee may wish to take note the developments </w:t>
            </w:r>
            <w:r w:rsidR="0084682A">
              <w:t xml:space="preserve">on </w:t>
            </w:r>
            <w:r w:rsidRPr="00C23E6E">
              <w:t xml:space="preserve">the implementation of the </w:t>
            </w:r>
            <w:proofErr w:type="spellStart"/>
            <w:r w:rsidRPr="00C23E6E">
              <w:t>eTIR</w:t>
            </w:r>
            <w:proofErr w:type="spellEnd"/>
            <w:r w:rsidRPr="00C23E6E">
              <w:t xml:space="preserve"> procedure and the </w:t>
            </w:r>
            <w:r w:rsidR="00914F53" w:rsidRPr="00C23E6E">
              <w:t xml:space="preserve">international </w:t>
            </w:r>
            <w:r w:rsidRPr="00C23E6E">
              <w:t xml:space="preserve">TIR Data Bank </w:t>
            </w:r>
            <w:r w:rsidR="0084682A">
              <w:t xml:space="preserve">which </w:t>
            </w:r>
            <w:r w:rsidRPr="00C23E6E">
              <w:t>achiev</w:t>
            </w:r>
            <w:r w:rsidR="0084682A">
              <w:t>e</w:t>
            </w:r>
            <w:r w:rsidRPr="00C23E6E">
              <w:t xml:space="preserve"> already one of the main goals of the ITC agenda for 2030 and to invite the TIR </w:t>
            </w:r>
            <w:r w:rsidR="0084682A" w:rsidRPr="00C23E6E">
              <w:t>c</w:t>
            </w:r>
            <w:r w:rsidRPr="00C23E6E">
              <w:t>ontracting parties that have not done it so far, to interconnect their national customs system</w:t>
            </w:r>
            <w:r w:rsidR="00484ACB" w:rsidRPr="00C23E6E">
              <w:t>s</w:t>
            </w:r>
            <w:r w:rsidRPr="00C23E6E">
              <w:t xml:space="preserve"> with the </w:t>
            </w:r>
            <w:proofErr w:type="spellStart"/>
            <w:r w:rsidRPr="00C23E6E">
              <w:t>eTIR</w:t>
            </w:r>
            <w:proofErr w:type="spellEnd"/>
            <w:r w:rsidRPr="00C23E6E">
              <w:t xml:space="preserve"> international system at the earliest of their operational convenience. </w:t>
            </w:r>
          </w:p>
        </w:tc>
      </w:tr>
    </w:tbl>
    <w:p w14:paraId="12D8C1F7" w14:textId="45B3D915" w:rsidR="0095242B" w:rsidRPr="00C23E6E" w:rsidRDefault="0095242B" w:rsidP="00C7105F">
      <w:pPr>
        <w:pStyle w:val="HChG"/>
      </w:pPr>
      <w:r w:rsidRPr="00C23E6E">
        <w:tab/>
        <w:t>I.</w:t>
      </w:r>
      <w:r w:rsidRPr="00C23E6E">
        <w:tab/>
        <w:t xml:space="preserve">Background and </w:t>
      </w:r>
      <w:r w:rsidR="00C3570C" w:rsidRPr="00C23E6E">
        <w:t>Mandate</w:t>
      </w:r>
    </w:p>
    <w:p w14:paraId="7500D683" w14:textId="78E84AB1" w:rsidR="0095242B" w:rsidRPr="00C23E6E" w:rsidRDefault="0095242B" w:rsidP="00C7105F">
      <w:pPr>
        <w:pStyle w:val="SingleTxtG"/>
      </w:pPr>
      <w:r w:rsidRPr="00C23E6E">
        <w:t>1.</w:t>
      </w:r>
      <w:r w:rsidRPr="00C23E6E">
        <w:tab/>
        <w:t>This document has been prepared in accordance with the 202</w:t>
      </w:r>
      <w:r w:rsidR="00FC28C4" w:rsidRPr="00C23E6E">
        <w:t>2</w:t>
      </w:r>
      <w:r w:rsidRPr="00C23E6E">
        <w:t xml:space="preserve"> </w:t>
      </w:r>
      <w:r w:rsidR="005A4046" w:rsidRPr="00C23E6E">
        <w:t xml:space="preserve">programme of work </w:t>
      </w:r>
      <w:r w:rsidRPr="00C23E6E">
        <w:t>of the Inland Transport Committee (ITC) (ECE/TRANS/</w:t>
      </w:r>
      <w:r w:rsidR="005F3342" w:rsidRPr="00C23E6E">
        <w:t>3</w:t>
      </w:r>
      <w:r w:rsidR="00FC28C4" w:rsidRPr="00C23E6E">
        <w:t>16</w:t>
      </w:r>
      <w:r w:rsidRPr="00C23E6E">
        <w:t>, para</w:t>
      </w:r>
      <w:r w:rsidR="002570D4" w:rsidRPr="00C23E6E">
        <w:t>graph</w:t>
      </w:r>
      <w:r w:rsidRPr="00C23E6E">
        <w:t xml:space="preserve"> </w:t>
      </w:r>
      <w:r w:rsidR="005F3342" w:rsidRPr="00C23E6E">
        <w:t>3</w:t>
      </w:r>
      <w:r w:rsidR="00FC28C4" w:rsidRPr="00C23E6E">
        <w:t>3</w:t>
      </w:r>
      <w:r w:rsidRPr="00C23E6E">
        <w:t xml:space="preserve"> and ECE/TRANS/20</w:t>
      </w:r>
      <w:r w:rsidR="005F3342" w:rsidRPr="00C23E6E">
        <w:t>2</w:t>
      </w:r>
      <w:r w:rsidR="00FC28C4" w:rsidRPr="00C23E6E">
        <w:t>2</w:t>
      </w:r>
      <w:r w:rsidRPr="00C23E6E">
        <w:t>/</w:t>
      </w:r>
      <w:r w:rsidR="005F3342" w:rsidRPr="00C23E6E">
        <w:t>8</w:t>
      </w:r>
      <w:r w:rsidRPr="00C23E6E">
        <w:t xml:space="preserve">, programme activity </w:t>
      </w:r>
      <w:r w:rsidR="008F7BB4" w:rsidRPr="00C23E6E">
        <w:t>4 (l)</w:t>
      </w:r>
      <w:r w:rsidRPr="00C23E6E">
        <w:t xml:space="preserve">: Customs </w:t>
      </w:r>
      <w:r w:rsidR="005F3342" w:rsidRPr="00C23E6E">
        <w:t>Q</w:t>
      </w:r>
      <w:r w:rsidRPr="00C23E6E">
        <w:t xml:space="preserve">uestions affecting </w:t>
      </w:r>
      <w:r w:rsidR="005F3342" w:rsidRPr="00C23E6E">
        <w:t>T</w:t>
      </w:r>
      <w:r w:rsidRPr="00C23E6E">
        <w:t>ransport). It reports on the progress made in 202</w:t>
      </w:r>
      <w:r w:rsidR="009B0041" w:rsidRPr="00C23E6E">
        <w:t>2</w:t>
      </w:r>
      <w:r w:rsidRPr="00C23E6E">
        <w:t xml:space="preserve"> by the contracting parties</w:t>
      </w:r>
      <w:r w:rsidR="00783BDF" w:rsidRPr="00C23E6E">
        <w:t xml:space="preserve"> and TIR secretariat on the </w:t>
      </w:r>
      <w:r w:rsidR="00E25C8C" w:rsidRPr="00C23E6E">
        <w:t xml:space="preserve">development of the </w:t>
      </w:r>
      <w:proofErr w:type="spellStart"/>
      <w:r w:rsidR="00E25C8C" w:rsidRPr="00C23E6E">
        <w:t>eTIR</w:t>
      </w:r>
      <w:proofErr w:type="spellEnd"/>
      <w:r w:rsidR="00E25C8C" w:rsidRPr="00C23E6E">
        <w:t xml:space="preserve"> international system and its interconnection with national customs </w:t>
      </w:r>
      <w:r w:rsidR="004D24E6" w:rsidRPr="00C23E6E">
        <w:t xml:space="preserve">systems. </w:t>
      </w:r>
    </w:p>
    <w:p w14:paraId="70E87F37" w14:textId="64433252" w:rsidR="0095242B" w:rsidRPr="00C23E6E" w:rsidRDefault="0095242B" w:rsidP="00C7105F">
      <w:pPr>
        <w:pStyle w:val="HChG"/>
      </w:pPr>
      <w:r w:rsidRPr="00C23E6E">
        <w:tab/>
        <w:t>II.</w:t>
      </w:r>
      <w:r w:rsidRPr="00C23E6E">
        <w:tab/>
      </w:r>
      <w:r w:rsidR="006403F8" w:rsidRPr="00C23E6E">
        <w:t xml:space="preserve">The </w:t>
      </w:r>
      <w:r w:rsidR="00D64080" w:rsidRPr="00C23E6E">
        <w:t>Customs Convention on the International Transport of Goods under Cover of TIR Carnets, 1975 (</w:t>
      </w:r>
      <w:r w:rsidRPr="00C23E6E">
        <w:t>TIR Convention</w:t>
      </w:r>
      <w:r w:rsidR="00D64080" w:rsidRPr="00C23E6E">
        <w:t>)</w:t>
      </w:r>
    </w:p>
    <w:p w14:paraId="48A7F8C3" w14:textId="1435A4EF" w:rsidR="006403F8" w:rsidRPr="00C23E6E" w:rsidRDefault="0095242B" w:rsidP="00C7105F">
      <w:pPr>
        <w:pStyle w:val="SingleTxtG"/>
      </w:pPr>
      <w:r w:rsidRPr="00C23E6E">
        <w:t>2.</w:t>
      </w:r>
      <w:r w:rsidRPr="00C23E6E">
        <w:tab/>
      </w:r>
      <w:r w:rsidR="006403F8" w:rsidRPr="00C23E6E">
        <w:t xml:space="preserve">The TIR system is promoted under the auspices of the United Nations to </w:t>
      </w:r>
      <w:r w:rsidR="005A4046">
        <w:t xml:space="preserve">ensure </w:t>
      </w:r>
      <w:r w:rsidR="006403F8" w:rsidRPr="00C23E6E">
        <w:t xml:space="preserve">wide </w:t>
      </w:r>
      <w:r w:rsidR="005A4046">
        <w:t xml:space="preserve">availability </w:t>
      </w:r>
      <w:r w:rsidR="006403F8" w:rsidRPr="00C23E6E">
        <w:t xml:space="preserve">for all countries wishing to make use of it. In 1984, the Economic and Social </w:t>
      </w:r>
      <w:r w:rsidR="006403F8" w:rsidRPr="00C23E6E">
        <w:lastRenderedPageBreak/>
        <w:t xml:space="preserve">Council of the United Nations (ECOSOC) adopted a Resolution (1984/79) which recommends that countries worldwide examine the possibility of acceding to the Convention and introducing the TIR system. Furthermore, it recommends that international, intergovernmental and non-governmental organizations, and in particular the </w:t>
      </w:r>
      <w:r w:rsidR="005A4046" w:rsidRPr="00C23E6E">
        <w:t xml:space="preserve">regional commissions </w:t>
      </w:r>
      <w:r w:rsidR="006403F8" w:rsidRPr="00C23E6E">
        <w:t xml:space="preserve">of the United Nations, promote the introduction of the TIR system as a global customs transit system. </w:t>
      </w:r>
    </w:p>
    <w:p w14:paraId="25374671" w14:textId="3A22F62A" w:rsidR="0095242B" w:rsidRPr="00C23E6E" w:rsidRDefault="00375F82" w:rsidP="00C7105F">
      <w:pPr>
        <w:pStyle w:val="SingleTxtG"/>
      </w:pPr>
      <w:r w:rsidRPr="00C23E6E">
        <w:t>3.</w:t>
      </w:r>
      <w:r w:rsidRPr="00C23E6E">
        <w:tab/>
      </w:r>
      <w:r w:rsidR="002979C8" w:rsidRPr="00C23E6E">
        <w:t>Since, o</w:t>
      </w:r>
      <w:r w:rsidR="001E4A57" w:rsidRPr="00C23E6E">
        <w:t xml:space="preserve">n </w:t>
      </w:r>
      <w:r w:rsidR="008F7BB4" w:rsidRPr="00C23E6E">
        <w:t>16 June 2021</w:t>
      </w:r>
      <w:r w:rsidR="0095242B" w:rsidRPr="00C23E6E">
        <w:t xml:space="preserve">, the TIR Convention, 1975 </w:t>
      </w:r>
      <w:r w:rsidR="001E4A57" w:rsidRPr="00C23E6E">
        <w:t xml:space="preserve">entered into force for Egypt. the convention </w:t>
      </w:r>
      <w:r w:rsidR="0095242B" w:rsidRPr="00C23E6E">
        <w:t>has 7</w:t>
      </w:r>
      <w:r w:rsidR="008F7BB4" w:rsidRPr="00C23E6E">
        <w:t>7</w:t>
      </w:r>
      <w:r w:rsidR="0095242B" w:rsidRPr="00C23E6E">
        <w:t xml:space="preserve"> contracting parties. </w:t>
      </w:r>
      <w:r w:rsidR="002979C8" w:rsidRPr="00C23E6E">
        <w:t>T</w:t>
      </w:r>
      <w:r w:rsidR="0095242B" w:rsidRPr="00C23E6E">
        <w:t>he TIR system has 6</w:t>
      </w:r>
      <w:r w:rsidR="008F7BB4" w:rsidRPr="00C23E6E">
        <w:t>5</w:t>
      </w:r>
      <w:r w:rsidR="0095242B" w:rsidRPr="00C23E6E">
        <w:t xml:space="preserve"> active TIR countries. </w:t>
      </w:r>
    </w:p>
    <w:p w14:paraId="5B9BFBF9" w14:textId="7A702677" w:rsidR="00C5715D" w:rsidRPr="00C23E6E" w:rsidRDefault="00375F82" w:rsidP="00C7105F">
      <w:pPr>
        <w:pStyle w:val="SingleTxtG"/>
      </w:pPr>
      <w:r w:rsidRPr="00C23E6E">
        <w:t>4</w:t>
      </w:r>
      <w:r w:rsidR="0095242B" w:rsidRPr="00C23E6E">
        <w:t>.</w:t>
      </w:r>
      <w:r w:rsidR="0095242B" w:rsidRPr="00C23E6E">
        <w:tab/>
      </w:r>
      <w:r w:rsidR="0039187D" w:rsidRPr="00C23E6E">
        <w:t>The implementation of the TIR Convention can also help countries to meet the numerous transit</w:t>
      </w:r>
      <w:r w:rsidR="005A4046">
        <w:t>-</w:t>
      </w:r>
      <w:r w:rsidR="0039187D" w:rsidRPr="00C23E6E">
        <w:t>related objectives of the World Trade Organization Trade Facilitation Agreement (WTO-TFA), which entered into force on 22 February 2017. From the availability and the publication of information to the cooperation between customs administrations, but in particular when it comes to the freedom of transit, the TIR system can be and should be viewed as a valuable tool which w</w:t>
      </w:r>
      <w:r w:rsidR="005A4046">
        <w:t>ould</w:t>
      </w:r>
      <w:r w:rsidR="0039187D" w:rsidRPr="00C23E6E">
        <w:t xml:space="preserve"> ensure that the transit facilitation commitments arising from WTO-TFA are met.  </w:t>
      </w:r>
    </w:p>
    <w:p w14:paraId="7F76FDCC" w14:textId="2947B99B" w:rsidR="00145B5A" w:rsidRPr="00C23E6E" w:rsidRDefault="0039187D" w:rsidP="00C7105F">
      <w:pPr>
        <w:pStyle w:val="SingleTxtG"/>
      </w:pPr>
      <w:r w:rsidRPr="00C23E6E">
        <w:t>5</w:t>
      </w:r>
      <w:r w:rsidR="00075EA0" w:rsidRPr="00C23E6E">
        <w:t>.</w:t>
      </w:r>
      <w:r w:rsidR="00075EA0" w:rsidRPr="00C23E6E">
        <w:tab/>
      </w:r>
      <w:r w:rsidR="00A93EAC" w:rsidRPr="00C23E6E">
        <w:t>Furthermore,</w:t>
      </w:r>
      <w:r w:rsidR="006F03BD" w:rsidRPr="00C23E6E">
        <w:t xml:space="preserve"> the United Nations </w:t>
      </w:r>
      <w:r w:rsidR="005A4046" w:rsidRPr="00C23E6E">
        <w:t>Office</w:t>
      </w:r>
      <w:r w:rsidR="006F03BD" w:rsidRPr="00C23E6E">
        <w:t xml:space="preserve"> of the High Representative for the Least Developed Countries, Landlocked Developing Countries and Small Island Developing States (UN-OHRLLS) recognized the potential of the TIR system in keeping with the objectives of the Vienna Programme of Action for Landlocked Developing Countries for the decade 2014</w:t>
      </w:r>
      <w:r w:rsidR="005A4046" w:rsidRPr="004E4D6F">
        <w:t>–</w:t>
      </w:r>
      <w:r w:rsidR="006F03BD" w:rsidRPr="00C23E6E">
        <w:t xml:space="preserve">2024. The implementation of the TIR Convention can play a significant role in transforming landlocked countries into land-linked countries </w:t>
      </w:r>
      <w:r w:rsidR="0077347D" w:rsidRPr="00C23E6E">
        <w:t>and</w:t>
      </w:r>
      <w:r w:rsidR="006F03BD" w:rsidRPr="00C23E6E">
        <w:t xml:space="preserve"> thus, greatly increas</w:t>
      </w:r>
      <w:r w:rsidR="005A4046">
        <w:t>e</w:t>
      </w:r>
      <w:r w:rsidR="006F03BD" w:rsidRPr="00C23E6E">
        <w:t xml:space="preserve"> their trade potential.</w:t>
      </w:r>
    </w:p>
    <w:p w14:paraId="31349E15" w14:textId="1DE50880" w:rsidR="0095242B" w:rsidRPr="00C23E6E" w:rsidRDefault="00594CE3" w:rsidP="00C7105F">
      <w:pPr>
        <w:pStyle w:val="HChG"/>
      </w:pPr>
      <w:r w:rsidRPr="00C23E6E">
        <w:tab/>
      </w:r>
      <w:r w:rsidR="00251F4C" w:rsidRPr="00C23E6E">
        <w:t>III</w:t>
      </w:r>
      <w:r w:rsidR="0095242B" w:rsidRPr="00C23E6E">
        <w:t>.</w:t>
      </w:r>
      <w:r w:rsidR="0095242B" w:rsidRPr="00C23E6E">
        <w:tab/>
      </w:r>
      <w:r w:rsidR="0077347D" w:rsidRPr="00C23E6E">
        <w:t xml:space="preserve">The </w:t>
      </w:r>
      <w:r w:rsidR="005A4046" w:rsidRPr="00C23E6E">
        <w:t xml:space="preserve">Road </w:t>
      </w:r>
      <w:r w:rsidR="0077347D" w:rsidRPr="00C23E6E">
        <w:t>to</w:t>
      </w:r>
      <w:r w:rsidR="00A93EAC" w:rsidRPr="00C23E6E">
        <w:t>wards</w:t>
      </w:r>
      <w:r w:rsidR="0077347D" w:rsidRPr="00C23E6E">
        <w:t xml:space="preserve"> </w:t>
      </w:r>
      <w:r w:rsidR="00F51EC9">
        <w:t>e</w:t>
      </w:r>
      <w:r w:rsidR="005A4046" w:rsidRPr="00C23E6E">
        <w:t xml:space="preserve">lectronic </w:t>
      </w:r>
      <w:r w:rsidR="0077347D" w:rsidRPr="00C23E6E">
        <w:t xml:space="preserve">TIR and the </w:t>
      </w:r>
      <w:r w:rsidR="00F51EC9">
        <w:t>d</w:t>
      </w:r>
      <w:r w:rsidR="005A4046" w:rsidRPr="00C23E6E">
        <w:t xml:space="preserve">evelopment </w:t>
      </w:r>
      <w:r w:rsidR="0077347D" w:rsidRPr="00C23E6E">
        <w:t xml:space="preserve">of the </w:t>
      </w:r>
      <w:proofErr w:type="spellStart"/>
      <w:r w:rsidR="007650B6" w:rsidRPr="00C23E6E">
        <w:t>e</w:t>
      </w:r>
      <w:r w:rsidR="0077347D" w:rsidRPr="00C23E6E">
        <w:t>TIR</w:t>
      </w:r>
      <w:proofErr w:type="spellEnd"/>
      <w:r w:rsidR="0077347D" w:rsidRPr="00C23E6E">
        <w:t xml:space="preserve"> </w:t>
      </w:r>
      <w:r w:rsidR="005A4046" w:rsidRPr="00C23E6E">
        <w:t xml:space="preserve">International System </w:t>
      </w:r>
    </w:p>
    <w:p w14:paraId="2CE99C54" w14:textId="31707D80" w:rsidR="0095242B" w:rsidRPr="00C23E6E" w:rsidRDefault="00A93EAC" w:rsidP="00C7105F">
      <w:pPr>
        <w:pStyle w:val="SingleTxtG"/>
        <w:rPr>
          <w:b/>
        </w:rPr>
      </w:pPr>
      <w:r w:rsidRPr="00C23E6E">
        <w:tab/>
      </w:r>
      <w:r w:rsidR="0077347D" w:rsidRPr="00C23E6E">
        <w:t>6</w:t>
      </w:r>
      <w:r w:rsidR="0095242B" w:rsidRPr="00C23E6E">
        <w:t>.</w:t>
      </w:r>
      <w:r w:rsidR="0095242B" w:rsidRPr="00C23E6E">
        <w:tab/>
      </w:r>
      <w:r w:rsidR="007D2436" w:rsidRPr="00C23E6E">
        <w:t>At its ninety-fifth session</w:t>
      </w:r>
      <w:r w:rsidR="00AF60EC" w:rsidRPr="00C23E6E">
        <w:t xml:space="preserve"> (19</w:t>
      </w:r>
      <w:r w:rsidR="005A4046" w:rsidRPr="004E4D6F">
        <w:t>–</w:t>
      </w:r>
      <w:r w:rsidR="00AF60EC" w:rsidRPr="00C23E6E">
        <w:t>23 June 2000)</w:t>
      </w:r>
      <w:r w:rsidR="007D2436" w:rsidRPr="00C23E6E">
        <w:t>, the Working Party expressed the view that, following the conclusions of Phases I and II of the TIR revision process, the next logical step was to provide the TIR regime with the legal and administrative basis to allow for the use of modern information, management and control technology based on highly automated and secured electronic procedures. The Working Party recognized that computerization of the TIR procedure was inevitable (</w:t>
      </w:r>
      <w:r w:rsidR="004644F1" w:rsidRPr="00C23E6E">
        <w:t>TRANS/WP.30/190, para</w:t>
      </w:r>
      <w:r w:rsidR="005A4046">
        <w:t>graph</w:t>
      </w:r>
      <w:r w:rsidR="004644F1" w:rsidRPr="00C23E6E">
        <w:t xml:space="preserve"> 26</w:t>
      </w:r>
      <w:r w:rsidR="007D2436" w:rsidRPr="00C23E6E">
        <w:t>)</w:t>
      </w:r>
      <w:r w:rsidR="004644F1" w:rsidRPr="00C23E6E">
        <w:t>.</w:t>
      </w:r>
    </w:p>
    <w:p w14:paraId="1F42F957" w14:textId="7B156EB4" w:rsidR="00EB5158" w:rsidRPr="00C23E6E" w:rsidRDefault="004644F1" w:rsidP="00C7105F">
      <w:pPr>
        <w:pStyle w:val="SingleTxtG"/>
      </w:pPr>
      <w:r w:rsidRPr="00C23E6E">
        <w:t>7.</w:t>
      </w:r>
      <w:r w:rsidRPr="00C23E6E">
        <w:tab/>
      </w:r>
      <w:r w:rsidR="00B56464" w:rsidRPr="00C23E6E">
        <w:t>T</w:t>
      </w:r>
      <w:r w:rsidR="0097313A" w:rsidRPr="00C23E6E">
        <w:t>he following table summarizes the main milestones</w:t>
      </w:r>
      <w:r w:rsidR="00B56464" w:rsidRPr="00C23E6E">
        <w:t xml:space="preserve"> in the preparations of </w:t>
      </w:r>
      <w:r w:rsidR="00C82BDB" w:rsidRPr="00C23E6E">
        <w:t>annex</w:t>
      </w:r>
      <w:r w:rsidR="00B56464" w:rsidRPr="00C23E6E">
        <w:t xml:space="preserve"> 11 </w:t>
      </w:r>
      <w:r w:rsidR="00B779E4" w:rsidRPr="00C23E6E">
        <w:t>as well as</w:t>
      </w:r>
      <w:r w:rsidR="00B56464" w:rsidRPr="00C23E6E">
        <w:t xml:space="preserve"> of the concepts, functional and technical specifications </w:t>
      </w:r>
      <w:r w:rsidR="002E1090" w:rsidRPr="00C23E6E">
        <w:t xml:space="preserve">of the </w:t>
      </w:r>
      <w:proofErr w:type="spellStart"/>
      <w:r w:rsidR="002E1090" w:rsidRPr="00C23E6E">
        <w:t>eTIR</w:t>
      </w:r>
      <w:proofErr w:type="spellEnd"/>
      <w:r w:rsidR="002E1090" w:rsidRPr="00C23E6E">
        <w:t xml:space="preserve"> international </w:t>
      </w:r>
      <w:r w:rsidR="00AF60EC" w:rsidRPr="00C23E6E">
        <w:t xml:space="preserve">system since 2000 </w:t>
      </w:r>
      <w:r w:rsidR="00B779E4" w:rsidRPr="00C23E6E">
        <w:t xml:space="preserve">when the decision to start working on electronic TIR was taken by WP.30. </w:t>
      </w:r>
      <w:r w:rsidR="002E1090" w:rsidRPr="00C23E6E">
        <w:t xml:space="preserve"> </w:t>
      </w:r>
    </w:p>
    <w:tbl>
      <w:tblPr>
        <w:tblStyle w:val="TableGrid"/>
        <w:tblW w:w="752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4"/>
        <w:gridCol w:w="3572"/>
        <w:gridCol w:w="3305"/>
      </w:tblGrid>
      <w:tr w:rsidR="00EB5158" w:rsidRPr="00C23E6E" w14:paraId="5642D52A" w14:textId="77777777" w:rsidTr="00A267DC">
        <w:trPr>
          <w:tblHeader/>
        </w:trPr>
        <w:tc>
          <w:tcPr>
            <w:tcW w:w="644" w:type="dxa"/>
            <w:tcBorders>
              <w:top w:val="single" w:sz="4" w:space="0" w:color="auto"/>
              <w:bottom w:val="single" w:sz="12" w:space="0" w:color="auto"/>
            </w:tcBorders>
            <w:shd w:val="clear" w:color="auto" w:fill="auto"/>
            <w:vAlign w:val="bottom"/>
          </w:tcPr>
          <w:p w14:paraId="78900EA7" w14:textId="14174757" w:rsidR="00EB5158" w:rsidRPr="00C23E6E" w:rsidRDefault="00EB5158" w:rsidP="00C7105F">
            <w:pPr>
              <w:spacing w:before="80" w:after="80" w:line="200" w:lineRule="exact"/>
              <w:ind w:right="113"/>
              <w:rPr>
                <w:i/>
                <w:sz w:val="16"/>
              </w:rPr>
            </w:pPr>
            <w:r w:rsidRPr="00C23E6E">
              <w:rPr>
                <w:i/>
                <w:sz w:val="16"/>
              </w:rPr>
              <w:t>Year</w:t>
            </w:r>
          </w:p>
        </w:tc>
        <w:tc>
          <w:tcPr>
            <w:tcW w:w="3572" w:type="dxa"/>
            <w:tcBorders>
              <w:top w:val="single" w:sz="4" w:space="0" w:color="auto"/>
              <w:bottom w:val="single" w:sz="12" w:space="0" w:color="auto"/>
            </w:tcBorders>
            <w:shd w:val="clear" w:color="auto" w:fill="auto"/>
            <w:vAlign w:val="bottom"/>
          </w:tcPr>
          <w:p w14:paraId="498F1740" w14:textId="5AD51CA2" w:rsidR="00EB5158" w:rsidRPr="00C23E6E" w:rsidRDefault="00B11EC1" w:rsidP="00C7105F">
            <w:pPr>
              <w:spacing w:before="80" w:after="80" w:line="200" w:lineRule="exact"/>
              <w:ind w:right="113"/>
              <w:rPr>
                <w:i/>
                <w:sz w:val="16"/>
              </w:rPr>
            </w:pPr>
            <w:r w:rsidRPr="00C23E6E">
              <w:rPr>
                <w:i/>
                <w:sz w:val="16"/>
              </w:rPr>
              <w:t>Main decisions by the Intergovernmental bodies</w:t>
            </w:r>
          </w:p>
        </w:tc>
        <w:tc>
          <w:tcPr>
            <w:tcW w:w="3305" w:type="dxa"/>
            <w:tcBorders>
              <w:top w:val="single" w:sz="4" w:space="0" w:color="auto"/>
              <w:bottom w:val="single" w:sz="12" w:space="0" w:color="auto"/>
            </w:tcBorders>
            <w:shd w:val="clear" w:color="auto" w:fill="auto"/>
            <w:vAlign w:val="bottom"/>
          </w:tcPr>
          <w:p w14:paraId="117BD263" w14:textId="10F54994" w:rsidR="00EB5158" w:rsidRPr="00C23E6E" w:rsidRDefault="00B11EC1" w:rsidP="00C7105F">
            <w:pPr>
              <w:spacing w:before="80" w:after="80" w:line="200" w:lineRule="exact"/>
              <w:ind w:right="113"/>
              <w:rPr>
                <w:i/>
                <w:sz w:val="16"/>
              </w:rPr>
            </w:pPr>
            <w:r w:rsidRPr="00C23E6E">
              <w:rPr>
                <w:i/>
                <w:sz w:val="16"/>
              </w:rPr>
              <w:t>Versions of</w:t>
            </w:r>
            <w:r w:rsidR="00FB2AC3" w:rsidRPr="00C23E6E">
              <w:rPr>
                <w:i/>
                <w:sz w:val="16"/>
              </w:rPr>
              <w:t xml:space="preserve"> </w:t>
            </w:r>
            <w:proofErr w:type="spellStart"/>
            <w:r w:rsidR="00FB2AC3" w:rsidRPr="00C23E6E">
              <w:rPr>
                <w:i/>
                <w:sz w:val="16"/>
              </w:rPr>
              <w:t>eTIR</w:t>
            </w:r>
            <w:proofErr w:type="spellEnd"/>
            <w:r w:rsidR="00FB2AC3" w:rsidRPr="00C23E6E">
              <w:rPr>
                <w:i/>
                <w:sz w:val="16"/>
              </w:rPr>
              <w:t xml:space="preserve"> international system specifications approved </w:t>
            </w:r>
          </w:p>
        </w:tc>
      </w:tr>
      <w:tr w:rsidR="00C7105F" w:rsidRPr="00C23E6E" w14:paraId="207DA683" w14:textId="77777777" w:rsidTr="00A267DC">
        <w:trPr>
          <w:trHeight w:hRule="exact" w:val="113"/>
          <w:tblHeader/>
        </w:trPr>
        <w:tc>
          <w:tcPr>
            <w:tcW w:w="644" w:type="dxa"/>
            <w:tcBorders>
              <w:top w:val="single" w:sz="12" w:space="0" w:color="auto"/>
            </w:tcBorders>
            <w:shd w:val="clear" w:color="auto" w:fill="auto"/>
          </w:tcPr>
          <w:p w14:paraId="375611C4" w14:textId="77777777" w:rsidR="00C7105F" w:rsidRPr="00C23E6E" w:rsidRDefault="00C7105F" w:rsidP="00C7105F">
            <w:pPr>
              <w:spacing w:before="40" w:after="120"/>
              <w:ind w:right="113"/>
            </w:pPr>
          </w:p>
        </w:tc>
        <w:tc>
          <w:tcPr>
            <w:tcW w:w="3572" w:type="dxa"/>
            <w:tcBorders>
              <w:top w:val="single" w:sz="12" w:space="0" w:color="auto"/>
            </w:tcBorders>
            <w:shd w:val="clear" w:color="auto" w:fill="auto"/>
          </w:tcPr>
          <w:p w14:paraId="7BF46776" w14:textId="77777777" w:rsidR="00C7105F" w:rsidRPr="00C23E6E" w:rsidRDefault="00C7105F" w:rsidP="00C7105F">
            <w:pPr>
              <w:spacing w:before="40" w:after="120"/>
              <w:ind w:right="113"/>
            </w:pPr>
          </w:p>
        </w:tc>
        <w:tc>
          <w:tcPr>
            <w:tcW w:w="3305" w:type="dxa"/>
            <w:tcBorders>
              <w:top w:val="single" w:sz="12" w:space="0" w:color="auto"/>
            </w:tcBorders>
            <w:shd w:val="clear" w:color="auto" w:fill="auto"/>
          </w:tcPr>
          <w:p w14:paraId="6A322335" w14:textId="77777777" w:rsidR="00C7105F" w:rsidRPr="00C23E6E" w:rsidRDefault="00C7105F" w:rsidP="00C7105F">
            <w:pPr>
              <w:spacing w:before="40" w:after="120"/>
              <w:ind w:right="113"/>
            </w:pPr>
          </w:p>
        </w:tc>
      </w:tr>
      <w:tr w:rsidR="00EB5158" w:rsidRPr="00C23E6E" w14:paraId="4708BE70" w14:textId="77777777" w:rsidTr="00A267DC">
        <w:tc>
          <w:tcPr>
            <w:tcW w:w="644" w:type="dxa"/>
            <w:shd w:val="clear" w:color="auto" w:fill="auto"/>
          </w:tcPr>
          <w:p w14:paraId="5CF884BF" w14:textId="7B52B65F" w:rsidR="00EB5158" w:rsidRPr="00C23E6E" w:rsidRDefault="0044163B" w:rsidP="00C7105F">
            <w:pPr>
              <w:spacing w:before="40" w:after="120"/>
              <w:ind w:right="113"/>
            </w:pPr>
            <w:r w:rsidRPr="00C23E6E">
              <w:t>2000</w:t>
            </w:r>
          </w:p>
        </w:tc>
        <w:tc>
          <w:tcPr>
            <w:tcW w:w="3572" w:type="dxa"/>
            <w:shd w:val="clear" w:color="auto" w:fill="auto"/>
          </w:tcPr>
          <w:p w14:paraId="45098115" w14:textId="09E04F91" w:rsidR="00EB5158" w:rsidRPr="00C23E6E" w:rsidRDefault="00D76CBD" w:rsidP="00C7105F">
            <w:pPr>
              <w:spacing w:before="40" w:after="120"/>
              <w:ind w:right="113"/>
            </w:pPr>
            <w:r w:rsidRPr="00C23E6E">
              <w:t xml:space="preserve">WP.30 decided to start working towards the electronic TIR </w:t>
            </w:r>
          </w:p>
        </w:tc>
        <w:tc>
          <w:tcPr>
            <w:tcW w:w="3305" w:type="dxa"/>
            <w:shd w:val="clear" w:color="auto" w:fill="auto"/>
          </w:tcPr>
          <w:p w14:paraId="18A9D979" w14:textId="03F96AC3" w:rsidR="00EB5158" w:rsidRPr="00C23E6E" w:rsidRDefault="00A032E7" w:rsidP="00C7105F">
            <w:pPr>
              <w:spacing w:before="40" w:after="120"/>
              <w:ind w:right="113"/>
            </w:pPr>
            <w:r w:rsidRPr="00C23E6E">
              <w:t>-</w:t>
            </w:r>
          </w:p>
        </w:tc>
      </w:tr>
      <w:tr w:rsidR="00EB5158" w:rsidRPr="00C23E6E" w14:paraId="721ABBD7" w14:textId="77777777" w:rsidTr="00A267DC">
        <w:tc>
          <w:tcPr>
            <w:tcW w:w="644" w:type="dxa"/>
            <w:shd w:val="clear" w:color="auto" w:fill="auto"/>
          </w:tcPr>
          <w:p w14:paraId="357EB378" w14:textId="4E1A8F8C" w:rsidR="00EB5158" w:rsidRPr="00C23E6E" w:rsidRDefault="004C08BE" w:rsidP="00C7105F">
            <w:pPr>
              <w:spacing w:before="40" w:after="120"/>
              <w:ind w:right="113"/>
            </w:pPr>
            <w:r w:rsidRPr="00C23E6E">
              <w:t>2000</w:t>
            </w:r>
          </w:p>
        </w:tc>
        <w:tc>
          <w:tcPr>
            <w:tcW w:w="3572" w:type="dxa"/>
            <w:shd w:val="clear" w:color="auto" w:fill="auto"/>
          </w:tcPr>
          <w:p w14:paraId="58B7C1D5" w14:textId="66995D4D" w:rsidR="00EB5158" w:rsidRPr="00C23E6E" w:rsidRDefault="004C08BE" w:rsidP="00C7105F">
            <w:pPr>
              <w:spacing w:before="40" w:after="120"/>
              <w:ind w:right="113"/>
            </w:pPr>
            <w:r w:rsidRPr="00C23E6E">
              <w:t>WP.30 decided to establish an ad hoc group of experts on the computerization of the TIR regime</w:t>
            </w:r>
          </w:p>
        </w:tc>
        <w:tc>
          <w:tcPr>
            <w:tcW w:w="3305" w:type="dxa"/>
            <w:shd w:val="clear" w:color="auto" w:fill="auto"/>
          </w:tcPr>
          <w:p w14:paraId="1C93EDE9" w14:textId="426BDF0F" w:rsidR="00EB5158" w:rsidRPr="00C23E6E" w:rsidRDefault="002A66D2" w:rsidP="00C7105F">
            <w:pPr>
              <w:spacing w:before="40" w:after="120"/>
              <w:ind w:right="113"/>
            </w:pPr>
            <w:r w:rsidRPr="00C23E6E">
              <w:t>-</w:t>
            </w:r>
          </w:p>
        </w:tc>
      </w:tr>
      <w:tr w:rsidR="002449F6" w:rsidRPr="00C23E6E" w14:paraId="730CB224" w14:textId="77777777" w:rsidTr="00A267DC">
        <w:tc>
          <w:tcPr>
            <w:tcW w:w="644" w:type="dxa"/>
            <w:vMerge w:val="restart"/>
            <w:shd w:val="clear" w:color="auto" w:fill="auto"/>
          </w:tcPr>
          <w:p w14:paraId="06A509CA" w14:textId="17E0B11F" w:rsidR="002449F6" w:rsidRPr="00C23E6E" w:rsidRDefault="002449F6" w:rsidP="00C7105F">
            <w:pPr>
              <w:spacing w:before="40" w:after="120"/>
              <w:ind w:right="113"/>
            </w:pPr>
            <w:r w:rsidRPr="00C23E6E">
              <w:t>2015</w:t>
            </w:r>
          </w:p>
        </w:tc>
        <w:tc>
          <w:tcPr>
            <w:tcW w:w="3572" w:type="dxa"/>
            <w:shd w:val="clear" w:color="auto" w:fill="auto"/>
          </w:tcPr>
          <w:p w14:paraId="04754668" w14:textId="32B52D6B" w:rsidR="002449F6" w:rsidRPr="00C23E6E" w:rsidRDefault="002449F6" w:rsidP="00C7105F">
            <w:pPr>
              <w:spacing w:before="40" w:after="120"/>
              <w:ind w:right="113"/>
            </w:pPr>
            <w:r w:rsidRPr="00C23E6E">
              <w:t xml:space="preserve">WP.30 considered and supported version 4.1 of the </w:t>
            </w:r>
            <w:proofErr w:type="spellStart"/>
            <w:r w:rsidRPr="00C23E6E">
              <w:t>eTIR</w:t>
            </w:r>
            <w:proofErr w:type="spellEnd"/>
            <w:r w:rsidRPr="00C23E6E">
              <w:t xml:space="preserve"> Reference Model, as a basis for future work of GE.2 as well as for pilot projects.</w:t>
            </w:r>
          </w:p>
        </w:tc>
        <w:tc>
          <w:tcPr>
            <w:tcW w:w="3305" w:type="dxa"/>
            <w:shd w:val="clear" w:color="auto" w:fill="auto"/>
          </w:tcPr>
          <w:p w14:paraId="221AA3DA" w14:textId="438B728A" w:rsidR="002449F6" w:rsidRPr="00C23E6E" w:rsidRDefault="00F269CC" w:rsidP="00C7105F">
            <w:pPr>
              <w:spacing w:before="40" w:after="120"/>
              <w:ind w:right="113"/>
            </w:pPr>
            <w:r>
              <w:t>V</w:t>
            </w:r>
            <w:r w:rsidRPr="00C23E6E">
              <w:t xml:space="preserve">ersion </w:t>
            </w:r>
            <w:r w:rsidR="002449F6" w:rsidRPr="00C23E6E">
              <w:t xml:space="preserve">4.1 of the </w:t>
            </w:r>
            <w:proofErr w:type="spellStart"/>
            <w:r w:rsidR="002449F6" w:rsidRPr="00C23E6E">
              <w:t>eTIR</w:t>
            </w:r>
            <w:proofErr w:type="spellEnd"/>
            <w:r w:rsidR="002449F6" w:rsidRPr="00C23E6E">
              <w:t xml:space="preserve"> Reference Model was prepared </w:t>
            </w:r>
          </w:p>
        </w:tc>
      </w:tr>
      <w:tr w:rsidR="002449F6" w:rsidRPr="00C23E6E" w14:paraId="7C9F381E" w14:textId="77777777" w:rsidTr="00A267DC">
        <w:tc>
          <w:tcPr>
            <w:tcW w:w="644" w:type="dxa"/>
            <w:vMerge/>
            <w:shd w:val="clear" w:color="auto" w:fill="auto"/>
          </w:tcPr>
          <w:p w14:paraId="491B0803" w14:textId="77777777" w:rsidR="002449F6" w:rsidRPr="00C23E6E" w:rsidRDefault="002449F6" w:rsidP="00C7105F">
            <w:pPr>
              <w:spacing w:before="40" w:after="120"/>
              <w:ind w:right="113"/>
            </w:pPr>
          </w:p>
        </w:tc>
        <w:tc>
          <w:tcPr>
            <w:tcW w:w="3572" w:type="dxa"/>
            <w:shd w:val="clear" w:color="auto" w:fill="auto"/>
          </w:tcPr>
          <w:p w14:paraId="2D0F3B86" w14:textId="57B5E635" w:rsidR="002449F6" w:rsidRPr="00C23E6E" w:rsidRDefault="002449F6" w:rsidP="00C7105F">
            <w:pPr>
              <w:spacing w:before="40" w:after="120"/>
              <w:ind w:right="113"/>
            </w:pPr>
            <w:r w:rsidRPr="00C23E6E">
              <w:t xml:space="preserve">ECE and </w:t>
            </w:r>
            <w:r w:rsidR="00C82BDB" w:rsidRPr="00C82BDB">
              <w:t>International Road Transport Union</w:t>
            </w:r>
            <w:r w:rsidR="00C82BDB">
              <w:t xml:space="preserve"> (</w:t>
            </w:r>
            <w:r w:rsidRPr="00C23E6E">
              <w:t>IRU</w:t>
            </w:r>
            <w:r w:rsidR="00C82BDB">
              <w:t>)</w:t>
            </w:r>
            <w:r w:rsidRPr="00C23E6E">
              <w:t xml:space="preserve"> signed a</w:t>
            </w:r>
            <w:r w:rsidR="00C82BDB">
              <w:t xml:space="preserve"> </w:t>
            </w:r>
            <w:r w:rsidR="00C82BDB" w:rsidRPr="00C82BDB">
              <w:t>Memorandum of Understanding</w:t>
            </w:r>
            <w:r w:rsidRPr="00C23E6E">
              <w:t xml:space="preserve"> </w:t>
            </w:r>
            <w:r w:rsidR="00C82BDB">
              <w:t>(</w:t>
            </w:r>
            <w:r w:rsidRPr="00C23E6E">
              <w:t>MOU</w:t>
            </w:r>
            <w:r w:rsidR="00C82BDB">
              <w:t>)</w:t>
            </w:r>
            <w:r w:rsidRPr="00C23E6E">
              <w:t xml:space="preserve"> for the performance of pilot projects based on the version 4.1 </w:t>
            </w:r>
          </w:p>
        </w:tc>
        <w:tc>
          <w:tcPr>
            <w:tcW w:w="3305" w:type="dxa"/>
            <w:shd w:val="clear" w:color="auto" w:fill="auto"/>
          </w:tcPr>
          <w:p w14:paraId="3C6B54C1" w14:textId="4741329E" w:rsidR="002449F6" w:rsidRPr="00C23E6E" w:rsidRDefault="005172E8" w:rsidP="00C7105F">
            <w:pPr>
              <w:spacing w:before="40" w:after="120"/>
              <w:ind w:right="113"/>
            </w:pPr>
            <w:r w:rsidRPr="00C23E6E">
              <w:t>-</w:t>
            </w:r>
          </w:p>
        </w:tc>
      </w:tr>
      <w:tr w:rsidR="002449F6" w:rsidRPr="00C23E6E" w14:paraId="6418B815" w14:textId="77777777" w:rsidTr="00A267DC">
        <w:tc>
          <w:tcPr>
            <w:tcW w:w="644" w:type="dxa"/>
            <w:vMerge/>
            <w:shd w:val="clear" w:color="auto" w:fill="auto"/>
          </w:tcPr>
          <w:p w14:paraId="0338C619" w14:textId="77777777" w:rsidR="002449F6" w:rsidRPr="00C23E6E" w:rsidRDefault="002449F6" w:rsidP="00C7105F">
            <w:pPr>
              <w:spacing w:before="40" w:after="120"/>
              <w:ind w:right="113"/>
            </w:pPr>
          </w:p>
        </w:tc>
        <w:tc>
          <w:tcPr>
            <w:tcW w:w="3572" w:type="dxa"/>
            <w:shd w:val="clear" w:color="auto" w:fill="auto"/>
          </w:tcPr>
          <w:p w14:paraId="34144F7A" w14:textId="57A6B78C" w:rsidR="002449F6" w:rsidRPr="00C23E6E" w:rsidRDefault="002449F6" w:rsidP="00C7105F">
            <w:pPr>
              <w:spacing w:before="40" w:after="120"/>
              <w:ind w:right="113"/>
            </w:pPr>
            <w:r w:rsidRPr="00C23E6E">
              <w:t xml:space="preserve">Establishment of the Group of Experts on the Legal Aspects of Computerization of the TIR Procedure (GE.2) in order to prepare the new </w:t>
            </w:r>
            <w:r w:rsidR="00C82BDB" w:rsidRPr="00C23E6E">
              <w:t xml:space="preserve">annex </w:t>
            </w:r>
            <w:r w:rsidRPr="00C23E6E">
              <w:t xml:space="preserve">11 </w:t>
            </w:r>
            <w:r w:rsidR="002716C0" w:rsidRPr="00C23E6E">
              <w:t xml:space="preserve">to the Convention </w:t>
            </w:r>
          </w:p>
        </w:tc>
        <w:tc>
          <w:tcPr>
            <w:tcW w:w="3305" w:type="dxa"/>
            <w:shd w:val="clear" w:color="auto" w:fill="auto"/>
          </w:tcPr>
          <w:p w14:paraId="0A39BD1D" w14:textId="2B3FA28E" w:rsidR="002449F6" w:rsidRPr="00C23E6E" w:rsidRDefault="005172E8" w:rsidP="00C7105F">
            <w:pPr>
              <w:spacing w:before="40" w:after="120"/>
              <w:ind w:right="113"/>
            </w:pPr>
            <w:r w:rsidRPr="00C23E6E">
              <w:t>-</w:t>
            </w:r>
          </w:p>
        </w:tc>
      </w:tr>
      <w:tr w:rsidR="005172E8" w:rsidRPr="00C23E6E" w14:paraId="42F6C95A" w14:textId="77777777" w:rsidTr="00A267DC">
        <w:tc>
          <w:tcPr>
            <w:tcW w:w="644" w:type="dxa"/>
            <w:vMerge w:val="restart"/>
            <w:shd w:val="clear" w:color="auto" w:fill="auto"/>
          </w:tcPr>
          <w:p w14:paraId="235AE076" w14:textId="4DE91B01" w:rsidR="005172E8" w:rsidRPr="00C23E6E" w:rsidRDefault="005172E8" w:rsidP="00C7105F">
            <w:pPr>
              <w:spacing w:before="40" w:after="120"/>
              <w:ind w:right="113"/>
            </w:pPr>
            <w:r w:rsidRPr="00C23E6E">
              <w:t>2017</w:t>
            </w:r>
          </w:p>
        </w:tc>
        <w:tc>
          <w:tcPr>
            <w:tcW w:w="3572" w:type="dxa"/>
            <w:shd w:val="clear" w:color="auto" w:fill="auto"/>
          </w:tcPr>
          <w:p w14:paraId="7061D8BE" w14:textId="7960E0C5" w:rsidR="005172E8" w:rsidRPr="00C23E6E" w:rsidRDefault="005172E8" w:rsidP="00C7105F">
            <w:pPr>
              <w:spacing w:before="40" w:after="120"/>
              <w:ind w:right="113"/>
            </w:pPr>
            <w:r w:rsidRPr="00C23E6E">
              <w:t xml:space="preserve">A new MOU was signed between ECE and IRU for the development of </w:t>
            </w:r>
            <w:proofErr w:type="spellStart"/>
            <w:r w:rsidRPr="00C23E6E">
              <w:t>eTIR</w:t>
            </w:r>
            <w:proofErr w:type="spellEnd"/>
            <w:r w:rsidRPr="00C23E6E">
              <w:t xml:space="preserve"> (5</w:t>
            </w:r>
            <w:r w:rsidR="00C82BDB">
              <w:t>-</w:t>
            </w:r>
            <w:r w:rsidRPr="00C23E6E">
              <w:t>year project)</w:t>
            </w:r>
          </w:p>
        </w:tc>
        <w:tc>
          <w:tcPr>
            <w:tcW w:w="3305" w:type="dxa"/>
            <w:vMerge w:val="restart"/>
            <w:shd w:val="clear" w:color="auto" w:fill="auto"/>
          </w:tcPr>
          <w:p w14:paraId="74C4F4F8" w14:textId="149BDB48" w:rsidR="005172E8" w:rsidRPr="00C23E6E" w:rsidRDefault="00C82BDB" w:rsidP="00C7105F">
            <w:pPr>
              <w:spacing w:before="40" w:after="120"/>
              <w:ind w:right="113"/>
            </w:pPr>
            <w:r>
              <w:t>V</w:t>
            </w:r>
            <w:r w:rsidRPr="00C23E6E">
              <w:t xml:space="preserve">ersion </w:t>
            </w:r>
            <w:r w:rsidR="005172E8" w:rsidRPr="00C23E6E">
              <w:t xml:space="preserve">4.2 of the </w:t>
            </w:r>
            <w:proofErr w:type="spellStart"/>
            <w:r w:rsidR="005172E8" w:rsidRPr="00C23E6E">
              <w:t>eTIR</w:t>
            </w:r>
            <w:proofErr w:type="spellEnd"/>
            <w:r w:rsidR="005172E8" w:rsidRPr="00C23E6E">
              <w:t xml:space="preserve"> specifications were prepared but not approved by AC.2</w:t>
            </w:r>
          </w:p>
        </w:tc>
      </w:tr>
      <w:tr w:rsidR="005172E8" w:rsidRPr="00C23E6E" w14:paraId="76281897" w14:textId="77777777" w:rsidTr="00A267DC">
        <w:tc>
          <w:tcPr>
            <w:tcW w:w="644" w:type="dxa"/>
            <w:vMerge/>
            <w:shd w:val="clear" w:color="auto" w:fill="auto"/>
          </w:tcPr>
          <w:p w14:paraId="109753E5" w14:textId="77777777" w:rsidR="005172E8" w:rsidRPr="00C23E6E" w:rsidRDefault="005172E8" w:rsidP="00C7105F">
            <w:pPr>
              <w:spacing w:before="40" w:after="120"/>
              <w:ind w:right="113"/>
            </w:pPr>
          </w:p>
        </w:tc>
        <w:tc>
          <w:tcPr>
            <w:tcW w:w="3572" w:type="dxa"/>
            <w:shd w:val="clear" w:color="auto" w:fill="auto"/>
          </w:tcPr>
          <w:p w14:paraId="187A35A3" w14:textId="21A69D85" w:rsidR="005172E8" w:rsidRPr="00C23E6E" w:rsidRDefault="005172E8" w:rsidP="00C7105F">
            <w:pPr>
              <w:spacing w:before="40" w:after="120"/>
              <w:ind w:right="113"/>
            </w:pPr>
            <w:r w:rsidRPr="00C23E6E">
              <w:t>Group of Experts on the Legal Aspects of Computerization of the TIR Procedure (GE.2) finalised its mandate</w:t>
            </w:r>
          </w:p>
        </w:tc>
        <w:tc>
          <w:tcPr>
            <w:tcW w:w="3305" w:type="dxa"/>
            <w:vMerge/>
            <w:shd w:val="clear" w:color="auto" w:fill="auto"/>
          </w:tcPr>
          <w:p w14:paraId="23685F98" w14:textId="77777777" w:rsidR="005172E8" w:rsidRPr="00C23E6E" w:rsidRDefault="005172E8" w:rsidP="00C7105F">
            <w:pPr>
              <w:spacing w:before="40" w:after="120"/>
              <w:ind w:right="113"/>
            </w:pPr>
          </w:p>
        </w:tc>
      </w:tr>
      <w:tr w:rsidR="00EB5158" w:rsidRPr="00C23E6E" w14:paraId="573B5F87" w14:textId="77777777" w:rsidTr="00A267DC">
        <w:tc>
          <w:tcPr>
            <w:tcW w:w="644" w:type="dxa"/>
            <w:shd w:val="clear" w:color="auto" w:fill="auto"/>
          </w:tcPr>
          <w:p w14:paraId="29E2C5ED" w14:textId="55881AAE" w:rsidR="00EB5158" w:rsidRPr="00C23E6E" w:rsidRDefault="006A1229" w:rsidP="00C7105F">
            <w:pPr>
              <w:spacing w:before="40" w:after="120"/>
              <w:ind w:right="113"/>
            </w:pPr>
            <w:r w:rsidRPr="00C23E6E">
              <w:t>2020</w:t>
            </w:r>
          </w:p>
        </w:tc>
        <w:tc>
          <w:tcPr>
            <w:tcW w:w="3572" w:type="dxa"/>
            <w:shd w:val="clear" w:color="auto" w:fill="auto"/>
          </w:tcPr>
          <w:p w14:paraId="7BCFF035" w14:textId="79812AC7" w:rsidR="00EB5158" w:rsidRPr="00C23E6E" w:rsidRDefault="006A1229" w:rsidP="00C7105F">
            <w:pPr>
              <w:spacing w:before="40" w:after="120"/>
              <w:ind w:right="113"/>
            </w:pPr>
            <w:r w:rsidRPr="00C23E6E">
              <w:t xml:space="preserve">Adoption by the Administrative Committee of </w:t>
            </w:r>
            <w:r w:rsidR="00FF67EF" w:rsidRPr="00C23E6E">
              <w:t>a</w:t>
            </w:r>
            <w:r w:rsidRPr="00C23E6E">
              <w:t>nnex 11 and of various amendment proposals to the body of the Convention</w:t>
            </w:r>
          </w:p>
        </w:tc>
        <w:tc>
          <w:tcPr>
            <w:tcW w:w="3305" w:type="dxa"/>
            <w:shd w:val="clear" w:color="auto" w:fill="auto"/>
          </w:tcPr>
          <w:p w14:paraId="733F1CA8" w14:textId="1ADA842A" w:rsidR="00EB5158" w:rsidRPr="00C23E6E" w:rsidRDefault="00A93EAC" w:rsidP="00C7105F">
            <w:pPr>
              <w:spacing w:before="40" w:after="120"/>
              <w:ind w:right="113"/>
            </w:pPr>
            <w:r w:rsidRPr="00C23E6E">
              <w:t>-</w:t>
            </w:r>
          </w:p>
        </w:tc>
      </w:tr>
      <w:tr w:rsidR="00CA4E76" w:rsidRPr="00C23E6E" w14:paraId="4E4247E1" w14:textId="77777777" w:rsidTr="00A267DC">
        <w:tc>
          <w:tcPr>
            <w:tcW w:w="644" w:type="dxa"/>
            <w:vMerge w:val="restart"/>
            <w:shd w:val="clear" w:color="auto" w:fill="auto"/>
          </w:tcPr>
          <w:p w14:paraId="1BCC99AF" w14:textId="02966244" w:rsidR="00CA4E76" w:rsidRPr="00C23E6E" w:rsidRDefault="00CA4E76" w:rsidP="00C7105F">
            <w:pPr>
              <w:spacing w:before="40" w:after="120"/>
              <w:ind w:right="113"/>
            </w:pPr>
            <w:r w:rsidRPr="00C23E6E">
              <w:t>2021</w:t>
            </w:r>
          </w:p>
        </w:tc>
        <w:tc>
          <w:tcPr>
            <w:tcW w:w="3572" w:type="dxa"/>
            <w:shd w:val="clear" w:color="auto" w:fill="auto"/>
          </w:tcPr>
          <w:p w14:paraId="133087AC" w14:textId="4B535B31" w:rsidR="00CA4E76" w:rsidRPr="00C23E6E" w:rsidRDefault="00CA4E76" w:rsidP="00C7105F">
            <w:pPr>
              <w:spacing w:before="40" w:after="120"/>
              <w:ind w:right="113"/>
            </w:pPr>
            <w:r w:rsidRPr="00C23E6E">
              <w:t>Annex 11 came into force</w:t>
            </w:r>
          </w:p>
        </w:tc>
        <w:tc>
          <w:tcPr>
            <w:tcW w:w="3305" w:type="dxa"/>
            <w:vMerge w:val="restart"/>
            <w:shd w:val="clear" w:color="auto" w:fill="auto"/>
          </w:tcPr>
          <w:p w14:paraId="47D194B2" w14:textId="505B7519" w:rsidR="00CA4E76" w:rsidRPr="00C23E6E" w:rsidRDefault="00CA4E76" w:rsidP="00C7105F">
            <w:pPr>
              <w:spacing w:before="40" w:after="120"/>
              <w:ind w:right="113"/>
            </w:pPr>
            <w:r w:rsidRPr="00C23E6E">
              <w:t xml:space="preserve">The version 4.3 of the </w:t>
            </w:r>
            <w:proofErr w:type="spellStart"/>
            <w:r w:rsidRPr="00C23E6E">
              <w:t>eTIR</w:t>
            </w:r>
            <w:proofErr w:type="spellEnd"/>
            <w:r w:rsidRPr="00C23E6E">
              <w:t xml:space="preserve"> specifications (concepts, functional and technical) were prepared for first time as consolidated documents and in </w:t>
            </w:r>
            <w:r w:rsidR="00FF67EF">
              <w:t xml:space="preserve">the </w:t>
            </w:r>
            <w:r w:rsidRPr="00C23E6E">
              <w:t xml:space="preserve">three ECE languages </w:t>
            </w:r>
          </w:p>
        </w:tc>
      </w:tr>
      <w:tr w:rsidR="00CA4E76" w:rsidRPr="00C23E6E" w14:paraId="710F9719" w14:textId="77777777" w:rsidTr="00A267DC">
        <w:tc>
          <w:tcPr>
            <w:tcW w:w="644" w:type="dxa"/>
            <w:vMerge/>
            <w:shd w:val="clear" w:color="auto" w:fill="auto"/>
          </w:tcPr>
          <w:p w14:paraId="5FCC6D0F" w14:textId="77777777" w:rsidR="00CA4E76" w:rsidRPr="00C23E6E" w:rsidRDefault="00CA4E76" w:rsidP="00C7105F">
            <w:pPr>
              <w:spacing w:before="40" w:after="120"/>
              <w:ind w:right="113"/>
            </w:pPr>
          </w:p>
        </w:tc>
        <w:tc>
          <w:tcPr>
            <w:tcW w:w="3572" w:type="dxa"/>
            <w:shd w:val="clear" w:color="auto" w:fill="auto"/>
          </w:tcPr>
          <w:p w14:paraId="4080CEFC" w14:textId="6E8AEF31" w:rsidR="00CA4E76" w:rsidRPr="00C23E6E" w:rsidRDefault="00CA4E76" w:rsidP="00C7105F">
            <w:pPr>
              <w:spacing w:before="40" w:after="120"/>
              <w:ind w:right="113"/>
            </w:pPr>
            <w:proofErr w:type="spellStart"/>
            <w:r w:rsidRPr="00C23E6E">
              <w:t>eTIR</w:t>
            </w:r>
            <w:proofErr w:type="spellEnd"/>
            <w:r w:rsidRPr="00C23E6E">
              <w:t xml:space="preserve"> international system developed by the TIR </w:t>
            </w:r>
            <w:r w:rsidR="00FF67EF" w:rsidRPr="00C23E6E">
              <w:t>s</w:t>
            </w:r>
            <w:r w:rsidRPr="00C23E6E">
              <w:t xml:space="preserve">ecretariat based on version 4.3 </w:t>
            </w:r>
          </w:p>
        </w:tc>
        <w:tc>
          <w:tcPr>
            <w:tcW w:w="3305" w:type="dxa"/>
            <w:vMerge/>
            <w:shd w:val="clear" w:color="auto" w:fill="auto"/>
          </w:tcPr>
          <w:p w14:paraId="28918106" w14:textId="7B589CA3" w:rsidR="00CA4E76" w:rsidRPr="00C23E6E" w:rsidRDefault="00CA4E76" w:rsidP="00C7105F">
            <w:pPr>
              <w:spacing w:before="40" w:after="120"/>
              <w:ind w:right="113"/>
            </w:pPr>
          </w:p>
        </w:tc>
      </w:tr>
      <w:tr w:rsidR="00CA4E76" w:rsidRPr="00C23E6E" w14:paraId="34075664" w14:textId="77777777" w:rsidTr="00A267DC">
        <w:tc>
          <w:tcPr>
            <w:tcW w:w="644" w:type="dxa"/>
            <w:vMerge/>
            <w:shd w:val="clear" w:color="auto" w:fill="auto"/>
          </w:tcPr>
          <w:p w14:paraId="7E2484B4" w14:textId="77777777" w:rsidR="00CA4E76" w:rsidRPr="00C23E6E" w:rsidRDefault="00CA4E76" w:rsidP="00C7105F">
            <w:pPr>
              <w:spacing w:before="40" w:after="120"/>
              <w:ind w:right="113"/>
            </w:pPr>
          </w:p>
        </w:tc>
        <w:tc>
          <w:tcPr>
            <w:tcW w:w="3572" w:type="dxa"/>
            <w:shd w:val="clear" w:color="auto" w:fill="auto"/>
          </w:tcPr>
          <w:p w14:paraId="5A03D983" w14:textId="7F62711C" w:rsidR="00CA4E76" w:rsidRPr="00C23E6E" w:rsidRDefault="00CA4E76" w:rsidP="00C7105F">
            <w:pPr>
              <w:spacing w:before="40" w:after="120"/>
              <w:ind w:right="113"/>
            </w:pPr>
            <w:r w:rsidRPr="00C23E6E">
              <w:t xml:space="preserve">The Technical Implementation body (TIB) as foreseen in annex 11 was established. </w:t>
            </w:r>
          </w:p>
        </w:tc>
        <w:tc>
          <w:tcPr>
            <w:tcW w:w="3305" w:type="dxa"/>
            <w:vMerge/>
            <w:shd w:val="clear" w:color="auto" w:fill="auto"/>
          </w:tcPr>
          <w:p w14:paraId="60BC54A0" w14:textId="238A6A5C" w:rsidR="00CA4E76" w:rsidRPr="00C23E6E" w:rsidRDefault="00CA4E76" w:rsidP="00C7105F">
            <w:pPr>
              <w:spacing w:before="40" w:after="120"/>
              <w:ind w:right="113"/>
            </w:pPr>
          </w:p>
        </w:tc>
      </w:tr>
      <w:tr w:rsidR="00CA4E76" w:rsidRPr="00C23E6E" w14:paraId="6212FE29" w14:textId="77777777" w:rsidTr="00A267DC">
        <w:tc>
          <w:tcPr>
            <w:tcW w:w="644" w:type="dxa"/>
            <w:vMerge/>
            <w:shd w:val="clear" w:color="auto" w:fill="auto"/>
          </w:tcPr>
          <w:p w14:paraId="3E7EAED9" w14:textId="77777777" w:rsidR="00CA4E76" w:rsidRPr="00C23E6E" w:rsidRDefault="00CA4E76" w:rsidP="00C7105F">
            <w:pPr>
              <w:spacing w:before="40" w:after="120"/>
              <w:ind w:right="113"/>
            </w:pPr>
          </w:p>
        </w:tc>
        <w:tc>
          <w:tcPr>
            <w:tcW w:w="3572" w:type="dxa"/>
            <w:shd w:val="clear" w:color="auto" w:fill="auto"/>
          </w:tcPr>
          <w:p w14:paraId="1D0682B1" w14:textId="52867B69" w:rsidR="00CA4E76" w:rsidRPr="00C23E6E" w:rsidRDefault="00CA4E76" w:rsidP="00C7105F">
            <w:pPr>
              <w:spacing w:before="40" w:after="120"/>
              <w:ind w:right="113"/>
            </w:pPr>
            <w:r w:rsidRPr="00C23E6E">
              <w:t>The 2017 MOU between ECE and IRU was revised and updated based on the new developments (</w:t>
            </w:r>
            <w:r w:rsidR="00FF67EF" w:rsidRPr="00C23E6E">
              <w:t>a</w:t>
            </w:r>
            <w:r w:rsidRPr="00C23E6E">
              <w:t xml:space="preserve">nnex 11 coming into force) and extended for addition two years meaning until 2024 included.  </w:t>
            </w:r>
          </w:p>
        </w:tc>
        <w:tc>
          <w:tcPr>
            <w:tcW w:w="3305" w:type="dxa"/>
            <w:vMerge/>
            <w:shd w:val="clear" w:color="auto" w:fill="auto"/>
          </w:tcPr>
          <w:p w14:paraId="1DD07B32" w14:textId="13B0F2E6" w:rsidR="00CA4E76" w:rsidRPr="00C23E6E" w:rsidRDefault="00CA4E76" w:rsidP="00C7105F">
            <w:pPr>
              <w:spacing w:before="40" w:after="120"/>
              <w:ind w:right="113"/>
            </w:pPr>
          </w:p>
        </w:tc>
      </w:tr>
      <w:tr w:rsidR="00646BB6" w:rsidRPr="00C23E6E" w14:paraId="0502616E" w14:textId="77777777" w:rsidTr="00A267DC">
        <w:tc>
          <w:tcPr>
            <w:tcW w:w="644" w:type="dxa"/>
            <w:vMerge w:val="restart"/>
            <w:shd w:val="clear" w:color="auto" w:fill="auto"/>
          </w:tcPr>
          <w:p w14:paraId="33EE719E" w14:textId="3732626E" w:rsidR="00646BB6" w:rsidRPr="00C23E6E" w:rsidRDefault="00646BB6" w:rsidP="00C7105F">
            <w:pPr>
              <w:spacing w:before="40" w:after="120"/>
              <w:ind w:right="113"/>
            </w:pPr>
            <w:r w:rsidRPr="00C23E6E">
              <w:t>2022</w:t>
            </w:r>
          </w:p>
        </w:tc>
        <w:tc>
          <w:tcPr>
            <w:tcW w:w="3572" w:type="dxa"/>
            <w:shd w:val="clear" w:color="auto" w:fill="auto"/>
          </w:tcPr>
          <w:p w14:paraId="5D8977B0" w14:textId="11555A44" w:rsidR="00646BB6" w:rsidRPr="00C23E6E" w:rsidRDefault="00646BB6" w:rsidP="00C7105F">
            <w:pPr>
              <w:spacing w:before="40" w:after="120"/>
              <w:ind w:right="113"/>
            </w:pPr>
            <w:r w:rsidRPr="00C23E6E">
              <w:t xml:space="preserve">Interconnections of </w:t>
            </w:r>
            <w:proofErr w:type="spellStart"/>
            <w:r w:rsidRPr="00C23E6E">
              <w:t>eTIR</w:t>
            </w:r>
            <w:proofErr w:type="spellEnd"/>
            <w:r w:rsidRPr="00C23E6E">
              <w:t xml:space="preserve"> international system with National Customs Systems started </w:t>
            </w:r>
          </w:p>
        </w:tc>
        <w:tc>
          <w:tcPr>
            <w:tcW w:w="3305" w:type="dxa"/>
            <w:shd w:val="clear" w:color="auto" w:fill="auto"/>
          </w:tcPr>
          <w:p w14:paraId="7DC18B1A" w14:textId="28622E62" w:rsidR="00646BB6" w:rsidRPr="00C23E6E" w:rsidRDefault="00646BB6" w:rsidP="00C7105F">
            <w:pPr>
              <w:spacing w:before="40" w:after="120"/>
              <w:ind w:right="113"/>
            </w:pPr>
            <w:r w:rsidRPr="00C23E6E">
              <w:t xml:space="preserve">TIB at its first session (January 2022) adopted version 4.3 of the </w:t>
            </w:r>
            <w:proofErr w:type="spellStart"/>
            <w:r w:rsidRPr="00C23E6E">
              <w:t>eTIR</w:t>
            </w:r>
            <w:proofErr w:type="spellEnd"/>
            <w:r w:rsidRPr="00C23E6E">
              <w:t xml:space="preserve"> technical specifications and confirmed their alignment with version 4.3 of  the </w:t>
            </w:r>
            <w:proofErr w:type="spellStart"/>
            <w:r w:rsidRPr="00C23E6E">
              <w:t>eTIR</w:t>
            </w:r>
            <w:proofErr w:type="spellEnd"/>
            <w:r w:rsidRPr="00C23E6E">
              <w:t xml:space="preserve"> concepts and the </w:t>
            </w:r>
            <w:proofErr w:type="spellStart"/>
            <w:r w:rsidRPr="00C23E6E">
              <w:t>eTIR</w:t>
            </w:r>
            <w:proofErr w:type="spellEnd"/>
            <w:r w:rsidRPr="00C23E6E">
              <w:t xml:space="preserve"> functional specifications</w:t>
            </w:r>
          </w:p>
        </w:tc>
      </w:tr>
      <w:tr w:rsidR="00646BB6" w:rsidRPr="00C23E6E" w14:paraId="5721A502" w14:textId="77777777" w:rsidTr="00A267DC">
        <w:tc>
          <w:tcPr>
            <w:tcW w:w="644" w:type="dxa"/>
            <w:vMerge/>
            <w:shd w:val="clear" w:color="auto" w:fill="auto"/>
          </w:tcPr>
          <w:p w14:paraId="7D404BA2" w14:textId="77777777" w:rsidR="00646BB6" w:rsidRPr="00C23E6E" w:rsidRDefault="00646BB6" w:rsidP="00C7105F">
            <w:pPr>
              <w:spacing w:before="40" w:after="120"/>
              <w:ind w:right="113"/>
            </w:pPr>
          </w:p>
        </w:tc>
        <w:tc>
          <w:tcPr>
            <w:tcW w:w="3572" w:type="dxa"/>
            <w:shd w:val="clear" w:color="auto" w:fill="auto"/>
          </w:tcPr>
          <w:p w14:paraId="26A28C20" w14:textId="3A381A6B" w:rsidR="00646BB6" w:rsidRPr="00C23E6E" w:rsidRDefault="00646BB6" w:rsidP="00C7105F">
            <w:pPr>
              <w:spacing w:before="40" w:after="120"/>
              <w:ind w:right="113"/>
            </w:pPr>
            <w:r w:rsidRPr="00C23E6E">
              <w:t xml:space="preserve">Azerbaijan, Georgia, Pakistan, Tunisia, </w:t>
            </w:r>
            <w:proofErr w:type="spellStart"/>
            <w:r w:rsidR="00762E7F" w:rsidRPr="00C23E6E">
              <w:t>Türkiye</w:t>
            </w:r>
            <w:proofErr w:type="spellEnd"/>
            <w:r w:rsidR="008B7CD1" w:rsidRPr="00C23E6E">
              <w:t>,</w:t>
            </w:r>
            <w:r w:rsidR="00762E7F" w:rsidRPr="00C23E6E">
              <w:t xml:space="preserve"> </w:t>
            </w:r>
            <w:r w:rsidRPr="00C23E6E">
              <w:t xml:space="preserve">Uzbekistan </w:t>
            </w:r>
            <w:r w:rsidR="008B7CD1" w:rsidRPr="00C23E6E">
              <w:t xml:space="preserve">and IRU </w:t>
            </w:r>
            <w:r w:rsidRPr="00C23E6E">
              <w:t>finalised the interconnection projects. Armenia finalised the requirements analysis study. A proof of concept was prepared and agreed with E</w:t>
            </w:r>
            <w:r w:rsidR="00FF67EF">
              <w:t xml:space="preserve">uropean </w:t>
            </w:r>
            <w:r w:rsidRPr="00C23E6E">
              <w:t>C</w:t>
            </w:r>
            <w:r w:rsidR="00FF67EF">
              <w:t>ommission</w:t>
            </w:r>
            <w:r w:rsidRPr="00C23E6E">
              <w:t xml:space="preserve"> in order to interconnect the TIR international system with NCTS</w:t>
            </w:r>
            <w:r w:rsidR="00FF67EF">
              <w:t xml:space="preserve"> of the European Union</w:t>
            </w:r>
            <w:r w:rsidRPr="00C23E6E">
              <w:t xml:space="preserve">.   </w:t>
            </w:r>
          </w:p>
        </w:tc>
        <w:tc>
          <w:tcPr>
            <w:tcW w:w="3305" w:type="dxa"/>
            <w:vMerge w:val="restart"/>
            <w:shd w:val="clear" w:color="auto" w:fill="auto"/>
          </w:tcPr>
          <w:p w14:paraId="44E66E48" w14:textId="2383B013" w:rsidR="00646BB6" w:rsidRPr="00C23E6E" w:rsidRDefault="00646BB6" w:rsidP="00C7105F">
            <w:pPr>
              <w:spacing w:before="40" w:after="120"/>
              <w:ind w:right="113"/>
            </w:pPr>
            <w:r w:rsidRPr="00C23E6E">
              <w:t xml:space="preserve">AC.2 at its </w:t>
            </w:r>
            <w:r w:rsidR="0072217B">
              <w:t>seventy-seventh</w:t>
            </w:r>
            <w:r w:rsidR="0072217B" w:rsidRPr="00C23E6E">
              <w:t xml:space="preserve"> </w:t>
            </w:r>
            <w:r w:rsidRPr="00C23E6E">
              <w:t xml:space="preserve">session (February 2022) adopted the </w:t>
            </w:r>
            <w:proofErr w:type="spellStart"/>
            <w:r w:rsidRPr="00C23E6E">
              <w:t>eTIR</w:t>
            </w:r>
            <w:proofErr w:type="spellEnd"/>
            <w:r w:rsidRPr="00C23E6E">
              <w:t xml:space="preserve"> concepts and the </w:t>
            </w:r>
            <w:proofErr w:type="spellStart"/>
            <w:r w:rsidRPr="00C23E6E">
              <w:t>eTIR</w:t>
            </w:r>
            <w:proofErr w:type="spellEnd"/>
            <w:r w:rsidRPr="00C23E6E">
              <w:t xml:space="preserve"> functional specifications. This provided a complete legal and technical basis for those countries that are willing to implement the </w:t>
            </w:r>
            <w:proofErr w:type="spellStart"/>
            <w:r w:rsidRPr="00C23E6E">
              <w:t>eTIR</w:t>
            </w:r>
            <w:proofErr w:type="spellEnd"/>
            <w:r w:rsidRPr="00C23E6E">
              <w:t xml:space="preserve"> procedure as soon as possible.</w:t>
            </w:r>
          </w:p>
        </w:tc>
      </w:tr>
      <w:tr w:rsidR="00646BB6" w:rsidRPr="00C23E6E" w14:paraId="3D744C20" w14:textId="77777777" w:rsidTr="00A267DC">
        <w:tc>
          <w:tcPr>
            <w:tcW w:w="644" w:type="dxa"/>
            <w:vMerge/>
            <w:shd w:val="clear" w:color="auto" w:fill="auto"/>
          </w:tcPr>
          <w:p w14:paraId="40C42A4C" w14:textId="77777777" w:rsidR="00646BB6" w:rsidRPr="00C23E6E" w:rsidRDefault="00646BB6" w:rsidP="00C7105F">
            <w:pPr>
              <w:spacing w:before="40" w:after="120"/>
              <w:ind w:right="113"/>
            </w:pPr>
          </w:p>
        </w:tc>
        <w:tc>
          <w:tcPr>
            <w:tcW w:w="3572" w:type="dxa"/>
            <w:shd w:val="clear" w:color="auto" w:fill="auto"/>
          </w:tcPr>
          <w:p w14:paraId="40978704" w14:textId="5804366F" w:rsidR="00646BB6" w:rsidRPr="00C23E6E" w:rsidRDefault="00646BB6" w:rsidP="00C7105F">
            <w:pPr>
              <w:spacing w:before="40" w:after="120"/>
              <w:ind w:right="113"/>
            </w:pPr>
            <w:r w:rsidRPr="00C23E6E">
              <w:t xml:space="preserve">Azerbaijan, Georgia, Pakistan, Tunisia, Uzbekistan </w:t>
            </w:r>
            <w:r w:rsidR="00003EFD" w:rsidRPr="00C23E6E">
              <w:t xml:space="preserve">and IRU </w:t>
            </w:r>
            <w:r w:rsidRPr="00C23E6E">
              <w:t xml:space="preserve">finalised the conformance tests and became operational regarding the </w:t>
            </w:r>
            <w:proofErr w:type="spellStart"/>
            <w:r w:rsidRPr="00C23E6E">
              <w:t>eTIR</w:t>
            </w:r>
            <w:proofErr w:type="spellEnd"/>
            <w:r w:rsidRPr="00C23E6E">
              <w:t xml:space="preserve"> procedure. </w:t>
            </w:r>
          </w:p>
        </w:tc>
        <w:tc>
          <w:tcPr>
            <w:tcW w:w="3305" w:type="dxa"/>
            <w:vMerge/>
            <w:shd w:val="clear" w:color="auto" w:fill="auto"/>
          </w:tcPr>
          <w:p w14:paraId="10238364" w14:textId="35A42A61" w:rsidR="00646BB6" w:rsidRPr="00C23E6E" w:rsidRDefault="00646BB6" w:rsidP="00C7105F">
            <w:pPr>
              <w:spacing w:before="40" w:after="120"/>
              <w:ind w:right="113"/>
            </w:pPr>
          </w:p>
        </w:tc>
      </w:tr>
      <w:tr w:rsidR="00646BB6" w:rsidRPr="00C23E6E" w14:paraId="5AADF43E" w14:textId="77777777" w:rsidTr="00A267DC">
        <w:tc>
          <w:tcPr>
            <w:tcW w:w="644" w:type="dxa"/>
            <w:vMerge/>
            <w:tcBorders>
              <w:bottom w:val="single" w:sz="12" w:space="0" w:color="auto"/>
            </w:tcBorders>
            <w:shd w:val="clear" w:color="auto" w:fill="auto"/>
          </w:tcPr>
          <w:p w14:paraId="4270A0B8" w14:textId="77777777" w:rsidR="00646BB6" w:rsidRPr="00C23E6E" w:rsidRDefault="00646BB6" w:rsidP="00C7105F">
            <w:pPr>
              <w:spacing w:before="40" w:after="120"/>
              <w:ind w:right="113"/>
            </w:pPr>
          </w:p>
        </w:tc>
        <w:tc>
          <w:tcPr>
            <w:tcW w:w="3572" w:type="dxa"/>
            <w:tcBorders>
              <w:bottom w:val="single" w:sz="12" w:space="0" w:color="auto"/>
            </w:tcBorders>
            <w:shd w:val="clear" w:color="auto" w:fill="auto"/>
          </w:tcPr>
          <w:p w14:paraId="75D292F9" w14:textId="0DC883A6" w:rsidR="00646BB6" w:rsidRPr="00C23E6E" w:rsidRDefault="00646BB6" w:rsidP="00C7105F">
            <w:pPr>
              <w:spacing w:before="40" w:after="120"/>
              <w:ind w:right="113"/>
            </w:pPr>
            <w:r w:rsidRPr="00C23E6E">
              <w:t xml:space="preserve">The first ever </w:t>
            </w:r>
            <w:proofErr w:type="spellStart"/>
            <w:r w:rsidRPr="00C23E6E">
              <w:t>eTIR</w:t>
            </w:r>
            <w:proofErr w:type="spellEnd"/>
            <w:r w:rsidRPr="00C23E6E">
              <w:t xml:space="preserve"> transport based on the convention took place between Azerbaijan and Georgia initiating a new era for the TIR system.  </w:t>
            </w:r>
          </w:p>
        </w:tc>
        <w:tc>
          <w:tcPr>
            <w:tcW w:w="3305" w:type="dxa"/>
            <w:vMerge/>
            <w:tcBorders>
              <w:bottom w:val="single" w:sz="12" w:space="0" w:color="auto"/>
            </w:tcBorders>
            <w:shd w:val="clear" w:color="auto" w:fill="auto"/>
          </w:tcPr>
          <w:p w14:paraId="2A5D5C62" w14:textId="7B0DF0C2" w:rsidR="00646BB6" w:rsidRPr="00C23E6E" w:rsidRDefault="00646BB6" w:rsidP="00C7105F">
            <w:pPr>
              <w:spacing w:before="40" w:after="120"/>
              <w:ind w:right="113"/>
            </w:pPr>
          </w:p>
        </w:tc>
      </w:tr>
    </w:tbl>
    <w:p w14:paraId="6AFA7492" w14:textId="65928162" w:rsidR="0077347D" w:rsidRPr="00C23E6E" w:rsidRDefault="00A93EAC" w:rsidP="00A267DC">
      <w:pPr>
        <w:pStyle w:val="SingleTxtG"/>
        <w:spacing w:before="240"/>
      </w:pPr>
      <w:r w:rsidRPr="00C23E6E">
        <w:t>8.</w:t>
      </w:r>
      <w:r w:rsidRPr="00C23E6E">
        <w:tab/>
      </w:r>
      <w:r w:rsidR="00E74195" w:rsidRPr="00C23E6E">
        <w:t>The final objective of the computerization of the TIR procedure encompassed the computerization of the whole TIR Carnet life cycle from distribution, issuance and via the TIR transport to return and repository and it should, ultimately, be aimed at replacing the current paper TIR Carnet without changing the basic philosophy of the TIR Convention. In order to streamline the work towards this challenging objective, it was agreed among the contracting parties that the approach of the computerization process should be focused on the establishment of an international, centralized database, whose aim should be to allow the management by customs of data on guarantees and the exchange of information between customs authorities, being two elements of the TIR Carnet life cycle not computerized so far.</w:t>
      </w:r>
    </w:p>
    <w:p w14:paraId="407A8456" w14:textId="04A4007D" w:rsidR="00E74195" w:rsidRPr="00C23E6E" w:rsidRDefault="00E74195" w:rsidP="00C7105F">
      <w:pPr>
        <w:pStyle w:val="SingleTxtG"/>
      </w:pPr>
      <w:r w:rsidRPr="00C23E6E">
        <w:t>9.</w:t>
      </w:r>
      <w:r w:rsidRPr="00C23E6E">
        <w:tab/>
      </w:r>
      <w:r w:rsidR="00EF5B24" w:rsidRPr="00C23E6E">
        <w:t>Holders, or representative</w:t>
      </w:r>
      <w:r w:rsidR="0072217B">
        <w:t>s thereof</w:t>
      </w:r>
      <w:r w:rsidR="00EF5B24" w:rsidRPr="00C23E6E">
        <w:t xml:space="preserve">, are required to send their advance TIR data and advance amendment data only to countries of departure of the TIR </w:t>
      </w:r>
      <w:r w:rsidR="0072217B" w:rsidRPr="00C23E6E">
        <w:t>transport</w:t>
      </w:r>
      <w:r w:rsidR="00EF5B24" w:rsidRPr="00C23E6E">
        <w:t xml:space="preserve">s. The holder can send this information directly to the country of departure using the national declaration mechanisms. Alternatively, the holder can use the national customs system in </w:t>
      </w:r>
      <w:r w:rsidR="0072217B">
        <w:t xml:space="preserve">the holder’s </w:t>
      </w:r>
      <w:r w:rsidR="00EF5B24" w:rsidRPr="00C23E6E">
        <w:t xml:space="preserve">country of residence to send declarations to third countries (this functionality is optional for customs systems), use the declaration mechanism in the </w:t>
      </w:r>
      <w:proofErr w:type="spellStart"/>
      <w:r w:rsidR="00EF5B24" w:rsidRPr="00C23E6E">
        <w:t>eTIR</w:t>
      </w:r>
      <w:proofErr w:type="spellEnd"/>
      <w:r w:rsidR="00EF5B24" w:rsidRPr="00C23E6E">
        <w:t xml:space="preserve"> international system or use other private services. The </w:t>
      </w:r>
      <w:proofErr w:type="spellStart"/>
      <w:r w:rsidR="00EF5B24" w:rsidRPr="00C23E6E">
        <w:t>eTIR</w:t>
      </w:r>
      <w:proofErr w:type="spellEnd"/>
      <w:r w:rsidR="00EF5B24" w:rsidRPr="00C23E6E">
        <w:t xml:space="preserve"> functional specifications define standard messages for that purpose.</w:t>
      </w:r>
    </w:p>
    <w:p w14:paraId="543D233D" w14:textId="46E47684" w:rsidR="007A7019" w:rsidRPr="00C23E6E" w:rsidRDefault="007A7019" w:rsidP="00C7105F">
      <w:pPr>
        <w:pStyle w:val="SingleTxtG"/>
      </w:pPr>
      <w:r w:rsidRPr="00C23E6E">
        <w:t>10.</w:t>
      </w:r>
      <w:r w:rsidRPr="00C23E6E">
        <w:tab/>
      </w:r>
      <w:r w:rsidR="00242F6E" w:rsidRPr="00C23E6E">
        <w:t xml:space="preserve">Annex 11 and the </w:t>
      </w:r>
      <w:proofErr w:type="spellStart"/>
      <w:r w:rsidR="00242F6E" w:rsidRPr="00C23E6E">
        <w:t>eTIR</w:t>
      </w:r>
      <w:proofErr w:type="spellEnd"/>
      <w:r w:rsidR="00242F6E" w:rsidRPr="00C23E6E">
        <w:t xml:space="preserve"> specifications provide a set of provisions and instructions on how to implement the </w:t>
      </w:r>
      <w:proofErr w:type="spellStart"/>
      <w:r w:rsidR="00242F6E" w:rsidRPr="00C23E6E">
        <w:t>eTIR</w:t>
      </w:r>
      <w:proofErr w:type="spellEnd"/>
      <w:r w:rsidR="00242F6E" w:rsidRPr="00C23E6E">
        <w:t xml:space="preserve"> procedure. However, unless a specific provision of </w:t>
      </w:r>
      <w:r w:rsidR="0072217B" w:rsidRPr="00C23E6E">
        <w:t>a</w:t>
      </w:r>
      <w:r w:rsidR="00242F6E" w:rsidRPr="00C23E6E">
        <w:t xml:space="preserve">nnex 11 replaces or complements a provision of the TIR </w:t>
      </w:r>
      <w:r w:rsidR="0072217B" w:rsidRPr="00C23E6E">
        <w:t>Convention</w:t>
      </w:r>
      <w:r w:rsidR="00242F6E" w:rsidRPr="00C23E6E">
        <w:t xml:space="preserve">, all provisions of the TIR Convention apply, mutatis mutandis, to the </w:t>
      </w:r>
      <w:proofErr w:type="spellStart"/>
      <w:r w:rsidR="00242F6E" w:rsidRPr="00C23E6E">
        <w:t>eTIR</w:t>
      </w:r>
      <w:proofErr w:type="spellEnd"/>
      <w:r w:rsidR="00242F6E" w:rsidRPr="00C23E6E">
        <w:t xml:space="preserve"> procedure, such as the approval of an international organization, national associations, transport operators and vehicles the organization and functioning of the guarantee system or the management of claims.  </w:t>
      </w:r>
    </w:p>
    <w:p w14:paraId="6A7C719A" w14:textId="5BC9FC07" w:rsidR="00242F6E" w:rsidRPr="00C23E6E" w:rsidRDefault="00242F6E" w:rsidP="00C7105F">
      <w:pPr>
        <w:pStyle w:val="SingleTxtG"/>
      </w:pPr>
      <w:r w:rsidRPr="00C23E6E">
        <w:t>11.</w:t>
      </w:r>
      <w:r w:rsidRPr="00C23E6E">
        <w:tab/>
        <w:t xml:space="preserve">However, the proper implementation of the </w:t>
      </w:r>
      <w:proofErr w:type="spellStart"/>
      <w:r w:rsidRPr="00C23E6E">
        <w:t>eTIR</w:t>
      </w:r>
      <w:proofErr w:type="spellEnd"/>
      <w:r w:rsidRPr="00C23E6E">
        <w:t xml:space="preserve"> procedure replaces the legal requirements for data submission, as set out in </w:t>
      </w:r>
      <w:r w:rsidR="0072217B" w:rsidRPr="00C23E6E">
        <w:t xml:space="preserve">annex </w:t>
      </w:r>
      <w:r w:rsidRPr="00C23E6E">
        <w:t>10, paragraph</w:t>
      </w:r>
      <w:r w:rsidR="0072217B">
        <w:t>s</w:t>
      </w:r>
      <w:r w:rsidRPr="00C23E6E">
        <w:t xml:space="preserve"> 1, 3 and 4, and </w:t>
      </w:r>
      <w:r w:rsidR="0072217B" w:rsidRPr="00C23E6E">
        <w:t xml:space="preserve">annex </w:t>
      </w:r>
      <w:r w:rsidRPr="00C23E6E">
        <w:t xml:space="preserve">11 contains specific provisions related to the administration of the </w:t>
      </w:r>
      <w:proofErr w:type="spellStart"/>
      <w:r w:rsidRPr="00C23E6E">
        <w:t>eTIR</w:t>
      </w:r>
      <w:proofErr w:type="spellEnd"/>
      <w:r w:rsidRPr="00C23E6E">
        <w:t xml:space="preserve"> specifications. </w:t>
      </w:r>
    </w:p>
    <w:p w14:paraId="4B5B904D" w14:textId="7C318D3B" w:rsidR="00C7105F" w:rsidRPr="00C23E6E" w:rsidRDefault="00C7105F" w:rsidP="00C7105F">
      <w:pPr>
        <w:pStyle w:val="Heading1"/>
      </w:pPr>
      <w:r w:rsidRPr="00C23E6E">
        <w:t>Figure</w:t>
      </w:r>
    </w:p>
    <w:p w14:paraId="12E09621" w14:textId="5B0A911B" w:rsidR="0077347D" w:rsidRPr="00C23E6E" w:rsidRDefault="00242F6E" w:rsidP="00C7105F">
      <w:pPr>
        <w:pStyle w:val="SingleTxtG"/>
        <w:rPr>
          <w:b/>
          <w:bCs/>
        </w:rPr>
      </w:pPr>
      <w:r w:rsidRPr="00C23E6E">
        <w:rPr>
          <w:b/>
          <w:bCs/>
        </w:rPr>
        <w:t xml:space="preserve">The </w:t>
      </w:r>
      <w:proofErr w:type="spellStart"/>
      <w:r w:rsidRPr="00C23E6E">
        <w:rPr>
          <w:b/>
          <w:bCs/>
        </w:rPr>
        <w:t>eTIR</w:t>
      </w:r>
      <w:proofErr w:type="spellEnd"/>
      <w:r w:rsidRPr="00C23E6E">
        <w:rPr>
          <w:b/>
          <w:bCs/>
        </w:rPr>
        <w:t xml:space="preserve"> </w:t>
      </w:r>
      <w:r w:rsidR="0072217B" w:rsidRPr="00C23E6E">
        <w:rPr>
          <w:b/>
          <w:bCs/>
        </w:rPr>
        <w:t>International System High</w:t>
      </w:r>
      <w:r w:rsidR="0072217B">
        <w:rPr>
          <w:b/>
          <w:bCs/>
        </w:rPr>
        <w:t>-</w:t>
      </w:r>
      <w:r w:rsidR="0072217B" w:rsidRPr="00C23E6E">
        <w:rPr>
          <w:b/>
          <w:bCs/>
        </w:rPr>
        <w:t>Level Architecture</w:t>
      </w:r>
    </w:p>
    <w:tbl>
      <w:tblPr>
        <w:tblStyle w:val="TableGrid"/>
        <w:tblW w:w="9751" w:type="dxa"/>
        <w:jc w:val="center"/>
        <w:tblLook w:val="04A0" w:firstRow="1" w:lastRow="0" w:firstColumn="1" w:lastColumn="0" w:noHBand="0" w:noVBand="1"/>
      </w:tblPr>
      <w:tblGrid>
        <w:gridCol w:w="9751"/>
      </w:tblGrid>
      <w:tr w:rsidR="00242F6E" w:rsidRPr="00C23E6E" w14:paraId="5110FA83" w14:textId="77777777" w:rsidTr="00A267DC">
        <w:trPr>
          <w:jc w:val="center"/>
        </w:trPr>
        <w:tc>
          <w:tcPr>
            <w:tcW w:w="9751" w:type="dxa"/>
          </w:tcPr>
          <w:p w14:paraId="185A08D1" w14:textId="5E6B782B" w:rsidR="00242F6E" w:rsidRPr="00C23E6E" w:rsidRDefault="00995B73" w:rsidP="00995B73">
            <w:pPr>
              <w:pStyle w:val="SingleTxtG"/>
              <w:ind w:left="0" w:right="87"/>
              <w:jc w:val="center"/>
            </w:pPr>
            <w:r w:rsidRPr="002D00B1">
              <w:rPr>
                <w:noProof/>
              </w:rPr>
              <w:drawing>
                <wp:inline distT="0" distB="0" distL="0" distR="0" wp14:anchorId="5BEDECAD" wp14:editId="41C26D21">
                  <wp:extent cx="6120000" cy="4114800"/>
                  <wp:effectExtent l="0" t="0" r="0" b="0"/>
                  <wp:docPr id="2" name="Picture 1">
                    <a:extLst xmlns:a="http://schemas.openxmlformats.org/drawingml/2006/main">
                      <a:ext uri="{FF2B5EF4-FFF2-40B4-BE49-F238E27FC236}">
                        <a16:creationId xmlns:a16="http://schemas.microsoft.com/office/drawing/2014/main" id="{4DE6BCC8-2C35-4407-B225-4CFE5563D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DE6BCC8-2C35-4407-B225-4CFE5563D62B}"/>
                              </a:ext>
                            </a:extLst>
                          </pic:cNvPr>
                          <pic:cNvPicPr>
                            <a:picLocks noChangeAspect="1"/>
                          </pic:cNvPicPr>
                        </pic:nvPicPr>
                        <pic:blipFill>
                          <a:blip r:embed="rId12"/>
                          <a:stretch>
                            <a:fillRect/>
                          </a:stretch>
                        </pic:blipFill>
                        <pic:spPr>
                          <a:xfrm>
                            <a:off x="0" y="0"/>
                            <a:ext cx="6120000" cy="4114800"/>
                          </a:xfrm>
                          <a:prstGeom prst="rect">
                            <a:avLst/>
                          </a:prstGeom>
                        </pic:spPr>
                      </pic:pic>
                    </a:graphicData>
                  </a:graphic>
                </wp:inline>
              </w:drawing>
            </w:r>
          </w:p>
        </w:tc>
      </w:tr>
    </w:tbl>
    <w:p w14:paraId="116EE6F4" w14:textId="16D45DF8" w:rsidR="0077347D" w:rsidRPr="00C23E6E" w:rsidRDefault="00995B73" w:rsidP="007258D6">
      <w:pPr>
        <w:pStyle w:val="SingleTxtG"/>
        <w:spacing w:before="120"/>
      </w:pPr>
      <w:r w:rsidRPr="00A267DC">
        <w:t>12.</w:t>
      </w:r>
      <w:r w:rsidRPr="00A267DC">
        <w:tab/>
      </w:r>
      <w:r w:rsidR="00737442" w:rsidRPr="00A267DC">
        <w:t xml:space="preserve">The </w:t>
      </w:r>
      <w:proofErr w:type="spellStart"/>
      <w:r w:rsidR="00737442" w:rsidRPr="00A267DC">
        <w:t>eTIR</w:t>
      </w:r>
      <w:proofErr w:type="spellEnd"/>
      <w:r w:rsidR="00737442" w:rsidRPr="00A267DC">
        <w:t xml:space="preserve"> international system is devised to allow the management by customs of data on guarantees and the secure exchange of data between national customs systems related to the international transit of goods, vehicles and/or containers according to the provisions of the TIR Convention. </w:t>
      </w:r>
      <w:r w:rsidR="00737442" w:rsidRPr="00C23E6E">
        <w:t xml:space="preserve">Therefore, only a part of the information flow required for the functioning of the </w:t>
      </w:r>
      <w:proofErr w:type="spellStart"/>
      <w:r w:rsidR="00737442" w:rsidRPr="00C23E6E">
        <w:t>eTIR</w:t>
      </w:r>
      <w:proofErr w:type="spellEnd"/>
      <w:r w:rsidR="00737442" w:rsidRPr="00C23E6E">
        <w:t xml:space="preserve"> procedure is managed using the </w:t>
      </w:r>
      <w:proofErr w:type="spellStart"/>
      <w:r w:rsidR="00737442" w:rsidRPr="00C23E6E">
        <w:t>eTIR</w:t>
      </w:r>
      <w:proofErr w:type="spellEnd"/>
      <w:r w:rsidR="00737442" w:rsidRPr="00C23E6E">
        <w:t xml:space="preserve"> international system.</w:t>
      </w:r>
    </w:p>
    <w:p w14:paraId="51BDE84D" w14:textId="14DD397D" w:rsidR="00552ED3" w:rsidRPr="00C23E6E" w:rsidRDefault="00552ED3" w:rsidP="007258D6">
      <w:pPr>
        <w:pStyle w:val="SingleTxtG"/>
      </w:pPr>
      <w:r w:rsidRPr="00C23E6E">
        <w:t>13.</w:t>
      </w:r>
      <w:r w:rsidRPr="00C23E6E">
        <w:tab/>
      </w:r>
      <w:r w:rsidR="004A0F82" w:rsidRPr="00C23E6E">
        <w:t xml:space="preserve">On the one hand, the guarantee chain transmits, to the </w:t>
      </w:r>
      <w:proofErr w:type="spellStart"/>
      <w:r w:rsidR="004A0F82" w:rsidRPr="00C23E6E">
        <w:t>eTIR</w:t>
      </w:r>
      <w:proofErr w:type="spellEnd"/>
      <w:r w:rsidR="004A0F82" w:rsidRPr="00C23E6E">
        <w:t xml:space="preserve"> international system, information on the guarantees it has issued to the holders so that they can be registered in the </w:t>
      </w:r>
      <w:proofErr w:type="spellStart"/>
      <w:r w:rsidR="004A0F82" w:rsidRPr="00C23E6E">
        <w:t>eTIR</w:t>
      </w:r>
      <w:proofErr w:type="spellEnd"/>
      <w:r w:rsidR="004A0F82" w:rsidRPr="00C23E6E">
        <w:t xml:space="preserve"> international system. The guarantee chain can also query at any time the status of guarantees it has issued and obtain related TIR transport information. On the other hand, customs authorities use the </w:t>
      </w:r>
      <w:proofErr w:type="spellStart"/>
      <w:r w:rsidR="004A0F82" w:rsidRPr="00C23E6E">
        <w:t>eTIR</w:t>
      </w:r>
      <w:proofErr w:type="spellEnd"/>
      <w:r w:rsidR="004A0F82" w:rsidRPr="00C23E6E">
        <w:t xml:space="preserve"> international system to check the status of guarantees and to exchange information related to the TIR transport and to TIR operations.</w:t>
      </w:r>
    </w:p>
    <w:p w14:paraId="05F3223E" w14:textId="42025BDA" w:rsidR="004A0F82" w:rsidRPr="00C23E6E" w:rsidRDefault="004A0F82" w:rsidP="007258D6">
      <w:pPr>
        <w:pStyle w:val="SingleTxtG"/>
      </w:pPr>
      <w:r w:rsidRPr="00C23E6E">
        <w:t>14.</w:t>
      </w:r>
      <w:r w:rsidRPr="00C23E6E">
        <w:tab/>
      </w:r>
      <w:r w:rsidR="00C33E15" w:rsidRPr="00C23E6E">
        <w:t xml:space="preserve">The management by customs of the data on guarantees and the secure exchange of data between national customs systems in relation to TIR transport information are therefore the two fundamental features of the </w:t>
      </w:r>
      <w:proofErr w:type="spellStart"/>
      <w:r w:rsidR="00C33E15" w:rsidRPr="00C23E6E">
        <w:t>eTIR</w:t>
      </w:r>
      <w:proofErr w:type="spellEnd"/>
      <w:r w:rsidR="00C33E15" w:rsidRPr="00C23E6E">
        <w:t xml:space="preserve"> international system. Furthermore, the declaration mechanisms allowing the submission of advance TIR data and advance amendment data by the holder to customs authorities are detailed in </w:t>
      </w:r>
      <w:r w:rsidR="00E01458" w:rsidRPr="00C23E6E">
        <w:t xml:space="preserve">annex </w:t>
      </w:r>
      <w:r w:rsidR="00C33E15" w:rsidRPr="00C23E6E">
        <w:t>I.</w:t>
      </w:r>
    </w:p>
    <w:p w14:paraId="4D58CF69" w14:textId="5EDFA47B" w:rsidR="00415F5E" w:rsidRPr="00C23E6E" w:rsidRDefault="00415F5E" w:rsidP="007258D6">
      <w:pPr>
        <w:pStyle w:val="SingleTxtG"/>
      </w:pPr>
      <w:r w:rsidRPr="00C23E6E">
        <w:t>15.</w:t>
      </w:r>
      <w:r w:rsidRPr="00C23E6E">
        <w:tab/>
        <w:t xml:space="preserve">The management by customs of data on guarantees requires a strong relationship between the guarantee chain and the </w:t>
      </w:r>
      <w:proofErr w:type="spellStart"/>
      <w:r w:rsidRPr="00C23E6E">
        <w:t>eTIR</w:t>
      </w:r>
      <w:proofErr w:type="spellEnd"/>
      <w:r w:rsidRPr="00C23E6E">
        <w:t xml:space="preserve"> international system. The guarantee chain sends information on each issued guarantee to the </w:t>
      </w:r>
      <w:proofErr w:type="spellStart"/>
      <w:r w:rsidRPr="00C23E6E">
        <w:t>eTIR</w:t>
      </w:r>
      <w:proofErr w:type="spellEnd"/>
      <w:r w:rsidRPr="00C23E6E">
        <w:t xml:space="preserve"> international system. The recording of this information in the </w:t>
      </w:r>
      <w:proofErr w:type="spellStart"/>
      <w:r w:rsidRPr="00C23E6E">
        <w:t>eTIR</w:t>
      </w:r>
      <w:proofErr w:type="spellEnd"/>
      <w:r w:rsidRPr="00C23E6E">
        <w:t xml:space="preserve"> international system is conditional on checks made against the International TIR Data Bank (ITDB) concerning authorized holders.</w:t>
      </w:r>
    </w:p>
    <w:p w14:paraId="44B5DF5F" w14:textId="7915F2AF" w:rsidR="00415F5E" w:rsidRPr="00C23E6E" w:rsidRDefault="00A05778" w:rsidP="007258D6">
      <w:pPr>
        <w:pStyle w:val="SingleTxtG"/>
      </w:pPr>
      <w:r w:rsidRPr="00C23E6E">
        <w:t>16.</w:t>
      </w:r>
      <w:r w:rsidRPr="00C23E6E">
        <w:tab/>
        <w:t xml:space="preserve">The </w:t>
      </w:r>
      <w:proofErr w:type="spellStart"/>
      <w:r w:rsidRPr="00C23E6E">
        <w:t>eTIR</w:t>
      </w:r>
      <w:proofErr w:type="spellEnd"/>
      <w:r w:rsidRPr="00C23E6E">
        <w:t xml:space="preserve"> system is built around a central platform, the </w:t>
      </w:r>
      <w:proofErr w:type="spellStart"/>
      <w:r w:rsidRPr="00C23E6E">
        <w:t>eTIR</w:t>
      </w:r>
      <w:proofErr w:type="spellEnd"/>
      <w:r w:rsidRPr="00C23E6E">
        <w:t xml:space="preserve"> international system, which is composed of hardware and software, including databases and web services and is developed and hosted by </w:t>
      </w:r>
      <w:r w:rsidR="00E01458">
        <w:t xml:space="preserve">the </w:t>
      </w:r>
      <w:r w:rsidRPr="00C23E6E">
        <w:t xml:space="preserve">ECE TIR </w:t>
      </w:r>
      <w:r w:rsidR="00E01458" w:rsidRPr="00C23E6E">
        <w:t>secretariat</w:t>
      </w:r>
      <w:r w:rsidRPr="00C23E6E">
        <w:t xml:space="preserve">. The databases serve to store and make the information available and act as a repository for all information concerning the TIR system, whereas the web services allow for an efficient and secure interfacing between the </w:t>
      </w:r>
      <w:r w:rsidR="00C3570C" w:rsidRPr="00C23E6E">
        <w:t>contracting parties</w:t>
      </w:r>
      <w:r w:rsidRPr="00C23E6E">
        <w:t xml:space="preserve">, the guarantee chain and the central platform. The </w:t>
      </w:r>
      <w:proofErr w:type="spellStart"/>
      <w:r w:rsidRPr="00C23E6E">
        <w:t>eTIR</w:t>
      </w:r>
      <w:proofErr w:type="spellEnd"/>
      <w:r w:rsidRPr="00C23E6E">
        <w:t xml:space="preserve"> international system shall store and archive data for a minimum period of ten [10] years.</w:t>
      </w:r>
    </w:p>
    <w:p w14:paraId="1520B48B" w14:textId="1B306439" w:rsidR="00C861A7" w:rsidRPr="00C23E6E" w:rsidRDefault="00DD61DF" w:rsidP="007258D6">
      <w:pPr>
        <w:pStyle w:val="SingleTxtG"/>
      </w:pPr>
      <w:r w:rsidRPr="00C23E6E">
        <w:t>17.</w:t>
      </w:r>
      <w:r w:rsidRPr="00C23E6E">
        <w:tab/>
        <w:t xml:space="preserve">While the introduction of the </w:t>
      </w:r>
      <w:proofErr w:type="spellStart"/>
      <w:r w:rsidRPr="00C23E6E">
        <w:t>eTIR</w:t>
      </w:r>
      <w:proofErr w:type="spellEnd"/>
      <w:r w:rsidRPr="00C23E6E">
        <w:t xml:space="preserve"> procedure (</w:t>
      </w:r>
      <w:r w:rsidR="00C3570C" w:rsidRPr="00C23E6E">
        <w:t>annex 1</w:t>
      </w:r>
      <w:r w:rsidRPr="00C23E6E">
        <w:t xml:space="preserve">1) does not remove the possibility for transport operators to continue using paper TIR Carnets, the greater facilities provided by the </w:t>
      </w:r>
      <w:proofErr w:type="spellStart"/>
      <w:r w:rsidRPr="00C23E6E">
        <w:t>eTIR</w:t>
      </w:r>
      <w:proofErr w:type="spellEnd"/>
      <w:r w:rsidRPr="00C23E6E">
        <w:t xml:space="preserve"> procedure should progressively encourage transport operators to use it for itineraries where it is possible. However, before being able to replace the TIR procedure by the </w:t>
      </w:r>
      <w:proofErr w:type="spellStart"/>
      <w:r w:rsidRPr="00C23E6E">
        <w:t>eTIR</w:t>
      </w:r>
      <w:proofErr w:type="spellEnd"/>
      <w:r w:rsidRPr="00C23E6E">
        <w:t xml:space="preserve"> procedure along an itinerary, all parties involved in a TIR transport will have to be able to securely exchange declaration data, TIR operations data and data on guarantees. </w:t>
      </w:r>
    </w:p>
    <w:p w14:paraId="009D4BF7" w14:textId="607E019A" w:rsidR="00995B73" w:rsidRPr="00A267DC" w:rsidRDefault="00C861A7" w:rsidP="007258D6">
      <w:pPr>
        <w:pStyle w:val="SingleTxtG"/>
      </w:pPr>
      <w:r w:rsidRPr="00C23E6E">
        <w:t>18.</w:t>
      </w:r>
      <w:r w:rsidRPr="00C23E6E">
        <w:tab/>
      </w:r>
      <w:r w:rsidR="00DD61DF" w:rsidRPr="00C23E6E">
        <w:t xml:space="preserve">Furthermore, customs administration will have to ensure that national and foreign transport operators can submit advance TIR Data and advance amendment data.  As a result, for TIR transports involving countries not yet interconnected with the </w:t>
      </w:r>
      <w:proofErr w:type="spellStart"/>
      <w:r w:rsidR="00DD61DF" w:rsidRPr="00C23E6E">
        <w:t>eTIR</w:t>
      </w:r>
      <w:proofErr w:type="spellEnd"/>
      <w:r w:rsidR="00DD61DF" w:rsidRPr="00C23E6E">
        <w:t xml:space="preserve"> international system, the usage of paper TIR Carnets will remain the only possibility to benefit from the TIR Convention. In view of the wide geographical coverage of the TIR Convention, the different levels of technological development</w:t>
      </w:r>
      <w:r w:rsidR="00DD61DF" w:rsidRPr="00A267DC">
        <w:t xml:space="preserve"> of the countries concerned and the existence of customs unions, the duration of the transition may vary from country to country.</w:t>
      </w:r>
    </w:p>
    <w:p w14:paraId="33E868A1" w14:textId="72C73525" w:rsidR="0095242B" w:rsidRPr="00C23E6E" w:rsidRDefault="0095242B" w:rsidP="007258D6">
      <w:pPr>
        <w:pStyle w:val="HChG"/>
      </w:pPr>
      <w:r w:rsidRPr="00C23E6E">
        <w:tab/>
      </w:r>
      <w:r w:rsidR="00C861A7" w:rsidRPr="00C23E6E">
        <w:t>I</w:t>
      </w:r>
      <w:r w:rsidR="00251F4C" w:rsidRPr="00C23E6E">
        <w:t>V</w:t>
      </w:r>
      <w:r w:rsidRPr="00C23E6E">
        <w:t>.</w:t>
      </w:r>
      <w:r w:rsidRPr="00C23E6E">
        <w:tab/>
        <w:t>Considerations by the Committee</w:t>
      </w:r>
    </w:p>
    <w:p w14:paraId="4354BB1C" w14:textId="494A75CE" w:rsidR="005E42EC" w:rsidRPr="00C23E6E" w:rsidRDefault="00C861A7" w:rsidP="007258D6">
      <w:pPr>
        <w:pStyle w:val="SingleTxtG"/>
      </w:pPr>
      <w:r w:rsidRPr="00C23E6E">
        <w:t>19</w:t>
      </w:r>
      <w:r w:rsidR="0095242B" w:rsidRPr="00C23E6E">
        <w:t>.</w:t>
      </w:r>
      <w:r w:rsidR="0095242B" w:rsidRPr="00C23E6E">
        <w:tab/>
        <w:t xml:space="preserve">The Committee may wish to take note </w:t>
      </w:r>
      <w:r w:rsidR="007650B6" w:rsidRPr="00C23E6E">
        <w:t xml:space="preserve">of the developments regarding the implementation of the </w:t>
      </w:r>
      <w:proofErr w:type="spellStart"/>
      <w:r w:rsidR="007650B6" w:rsidRPr="00C23E6E">
        <w:t>eTIR</w:t>
      </w:r>
      <w:proofErr w:type="spellEnd"/>
      <w:r w:rsidR="007650B6" w:rsidRPr="00C23E6E">
        <w:t xml:space="preserve"> procedure and the international TIR Data Bank achieving already one of the main goals of the ITC agenda for </w:t>
      </w:r>
      <w:r w:rsidR="007650B6" w:rsidRPr="00C3570C">
        <w:t xml:space="preserve">2030 </w:t>
      </w:r>
      <w:r w:rsidR="007650B6" w:rsidRPr="00C23E6E">
        <w:t xml:space="preserve">and invite the TIR </w:t>
      </w:r>
      <w:r w:rsidR="00C3570C" w:rsidRPr="00C23E6E">
        <w:t>contracting parties t</w:t>
      </w:r>
      <w:r w:rsidR="007650B6" w:rsidRPr="00C23E6E">
        <w:t xml:space="preserve">hat have not done it so far, to interconnect their national customs system with the </w:t>
      </w:r>
      <w:proofErr w:type="spellStart"/>
      <w:r w:rsidR="007650B6" w:rsidRPr="00C23E6E">
        <w:t>eTIR</w:t>
      </w:r>
      <w:proofErr w:type="spellEnd"/>
      <w:r w:rsidR="007650B6" w:rsidRPr="00C23E6E">
        <w:t xml:space="preserve"> international system at the earliest of their operational convenience.</w:t>
      </w:r>
    </w:p>
    <w:p w14:paraId="60899352" w14:textId="646ACDBB" w:rsidR="00250503" w:rsidRPr="00C23E6E" w:rsidRDefault="005E42EC" w:rsidP="000325C2">
      <w:pPr>
        <w:spacing w:before="240"/>
        <w:jc w:val="center"/>
      </w:pPr>
      <w:r w:rsidRPr="00C23E6E">
        <w:rPr>
          <w:u w:val="single"/>
        </w:rPr>
        <w:tab/>
      </w:r>
      <w:r w:rsidRPr="00C23E6E">
        <w:rPr>
          <w:u w:val="single"/>
        </w:rPr>
        <w:tab/>
      </w:r>
      <w:r w:rsidRPr="00C23E6E">
        <w:rPr>
          <w:u w:val="single"/>
        </w:rPr>
        <w:tab/>
      </w:r>
      <w:r w:rsidR="00CD3488" w:rsidRPr="00C23E6E">
        <w:t xml:space="preserve"> </w:t>
      </w:r>
    </w:p>
    <w:sectPr w:rsidR="00250503" w:rsidRPr="00C23E6E" w:rsidSect="00954785">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622E4" w14:textId="77777777" w:rsidR="00B67246" w:rsidRDefault="00B67246"/>
  </w:endnote>
  <w:endnote w:type="continuationSeparator" w:id="0">
    <w:p w14:paraId="0A94B7DF" w14:textId="77777777" w:rsidR="00B67246" w:rsidRDefault="00B67246"/>
  </w:endnote>
  <w:endnote w:type="continuationNotice" w:id="1">
    <w:p w14:paraId="7410FAA7" w14:textId="77777777" w:rsidR="00B67246" w:rsidRDefault="00B672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954785" w:rsidRPr="00954785" w:rsidRDefault="0095478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954785" w:rsidRPr="00954785" w:rsidRDefault="0095478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6D07" w14:textId="44C09778" w:rsidR="00D37BB1" w:rsidRDefault="00D37BB1" w:rsidP="00D37BB1">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5CA81F98" wp14:editId="38D0FE8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B7FB30F" w14:textId="2B2B7C49" w:rsidR="00D37BB1" w:rsidRPr="00D37BB1" w:rsidRDefault="00D37BB1" w:rsidP="00D37BB1">
    <w:pPr>
      <w:pStyle w:val="Footer"/>
      <w:ind w:right="1134"/>
      <w:rPr>
        <w:sz w:val="20"/>
      </w:rPr>
    </w:pPr>
    <w:r>
      <w:rPr>
        <w:sz w:val="20"/>
      </w:rPr>
      <w:t>GE.22-27934(E)</w:t>
    </w:r>
    <w:r>
      <w:rPr>
        <w:noProof/>
        <w:sz w:val="20"/>
      </w:rPr>
      <w:drawing>
        <wp:anchor distT="0" distB="0" distL="114300" distR="114300" simplePos="0" relativeHeight="251660288" behindDoc="0" locked="0" layoutInCell="1" allowOverlap="1" wp14:anchorId="424B5784" wp14:editId="6EF1F71E">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D96D" w14:textId="77777777" w:rsidR="00B67246" w:rsidRPr="000B175B" w:rsidRDefault="00B67246" w:rsidP="000B175B">
      <w:pPr>
        <w:tabs>
          <w:tab w:val="right" w:pos="2155"/>
        </w:tabs>
        <w:spacing w:after="80"/>
        <w:ind w:left="680"/>
        <w:rPr>
          <w:u w:val="single"/>
        </w:rPr>
      </w:pPr>
      <w:r>
        <w:rPr>
          <w:u w:val="single"/>
        </w:rPr>
        <w:tab/>
      </w:r>
    </w:p>
  </w:footnote>
  <w:footnote w:type="continuationSeparator" w:id="0">
    <w:p w14:paraId="04BF3293" w14:textId="77777777" w:rsidR="00B67246" w:rsidRPr="00FC68B7" w:rsidRDefault="00B67246" w:rsidP="00FC68B7">
      <w:pPr>
        <w:tabs>
          <w:tab w:val="left" w:pos="2155"/>
        </w:tabs>
        <w:spacing w:after="80"/>
        <w:ind w:left="680"/>
        <w:rPr>
          <w:u w:val="single"/>
        </w:rPr>
      </w:pPr>
      <w:r>
        <w:rPr>
          <w:u w:val="single"/>
        </w:rPr>
        <w:tab/>
      </w:r>
    </w:p>
  </w:footnote>
  <w:footnote w:type="continuationNotice" w:id="1">
    <w:p w14:paraId="4ED21903" w14:textId="77777777" w:rsidR="00B67246" w:rsidRDefault="00B672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48752EC8" w:rsidR="00954785" w:rsidRPr="006B2092" w:rsidRDefault="006B2092" w:rsidP="006B2092">
    <w:pPr>
      <w:pStyle w:val="Header"/>
      <w:tabs>
        <w:tab w:val="left" w:pos="1914"/>
      </w:tabs>
      <w:rPr>
        <w:lang w:val="en-US"/>
      </w:rPr>
    </w:pPr>
    <w:r>
      <w:rPr>
        <w:lang w:val="en-US"/>
      </w:rPr>
      <w:t>ECE/TRANS/202</w:t>
    </w:r>
    <w:r w:rsidR="00251F4C">
      <w:rPr>
        <w:lang w:val="en-US"/>
      </w:rPr>
      <w:t>3/</w:t>
    </w:r>
    <w:r w:rsidR="00567BF5">
      <w:rPr>
        <w:lang w:val="en-US"/>
      </w:rPr>
      <w:t>2</w:t>
    </w:r>
    <w:r w:rsidR="00B6057E">
      <w:rPr>
        <w:lang w:val="en-US"/>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26A49AE0" w:rsidR="00954785" w:rsidRPr="006B2092" w:rsidRDefault="006B2092" w:rsidP="00954785">
    <w:pPr>
      <w:pStyle w:val="Header"/>
      <w:jc w:val="right"/>
      <w:rPr>
        <w:lang w:val="en-US"/>
      </w:rPr>
    </w:pPr>
    <w:r>
      <w:rPr>
        <w:lang w:val="en-US"/>
      </w:rPr>
      <w:t>ECE/TRANS/202</w:t>
    </w:r>
    <w:r w:rsidR="005F7B06">
      <w:rPr>
        <w:lang w:val="en-US"/>
      </w:rPr>
      <w:t>3</w:t>
    </w:r>
    <w:r>
      <w:rPr>
        <w:lang w:val="en-US"/>
      </w:rPr>
      <w:t>/</w:t>
    </w:r>
    <w:r w:rsidR="00567BF5">
      <w:rPr>
        <w:lang w:val="en-US"/>
      </w:rPr>
      <w:t>2</w:t>
    </w:r>
    <w:r w:rsidR="00B6057E">
      <w:rPr>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D367A3"/>
    <w:multiLevelType w:val="multilevel"/>
    <w:tmpl w:val="5E30A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D50AE5"/>
    <w:multiLevelType w:val="multilevel"/>
    <w:tmpl w:val="2D6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1"/>
  </w:num>
  <w:num w:numId="20">
    <w:abstractNumId w:val="18"/>
  </w:num>
  <w:num w:numId="21">
    <w:abstractNumId w:val="22"/>
  </w:num>
  <w:num w:numId="22">
    <w:abstractNumId w:val="19"/>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3EFD"/>
    <w:rsid w:val="00006790"/>
    <w:rsid w:val="00010668"/>
    <w:rsid w:val="000114FB"/>
    <w:rsid w:val="00027624"/>
    <w:rsid w:val="000325C2"/>
    <w:rsid w:val="00050F6B"/>
    <w:rsid w:val="000575F4"/>
    <w:rsid w:val="00061E10"/>
    <w:rsid w:val="00064C60"/>
    <w:rsid w:val="000678CD"/>
    <w:rsid w:val="00072C8C"/>
    <w:rsid w:val="00075EA0"/>
    <w:rsid w:val="00076BC0"/>
    <w:rsid w:val="00081CE0"/>
    <w:rsid w:val="00084D30"/>
    <w:rsid w:val="00090320"/>
    <w:rsid w:val="0009056D"/>
    <w:rsid w:val="000931C0"/>
    <w:rsid w:val="000A0D07"/>
    <w:rsid w:val="000A2E09"/>
    <w:rsid w:val="000B175B"/>
    <w:rsid w:val="000B3A0F"/>
    <w:rsid w:val="000B4C74"/>
    <w:rsid w:val="000D4551"/>
    <w:rsid w:val="000E0415"/>
    <w:rsid w:val="000F6B9A"/>
    <w:rsid w:val="000F7715"/>
    <w:rsid w:val="000F7FFB"/>
    <w:rsid w:val="0010197F"/>
    <w:rsid w:val="001171FF"/>
    <w:rsid w:val="00120B1C"/>
    <w:rsid w:val="0012257A"/>
    <w:rsid w:val="001255D1"/>
    <w:rsid w:val="00130E24"/>
    <w:rsid w:val="001374EE"/>
    <w:rsid w:val="00141C13"/>
    <w:rsid w:val="00145B5A"/>
    <w:rsid w:val="00156B99"/>
    <w:rsid w:val="00166124"/>
    <w:rsid w:val="00177086"/>
    <w:rsid w:val="00177985"/>
    <w:rsid w:val="00184DDA"/>
    <w:rsid w:val="001900CD"/>
    <w:rsid w:val="001A0452"/>
    <w:rsid w:val="001B2AA2"/>
    <w:rsid w:val="001B4B04"/>
    <w:rsid w:val="001B5875"/>
    <w:rsid w:val="001B5DBA"/>
    <w:rsid w:val="001B608E"/>
    <w:rsid w:val="001B7F86"/>
    <w:rsid w:val="001C29BF"/>
    <w:rsid w:val="001C38CB"/>
    <w:rsid w:val="001C4B9C"/>
    <w:rsid w:val="001C5F30"/>
    <w:rsid w:val="001C6663"/>
    <w:rsid w:val="001C7895"/>
    <w:rsid w:val="001D26DF"/>
    <w:rsid w:val="001E1421"/>
    <w:rsid w:val="001E4A57"/>
    <w:rsid w:val="001F1599"/>
    <w:rsid w:val="001F19C4"/>
    <w:rsid w:val="00203C7E"/>
    <w:rsid w:val="002043F0"/>
    <w:rsid w:val="002075D3"/>
    <w:rsid w:val="002104DF"/>
    <w:rsid w:val="00211E0B"/>
    <w:rsid w:val="00215D05"/>
    <w:rsid w:val="0022137B"/>
    <w:rsid w:val="002256EB"/>
    <w:rsid w:val="00232575"/>
    <w:rsid w:val="00242F6E"/>
    <w:rsid w:val="002449F6"/>
    <w:rsid w:val="00247258"/>
    <w:rsid w:val="00250503"/>
    <w:rsid w:val="00251F4C"/>
    <w:rsid w:val="002548E4"/>
    <w:rsid w:val="002570D4"/>
    <w:rsid w:val="00257CAC"/>
    <w:rsid w:val="002716C0"/>
    <w:rsid w:val="0027237A"/>
    <w:rsid w:val="00273869"/>
    <w:rsid w:val="00276C8B"/>
    <w:rsid w:val="00282B0C"/>
    <w:rsid w:val="002974E9"/>
    <w:rsid w:val="002979C8"/>
    <w:rsid w:val="002A34A9"/>
    <w:rsid w:val="002A66D2"/>
    <w:rsid w:val="002A7F94"/>
    <w:rsid w:val="002B109A"/>
    <w:rsid w:val="002C4A9E"/>
    <w:rsid w:val="002C6D45"/>
    <w:rsid w:val="002D00B1"/>
    <w:rsid w:val="002D0161"/>
    <w:rsid w:val="002D6E53"/>
    <w:rsid w:val="002E1090"/>
    <w:rsid w:val="002E4B83"/>
    <w:rsid w:val="002F046D"/>
    <w:rsid w:val="002F3023"/>
    <w:rsid w:val="002F3320"/>
    <w:rsid w:val="002F5134"/>
    <w:rsid w:val="00300DD0"/>
    <w:rsid w:val="00301764"/>
    <w:rsid w:val="00303D68"/>
    <w:rsid w:val="00307A0A"/>
    <w:rsid w:val="003118EE"/>
    <w:rsid w:val="003229D8"/>
    <w:rsid w:val="00325D9D"/>
    <w:rsid w:val="00333C37"/>
    <w:rsid w:val="003354BF"/>
    <w:rsid w:val="00336C97"/>
    <w:rsid w:val="00337F88"/>
    <w:rsid w:val="003409DD"/>
    <w:rsid w:val="0034130B"/>
    <w:rsid w:val="00342432"/>
    <w:rsid w:val="00350CA1"/>
    <w:rsid w:val="0035223F"/>
    <w:rsid w:val="00352D4B"/>
    <w:rsid w:val="00352FFA"/>
    <w:rsid w:val="0035638C"/>
    <w:rsid w:val="00375F82"/>
    <w:rsid w:val="0038477F"/>
    <w:rsid w:val="0039187D"/>
    <w:rsid w:val="00394282"/>
    <w:rsid w:val="0039451F"/>
    <w:rsid w:val="003A23A5"/>
    <w:rsid w:val="003A46BB"/>
    <w:rsid w:val="003A4EC7"/>
    <w:rsid w:val="003A7295"/>
    <w:rsid w:val="003A75FD"/>
    <w:rsid w:val="003B1F60"/>
    <w:rsid w:val="003B21C2"/>
    <w:rsid w:val="003B4A34"/>
    <w:rsid w:val="003B6B2A"/>
    <w:rsid w:val="003C2CC4"/>
    <w:rsid w:val="003C359D"/>
    <w:rsid w:val="003D3695"/>
    <w:rsid w:val="003D4B23"/>
    <w:rsid w:val="003E059E"/>
    <w:rsid w:val="003E278A"/>
    <w:rsid w:val="003E71C2"/>
    <w:rsid w:val="003F0BDE"/>
    <w:rsid w:val="0040185F"/>
    <w:rsid w:val="0040686F"/>
    <w:rsid w:val="00413520"/>
    <w:rsid w:val="00415F5E"/>
    <w:rsid w:val="00417E98"/>
    <w:rsid w:val="00420747"/>
    <w:rsid w:val="004325CB"/>
    <w:rsid w:val="00440A07"/>
    <w:rsid w:val="00441251"/>
    <w:rsid w:val="0044163B"/>
    <w:rsid w:val="004553C4"/>
    <w:rsid w:val="00460633"/>
    <w:rsid w:val="004620FE"/>
    <w:rsid w:val="00462880"/>
    <w:rsid w:val="004644F1"/>
    <w:rsid w:val="004662B9"/>
    <w:rsid w:val="004768EE"/>
    <w:rsid w:val="00476F24"/>
    <w:rsid w:val="00484ACB"/>
    <w:rsid w:val="00490970"/>
    <w:rsid w:val="004923A8"/>
    <w:rsid w:val="004A0F82"/>
    <w:rsid w:val="004A1B1E"/>
    <w:rsid w:val="004A7908"/>
    <w:rsid w:val="004B1358"/>
    <w:rsid w:val="004C08BE"/>
    <w:rsid w:val="004C55B0"/>
    <w:rsid w:val="004C75BF"/>
    <w:rsid w:val="004D24E6"/>
    <w:rsid w:val="004F6BA0"/>
    <w:rsid w:val="004F731A"/>
    <w:rsid w:val="00503BEA"/>
    <w:rsid w:val="005172E8"/>
    <w:rsid w:val="005233F2"/>
    <w:rsid w:val="005260FA"/>
    <w:rsid w:val="005263F5"/>
    <w:rsid w:val="00533616"/>
    <w:rsid w:val="00535ABA"/>
    <w:rsid w:val="00536EF3"/>
    <w:rsid w:val="0053768B"/>
    <w:rsid w:val="005420F2"/>
    <w:rsid w:val="0054285C"/>
    <w:rsid w:val="0054561A"/>
    <w:rsid w:val="00552ED3"/>
    <w:rsid w:val="00567BF5"/>
    <w:rsid w:val="00580144"/>
    <w:rsid w:val="005838C3"/>
    <w:rsid w:val="00584173"/>
    <w:rsid w:val="00594CE3"/>
    <w:rsid w:val="00595520"/>
    <w:rsid w:val="00595DA8"/>
    <w:rsid w:val="005A4046"/>
    <w:rsid w:val="005A44B9"/>
    <w:rsid w:val="005B1BA0"/>
    <w:rsid w:val="005B3DB3"/>
    <w:rsid w:val="005B6581"/>
    <w:rsid w:val="005B680E"/>
    <w:rsid w:val="005D1596"/>
    <w:rsid w:val="005D15CA"/>
    <w:rsid w:val="005E42EC"/>
    <w:rsid w:val="005F08DF"/>
    <w:rsid w:val="005F3066"/>
    <w:rsid w:val="005F3342"/>
    <w:rsid w:val="005F3AB1"/>
    <w:rsid w:val="005F3E61"/>
    <w:rsid w:val="005F4A7C"/>
    <w:rsid w:val="005F7B06"/>
    <w:rsid w:val="00604DDD"/>
    <w:rsid w:val="0060610C"/>
    <w:rsid w:val="006115CC"/>
    <w:rsid w:val="00611FC4"/>
    <w:rsid w:val="00615D8F"/>
    <w:rsid w:val="006176FB"/>
    <w:rsid w:val="00620F69"/>
    <w:rsid w:val="00630FCB"/>
    <w:rsid w:val="006348AF"/>
    <w:rsid w:val="006403F8"/>
    <w:rsid w:val="00640B26"/>
    <w:rsid w:val="0064180D"/>
    <w:rsid w:val="00646BB6"/>
    <w:rsid w:val="0065766B"/>
    <w:rsid w:val="006578C8"/>
    <w:rsid w:val="006650E7"/>
    <w:rsid w:val="00666A06"/>
    <w:rsid w:val="006770B2"/>
    <w:rsid w:val="00686A48"/>
    <w:rsid w:val="00686D17"/>
    <w:rsid w:val="0069306F"/>
    <w:rsid w:val="006940E1"/>
    <w:rsid w:val="0069774D"/>
    <w:rsid w:val="006A1229"/>
    <w:rsid w:val="006A3C72"/>
    <w:rsid w:val="006A7392"/>
    <w:rsid w:val="006A73D8"/>
    <w:rsid w:val="006B03A1"/>
    <w:rsid w:val="006B2092"/>
    <w:rsid w:val="006B3ABA"/>
    <w:rsid w:val="006B67D9"/>
    <w:rsid w:val="006C5535"/>
    <w:rsid w:val="006C632A"/>
    <w:rsid w:val="006D0589"/>
    <w:rsid w:val="006E564B"/>
    <w:rsid w:val="006E7154"/>
    <w:rsid w:val="006F03BD"/>
    <w:rsid w:val="006F249D"/>
    <w:rsid w:val="006F5163"/>
    <w:rsid w:val="006F538E"/>
    <w:rsid w:val="007003CD"/>
    <w:rsid w:val="0070701E"/>
    <w:rsid w:val="0072217B"/>
    <w:rsid w:val="007258D6"/>
    <w:rsid w:val="0072632A"/>
    <w:rsid w:val="007358E8"/>
    <w:rsid w:val="00736ECE"/>
    <w:rsid w:val="00737442"/>
    <w:rsid w:val="0074533B"/>
    <w:rsid w:val="00762E7F"/>
    <w:rsid w:val="007643BC"/>
    <w:rsid w:val="007650B6"/>
    <w:rsid w:val="0077347D"/>
    <w:rsid w:val="00780C68"/>
    <w:rsid w:val="0078142B"/>
    <w:rsid w:val="00783BDF"/>
    <w:rsid w:val="0078637E"/>
    <w:rsid w:val="00787F3B"/>
    <w:rsid w:val="00791616"/>
    <w:rsid w:val="007959FE"/>
    <w:rsid w:val="007A0CF1"/>
    <w:rsid w:val="007A2C8E"/>
    <w:rsid w:val="007A7019"/>
    <w:rsid w:val="007B2CF5"/>
    <w:rsid w:val="007B6BA5"/>
    <w:rsid w:val="007C1230"/>
    <w:rsid w:val="007C3390"/>
    <w:rsid w:val="007C42D8"/>
    <w:rsid w:val="007C4F4B"/>
    <w:rsid w:val="007C5FD0"/>
    <w:rsid w:val="007D2436"/>
    <w:rsid w:val="007D688A"/>
    <w:rsid w:val="007D7362"/>
    <w:rsid w:val="007E2D11"/>
    <w:rsid w:val="007F2926"/>
    <w:rsid w:val="007F5CE2"/>
    <w:rsid w:val="007F6611"/>
    <w:rsid w:val="00801D82"/>
    <w:rsid w:val="00807087"/>
    <w:rsid w:val="00810BAC"/>
    <w:rsid w:val="00814A34"/>
    <w:rsid w:val="00815316"/>
    <w:rsid w:val="00815D26"/>
    <w:rsid w:val="008175E9"/>
    <w:rsid w:val="008242D7"/>
    <w:rsid w:val="00825528"/>
    <w:rsid w:val="0082577B"/>
    <w:rsid w:val="008304E1"/>
    <w:rsid w:val="0084682A"/>
    <w:rsid w:val="00853127"/>
    <w:rsid w:val="00866893"/>
    <w:rsid w:val="00866F02"/>
    <w:rsid w:val="00867296"/>
    <w:rsid w:val="00867D18"/>
    <w:rsid w:val="00871F9A"/>
    <w:rsid w:val="00871FD5"/>
    <w:rsid w:val="00874E7A"/>
    <w:rsid w:val="0088172E"/>
    <w:rsid w:val="00881EFA"/>
    <w:rsid w:val="00881FCA"/>
    <w:rsid w:val="00882E76"/>
    <w:rsid w:val="008879CB"/>
    <w:rsid w:val="00892475"/>
    <w:rsid w:val="00893A81"/>
    <w:rsid w:val="008979B1"/>
    <w:rsid w:val="008A6B25"/>
    <w:rsid w:val="008A6C4F"/>
    <w:rsid w:val="008A6FDD"/>
    <w:rsid w:val="008B389E"/>
    <w:rsid w:val="008B7CD1"/>
    <w:rsid w:val="008C6230"/>
    <w:rsid w:val="008C71EE"/>
    <w:rsid w:val="008D045E"/>
    <w:rsid w:val="008D348B"/>
    <w:rsid w:val="008D3F25"/>
    <w:rsid w:val="008D4D82"/>
    <w:rsid w:val="008E0E46"/>
    <w:rsid w:val="008E7116"/>
    <w:rsid w:val="008F143B"/>
    <w:rsid w:val="008F223C"/>
    <w:rsid w:val="008F3882"/>
    <w:rsid w:val="008F4B7C"/>
    <w:rsid w:val="008F6BDC"/>
    <w:rsid w:val="008F785B"/>
    <w:rsid w:val="008F7BB4"/>
    <w:rsid w:val="009030A0"/>
    <w:rsid w:val="0090797A"/>
    <w:rsid w:val="00912F5F"/>
    <w:rsid w:val="00914F53"/>
    <w:rsid w:val="0091690A"/>
    <w:rsid w:val="00926E05"/>
    <w:rsid w:val="00926E47"/>
    <w:rsid w:val="009312FF"/>
    <w:rsid w:val="00932C48"/>
    <w:rsid w:val="009364E5"/>
    <w:rsid w:val="00943748"/>
    <w:rsid w:val="00947162"/>
    <w:rsid w:val="0095242B"/>
    <w:rsid w:val="00954785"/>
    <w:rsid w:val="00960CE9"/>
    <w:rsid w:val="009610D0"/>
    <w:rsid w:val="00961C7B"/>
    <w:rsid w:val="0096375C"/>
    <w:rsid w:val="00964415"/>
    <w:rsid w:val="009662E6"/>
    <w:rsid w:val="0097095E"/>
    <w:rsid w:val="0097313A"/>
    <w:rsid w:val="0098592B"/>
    <w:rsid w:val="00985FC4"/>
    <w:rsid w:val="00990766"/>
    <w:rsid w:val="00990EF3"/>
    <w:rsid w:val="00991261"/>
    <w:rsid w:val="00994850"/>
    <w:rsid w:val="00995B73"/>
    <w:rsid w:val="009964C4"/>
    <w:rsid w:val="009A076C"/>
    <w:rsid w:val="009A0E00"/>
    <w:rsid w:val="009A2C1E"/>
    <w:rsid w:val="009A7B81"/>
    <w:rsid w:val="009B0041"/>
    <w:rsid w:val="009B0C51"/>
    <w:rsid w:val="009B4DBB"/>
    <w:rsid w:val="009D01C0"/>
    <w:rsid w:val="009D4D99"/>
    <w:rsid w:val="009D6A08"/>
    <w:rsid w:val="009D772B"/>
    <w:rsid w:val="009E0A16"/>
    <w:rsid w:val="009E6CB7"/>
    <w:rsid w:val="009E7970"/>
    <w:rsid w:val="009F2EAC"/>
    <w:rsid w:val="009F57E3"/>
    <w:rsid w:val="00A00330"/>
    <w:rsid w:val="00A032E7"/>
    <w:rsid w:val="00A04DDC"/>
    <w:rsid w:val="00A052B5"/>
    <w:rsid w:val="00A05778"/>
    <w:rsid w:val="00A10F4F"/>
    <w:rsid w:val="00A11067"/>
    <w:rsid w:val="00A13319"/>
    <w:rsid w:val="00A141A6"/>
    <w:rsid w:val="00A147E2"/>
    <w:rsid w:val="00A14A96"/>
    <w:rsid w:val="00A1704A"/>
    <w:rsid w:val="00A20F61"/>
    <w:rsid w:val="00A267DC"/>
    <w:rsid w:val="00A35966"/>
    <w:rsid w:val="00A425EB"/>
    <w:rsid w:val="00A44590"/>
    <w:rsid w:val="00A462AC"/>
    <w:rsid w:val="00A72F22"/>
    <w:rsid w:val="00A733BC"/>
    <w:rsid w:val="00A748A6"/>
    <w:rsid w:val="00A76A69"/>
    <w:rsid w:val="00A76F23"/>
    <w:rsid w:val="00A801E5"/>
    <w:rsid w:val="00A879A4"/>
    <w:rsid w:val="00A93EAC"/>
    <w:rsid w:val="00A95848"/>
    <w:rsid w:val="00AA0FF8"/>
    <w:rsid w:val="00AA1506"/>
    <w:rsid w:val="00AA460E"/>
    <w:rsid w:val="00AC0E1D"/>
    <w:rsid w:val="00AC0F2C"/>
    <w:rsid w:val="00AC4B29"/>
    <w:rsid w:val="00AC502A"/>
    <w:rsid w:val="00AF29F9"/>
    <w:rsid w:val="00AF58C1"/>
    <w:rsid w:val="00AF60EC"/>
    <w:rsid w:val="00B04A3F"/>
    <w:rsid w:val="00B06643"/>
    <w:rsid w:val="00B11EC1"/>
    <w:rsid w:val="00B13F46"/>
    <w:rsid w:val="00B15055"/>
    <w:rsid w:val="00B20551"/>
    <w:rsid w:val="00B30179"/>
    <w:rsid w:val="00B33FC7"/>
    <w:rsid w:val="00B36F2A"/>
    <w:rsid w:val="00B37B15"/>
    <w:rsid w:val="00B41446"/>
    <w:rsid w:val="00B45C02"/>
    <w:rsid w:val="00B56464"/>
    <w:rsid w:val="00B56FD3"/>
    <w:rsid w:val="00B6057E"/>
    <w:rsid w:val="00B67246"/>
    <w:rsid w:val="00B70B63"/>
    <w:rsid w:val="00B72A1E"/>
    <w:rsid w:val="00B779E4"/>
    <w:rsid w:val="00B81E12"/>
    <w:rsid w:val="00B821A1"/>
    <w:rsid w:val="00B927CF"/>
    <w:rsid w:val="00B94754"/>
    <w:rsid w:val="00B96ECD"/>
    <w:rsid w:val="00BA2301"/>
    <w:rsid w:val="00BA339B"/>
    <w:rsid w:val="00BB23CC"/>
    <w:rsid w:val="00BB38E3"/>
    <w:rsid w:val="00BC0970"/>
    <w:rsid w:val="00BC1E7E"/>
    <w:rsid w:val="00BC74E9"/>
    <w:rsid w:val="00BE36A9"/>
    <w:rsid w:val="00BE618E"/>
    <w:rsid w:val="00BE7BEC"/>
    <w:rsid w:val="00BF0A5A"/>
    <w:rsid w:val="00BF0E63"/>
    <w:rsid w:val="00BF12A3"/>
    <w:rsid w:val="00BF16D7"/>
    <w:rsid w:val="00BF19EF"/>
    <w:rsid w:val="00BF2373"/>
    <w:rsid w:val="00BF630E"/>
    <w:rsid w:val="00C044E2"/>
    <w:rsid w:val="00C048CB"/>
    <w:rsid w:val="00C066F3"/>
    <w:rsid w:val="00C1095E"/>
    <w:rsid w:val="00C14A00"/>
    <w:rsid w:val="00C23E6E"/>
    <w:rsid w:val="00C33E15"/>
    <w:rsid w:val="00C34F3C"/>
    <w:rsid w:val="00C3570C"/>
    <w:rsid w:val="00C35A91"/>
    <w:rsid w:val="00C43588"/>
    <w:rsid w:val="00C463DD"/>
    <w:rsid w:val="00C5715D"/>
    <w:rsid w:val="00C575DA"/>
    <w:rsid w:val="00C67212"/>
    <w:rsid w:val="00C7105F"/>
    <w:rsid w:val="00C745C3"/>
    <w:rsid w:val="00C75BD6"/>
    <w:rsid w:val="00C760DF"/>
    <w:rsid w:val="00C80064"/>
    <w:rsid w:val="00C82BDB"/>
    <w:rsid w:val="00C861A7"/>
    <w:rsid w:val="00C94131"/>
    <w:rsid w:val="00C96E6A"/>
    <w:rsid w:val="00C978F5"/>
    <w:rsid w:val="00CA1CAB"/>
    <w:rsid w:val="00CA24A4"/>
    <w:rsid w:val="00CA4E76"/>
    <w:rsid w:val="00CB067D"/>
    <w:rsid w:val="00CB0EAD"/>
    <w:rsid w:val="00CB348D"/>
    <w:rsid w:val="00CB42AE"/>
    <w:rsid w:val="00CD29B7"/>
    <w:rsid w:val="00CD2C9A"/>
    <w:rsid w:val="00CD3488"/>
    <w:rsid w:val="00CD46F5"/>
    <w:rsid w:val="00CE4A8F"/>
    <w:rsid w:val="00CF071D"/>
    <w:rsid w:val="00CF331B"/>
    <w:rsid w:val="00D009B4"/>
    <w:rsid w:val="00D0123D"/>
    <w:rsid w:val="00D15B04"/>
    <w:rsid w:val="00D2031B"/>
    <w:rsid w:val="00D25FE2"/>
    <w:rsid w:val="00D37BB1"/>
    <w:rsid w:val="00D37DA9"/>
    <w:rsid w:val="00D406A7"/>
    <w:rsid w:val="00D43252"/>
    <w:rsid w:val="00D44D86"/>
    <w:rsid w:val="00D47C7F"/>
    <w:rsid w:val="00D50B7D"/>
    <w:rsid w:val="00D52012"/>
    <w:rsid w:val="00D64080"/>
    <w:rsid w:val="00D704E5"/>
    <w:rsid w:val="00D72727"/>
    <w:rsid w:val="00D7568E"/>
    <w:rsid w:val="00D76CBD"/>
    <w:rsid w:val="00D8551A"/>
    <w:rsid w:val="00D96E72"/>
    <w:rsid w:val="00D978C6"/>
    <w:rsid w:val="00DA0956"/>
    <w:rsid w:val="00DA357F"/>
    <w:rsid w:val="00DA3E12"/>
    <w:rsid w:val="00DB4D1F"/>
    <w:rsid w:val="00DB5AD8"/>
    <w:rsid w:val="00DC18AD"/>
    <w:rsid w:val="00DC492A"/>
    <w:rsid w:val="00DC53AB"/>
    <w:rsid w:val="00DD19CB"/>
    <w:rsid w:val="00DD61DF"/>
    <w:rsid w:val="00DE5B99"/>
    <w:rsid w:val="00DF614F"/>
    <w:rsid w:val="00DF7CAE"/>
    <w:rsid w:val="00E00916"/>
    <w:rsid w:val="00E01458"/>
    <w:rsid w:val="00E105B0"/>
    <w:rsid w:val="00E11BD6"/>
    <w:rsid w:val="00E13495"/>
    <w:rsid w:val="00E25C8C"/>
    <w:rsid w:val="00E418D6"/>
    <w:rsid w:val="00E423C0"/>
    <w:rsid w:val="00E4244E"/>
    <w:rsid w:val="00E51376"/>
    <w:rsid w:val="00E5334B"/>
    <w:rsid w:val="00E55BA1"/>
    <w:rsid w:val="00E5730F"/>
    <w:rsid w:val="00E6414C"/>
    <w:rsid w:val="00E64202"/>
    <w:rsid w:val="00E7260F"/>
    <w:rsid w:val="00E74195"/>
    <w:rsid w:val="00E8702D"/>
    <w:rsid w:val="00E905F4"/>
    <w:rsid w:val="00E916A9"/>
    <w:rsid w:val="00E916DE"/>
    <w:rsid w:val="00E925AD"/>
    <w:rsid w:val="00E96630"/>
    <w:rsid w:val="00EA239F"/>
    <w:rsid w:val="00EA2419"/>
    <w:rsid w:val="00EB3B11"/>
    <w:rsid w:val="00EB5158"/>
    <w:rsid w:val="00EC4ACA"/>
    <w:rsid w:val="00ED18DC"/>
    <w:rsid w:val="00ED2BF3"/>
    <w:rsid w:val="00ED6201"/>
    <w:rsid w:val="00ED7094"/>
    <w:rsid w:val="00ED7A2A"/>
    <w:rsid w:val="00ED7F82"/>
    <w:rsid w:val="00EE0CD8"/>
    <w:rsid w:val="00EE315B"/>
    <w:rsid w:val="00EE4D1B"/>
    <w:rsid w:val="00EF1D7F"/>
    <w:rsid w:val="00EF4B35"/>
    <w:rsid w:val="00EF56DF"/>
    <w:rsid w:val="00EF5B24"/>
    <w:rsid w:val="00F0137E"/>
    <w:rsid w:val="00F060D1"/>
    <w:rsid w:val="00F1166A"/>
    <w:rsid w:val="00F12700"/>
    <w:rsid w:val="00F1547B"/>
    <w:rsid w:val="00F21786"/>
    <w:rsid w:val="00F25AB8"/>
    <w:rsid w:val="00F269CC"/>
    <w:rsid w:val="00F336F9"/>
    <w:rsid w:val="00F368C4"/>
    <w:rsid w:val="00F3742B"/>
    <w:rsid w:val="00F41FDB"/>
    <w:rsid w:val="00F4510C"/>
    <w:rsid w:val="00F5146D"/>
    <w:rsid w:val="00F51EC9"/>
    <w:rsid w:val="00F56D63"/>
    <w:rsid w:val="00F601C3"/>
    <w:rsid w:val="00F609A9"/>
    <w:rsid w:val="00F610E2"/>
    <w:rsid w:val="00F7611E"/>
    <w:rsid w:val="00F80C99"/>
    <w:rsid w:val="00F851F1"/>
    <w:rsid w:val="00F863FD"/>
    <w:rsid w:val="00F867EC"/>
    <w:rsid w:val="00F87F74"/>
    <w:rsid w:val="00F91B2B"/>
    <w:rsid w:val="00F94965"/>
    <w:rsid w:val="00FB2672"/>
    <w:rsid w:val="00FB2AC3"/>
    <w:rsid w:val="00FB44EC"/>
    <w:rsid w:val="00FB49CE"/>
    <w:rsid w:val="00FC03CD"/>
    <w:rsid w:val="00FC0595"/>
    <w:rsid w:val="00FC0646"/>
    <w:rsid w:val="00FC28C4"/>
    <w:rsid w:val="00FC68B7"/>
    <w:rsid w:val="00FD05C3"/>
    <w:rsid w:val="00FD78EB"/>
    <w:rsid w:val="00FE4163"/>
    <w:rsid w:val="00FE6985"/>
    <w:rsid w:val="00FE7EE2"/>
    <w:rsid w:val="00FF02F5"/>
    <w:rsid w:val="00FF5354"/>
    <w:rsid w:val="00FF67EF"/>
    <w:rsid w:val="00FF71CC"/>
    <w:rsid w:val="00FF72B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5_GR Char"/>
    <w:link w:val="FootnoteText"/>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qFormat/>
    <w:locked/>
    <w:rsid w:val="005E42EC"/>
    <w:rPr>
      <w:lang w:val="en-GB"/>
    </w:rPr>
  </w:style>
  <w:style w:type="character" w:customStyle="1" w:styleId="H1GChar">
    <w:name w:val="_ H_1_G Char"/>
    <w:link w:val="H1G"/>
    <w:rsid w:val="0095242B"/>
    <w:rPr>
      <w:b/>
      <w:sz w:val="24"/>
      <w:lang w:val="en-GB"/>
    </w:rPr>
  </w:style>
  <w:style w:type="character" w:styleId="CommentReference">
    <w:name w:val="annotation reference"/>
    <w:basedOn w:val="DefaultParagraphFont"/>
    <w:semiHidden/>
    <w:unhideWhenUsed/>
    <w:rsid w:val="001C5F30"/>
    <w:rPr>
      <w:sz w:val="16"/>
      <w:szCs w:val="16"/>
    </w:rPr>
  </w:style>
  <w:style w:type="paragraph" w:styleId="CommentText">
    <w:name w:val="annotation text"/>
    <w:basedOn w:val="Normal"/>
    <w:link w:val="CommentTextChar"/>
    <w:unhideWhenUsed/>
    <w:rsid w:val="001C5F30"/>
    <w:pPr>
      <w:spacing w:line="240" w:lineRule="auto"/>
    </w:pPr>
  </w:style>
  <w:style w:type="character" w:customStyle="1" w:styleId="CommentTextChar">
    <w:name w:val="Comment Text Char"/>
    <w:basedOn w:val="DefaultParagraphFont"/>
    <w:link w:val="CommentText"/>
    <w:rsid w:val="001C5F30"/>
    <w:rPr>
      <w:lang w:val="en-GB"/>
    </w:rPr>
  </w:style>
  <w:style w:type="paragraph" w:styleId="CommentSubject">
    <w:name w:val="annotation subject"/>
    <w:basedOn w:val="CommentText"/>
    <w:next w:val="CommentText"/>
    <w:link w:val="CommentSubjectChar"/>
    <w:semiHidden/>
    <w:unhideWhenUsed/>
    <w:rsid w:val="001C5F30"/>
    <w:rPr>
      <w:b/>
      <w:bCs/>
    </w:rPr>
  </w:style>
  <w:style w:type="character" w:customStyle="1" w:styleId="CommentSubjectChar">
    <w:name w:val="Comment Subject Char"/>
    <w:basedOn w:val="CommentTextChar"/>
    <w:link w:val="CommentSubject"/>
    <w:semiHidden/>
    <w:rsid w:val="001C5F30"/>
    <w:rPr>
      <w:b/>
      <w:bCs/>
      <w:lang w:val="en-GB"/>
    </w:rPr>
  </w:style>
  <w:style w:type="paragraph" w:styleId="NormalWeb">
    <w:name w:val="Normal (Web)"/>
    <w:basedOn w:val="Normal"/>
    <w:uiPriority w:val="99"/>
    <w:unhideWhenUsed/>
    <w:rsid w:val="008C71EE"/>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8C71EE"/>
    <w:rPr>
      <w:b/>
      <w:bCs/>
    </w:rPr>
  </w:style>
  <w:style w:type="character" w:styleId="Emphasis">
    <w:name w:val="Emphasis"/>
    <w:basedOn w:val="DefaultParagraphFont"/>
    <w:uiPriority w:val="20"/>
    <w:qFormat/>
    <w:rsid w:val="005456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3233">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97562154">
      <w:bodyDiv w:val="1"/>
      <w:marLeft w:val="0"/>
      <w:marRight w:val="0"/>
      <w:marTop w:val="0"/>
      <w:marBottom w:val="0"/>
      <w:divBdr>
        <w:top w:val="none" w:sz="0" w:space="0" w:color="auto"/>
        <w:left w:val="none" w:sz="0" w:space="0" w:color="auto"/>
        <w:bottom w:val="none" w:sz="0" w:space="0" w:color="auto"/>
        <w:right w:val="none" w:sz="0" w:space="0" w:color="auto"/>
      </w:divBdr>
    </w:div>
    <w:div w:id="974137790">
      <w:bodyDiv w:val="1"/>
      <w:marLeft w:val="0"/>
      <w:marRight w:val="0"/>
      <w:marTop w:val="0"/>
      <w:marBottom w:val="0"/>
      <w:divBdr>
        <w:top w:val="none" w:sz="0" w:space="0" w:color="auto"/>
        <w:left w:val="none" w:sz="0" w:space="0" w:color="auto"/>
        <w:bottom w:val="none" w:sz="0" w:space="0" w:color="auto"/>
        <w:right w:val="none" w:sz="0" w:space="0" w:color="auto"/>
      </w:divBdr>
    </w:div>
    <w:div w:id="1062750395">
      <w:bodyDiv w:val="1"/>
      <w:marLeft w:val="0"/>
      <w:marRight w:val="0"/>
      <w:marTop w:val="0"/>
      <w:marBottom w:val="0"/>
      <w:divBdr>
        <w:top w:val="none" w:sz="0" w:space="0" w:color="auto"/>
        <w:left w:val="none" w:sz="0" w:space="0" w:color="auto"/>
        <w:bottom w:val="none" w:sz="0" w:space="0" w:color="auto"/>
        <w:right w:val="none" w:sz="0" w:space="0" w:color="auto"/>
      </w:divBdr>
    </w:div>
    <w:div w:id="1474519887">
      <w:bodyDiv w:val="1"/>
      <w:marLeft w:val="0"/>
      <w:marRight w:val="0"/>
      <w:marTop w:val="0"/>
      <w:marBottom w:val="0"/>
      <w:divBdr>
        <w:top w:val="none" w:sz="0" w:space="0" w:color="auto"/>
        <w:left w:val="none" w:sz="0" w:space="0" w:color="auto"/>
        <w:bottom w:val="none" w:sz="0" w:space="0" w:color="auto"/>
        <w:right w:val="none" w:sz="0" w:space="0" w:color="auto"/>
      </w:divBdr>
    </w:div>
    <w:div w:id="1672948398">
      <w:bodyDiv w:val="1"/>
      <w:marLeft w:val="0"/>
      <w:marRight w:val="0"/>
      <w:marTop w:val="0"/>
      <w:marBottom w:val="0"/>
      <w:divBdr>
        <w:top w:val="none" w:sz="0" w:space="0" w:color="auto"/>
        <w:left w:val="none" w:sz="0" w:space="0" w:color="auto"/>
        <w:bottom w:val="none" w:sz="0" w:space="0" w:color="auto"/>
        <w:right w:val="none" w:sz="0" w:space="0" w:color="auto"/>
      </w:divBdr>
    </w:div>
    <w:div w:id="1884439160">
      <w:bodyDiv w:val="1"/>
      <w:marLeft w:val="0"/>
      <w:marRight w:val="0"/>
      <w:marTop w:val="0"/>
      <w:marBottom w:val="0"/>
      <w:divBdr>
        <w:top w:val="none" w:sz="0" w:space="0" w:color="auto"/>
        <w:left w:val="none" w:sz="0" w:space="0" w:color="auto"/>
        <w:bottom w:val="none" w:sz="0" w:space="0" w:color="auto"/>
        <w:right w:val="none" w:sz="0" w:space="0" w:color="auto"/>
      </w:divBdr>
    </w:div>
    <w:div w:id="20067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98CB1-9F20-4E03-A5BC-6770252C1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76FE0445-25D1-40E2-BAB0-6C73844C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2119</Words>
  <Characters>11673</Characters>
  <Application>Microsoft Office Word</Application>
  <DocSecurity>0</DocSecurity>
  <Lines>268</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ECE/TRANS/2022/25</vt:lpstr>
      <vt:lpstr/>
    </vt:vector>
  </TitlesOfParts>
  <Company>CSD</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ECE/TRANS/2023/29</dc:title>
  <dc:subject>2227934</dc:subject>
  <dc:creator>Anastasia Barinova</dc:creator>
  <cp:keywords/>
  <dc:description/>
  <cp:lastModifiedBy>Anni Vi Tirol</cp:lastModifiedBy>
  <cp:revision>2</cp:revision>
  <cp:lastPrinted>2009-02-18T09:36:00Z</cp:lastPrinted>
  <dcterms:created xsi:type="dcterms:W3CDTF">2022-12-09T08:28:00Z</dcterms:created>
  <dcterms:modified xsi:type="dcterms:W3CDTF">2022-12-09T08:28:00Z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