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B65EA0" w14:paraId="60899346" w14:textId="77777777" w:rsidTr="21FF00CF">
        <w:trPr>
          <w:cantSplit/>
          <w:trHeight w:hRule="exact" w:val="851"/>
        </w:trPr>
        <w:tc>
          <w:tcPr>
            <w:tcW w:w="1276" w:type="dxa"/>
            <w:tcBorders>
              <w:bottom w:val="single" w:sz="4" w:space="0" w:color="auto"/>
            </w:tcBorders>
            <w:vAlign w:val="bottom"/>
          </w:tcPr>
          <w:p w14:paraId="60899343" w14:textId="77777777" w:rsidR="009E6CB7" w:rsidRPr="00B65EA0" w:rsidRDefault="009E6CB7" w:rsidP="00B20551">
            <w:pPr>
              <w:spacing w:after="80"/>
            </w:pPr>
          </w:p>
        </w:tc>
        <w:tc>
          <w:tcPr>
            <w:tcW w:w="2268" w:type="dxa"/>
            <w:tcBorders>
              <w:bottom w:val="single" w:sz="4" w:space="0" w:color="auto"/>
            </w:tcBorders>
            <w:vAlign w:val="bottom"/>
          </w:tcPr>
          <w:p w14:paraId="60899344" w14:textId="77777777" w:rsidR="009E6CB7" w:rsidRPr="00B65EA0" w:rsidRDefault="009E6CB7" w:rsidP="00B20551">
            <w:pPr>
              <w:spacing w:after="80" w:line="300" w:lineRule="exact"/>
              <w:rPr>
                <w:b/>
                <w:sz w:val="24"/>
                <w:szCs w:val="24"/>
              </w:rPr>
            </w:pPr>
            <w:r w:rsidRPr="00B65EA0">
              <w:rPr>
                <w:sz w:val="28"/>
                <w:szCs w:val="28"/>
              </w:rPr>
              <w:t>United Nations</w:t>
            </w:r>
          </w:p>
        </w:tc>
        <w:tc>
          <w:tcPr>
            <w:tcW w:w="6095" w:type="dxa"/>
            <w:gridSpan w:val="2"/>
            <w:tcBorders>
              <w:bottom w:val="single" w:sz="4" w:space="0" w:color="auto"/>
            </w:tcBorders>
            <w:vAlign w:val="bottom"/>
          </w:tcPr>
          <w:p w14:paraId="60899345" w14:textId="029D34B6" w:rsidR="009E6CB7" w:rsidRPr="00B65EA0" w:rsidRDefault="0091690A" w:rsidP="00954785">
            <w:pPr>
              <w:jc w:val="right"/>
            </w:pPr>
            <w:r w:rsidRPr="00B65EA0">
              <w:rPr>
                <w:sz w:val="40"/>
              </w:rPr>
              <w:t>ECE</w:t>
            </w:r>
            <w:r w:rsidRPr="00B65EA0">
              <w:t>/TRANS/202</w:t>
            </w:r>
            <w:r w:rsidR="005A5BBB" w:rsidRPr="00B65EA0">
              <w:t>3</w:t>
            </w:r>
            <w:r w:rsidRPr="00B65EA0">
              <w:t>/</w:t>
            </w:r>
            <w:r w:rsidR="00F95212" w:rsidRPr="00B65EA0">
              <w:t>25</w:t>
            </w:r>
          </w:p>
        </w:tc>
      </w:tr>
      <w:tr w:rsidR="00FF02F5" w:rsidRPr="00D25EC4" w14:paraId="6089934D" w14:textId="77777777" w:rsidTr="21FF00CF">
        <w:trPr>
          <w:cantSplit/>
          <w:trHeight w:hRule="exact" w:val="2835"/>
        </w:trPr>
        <w:tc>
          <w:tcPr>
            <w:tcW w:w="1276" w:type="dxa"/>
            <w:tcBorders>
              <w:top w:val="single" w:sz="4" w:space="0" w:color="auto"/>
              <w:bottom w:val="single" w:sz="12" w:space="0" w:color="auto"/>
            </w:tcBorders>
          </w:tcPr>
          <w:p w14:paraId="60899347" w14:textId="77777777" w:rsidR="009E6CB7" w:rsidRPr="00B65EA0" w:rsidRDefault="00686A48" w:rsidP="00B20551">
            <w:pPr>
              <w:spacing w:before="120"/>
            </w:pPr>
            <w:r w:rsidRPr="00106BDB">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167731" w:rsidRDefault="009E6CB7" w:rsidP="00B20551">
            <w:pPr>
              <w:spacing w:before="120" w:line="420" w:lineRule="exact"/>
              <w:rPr>
                <w:sz w:val="40"/>
                <w:szCs w:val="40"/>
              </w:rPr>
            </w:pPr>
            <w:r w:rsidRPr="00713203">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595F40" w:rsidRDefault="00954785" w:rsidP="00954785">
            <w:pPr>
              <w:spacing w:before="240" w:line="240" w:lineRule="exact"/>
            </w:pPr>
            <w:r w:rsidRPr="002E3E82">
              <w:t>Distr.: General</w:t>
            </w:r>
          </w:p>
          <w:p w14:paraId="6089934A" w14:textId="7BF94EF4" w:rsidR="00954785" w:rsidRPr="00D25EC4" w:rsidRDefault="00482610" w:rsidP="00954785">
            <w:pPr>
              <w:spacing w:line="240" w:lineRule="exact"/>
            </w:pPr>
            <w:r>
              <w:t>9</w:t>
            </w:r>
            <w:r w:rsidR="006E07E5" w:rsidRPr="00D25EC4">
              <w:t xml:space="preserve"> December</w:t>
            </w:r>
            <w:r w:rsidR="00CD3488" w:rsidRPr="00D25EC4">
              <w:t xml:space="preserve"> </w:t>
            </w:r>
            <w:r w:rsidR="00954785" w:rsidRPr="00D25EC4">
              <w:t>20</w:t>
            </w:r>
            <w:r w:rsidR="006B3ABA" w:rsidRPr="00D25EC4">
              <w:t>2</w:t>
            </w:r>
            <w:r w:rsidR="005A5BBB" w:rsidRPr="00D25EC4">
              <w:t>2</w:t>
            </w:r>
          </w:p>
          <w:p w14:paraId="6089934B" w14:textId="77777777" w:rsidR="00954785" w:rsidRPr="00D25EC4" w:rsidRDefault="00954785" w:rsidP="00954785">
            <w:pPr>
              <w:spacing w:line="240" w:lineRule="exact"/>
            </w:pPr>
          </w:p>
          <w:p w14:paraId="6089934C" w14:textId="77777777" w:rsidR="00954785" w:rsidRPr="00D25EC4" w:rsidRDefault="00954785" w:rsidP="00954785">
            <w:pPr>
              <w:spacing w:line="240" w:lineRule="exact"/>
            </w:pPr>
            <w:r w:rsidRPr="00D25EC4">
              <w:t>Original: English</w:t>
            </w:r>
          </w:p>
        </w:tc>
      </w:tr>
    </w:tbl>
    <w:p w14:paraId="66E2285D" w14:textId="77777777" w:rsidR="00F91B03" w:rsidRPr="00D25EC4" w:rsidRDefault="00F91B03" w:rsidP="00F91B03">
      <w:pPr>
        <w:spacing w:before="120"/>
        <w:rPr>
          <w:b/>
          <w:bCs/>
          <w:sz w:val="28"/>
          <w:szCs w:val="28"/>
        </w:rPr>
      </w:pPr>
      <w:r w:rsidRPr="00D25EC4">
        <w:rPr>
          <w:b/>
          <w:bCs/>
          <w:sz w:val="28"/>
          <w:szCs w:val="28"/>
        </w:rPr>
        <w:t>Economic Commission for Europe</w:t>
      </w:r>
    </w:p>
    <w:p w14:paraId="0D336BDA" w14:textId="77777777" w:rsidR="00F91B03" w:rsidRPr="00D25EC4" w:rsidRDefault="00F91B03" w:rsidP="00F91B03">
      <w:pPr>
        <w:spacing w:before="120"/>
        <w:rPr>
          <w:sz w:val="28"/>
          <w:szCs w:val="28"/>
        </w:rPr>
      </w:pPr>
      <w:r w:rsidRPr="00D25EC4">
        <w:rPr>
          <w:sz w:val="28"/>
          <w:szCs w:val="28"/>
        </w:rPr>
        <w:t>Inland Transport Committee</w:t>
      </w:r>
    </w:p>
    <w:p w14:paraId="08BD4B89" w14:textId="77812F8E" w:rsidR="00F91B03" w:rsidRPr="00D25EC4" w:rsidRDefault="00F91B03" w:rsidP="00F91B03">
      <w:pPr>
        <w:spacing w:before="120"/>
        <w:rPr>
          <w:b/>
          <w:bCs/>
        </w:rPr>
      </w:pPr>
      <w:r w:rsidRPr="00D25EC4">
        <w:rPr>
          <w:b/>
          <w:bCs/>
        </w:rPr>
        <w:t>Eighty-</w:t>
      </w:r>
      <w:r w:rsidR="00E97356" w:rsidRPr="00D25EC4">
        <w:rPr>
          <w:b/>
          <w:bCs/>
        </w:rPr>
        <w:t>f</w:t>
      </w:r>
      <w:r w:rsidR="005A5BBB" w:rsidRPr="00D25EC4">
        <w:rPr>
          <w:b/>
          <w:bCs/>
        </w:rPr>
        <w:t>if</w:t>
      </w:r>
      <w:r w:rsidR="00E97356" w:rsidRPr="00D25EC4">
        <w:rPr>
          <w:b/>
          <w:bCs/>
        </w:rPr>
        <w:t>th</w:t>
      </w:r>
      <w:r w:rsidRPr="00D25EC4">
        <w:rPr>
          <w:b/>
          <w:bCs/>
        </w:rPr>
        <w:t xml:space="preserve"> session</w:t>
      </w:r>
    </w:p>
    <w:p w14:paraId="6107893B" w14:textId="2F7AA3A4" w:rsidR="00F91B03" w:rsidRPr="00B65EA0" w:rsidRDefault="00F91B03" w:rsidP="00F91B03">
      <w:pPr>
        <w:rPr>
          <w:b/>
          <w:bCs/>
        </w:rPr>
      </w:pPr>
      <w:r w:rsidRPr="00D25EC4">
        <w:t>Geneva, 2</w:t>
      </w:r>
      <w:r w:rsidR="004A530C" w:rsidRPr="00D25EC4">
        <w:t>1</w:t>
      </w:r>
      <w:r w:rsidRPr="00D25EC4">
        <w:t>–2</w:t>
      </w:r>
      <w:r w:rsidR="004A530C" w:rsidRPr="00D25EC4">
        <w:t>4</w:t>
      </w:r>
      <w:r w:rsidRPr="00D25EC4">
        <w:t xml:space="preserve"> February 202</w:t>
      </w:r>
      <w:r w:rsidR="005A5BBB" w:rsidRPr="00D25EC4">
        <w:t>3</w:t>
      </w:r>
      <w:r w:rsidRPr="00D25EC4">
        <w:br/>
        <w:t xml:space="preserve">Item </w:t>
      </w:r>
      <w:r w:rsidR="004A530C" w:rsidRPr="00D25EC4">
        <w:t>7</w:t>
      </w:r>
      <w:r w:rsidRPr="00D25EC4">
        <w:t xml:space="preserve"> (</w:t>
      </w:r>
      <w:r w:rsidR="00F61D85" w:rsidRPr="00D25EC4">
        <w:t>k</w:t>
      </w:r>
      <w:r w:rsidRPr="00D25EC4">
        <w:t>) of the provisional agenda</w:t>
      </w:r>
      <w:r w:rsidRPr="00D25EC4">
        <w:br/>
      </w:r>
      <w:r w:rsidR="002C3A9B" w:rsidRPr="00D25EC4">
        <w:rPr>
          <w:b/>
          <w:bCs/>
        </w:rPr>
        <w:t xml:space="preserve">Strategic </w:t>
      </w:r>
      <w:r w:rsidR="00A76147">
        <w:rPr>
          <w:b/>
          <w:bCs/>
        </w:rPr>
        <w:t>Q</w:t>
      </w:r>
      <w:r w:rsidR="002C3A9B" w:rsidRPr="00D25EC4">
        <w:rPr>
          <w:b/>
          <w:bCs/>
        </w:rPr>
        <w:t xml:space="preserve">uestions of a </w:t>
      </w:r>
      <w:r w:rsidR="00A76147">
        <w:rPr>
          <w:b/>
          <w:bCs/>
        </w:rPr>
        <w:t>H</w:t>
      </w:r>
      <w:r w:rsidR="002C3A9B" w:rsidRPr="00D25EC4">
        <w:rPr>
          <w:b/>
          <w:bCs/>
        </w:rPr>
        <w:t xml:space="preserve">orizontal and </w:t>
      </w:r>
      <w:r w:rsidR="00204A09" w:rsidRPr="00D25EC4">
        <w:rPr>
          <w:b/>
          <w:bCs/>
        </w:rPr>
        <w:br/>
      </w:r>
      <w:r w:rsidR="00A76147">
        <w:rPr>
          <w:b/>
          <w:bCs/>
        </w:rPr>
        <w:t>C</w:t>
      </w:r>
      <w:r w:rsidR="002C3A9B" w:rsidRPr="00D25EC4">
        <w:rPr>
          <w:b/>
          <w:bCs/>
        </w:rPr>
        <w:t>ross-</w:t>
      </w:r>
      <w:r w:rsidR="00A76147">
        <w:rPr>
          <w:b/>
          <w:bCs/>
        </w:rPr>
        <w:t>S</w:t>
      </w:r>
      <w:r w:rsidR="002C3A9B" w:rsidRPr="00D25EC4">
        <w:rPr>
          <w:b/>
          <w:bCs/>
        </w:rPr>
        <w:t xml:space="preserve">ectoral </w:t>
      </w:r>
      <w:r w:rsidR="00A76147">
        <w:rPr>
          <w:b/>
          <w:bCs/>
        </w:rPr>
        <w:t>P</w:t>
      </w:r>
      <w:r w:rsidR="002C3A9B" w:rsidRPr="00D25EC4">
        <w:rPr>
          <w:b/>
          <w:bCs/>
        </w:rPr>
        <w:t xml:space="preserve">olicy or </w:t>
      </w:r>
      <w:r w:rsidR="00A76147">
        <w:rPr>
          <w:b/>
          <w:bCs/>
        </w:rPr>
        <w:t>R</w:t>
      </w:r>
      <w:r w:rsidR="002C3A9B" w:rsidRPr="00D25EC4">
        <w:rPr>
          <w:b/>
          <w:bCs/>
        </w:rPr>
        <w:t xml:space="preserve">egulatory </w:t>
      </w:r>
      <w:r w:rsidR="00A76147">
        <w:rPr>
          <w:b/>
          <w:bCs/>
        </w:rPr>
        <w:t>N</w:t>
      </w:r>
      <w:r w:rsidR="002C3A9B" w:rsidRPr="00D25EC4">
        <w:rPr>
          <w:b/>
          <w:bCs/>
        </w:rPr>
        <w:t>ature</w:t>
      </w:r>
      <w:r w:rsidRPr="00D25EC4">
        <w:rPr>
          <w:b/>
          <w:bCs/>
        </w:rPr>
        <w:t>:</w:t>
      </w:r>
      <w:r w:rsidRPr="00D25EC4">
        <w:rPr>
          <w:b/>
          <w:bCs/>
        </w:rPr>
        <w:br/>
      </w:r>
      <w:r w:rsidR="00A76147">
        <w:rPr>
          <w:b/>
          <w:bCs/>
        </w:rPr>
        <w:t>H</w:t>
      </w:r>
      <w:r w:rsidRPr="00D25EC4">
        <w:rPr>
          <w:b/>
          <w:bCs/>
        </w:rPr>
        <w:t xml:space="preserve">armonization of </w:t>
      </w:r>
      <w:r w:rsidR="00A76147">
        <w:rPr>
          <w:b/>
          <w:bCs/>
        </w:rPr>
        <w:t>V</w:t>
      </w:r>
      <w:r w:rsidRPr="00D25EC4">
        <w:rPr>
          <w:b/>
          <w:bCs/>
        </w:rPr>
        <w:t xml:space="preserve">ehicle </w:t>
      </w:r>
      <w:r w:rsidR="00A76147">
        <w:rPr>
          <w:b/>
          <w:bCs/>
        </w:rPr>
        <w:t>R</w:t>
      </w:r>
      <w:r w:rsidRPr="00D25EC4">
        <w:rPr>
          <w:b/>
          <w:bCs/>
        </w:rPr>
        <w:t>egulations</w:t>
      </w:r>
    </w:p>
    <w:p w14:paraId="79287AB1" w14:textId="344FB9DB" w:rsidR="00F91B03" w:rsidRPr="00B65EA0" w:rsidRDefault="00F91B03" w:rsidP="00204A09">
      <w:pPr>
        <w:pStyle w:val="HChG"/>
      </w:pPr>
      <w:r w:rsidRPr="00B65EA0">
        <w:tab/>
      </w:r>
      <w:r w:rsidRPr="00B65EA0">
        <w:tab/>
      </w:r>
      <w:r w:rsidR="00BE56AE" w:rsidRPr="00B65EA0">
        <w:t xml:space="preserve">The </w:t>
      </w:r>
      <w:r w:rsidR="006A0FBE">
        <w:t>l</w:t>
      </w:r>
      <w:r w:rsidRPr="00713203">
        <w:t xml:space="preserve">atest </w:t>
      </w:r>
      <w:r w:rsidR="006A0FBE">
        <w:t>d</w:t>
      </w:r>
      <w:r w:rsidR="00BE56AE" w:rsidRPr="00713203">
        <w:t xml:space="preserve">evelopments </w:t>
      </w:r>
      <w:r w:rsidRPr="00713203">
        <w:t>in Vehicle Regulations</w:t>
      </w:r>
    </w:p>
    <w:p w14:paraId="20F7C579" w14:textId="2E61DB83" w:rsidR="00F91B03" w:rsidRPr="00713203" w:rsidRDefault="00F91B03" w:rsidP="00204A09">
      <w:pPr>
        <w:pStyle w:val="H1G"/>
      </w:pPr>
      <w:r w:rsidRPr="00713203">
        <w:tab/>
      </w:r>
      <w:r w:rsidRPr="00713203">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F91B03" w:rsidRPr="00D25EC4" w14:paraId="56A996CD" w14:textId="77777777" w:rsidTr="21FF00CF">
        <w:trPr>
          <w:trHeight w:val="481"/>
          <w:jc w:val="center"/>
        </w:trPr>
        <w:tc>
          <w:tcPr>
            <w:tcW w:w="9629" w:type="dxa"/>
            <w:shd w:val="clear" w:color="auto" w:fill="auto"/>
          </w:tcPr>
          <w:p w14:paraId="5C5F7F75" w14:textId="77777777" w:rsidR="00F91B03" w:rsidRPr="00595F40" w:rsidRDefault="00F91B03" w:rsidP="000B7022">
            <w:pPr>
              <w:spacing w:before="240" w:after="120"/>
              <w:ind w:left="255"/>
              <w:rPr>
                <w:rFonts w:eastAsia="Times New Roman Bold"/>
                <w:i/>
                <w:sz w:val="24"/>
              </w:rPr>
            </w:pPr>
            <w:r w:rsidRPr="002E3E82">
              <w:rPr>
                <w:rFonts w:eastAsia="Times New Roman Bold"/>
                <w:i/>
                <w:sz w:val="24"/>
              </w:rPr>
              <w:t>Summary</w:t>
            </w:r>
          </w:p>
        </w:tc>
      </w:tr>
      <w:tr w:rsidR="00F91B03" w:rsidRPr="00D25EC4" w14:paraId="1B1E977F" w14:textId="77777777" w:rsidTr="21FF00CF">
        <w:trPr>
          <w:jc w:val="center"/>
        </w:trPr>
        <w:tc>
          <w:tcPr>
            <w:tcW w:w="9629" w:type="dxa"/>
            <w:shd w:val="clear" w:color="auto" w:fill="auto"/>
          </w:tcPr>
          <w:p w14:paraId="430B1482" w14:textId="69C346DC" w:rsidR="00F91B03" w:rsidRPr="00D25EC4" w:rsidRDefault="00F91B03" w:rsidP="000B7022">
            <w:pPr>
              <w:spacing w:after="120"/>
              <w:ind w:left="1134" w:right="1134"/>
              <w:jc w:val="both"/>
            </w:pPr>
            <w:r w:rsidRPr="00D25EC4">
              <w:tab/>
              <w:t xml:space="preserve">The work in the World Forum for Harmonization of Vehicle Regulations (WP.29) continued to strengthen </w:t>
            </w:r>
            <w:r w:rsidR="00BE56AE" w:rsidRPr="00D25EC4">
              <w:t xml:space="preserve">the areas of </w:t>
            </w:r>
            <w:r w:rsidRPr="00D25EC4">
              <w:t xml:space="preserve">vehicle safety and environmental protection, resulting in numerous new and amended vehicle regulations and rules under the 1958, 1997 and the 1998 Agreements. </w:t>
            </w:r>
          </w:p>
        </w:tc>
      </w:tr>
      <w:tr w:rsidR="00F91B03" w:rsidRPr="00D25EC4" w14:paraId="34C49885" w14:textId="77777777" w:rsidTr="21FF00CF">
        <w:trPr>
          <w:jc w:val="center"/>
        </w:trPr>
        <w:tc>
          <w:tcPr>
            <w:tcW w:w="9629" w:type="dxa"/>
            <w:shd w:val="clear" w:color="auto" w:fill="auto"/>
          </w:tcPr>
          <w:p w14:paraId="7FA6958F" w14:textId="276FD6BF" w:rsidR="00F91B03" w:rsidRPr="00D25EC4" w:rsidRDefault="00F91B03" w:rsidP="000B7022">
            <w:pPr>
              <w:spacing w:after="120"/>
              <w:ind w:left="1134" w:right="1134"/>
              <w:jc w:val="both"/>
              <w:rPr>
                <w:rFonts w:eastAsia="Times New Roman Bold"/>
                <w:spacing w:val="-2"/>
              </w:rPr>
            </w:pPr>
            <w:r w:rsidRPr="00D25EC4">
              <w:tab/>
            </w:r>
            <w:r w:rsidRPr="00D25EC4">
              <w:rPr>
                <w:spacing w:val="-2"/>
              </w:rPr>
              <w:t>I</w:t>
            </w:r>
            <w:r w:rsidRPr="00D25EC4">
              <w:rPr>
                <w:rFonts w:eastAsia="Calibri"/>
                <w:spacing w:val="-2"/>
                <w:u w:color="000000"/>
              </w:rPr>
              <w:t xml:space="preserve">mportant topics </w:t>
            </w:r>
            <w:r w:rsidR="000103B8" w:rsidRPr="00D25EC4">
              <w:rPr>
                <w:rFonts w:eastAsia="Calibri"/>
                <w:spacing w:val="-2"/>
                <w:u w:color="000000"/>
              </w:rPr>
              <w:t>in 202</w:t>
            </w:r>
            <w:r w:rsidR="005A5BBB" w:rsidRPr="00D25EC4">
              <w:rPr>
                <w:rFonts w:eastAsia="Calibri"/>
                <w:spacing w:val="-2"/>
                <w:u w:color="000000"/>
              </w:rPr>
              <w:t>2</w:t>
            </w:r>
            <w:r w:rsidR="000103B8" w:rsidRPr="00D25EC4">
              <w:rPr>
                <w:rFonts w:eastAsia="Calibri"/>
                <w:spacing w:val="-2"/>
                <w:u w:color="000000"/>
              </w:rPr>
              <w:t xml:space="preserve"> </w:t>
            </w:r>
            <w:r w:rsidRPr="00D25EC4">
              <w:rPr>
                <w:rFonts w:eastAsia="Calibri"/>
                <w:spacing w:val="-2"/>
                <w:u w:color="000000"/>
              </w:rPr>
              <w:t xml:space="preserve">were the establishment </w:t>
            </w:r>
            <w:r w:rsidRPr="00D25EC4">
              <w:t xml:space="preserve">of a set of UN Regulations </w:t>
            </w:r>
            <w:r w:rsidR="00D626CE" w:rsidRPr="00D25EC4">
              <w:t>for better protection of vulnerable road users</w:t>
            </w:r>
            <w:r w:rsidR="00A0363E" w:rsidRPr="00D25EC4">
              <w:t xml:space="preserve">, </w:t>
            </w:r>
            <w:r w:rsidR="000103B8" w:rsidRPr="00D25EC4">
              <w:t>UN Regulation No. 160 (</w:t>
            </w:r>
            <w:r w:rsidR="00A0363E" w:rsidRPr="00D25EC4">
              <w:t>Event Data Recorder</w:t>
            </w:r>
            <w:r w:rsidR="000103B8" w:rsidRPr="00D25EC4">
              <w:t>)</w:t>
            </w:r>
            <w:r w:rsidR="00A0363E" w:rsidRPr="00D25EC4">
              <w:t xml:space="preserve"> for better </w:t>
            </w:r>
            <w:r w:rsidR="00E70EE1" w:rsidRPr="00D25EC4">
              <w:t>in-depth</w:t>
            </w:r>
            <w:r w:rsidR="00A0363E" w:rsidRPr="00D25EC4">
              <w:t xml:space="preserve"> accident analysis, a set of UN Regulations for better anti-theft provisions</w:t>
            </w:r>
            <w:r w:rsidR="00B5742E" w:rsidRPr="00D25EC4">
              <w:t xml:space="preserve"> attached to the 1958 Agreement</w:t>
            </w:r>
            <w:r w:rsidRPr="00D25EC4">
              <w:rPr>
                <w:rFonts w:eastAsia="Calibri"/>
                <w:spacing w:val="-2"/>
                <w:u w:color="000000"/>
              </w:rPr>
              <w:t>,</w:t>
            </w:r>
            <w:r w:rsidRPr="00D25EC4">
              <w:rPr>
                <w:spacing w:val="-2"/>
              </w:rPr>
              <w:t xml:space="preserve"> </w:t>
            </w:r>
            <w:proofErr w:type="gramStart"/>
            <w:r w:rsidRPr="00D25EC4">
              <w:rPr>
                <w:spacing w:val="-2"/>
              </w:rPr>
              <w:t>implementation</w:t>
            </w:r>
            <w:proofErr w:type="gramEnd"/>
            <w:r w:rsidRPr="00D25EC4">
              <w:rPr>
                <w:spacing w:val="-2"/>
              </w:rPr>
              <w:t xml:space="preserve"> and further development of the 1998 Agreement and Periodic Technical Inspections (PTI) under the 1997 Agreement</w:t>
            </w:r>
            <w:r w:rsidR="00A0363E" w:rsidRPr="00D25EC4">
              <w:rPr>
                <w:spacing w:val="-2"/>
              </w:rPr>
              <w:t xml:space="preserve"> with </w:t>
            </w:r>
            <w:r w:rsidR="000103B8" w:rsidRPr="00D25EC4">
              <w:rPr>
                <w:spacing w:val="-2"/>
              </w:rPr>
              <w:t xml:space="preserve">the drafting of </w:t>
            </w:r>
            <w:r w:rsidR="00E70EE1" w:rsidRPr="00D25EC4">
              <w:rPr>
                <w:spacing w:val="-2"/>
              </w:rPr>
              <w:t>a</w:t>
            </w:r>
            <w:r w:rsidR="000103B8" w:rsidRPr="00D25EC4">
              <w:rPr>
                <w:spacing w:val="-2"/>
              </w:rPr>
              <w:t xml:space="preserve"> </w:t>
            </w:r>
            <w:r w:rsidR="00A0363E" w:rsidRPr="00D25EC4">
              <w:rPr>
                <w:spacing w:val="-2"/>
              </w:rPr>
              <w:t>holistic framework on vehicle whole-life compliance</w:t>
            </w:r>
            <w:r w:rsidRPr="00D25EC4">
              <w:rPr>
                <w:rFonts w:eastAsia="Calibri"/>
                <w:spacing w:val="-2"/>
                <w:u w:color="000000"/>
              </w:rPr>
              <w:t>.</w:t>
            </w:r>
          </w:p>
        </w:tc>
      </w:tr>
      <w:tr w:rsidR="00F91B03" w:rsidRPr="00D25EC4" w14:paraId="4B5371D4" w14:textId="77777777" w:rsidTr="21FF00CF">
        <w:trPr>
          <w:jc w:val="center"/>
        </w:trPr>
        <w:tc>
          <w:tcPr>
            <w:tcW w:w="9629" w:type="dxa"/>
            <w:shd w:val="clear" w:color="auto" w:fill="auto"/>
          </w:tcPr>
          <w:p w14:paraId="751BECAC" w14:textId="544460D0" w:rsidR="00F91B03" w:rsidRPr="00D25EC4" w:rsidRDefault="00F91B03" w:rsidP="000B7022">
            <w:pPr>
              <w:spacing w:after="120"/>
              <w:ind w:left="1134" w:right="1134"/>
              <w:jc w:val="both"/>
              <w:rPr>
                <w:rFonts w:eastAsia="Times New Roman Bold"/>
              </w:rPr>
            </w:pPr>
            <w:r w:rsidRPr="00D25EC4">
              <w:rPr>
                <w:rFonts w:eastAsia="Calibri"/>
                <w:b/>
                <w:u w:color="000000"/>
              </w:rPr>
              <w:tab/>
            </w:r>
            <w:r w:rsidRPr="00D25EC4">
              <w:rPr>
                <w:rFonts w:eastAsia="Calibri"/>
                <w:u w:color="000000"/>
              </w:rPr>
              <w:t>The Inland Transport Committee</w:t>
            </w:r>
            <w:r w:rsidRPr="00D25EC4">
              <w:rPr>
                <w:rFonts w:eastAsia="Calibri"/>
                <w:b/>
                <w:u w:color="000000"/>
              </w:rPr>
              <w:t xml:space="preserve"> </w:t>
            </w:r>
            <w:r w:rsidRPr="00D25EC4">
              <w:rPr>
                <w:rFonts w:eastAsia="Calibri"/>
                <w:u w:color="000000"/>
              </w:rPr>
              <w:t>(ITC)</w:t>
            </w:r>
            <w:r w:rsidRPr="00D25EC4">
              <w:rPr>
                <w:rFonts w:eastAsia="Calibri"/>
                <w:b/>
                <w:u w:color="000000"/>
              </w:rPr>
              <w:t xml:space="preserve"> is invited</w:t>
            </w:r>
            <w:r w:rsidRPr="00D25EC4">
              <w:rPr>
                <w:rFonts w:eastAsia="Calibri"/>
                <w:u w:color="000000"/>
              </w:rPr>
              <w:t xml:space="preserve"> to: </w:t>
            </w:r>
          </w:p>
        </w:tc>
      </w:tr>
      <w:tr w:rsidR="00F91B03" w:rsidRPr="00D25EC4" w14:paraId="2754C768" w14:textId="77777777" w:rsidTr="21FF00CF">
        <w:trPr>
          <w:jc w:val="center"/>
        </w:trPr>
        <w:tc>
          <w:tcPr>
            <w:tcW w:w="9629" w:type="dxa"/>
            <w:shd w:val="clear" w:color="auto" w:fill="auto"/>
          </w:tcPr>
          <w:p w14:paraId="5B42A8DB" w14:textId="5B900793" w:rsidR="00F91B03" w:rsidRPr="00D25EC4" w:rsidRDefault="00174EEB" w:rsidP="00174EEB">
            <w:pPr>
              <w:pStyle w:val="Bullet1G"/>
              <w:numPr>
                <w:ilvl w:val="0"/>
                <w:numId w:val="0"/>
              </w:numPr>
              <w:tabs>
                <w:tab w:val="left" w:pos="1701"/>
              </w:tabs>
              <w:ind w:left="1701" w:hanging="170"/>
              <w:rPr>
                <w:rFonts w:eastAsia="Calibri"/>
                <w:b/>
                <w:u w:color="000000"/>
              </w:rPr>
            </w:pPr>
            <w:r w:rsidRPr="00D25EC4">
              <w:rPr>
                <w:rFonts w:eastAsia="Calibri"/>
                <w:u w:color="000000"/>
              </w:rPr>
              <w:t>•</w:t>
            </w:r>
            <w:r w:rsidRPr="00D25EC4">
              <w:rPr>
                <w:rFonts w:eastAsia="Calibri"/>
                <w:u w:color="000000"/>
              </w:rPr>
              <w:tab/>
            </w:r>
            <w:r w:rsidR="00F91B03" w:rsidRPr="00D25EC4">
              <w:rPr>
                <w:rFonts w:eastAsia="Calibri"/>
                <w:b/>
                <w:u w:color="000000"/>
              </w:rPr>
              <w:t>Endorse</w:t>
            </w:r>
            <w:r w:rsidR="00F91B03" w:rsidRPr="00D25EC4">
              <w:rPr>
                <w:rFonts w:eastAsia="Calibri"/>
                <w:u w:color="000000"/>
              </w:rPr>
              <w:t xml:space="preserve"> the activities listed in this document </w:t>
            </w:r>
          </w:p>
        </w:tc>
      </w:tr>
      <w:tr w:rsidR="00F91B03" w:rsidRPr="00D25EC4" w14:paraId="1A5226C5" w14:textId="77777777" w:rsidTr="21FF00CF">
        <w:trPr>
          <w:jc w:val="center"/>
        </w:trPr>
        <w:tc>
          <w:tcPr>
            <w:tcW w:w="9629" w:type="dxa"/>
            <w:shd w:val="clear" w:color="auto" w:fill="auto"/>
          </w:tcPr>
          <w:p w14:paraId="7A729F31" w14:textId="4463F774" w:rsidR="00F91B03" w:rsidRPr="00713203" w:rsidRDefault="00174EEB" w:rsidP="00174EEB">
            <w:pPr>
              <w:pStyle w:val="Bullet1G"/>
              <w:numPr>
                <w:ilvl w:val="0"/>
                <w:numId w:val="0"/>
              </w:numPr>
              <w:tabs>
                <w:tab w:val="left" w:pos="1701"/>
              </w:tabs>
              <w:ind w:left="1701" w:hanging="170"/>
              <w:rPr>
                <w:rFonts w:eastAsia="Calibri"/>
                <w:b/>
                <w:u w:color="000000"/>
              </w:rPr>
            </w:pPr>
            <w:r w:rsidRPr="00D25EC4">
              <w:rPr>
                <w:rFonts w:eastAsia="Calibri"/>
                <w:u w:color="000000"/>
              </w:rPr>
              <w:t>•</w:t>
            </w:r>
            <w:r w:rsidRPr="00D25EC4">
              <w:rPr>
                <w:rFonts w:eastAsia="Calibri"/>
                <w:u w:color="000000"/>
              </w:rPr>
              <w:tab/>
            </w:r>
            <w:r w:rsidR="00F91B03" w:rsidRPr="00D25EC4">
              <w:rPr>
                <w:rFonts w:eastAsia="Calibri"/>
                <w:b/>
                <w:u w:color="000000"/>
              </w:rPr>
              <w:t xml:space="preserve">Welcome </w:t>
            </w:r>
            <w:r w:rsidR="00F91B03" w:rsidRPr="00D25EC4">
              <w:rPr>
                <w:rFonts w:eastAsia="Calibri"/>
                <w:bCs/>
                <w:u w:color="000000"/>
              </w:rPr>
              <w:t xml:space="preserve">the establishment of </w:t>
            </w:r>
            <w:r w:rsidR="00D626CE" w:rsidRPr="00D25EC4">
              <w:t>a</w:t>
            </w:r>
            <w:r w:rsidR="00F91B03" w:rsidRPr="00D25EC4">
              <w:t xml:space="preserve"> set of UN Regulations </w:t>
            </w:r>
            <w:r w:rsidR="00D626CE" w:rsidRPr="00D25EC4">
              <w:t>for better protection of vulnerable road users</w:t>
            </w:r>
            <w:r w:rsidR="00E871CB" w:rsidRPr="00D25EC4">
              <w:t xml:space="preserve">, for </w:t>
            </w:r>
            <w:r w:rsidR="00074C0E" w:rsidRPr="00D25EC4">
              <w:t>vehicle automation</w:t>
            </w:r>
            <w:r w:rsidR="000103B8" w:rsidRPr="00D25EC4">
              <w:t xml:space="preserve"> </w:t>
            </w:r>
            <w:r w:rsidR="00E871CB" w:rsidRPr="00D25EC4">
              <w:t xml:space="preserve">and </w:t>
            </w:r>
            <w:r w:rsidR="00074C0E" w:rsidRPr="00D25EC4">
              <w:t>its engagement in the development of Life Cycle Assessment</w:t>
            </w:r>
            <w:r w:rsidR="00BE56AE" w:rsidRPr="00D25EC4">
              <w:t xml:space="preserve"> (</w:t>
            </w:r>
            <w:r w:rsidR="00074C0E" w:rsidRPr="00D25EC4">
              <w:t>LCA</w:t>
            </w:r>
            <w:r w:rsidR="00BE56AE" w:rsidRPr="00D25EC4">
              <w:t>)</w:t>
            </w:r>
            <w:r w:rsidR="00074C0E" w:rsidRPr="00D25EC4">
              <w:t xml:space="preserve"> of energy consumption and carbon emissions with focus on electric powered vehicles</w:t>
            </w:r>
          </w:p>
        </w:tc>
      </w:tr>
      <w:tr w:rsidR="00F91B03" w:rsidRPr="00D25EC4" w14:paraId="6A296E7E" w14:textId="77777777" w:rsidTr="21FF00CF">
        <w:trPr>
          <w:jc w:val="center"/>
        </w:trPr>
        <w:tc>
          <w:tcPr>
            <w:tcW w:w="9629" w:type="dxa"/>
            <w:shd w:val="clear" w:color="auto" w:fill="auto"/>
          </w:tcPr>
          <w:p w14:paraId="5CA612BB" w14:textId="13624ED0" w:rsidR="00F91B03" w:rsidRPr="00713203" w:rsidRDefault="00174EEB" w:rsidP="004A530C">
            <w:pPr>
              <w:spacing w:after="120"/>
              <w:ind w:left="1696" w:right="1128" w:hanging="142"/>
              <w:rPr>
                <w:rFonts w:eastAsia="Calibri"/>
                <w:b/>
                <w:u w:color="000000"/>
              </w:rPr>
            </w:pPr>
            <w:r w:rsidRPr="00D25EC4">
              <w:rPr>
                <w:rFonts w:eastAsia="Calibri"/>
                <w:u w:color="000000"/>
              </w:rPr>
              <w:t>•</w:t>
            </w:r>
            <w:r w:rsidRPr="00D25EC4">
              <w:rPr>
                <w:rFonts w:eastAsia="Calibri"/>
                <w:u w:color="000000"/>
              </w:rPr>
              <w:tab/>
            </w:r>
            <w:r w:rsidR="00F91B03" w:rsidRPr="00D25EC4">
              <w:rPr>
                <w:rStyle w:val="SingleTxtGChar"/>
                <w:rFonts w:eastAsia="Calibri"/>
                <w:b/>
                <w:bCs/>
              </w:rPr>
              <w:t>Note</w:t>
            </w:r>
            <w:r w:rsidR="00F91B03" w:rsidRPr="00D25EC4">
              <w:rPr>
                <w:rStyle w:val="SingleTxtGChar"/>
                <w:rFonts w:eastAsia="Calibri"/>
              </w:rPr>
              <w:t xml:space="preserve"> the limitation of the </w:t>
            </w:r>
            <w:r w:rsidR="00E56255" w:rsidRPr="00D25EC4">
              <w:rPr>
                <w:rStyle w:val="SingleTxtGChar"/>
                <w:rFonts w:eastAsia="Calibri"/>
              </w:rPr>
              <w:t>session</w:t>
            </w:r>
            <w:r w:rsidR="000103B8" w:rsidRPr="00D25EC4">
              <w:rPr>
                <w:rStyle w:val="SingleTxtGChar"/>
                <w:rFonts w:eastAsia="Calibri"/>
              </w:rPr>
              <w:t>s</w:t>
            </w:r>
            <w:r w:rsidR="00E56255" w:rsidRPr="00D25EC4">
              <w:rPr>
                <w:rStyle w:val="SingleTxtGChar"/>
                <w:rFonts w:eastAsia="Calibri"/>
              </w:rPr>
              <w:t xml:space="preserve"> of </w:t>
            </w:r>
            <w:r w:rsidR="00F91B03" w:rsidRPr="00D25EC4">
              <w:rPr>
                <w:rStyle w:val="SingleTxtGChar"/>
                <w:rFonts w:eastAsia="Calibri"/>
              </w:rPr>
              <w:t xml:space="preserve">WP.29 and </w:t>
            </w:r>
            <w:r w:rsidR="00E56255" w:rsidRPr="00D25EC4">
              <w:rPr>
                <w:rStyle w:val="SingleTxtGChar"/>
                <w:rFonts w:eastAsia="Calibri"/>
              </w:rPr>
              <w:t xml:space="preserve">its subsidiaries </w:t>
            </w:r>
            <w:r w:rsidR="00F91B03" w:rsidRPr="00D25EC4">
              <w:rPr>
                <w:rStyle w:val="SingleTxtGChar"/>
                <w:rFonts w:eastAsia="Calibri"/>
              </w:rPr>
              <w:t xml:space="preserve">as </w:t>
            </w:r>
            <w:r w:rsidR="00BE56AE" w:rsidRPr="00D25EC4">
              <w:rPr>
                <w:rStyle w:val="SingleTxtGChar"/>
                <w:rFonts w:eastAsia="Calibri"/>
              </w:rPr>
              <w:t xml:space="preserve">a </w:t>
            </w:r>
            <w:r w:rsidR="00F91B03" w:rsidRPr="00D25EC4">
              <w:rPr>
                <w:rStyle w:val="SingleTxtGChar"/>
                <w:rFonts w:eastAsia="Calibri"/>
              </w:rPr>
              <w:t xml:space="preserve">reaction on the COVID-19 impact and </w:t>
            </w:r>
            <w:r w:rsidR="00074C0E" w:rsidRPr="00D25EC4">
              <w:rPr>
                <w:rStyle w:val="SingleTxtGChar"/>
                <w:b/>
                <w:bCs/>
              </w:rPr>
              <w:t>support</w:t>
            </w:r>
            <w:r w:rsidR="00074C0E" w:rsidRPr="00D25EC4">
              <w:rPr>
                <w:rStyle w:val="SingleTxtGChar"/>
              </w:rPr>
              <w:t xml:space="preserve"> that WP.29 had urged the </w:t>
            </w:r>
            <w:r w:rsidR="00735195">
              <w:rPr>
                <w:rStyle w:val="SingleTxtGChar"/>
              </w:rPr>
              <w:t>m</w:t>
            </w:r>
            <w:r w:rsidR="00074C0E" w:rsidRPr="00D25EC4">
              <w:rPr>
                <w:rStyle w:val="SingleTxtGChar"/>
              </w:rPr>
              <w:t xml:space="preserve">ember </w:t>
            </w:r>
            <w:r w:rsidR="00074C0E" w:rsidRPr="00B65EA0">
              <w:rPr>
                <w:rStyle w:val="SingleTxtGChar"/>
              </w:rPr>
              <w:t xml:space="preserve">States to request that </w:t>
            </w:r>
            <w:r w:rsidR="00B65EA0">
              <w:rPr>
                <w:rStyle w:val="SingleTxtGChar"/>
              </w:rPr>
              <w:t xml:space="preserve">an </w:t>
            </w:r>
            <w:r w:rsidR="00074C0E" w:rsidRPr="00B65EA0">
              <w:rPr>
                <w:rStyle w:val="SingleTxtGChar"/>
              </w:rPr>
              <w:t xml:space="preserve">adequate budget be made available for the continuation of full interpretation services for hybrid meetings, to continue giving delegations from low- and middle-income countries the possibility to participate either in person or remotely in WP.29. The full continuation of hybrid meetings is consistent with the global push to reduce carbon emissions as evidenced by the Conference of Parties, COP27 meeting held in Egypt. Delegations were invited to communicate these elements to their capitals as well as </w:t>
            </w:r>
            <w:r w:rsidR="003E78AF">
              <w:rPr>
                <w:rStyle w:val="SingleTxtGChar"/>
              </w:rPr>
              <w:t>to the Permanent Missions</w:t>
            </w:r>
            <w:r w:rsidR="00074C0E" w:rsidRPr="00B65EA0">
              <w:rPr>
                <w:rStyle w:val="SingleTxtGChar"/>
              </w:rPr>
              <w:t xml:space="preserve"> to the U</w:t>
            </w:r>
            <w:r w:rsidR="00713203">
              <w:rPr>
                <w:rStyle w:val="SingleTxtGChar"/>
              </w:rPr>
              <w:t xml:space="preserve">nited </w:t>
            </w:r>
            <w:r w:rsidR="00074C0E" w:rsidRPr="00B65EA0">
              <w:rPr>
                <w:rStyle w:val="SingleTxtGChar"/>
              </w:rPr>
              <w:t>N</w:t>
            </w:r>
            <w:r w:rsidR="00713203">
              <w:rPr>
                <w:rStyle w:val="SingleTxtGChar"/>
              </w:rPr>
              <w:t>ations</w:t>
            </w:r>
            <w:r w:rsidR="00074C0E" w:rsidRPr="00B65EA0">
              <w:rPr>
                <w:rStyle w:val="SingleTxtGChar"/>
              </w:rPr>
              <w:t xml:space="preserve"> in Geneva and New York.</w:t>
            </w:r>
          </w:p>
        </w:tc>
      </w:tr>
      <w:tr w:rsidR="00074C0E" w:rsidRPr="00D25EC4" w14:paraId="5851F7E8" w14:textId="77777777" w:rsidTr="21FF00CF">
        <w:trPr>
          <w:jc w:val="center"/>
        </w:trPr>
        <w:tc>
          <w:tcPr>
            <w:tcW w:w="9629" w:type="dxa"/>
            <w:shd w:val="clear" w:color="auto" w:fill="auto"/>
          </w:tcPr>
          <w:p w14:paraId="66A162A3" w14:textId="3D763377" w:rsidR="00074C0E" w:rsidRPr="00713203" w:rsidRDefault="00074C0E" w:rsidP="00074C0E">
            <w:pPr>
              <w:pStyle w:val="Bullet1G"/>
              <w:numPr>
                <w:ilvl w:val="0"/>
                <w:numId w:val="29"/>
              </w:numPr>
              <w:tabs>
                <w:tab w:val="left" w:pos="1701"/>
              </w:tabs>
              <w:ind w:left="1692" w:hanging="218"/>
              <w:rPr>
                <w:rFonts w:eastAsia="Calibri"/>
                <w:u w:color="000000"/>
              </w:rPr>
            </w:pPr>
            <w:r w:rsidRPr="00D25EC4">
              <w:rPr>
                <w:rFonts w:eastAsia="Calibri"/>
                <w:b/>
                <w:bCs/>
                <w:u w:color="000000"/>
              </w:rPr>
              <w:lastRenderedPageBreak/>
              <w:t xml:space="preserve">Note </w:t>
            </w:r>
            <w:r w:rsidRPr="00D25EC4">
              <w:rPr>
                <w:rFonts w:eastAsia="Calibri"/>
                <w:u w:color="000000"/>
              </w:rPr>
              <w:t>the desire of the Working Party on Automated/Autonomous and Connected Vehicles</w:t>
            </w:r>
            <w:r w:rsidR="00713203">
              <w:rPr>
                <w:rFonts w:eastAsia="Calibri"/>
                <w:u w:color="000000"/>
              </w:rPr>
              <w:t xml:space="preserve"> (</w:t>
            </w:r>
            <w:r w:rsidRPr="00713203">
              <w:rPr>
                <w:rFonts w:eastAsia="Calibri"/>
                <w:u w:color="000000"/>
              </w:rPr>
              <w:t>GRVA</w:t>
            </w:r>
            <w:r w:rsidR="00713203">
              <w:rPr>
                <w:rFonts w:eastAsia="Calibri"/>
                <w:u w:color="000000"/>
              </w:rPr>
              <w:t>)</w:t>
            </w:r>
            <w:r w:rsidRPr="00713203">
              <w:rPr>
                <w:rFonts w:eastAsia="Calibri"/>
                <w:u w:color="000000"/>
              </w:rPr>
              <w:t xml:space="preserve"> to hold one of its annual sessions outside Geneva.</w:t>
            </w:r>
          </w:p>
        </w:tc>
      </w:tr>
      <w:tr w:rsidR="00F91B03" w:rsidRPr="00D25EC4" w14:paraId="2F7DD673" w14:textId="77777777" w:rsidTr="21FF00CF">
        <w:trPr>
          <w:jc w:val="center"/>
        </w:trPr>
        <w:tc>
          <w:tcPr>
            <w:tcW w:w="9629" w:type="dxa"/>
            <w:shd w:val="clear" w:color="auto" w:fill="auto"/>
          </w:tcPr>
          <w:p w14:paraId="5280BA74" w14:textId="1E873B61" w:rsidR="00F91B03" w:rsidRPr="00D25EC4" w:rsidRDefault="00174EEB" w:rsidP="00174EEB">
            <w:pPr>
              <w:pStyle w:val="Bullet1G"/>
              <w:numPr>
                <w:ilvl w:val="0"/>
                <w:numId w:val="0"/>
              </w:numPr>
              <w:tabs>
                <w:tab w:val="left" w:pos="1701"/>
              </w:tabs>
              <w:ind w:left="1701" w:hanging="170"/>
              <w:rPr>
                <w:rFonts w:eastAsia="Calibri"/>
                <w:b/>
                <w:u w:color="000000"/>
              </w:rPr>
            </w:pPr>
            <w:r w:rsidRPr="00D25EC4">
              <w:rPr>
                <w:rFonts w:eastAsia="Calibri"/>
                <w:u w:color="000000"/>
              </w:rPr>
              <w:t>•</w:t>
            </w:r>
            <w:r w:rsidRPr="00D25EC4">
              <w:rPr>
                <w:rFonts w:eastAsia="Calibri"/>
                <w:u w:color="000000"/>
              </w:rPr>
              <w:tab/>
            </w:r>
            <w:r w:rsidR="00F91B03" w:rsidRPr="00D25EC4">
              <w:rPr>
                <w:rFonts w:eastAsia="Calibri"/>
                <w:b/>
                <w:u w:color="000000"/>
              </w:rPr>
              <w:t xml:space="preserve">Thank </w:t>
            </w:r>
            <w:r w:rsidR="00F91B03" w:rsidRPr="00D25EC4">
              <w:rPr>
                <w:rFonts w:eastAsia="Calibri"/>
                <w:bCs/>
                <w:u w:color="000000"/>
              </w:rPr>
              <w:t>Germany</w:t>
            </w:r>
            <w:r w:rsidR="00F91B03" w:rsidRPr="00D25EC4">
              <w:rPr>
                <w:rFonts w:eastAsia="Calibri"/>
                <w:b/>
                <w:u w:color="000000"/>
              </w:rPr>
              <w:t xml:space="preserve"> </w:t>
            </w:r>
            <w:r w:rsidR="00F91B03" w:rsidRPr="00D25EC4">
              <w:rPr>
                <w:rFonts w:eastAsia="Calibri"/>
                <w:bCs/>
                <w:u w:color="000000"/>
              </w:rPr>
              <w:t>for</w:t>
            </w:r>
            <w:r w:rsidR="00F91B03" w:rsidRPr="00D25EC4">
              <w:rPr>
                <w:rFonts w:eastAsia="Calibri"/>
                <w:b/>
                <w:u w:color="000000"/>
              </w:rPr>
              <w:t xml:space="preserve"> </w:t>
            </w:r>
            <w:r w:rsidR="00F91B03" w:rsidRPr="00D25EC4">
              <w:rPr>
                <w:rFonts w:eastAsia="Calibri"/>
                <w:bCs/>
                <w:u w:color="000000"/>
              </w:rPr>
              <w:t xml:space="preserve">the </w:t>
            </w:r>
            <w:r w:rsidR="00E70EE1" w:rsidRPr="00D25EC4">
              <w:rPr>
                <w:rFonts w:eastAsia="Calibri"/>
                <w:bCs/>
                <w:u w:color="000000"/>
              </w:rPr>
              <w:t>interim</w:t>
            </w:r>
            <w:r w:rsidR="00F91B03" w:rsidRPr="00D25EC4">
              <w:rPr>
                <w:rFonts w:eastAsia="Calibri"/>
                <w:b/>
                <w:u w:color="000000"/>
              </w:rPr>
              <w:t xml:space="preserve"> </w:t>
            </w:r>
            <w:r w:rsidR="00F91B03" w:rsidRPr="00D25EC4">
              <w:rPr>
                <w:rFonts w:eastAsia="Calibri"/>
                <w:u w:color="000000"/>
              </w:rPr>
              <w:t>hosting of DETA</w:t>
            </w:r>
          </w:p>
        </w:tc>
      </w:tr>
      <w:tr w:rsidR="00F91B03" w:rsidRPr="00D25EC4" w14:paraId="43075398" w14:textId="77777777" w:rsidTr="21FF00CF">
        <w:trPr>
          <w:jc w:val="center"/>
        </w:trPr>
        <w:tc>
          <w:tcPr>
            <w:tcW w:w="9629" w:type="dxa"/>
            <w:shd w:val="clear" w:color="auto" w:fill="auto"/>
          </w:tcPr>
          <w:p w14:paraId="0998B93F" w14:textId="77777777" w:rsidR="00F91B03" w:rsidRPr="00D25EC4" w:rsidRDefault="00F91B03" w:rsidP="000B7022">
            <w:pPr>
              <w:rPr>
                <w:rFonts w:eastAsia="Times New Roman Bold"/>
              </w:rPr>
            </w:pPr>
          </w:p>
        </w:tc>
      </w:tr>
    </w:tbl>
    <w:p w14:paraId="35C88650" w14:textId="48919A9F" w:rsidR="00F91B03" w:rsidRPr="00713203" w:rsidRDefault="00F91B03" w:rsidP="004A530C">
      <w:pPr>
        <w:pStyle w:val="HChG"/>
        <w:rPr>
          <w:strike/>
        </w:rPr>
      </w:pPr>
      <w:r w:rsidRPr="00D25EC4">
        <w:tab/>
      </w:r>
      <w:r w:rsidR="00130F7A">
        <w:t>I.</w:t>
      </w:r>
      <w:r w:rsidR="002001DF" w:rsidRPr="00D25EC4">
        <w:tab/>
      </w:r>
      <w:r w:rsidRPr="00D25EC4">
        <w:t>General</w:t>
      </w:r>
      <w:r w:rsidRPr="00F30332">
        <w:t xml:space="preserve"> </w:t>
      </w:r>
      <w:r w:rsidR="00713203" w:rsidRPr="00E36860">
        <w:t>Consideration</w:t>
      </w:r>
    </w:p>
    <w:p w14:paraId="68D582CD" w14:textId="31777B01" w:rsidR="00F91B03" w:rsidRPr="00595F40" w:rsidRDefault="00F91B03" w:rsidP="004A530C">
      <w:pPr>
        <w:pStyle w:val="SingleTxtG"/>
      </w:pPr>
      <w:r w:rsidRPr="00713203">
        <w:rPr>
          <w:fitText w:val="147" w:id="-1940731648"/>
        </w:rPr>
        <w:t>1.</w:t>
      </w:r>
      <w:r w:rsidRPr="00713203">
        <w:tab/>
        <w:t>The work of WP.29 and its subsidiary bodies</w:t>
      </w:r>
      <w:r w:rsidR="00E56255" w:rsidRPr="00713203">
        <w:t xml:space="preserve"> (</w:t>
      </w:r>
      <w:r w:rsidRPr="00713203">
        <w:t>GRs</w:t>
      </w:r>
      <w:r w:rsidR="00E56255" w:rsidRPr="00713203">
        <w:t>)</w:t>
      </w:r>
      <w:r w:rsidRPr="00713203">
        <w:t xml:space="preserve"> </w:t>
      </w:r>
      <w:r w:rsidRPr="00D001C4">
        <w:t xml:space="preserve">had been </w:t>
      </w:r>
      <w:r w:rsidRPr="00713203">
        <w:t xml:space="preserve">heavily impacted by the COVID-19 pandemic. Following the </w:t>
      </w:r>
      <w:r w:rsidR="00E871CB" w:rsidRPr="00713203">
        <w:t>COVID-19 pandemic outbreak,</w:t>
      </w:r>
      <w:r w:rsidRPr="00167731">
        <w:t xml:space="preserve"> in-person meetings were </w:t>
      </w:r>
      <w:r w:rsidR="00141375" w:rsidRPr="002E3E82">
        <w:t xml:space="preserve">no longer </w:t>
      </w:r>
      <w:r w:rsidRPr="00595F40">
        <w:t xml:space="preserve">possible and interpretation services for virtual meetings were only provided to a very limited </w:t>
      </w:r>
      <w:r w:rsidR="006D2024" w:rsidRPr="00F30332">
        <w:t>exten</w:t>
      </w:r>
      <w:r w:rsidR="000103B8" w:rsidRPr="00E36860">
        <w:t>t</w:t>
      </w:r>
      <w:r w:rsidRPr="00584A1C">
        <w:t>. Furthermore, and to acco</w:t>
      </w:r>
      <w:r w:rsidRPr="00D001C4">
        <w:t xml:space="preserve">mmodate </w:t>
      </w:r>
      <w:r w:rsidR="000103B8" w:rsidRPr="00D001C4">
        <w:t xml:space="preserve">the </w:t>
      </w:r>
      <w:r w:rsidRPr="00D001C4">
        <w:t>participation of delegates from all continents</w:t>
      </w:r>
      <w:r w:rsidR="006D2024" w:rsidRPr="00D001C4">
        <w:t xml:space="preserve"> and different time zones</w:t>
      </w:r>
      <w:r w:rsidRPr="00D001C4">
        <w:t xml:space="preserve">, </w:t>
      </w:r>
      <w:r w:rsidR="006D2024" w:rsidRPr="00D001C4">
        <w:t>the session time</w:t>
      </w:r>
      <w:r w:rsidRPr="00D001C4">
        <w:t xml:space="preserve"> </w:t>
      </w:r>
      <w:r w:rsidR="006D2024" w:rsidRPr="00D001C4">
        <w:t xml:space="preserve">had </w:t>
      </w:r>
      <w:r w:rsidRPr="00D001C4">
        <w:t>to be limited to early afternoons</w:t>
      </w:r>
      <w:r w:rsidR="006D2024" w:rsidRPr="00D001C4">
        <w:t xml:space="preserve"> (Geneva time)</w:t>
      </w:r>
      <w:r w:rsidRPr="00D001C4">
        <w:t>. This resulted in</w:t>
      </w:r>
      <w:r w:rsidR="00610276" w:rsidRPr="00D001C4">
        <w:t>,</w:t>
      </w:r>
      <w:r w:rsidRPr="00D001C4">
        <w:t xml:space="preserve"> </w:t>
      </w:r>
      <w:proofErr w:type="gramStart"/>
      <w:r w:rsidRPr="00D001C4">
        <w:t>e.g.</w:t>
      </w:r>
      <w:proofErr w:type="gramEnd"/>
      <w:r w:rsidRPr="00D001C4">
        <w:t xml:space="preserve"> that the WP.29 session</w:t>
      </w:r>
      <w:r w:rsidR="00B5742E" w:rsidRPr="00D001C4">
        <w:t>s</w:t>
      </w:r>
      <w:r w:rsidRPr="00D001C4">
        <w:t xml:space="preserve"> had to be limited to two</w:t>
      </w:r>
      <w:r w:rsidR="00610276" w:rsidRPr="00D001C4">
        <w:t>-</w:t>
      </w:r>
      <w:r w:rsidRPr="00D001C4">
        <w:t xml:space="preserve">hour session only and thus the agenda had to be reduced to the necessary minimum to accommodate decision taking/voting. Furthermore, for several </w:t>
      </w:r>
      <w:r w:rsidR="000103B8" w:rsidRPr="00D001C4">
        <w:t>GR</w:t>
      </w:r>
      <w:r w:rsidRPr="00D001C4">
        <w:t xml:space="preserve"> sessions </w:t>
      </w:r>
      <w:r w:rsidR="00D626CE" w:rsidRPr="00D001C4">
        <w:t>only two hours of</w:t>
      </w:r>
      <w:r w:rsidRPr="00D001C4">
        <w:t xml:space="preserve"> interpretation </w:t>
      </w:r>
      <w:r w:rsidR="001F4E9A" w:rsidRPr="00D001C4">
        <w:t>were</w:t>
      </w:r>
      <w:r w:rsidRPr="00D001C4">
        <w:t xml:space="preserve"> provided by Conference Services</w:t>
      </w:r>
      <w:r w:rsidR="001F4E9A" w:rsidRPr="00D001C4">
        <w:t xml:space="preserve"> of the United Nations Office at Geneva</w:t>
      </w:r>
      <w:r w:rsidR="00E871CB" w:rsidRPr="00D001C4">
        <w:t>.</w:t>
      </w:r>
      <w:r w:rsidRPr="00D001C4">
        <w:t xml:space="preserve"> In addition, necessary silence procedures, imposed by </w:t>
      </w:r>
      <w:r w:rsidR="00326545">
        <w:t>Executive Committee</w:t>
      </w:r>
      <w:r w:rsidRPr="00167731">
        <w:t xml:space="preserve">, needed to be followed leading to a </w:t>
      </w:r>
      <w:r w:rsidR="006D2024" w:rsidRPr="002E3E82">
        <w:t xml:space="preserve">heavier </w:t>
      </w:r>
      <w:r w:rsidRPr="00595F40">
        <w:t>administrative burden.</w:t>
      </w:r>
    </w:p>
    <w:p w14:paraId="7EDFDE63" w14:textId="2A364010" w:rsidR="00A1151B" w:rsidRPr="002E3E82" w:rsidRDefault="00A1151B" w:rsidP="004A530C">
      <w:pPr>
        <w:pStyle w:val="SingleTxtG"/>
      </w:pPr>
      <w:r w:rsidRPr="00F30332">
        <w:t>2.</w:t>
      </w:r>
      <w:r w:rsidRPr="00F30332">
        <w:tab/>
        <w:t>Noting the decision by United Nations Headquarters to switch to in</w:t>
      </w:r>
      <w:r w:rsidR="00F1064A">
        <w:t>-</w:t>
      </w:r>
      <w:r w:rsidRPr="00F1064A">
        <w:t xml:space="preserve">person meetings as of 1 January 2023, WP.29 urged the </w:t>
      </w:r>
      <w:r w:rsidR="00232D6D">
        <w:t>m</w:t>
      </w:r>
      <w:r w:rsidRPr="00F1064A">
        <w:t xml:space="preserve">ember States to </w:t>
      </w:r>
      <w:r w:rsidRPr="002E3E82">
        <w:t xml:space="preserve">request that </w:t>
      </w:r>
      <w:r w:rsidR="002E3E82">
        <w:t xml:space="preserve">an </w:t>
      </w:r>
      <w:r w:rsidRPr="002E3E82">
        <w:t xml:space="preserve">adequate budget be made available for the continuation of full interpretation services for hybrid meetings, to continue giving </w:t>
      </w:r>
      <w:r w:rsidRPr="00595F40">
        <w:t xml:space="preserve">delegations from low- and middle-income countries the possibility to participate </w:t>
      </w:r>
      <w:r w:rsidRPr="00F30332">
        <w:t xml:space="preserve">either in person or remotely </w:t>
      </w:r>
      <w:r w:rsidRPr="00E36860">
        <w:t xml:space="preserve">in </w:t>
      </w:r>
      <w:r w:rsidRPr="00584A1C">
        <w:t>WP.29. The full continuation of hybrid meetings is consistent with the global push to reduce carbon emission</w:t>
      </w:r>
      <w:r w:rsidRPr="00D25EC4">
        <w:t xml:space="preserve">s as evidenced by the Conference of Parties, COP27 meeting held in Egypt. Delegations were invited to communicate these elements to their capitals as well as </w:t>
      </w:r>
      <w:r w:rsidR="00B462A5">
        <w:t>to the Permanent Missions</w:t>
      </w:r>
      <w:r w:rsidRPr="00D25EC4">
        <w:t xml:space="preserve"> to the </w:t>
      </w:r>
      <w:r w:rsidR="00922D65">
        <w:t xml:space="preserve">United </w:t>
      </w:r>
      <w:r w:rsidR="00CA55C7">
        <w:t>N</w:t>
      </w:r>
      <w:r w:rsidR="00922D65">
        <w:t>ations</w:t>
      </w:r>
      <w:r w:rsidR="006165B9">
        <w:t xml:space="preserve"> </w:t>
      </w:r>
      <w:r w:rsidRPr="002E3E82">
        <w:t>in Geneva and New York.</w:t>
      </w:r>
    </w:p>
    <w:p w14:paraId="6207E736" w14:textId="14E5AAB1" w:rsidR="00F91B03" w:rsidRPr="002E3E82" w:rsidRDefault="00F91B03" w:rsidP="004A530C">
      <w:pPr>
        <w:pStyle w:val="HChG"/>
      </w:pPr>
      <w:r w:rsidRPr="002E3E82">
        <w:tab/>
      </w:r>
      <w:r w:rsidR="00130F7A">
        <w:t>I</w:t>
      </w:r>
      <w:r w:rsidRPr="002E3E82">
        <w:t>I.</w:t>
      </w:r>
      <w:r w:rsidRPr="002E3E82">
        <w:tab/>
        <w:t xml:space="preserve">Vehicle </w:t>
      </w:r>
      <w:r w:rsidR="002E3E82" w:rsidRPr="002E3E82">
        <w:t>Automation</w:t>
      </w:r>
    </w:p>
    <w:p w14:paraId="37AE8C2E" w14:textId="539A32AD" w:rsidR="004E73C1" w:rsidRPr="00C56803" w:rsidRDefault="00A1151B" w:rsidP="004A530C">
      <w:pPr>
        <w:pStyle w:val="SingleTxtG"/>
      </w:pPr>
      <w:r w:rsidRPr="002E3E82">
        <w:t>3</w:t>
      </w:r>
      <w:r w:rsidR="00F91B03" w:rsidRPr="002E3E82">
        <w:t>.</w:t>
      </w:r>
      <w:r w:rsidR="00F91B03" w:rsidRPr="002E3E82">
        <w:tab/>
        <w:t xml:space="preserve">Following the </w:t>
      </w:r>
      <w:r w:rsidR="00F91B03" w:rsidRPr="00595F40">
        <w:t>restructuring of WP.29 in June 2018 to implement ITC Decision No.19 of 2018</w:t>
      </w:r>
      <w:r w:rsidR="00F91B03" w:rsidRPr="00F30332">
        <w:t xml:space="preserve"> and the establishment of the Working Party on Automated/Autonomous and Connected Vehicl</w:t>
      </w:r>
      <w:r w:rsidR="00F91B03" w:rsidRPr="00E36860">
        <w:t>es (GRVA)</w:t>
      </w:r>
      <w:r w:rsidR="004E73C1" w:rsidRPr="00584A1C">
        <w:t>, WP.29 and its subsidiary bodies worked according to the</w:t>
      </w:r>
      <w:r w:rsidR="00F91B03" w:rsidRPr="00D001C4">
        <w:t xml:space="preserve"> Framework Document on Automated/Autonomous Vehicles (ECE/TRANS/WP.29/2019/34/Rev.</w:t>
      </w:r>
      <w:r w:rsidR="006D2024" w:rsidRPr="00D25EC4">
        <w:t>2</w:t>
      </w:r>
      <w:r w:rsidR="00F91B03" w:rsidRPr="00D25EC4">
        <w:t xml:space="preserve">), endorsed by ITC at its </w:t>
      </w:r>
      <w:r w:rsidR="001C5E0D" w:rsidRPr="00D25EC4">
        <w:t xml:space="preserve">eighty-second </w:t>
      </w:r>
      <w:r w:rsidR="00F91B03" w:rsidRPr="00D25EC4">
        <w:t xml:space="preserve">session, </w:t>
      </w:r>
      <w:r w:rsidR="001F4E9A" w:rsidRPr="00D25EC4">
        <w:t xml:space="preserve">which </w:t>
      </w:r>
      <w:r w:rsidR="00F91B03" w:rsidRPr="00D25EC4">
        <w:t>guided the work on automated vehicles.</w:t>
      </w:r>
      <w:r w:rsidR="004E73C1" w:rsidRPr="00D25EC4">
        <w:t xml:space="preserve"> This work, led by Co-Chairs from America</w:t>
      </w:r>
      <w:r w:rsidR="001F4E9A" w:rsidRPr="00D25EC4">
        <w:t>, Asia and</w:t>
      </w:r>
      <w:r w:rsidR="004E73C1" w:rsidRPr="00D25EC4">
        <w:t xml:space="preserve"> Europe is performed in line with the safety vision, key safety elements, guidance provided by the framework document to the Working Parties of WP.29 and </w:t>
      </w:r>
      <w:r w:rsidR="00FF6766" w:rsidRPr="00D25EC4">
        <w:t xml:space="preserve">in line with </w:t>
      </w:r>
      <w:r w:rsidR="004E73C1" w:rsidRPr="00D25EC4">
        <w:t xml:space="preserve">the programme of activities included in its </w:t>
      </w:r>
      <w:r w:rsidR="00595F40" w:rsidRPr="00D25EC4">
        <w:t>a</w:t>
      </w:r>
      <w:r w:rsidR="004E73C1" w:rsidRPr="00D25EC4">
        <w:t>nnex</w:t>
      </w:r>
      <w:r w:rsidR="004E73C1" w:rsidRPr="00595F40">
        <w:t xml:space="preserve">, which is aimed to be suitable for the countries under the regime of type approval and the countries under the regime of self-certification. These activities form a novel </w:t>
      </w:r>
      <w:r w:rsidR="004E73C1" w:rsidRPr="00F30332">
        <w:t>initiative</w:t>
      </w:r>
      <w:r w:rsidR="004E73C1" w:rsidRPr="00E36860">
        <w:t xml:space="preserve"> aimed at harmonizing globally automated vehicles regulations and creating a </w:t>
      </w:r>
      <w:r w:rsidR="004E73C1" w:rsidRPr="00584A1C">
        <w:t>more productive environment for innovation. In 202</w:t>
      </w:r>
      <w:r w:rsidR="00AF5561" w:rsidRPr="00D001C4">
        <w:t>2</w:t>
      </w:r>
      <w:r w:rsidR="004E73C1" w:rsidRPr="0022315D">
        <w:t xml:space="preserve">, the highlights produced under the Framework Document include </w:t>
      </w:r>
      <w:r w:rsidR="004E73C1" w:rsidRPr="00D25EC4">
        <w:t xml:space="preserve">the </w:t>
      </w:r>
      <w:r w:rsidR="00116477" w:rsidRPr="00D25EC4">
        <w:t>first iteration of the New Assessment/Test Method for Automated Driving (NATM)</w:t>
      </w:r>
      <w:r w:rsidR="008158CF" w:rsidRPr="00D25EC4">
        <w:t xml:space="preserve"> </w:t>
      </w:r>
      <w:r w:rsidR="004E73C1" w:rsidRPr="00D25EC4">
        <w:t xml:space="preserve">– Master Document as well as the </w:t>
      </w:r>
      <w:r w:rsidR="00116477" w:rsidRPr="00D25EC4">
        <w:t xml:space="preserve">draft recommendations for </w:t>
      </w:r>
      <w:r w:rsidR="001F4E9A" w:rsidRPr="00D25EC4">
        <w:t>a</w:t>
      </w:r>
      <w:r w:rsidR="00116477" w:rsidRPr="00D25EC4">
        <w:t xml:space="preserve">utomotive </w:t>
      </w:r>
      <w:r w:rsidR="001F4E9A" w:rsidRPr="00D25EC4">
        <w:t>c</w:t>
      </w:r>
      <w:r w:rsidR="00116477" w:rsidRPr="00D25EC4">
        <w:t>yber</w:t>
      </w:r>
      <w:r w:rsidR="001F4E9A" w:rsidRPr="00D25EC4">
        <w:t>s</w:t>
      </w:r>
      <w:r w:rsidR="00116477" w:rsidRPr="00D25EC4">
        <w:t xml:space="preserve">ecurity </w:t>
      </w:r>
      <w:r w:rsidR="00116477" w:rsidRPr="00595F40">
        <w:t xml:space="preserve">and </w:t>
      </w:r>
      <w:r w:rsidR="001F4E9A" w:rsidRPr="00595F40">
        <w:t>s</w:t>
      </w:r>
      <w:r w:rsidR="00116477" w:rsidRPr="00C56803">
        <w:t xml:space="preserve">oftware </w:t>
      </w:r>
      <w:r w:rsidR="001F4E9A" w:rsidRPr="00C56803">
        <w:t>u</w:t>
      </w:r>
      <w:r w:rsidR="00116477" w:rsidRPr="00C56803">
        <w:t>pdate.</w:t>
      </w:r>
    </w:p>
    <w:p w14:paraId="7ABAE9E1" w14:textId="37C415DD" w:rsidR="00DC022A" w:rsidRPr="0071079D" w:rsidRDefault="00A1151B" w:rsidP="00CD328F">
      <w:pPr>
        <w:pStyle w:val="SingleTxtG"/>
      </w:pPr>
      <w:r w:rsidRPr="00F30332">
        <w:t>4</w:t>
      </w:r>
      <w:r w:rsidR="00F91B03" w:rsidRPr="00F30332">
        <w:t>.</w:t>
      </w:r>
      <w:r w:rsidR="00F91B03" w:rsidRPr="00F30332">
        <w:tab/>
      </w:r>
      <w:r w:rsidR="00116477" w:rsidRPr="00E36860">
        <w:t>The</w:t>
      </w:r>
      <w:r w:rsidR="00116477" w:rsidRPr="00D25EC4">
        <w:t xml:space="preserve"> </w:t>
      </w:r>
      <w:r w:rsidR="00DF6A00" w:rsidRPr="00D25EC4">
        <w:t xml:space="preserve">highlights </w:t>
      </w:r>
      <w:r w:rsidR="00FA1BE3" w:rsidRPr="00D25EC4">
        <w:t>noted above</w:t>
      </w:r>
      <w:r w:rsidR="00116477" w:rsidRPr="00D25EC4">
        <w:t xml:space="preserve"> follow the achievements in 202</w:t>
      </w:r>
      <w:r w:rsidR="00AF5561" w:rsidRPr="00D25EC4">
        <w:t>1</w:t>
      </w:r>
      <w:r w:rsidR="00116477" w:rsidRPr="00D25EC4">
        <w:t xml:space="preserve"> with the adoption of a </w:t>
      </w:r>
      <w:r w:rsidR="00AF5561" w:rsidRPr="00D25EC4">
        <w:t xml:space="preserve">major amendment to the </w:t>
      </w:r>
      <w:r w:rsidR="00F91B03" w:rsidRPr="00D25EC4">
        <w:t xml:space="preserve">first UN Regulations </w:t>
      </w:r>
      <w:r w:rsidR="00AF5561" w:rsidRPr="00D25EC4">
        <w:t>on</w:t>
      </w:r>
      <w:r w:rsidR="00F91B03" w:rsidRPr="00D25EC4">
        <w:t xml:space="preserve"> automated vehicles</w:t>
      </w:r>
      <w:r w:rsidR="00CF499C" w:rsidRPr="00D25EC4">
        <w:t xml:space="preserve"> (UN Regulation No.</w:t>
      </w:r>
      <w:r w:rsidR="00CD328F">
        <w:t> </w:t>
      </w:r>
      <w:r w:rsidR="00CF499C" w:rsidRPr="00D25EC4">
        <w:t>157 on Automated Lane Keeping System)</w:t>
      </w:r>
      <w:r w:rsidR="00F91B03" w:rsidRPr="00D25EC4">
        <w:t xml:space="preserve"> </w:t>
      </w:r>
      <w:r w:rsidR="00116477" w:rsidRPr="00D25EC4">
        <w:t xml:space="preserve">which </w:t>
      </w:r>
      <w:r w:rsidR="00F91B03" w:rsidRPr="00D25EC4">
        <w:t>entered into force on 22 January 2021. Th</w:t>
      </w:r>
      <w:r w:rsidR="00CF499C" w:rsidRPr="00D25EC4">
        <w:t>is</w:t>
      </w:r>
      <w:r w:rsidR="00F91B03" w:rsidRPr="00D25EC4">
        <w:t xml:space="preserve"> </w:t>
      </w:r>
      <w:r w:rsidR="00CF499C" w:rsidRPr="00D25EC4">
        <w:t>amendment to</w:t>
      </w:r>
      <w:r w:rsidR="00F91B03" w:rsidRPr="00D25EC4">
        <w:t xml:space="preserve"> UN Regulation</w:t>
      </w:r>
      <w:r w:rsidR="00CF499C" w:rsidRPr="00D25EC4">
        <w:t xml:space="preserve"> </w:t>
      </w:r>
      <w:r w:rsidR="00F91B03" w:rsidRPr="00D25EC4">
        <w:t xml:space="preserve">No. 157 on </w:t>
      </w:r>
      <w:r w:rsidR="0060579D" w:rsidRPr="00D25EC4">
        <w:t xml:space="preserve">Automated Lane Keeping System </w:t>
      </w:r>
      <w:r w:rsidR="00E37E94" w:rsidRPr="00D25EC4">
        <w:t>increase</w:t>
      </w:r>
      <w:r w:rsidR="00CF499C" w:rsidRPr="00D25EC4">
        <w:t>d</w:t>
      </w:r>
      <w:r w:rsidR="00E37E94" w:rsidRPr="00D25EC4">
        <w:t xml:space="preserve"> the maximal speed of operation </w:t>
      </w:r>
      <w:r w:rsidR="00CF499C" w:rsidRPr="00D25EC4">
        <w:t xml:space="preserve">to 130 km/h </w:t>
      </w:r>
      <w:r w:rsidR="00E37E94" w:rsidRPr="00D25EC4">
        <w:t>as well as inclu</w:t>
      </w:r>
      <w:r w:rsidR="00CF499C" w:rsidRPr="00D25EC4">
        <w:t>ded</w:t>
      </w:r>
      <w:r w:rsidR="00E37E94" w:rsidRPr="00D25EC4">
        <w:t xml:space="preserve"> lane change provisions</w:t>
      </w:r>
      <w:r w:rsidR="00F91B03" w:rsidRPr="00D25EC4">
        <w:t>.</w:t>
      </w:r>
      <w:r w:rsidR="00CF499C" w:rsidRPr="00D25EC4">
        <w:t xml:space="preserve"> With this new provisions, full automated driving on motorways is possible allowing drivers to engage in other tasks than driving (see also </w:t>
      </w:r>
      <w:r w:rsidR="00C56803">
        <w:t xml:space="preserve">the </w:t>
      </w:r>
      <w:r w:rsidR="006E7A0F">
        <w:t>Working Party on Road</w:t>
      </w:r>
      <w:r w:rsidR="00E61411">
        <w:t xml:space="preserve"> Traffic Safety </w:t>
      </w:r>
      <w:r w:rsidR="0071079D" w:rsidRPr="00C56803">
        <w:t>resolution</w:t>
      </w:r>
      <w:r w:rsidR="00943E8E" w:rsidRPr="00C56803">
        <w:t xml:space="preserve"> on safety considerations for activities other than driving undertaken by drivers when automated driving systems issuing transition demands exercise dynamic contro</w:t>
      </w:r>
      <w:r w:rsidR="00943E8E" w:rsidRPr="0071079D">
        <w:t>l</w:t>
      </w:r>
      <w:r w:rsidR="00CF499C" w:rsidRPr="0071079D">
        <w:t xml:space="preserve">) </w:t>
      </w:r>
      <w:proofErr w:type="gramStart"/>
      <w:r w:rsidR="00CF499C" w:rsidRPr="0071079D">
        <w:t>as long as</w:t>
      </w:r>
      <w:proofErr w:type="gramEnd"/>
      <w:r w:rsidR="00CF499C" w:rsidRPr="0071079D">
        <w:t xml:space="preserve"> drivers stay available to take over when requested by the system</w:t>
      </w:r>
    </w:p>
    <w:p w14:paraId="1DE731F5" w14:textId="49D2157A" w:rsidR="00F91B03" w:rsidRPr="00E36860" w:rsidRDefault="00F91B03" w:rsidP="004A530C">
      <w:pPr>
        <w:pStyle w:val="HChG"/>
      </w:pPr>
      <w:r w:rsidRPr="00F30332">
        <w:lastRenderedPageBreak/>
        <w:tab/>
      </w:r>
      <w:r w:rsidR="00130F7A">
        <w:t>I</w:t>
      </w:r>
      <w:r w:rsidRPr="00F30332">
        <w:t>II.</w:t>
      </w:r>
      <w:r w:rsidRPr="00F30332">
        <w:tab/>
        <w:t>1958 Agreement</w:t>
      </w:r>
    </w:p>
    <w:p w14:paraId="7B3992EB" w14:textId="1FB21DE2" w:rsidR="00257229" w:rsidRPr="00D25EC4" w:rsidRDefault="00A1151B" w:rsidP="005B3B9D">
      <w:pPr>
        <w:pStyle w:val="SingleTxtG"/>
      </w:pPr>
      <w:r w:rsidRPr="00584A1C">
        <w:t>5</w:t>
      </w:r>
      <w:r w:rsidR="00F91B03" w:rsidRPr="00584A1C">
        <w:t>.</w:t>
      </w:r>
      <w:r w:rsidR="00F91B03" w:rsidRPr="00584A1C">
        <w:tab/>
      </w:r>
      <w:r w:rsidR="00257229" w:rsidRPr="00D001C4">
        <w:t>WP.</w:t>
      </w:r>
      <w:r w:rsidR="00257229" w:rsidRPr="0022315D">
        <w:t xml:space="preserve"> 29 </w:t>
      </w:r>
      <w:r w:rsidR="00257229" w:rsidRPr="00D25EC4">
        <w:t xml:space="preserve">established at the March 2022 session a new UN Regulation No. 164 on </w:t>
      </w:r>
      <w:r w:rsidR="0071079D" w:rsidRPr="00D25EC4">
        <w:t>studded tyres with regards to their snow performance</w:t>
      </w:r>
      <w:r w:rsidR="00257229" w:rsidRPr="00D25EC4">
        <w:t xml:space="preserve">, which entered into force on 30 September </w:t>
      </w:r>
      <w:proofErr w:type="gramStart"/>
      <w:r w:rsidR="00257229" w:rsidRPr="00D25EC4">
        <w:t>2022;</w:t>
      </w:r>
      <w:proofErr w:type="gramEnd"/>
    </w:p>
    <w:p w14:paraId="2EF33575" w14:textId="7FC149A0" w:rsidR="00930FC6" w:rsidRPr="00D25EC4" w:rsidRDefault="00A1151B" w:rsidP="004A530C">
      <w:pPr>
        <w:pStyle w:val="SingleTxtG"/>
      </w:pPr>
      <w:r w:rsidRPr="00D25EC4">
        <w:t>6</w:t>
      </w:r>
      <w:r w:rsidR="007A68DD" w:rsidRPr="00D25EC4">
        <w:t>.</w:t>
      </w:r>
      <w:r w:rsidR="007A68DD" w:rsidRPr="00D25EC4">
        <w:tab/>
      </w:r>
      <w:r w:rsidR="00930FC6" w:rsidRPr="00D25EC4">
        <w:t xml:space="preserve">WP.29 </w:t>
      </w:r>
      <w:r w:rsidR="00D249F3" w:rsidRPr="00D25EC4">
        <w:t xml:space="preserve">continued its regulatory work on protection of vulnerable </w:t>
      </w:r>
      <w:r w:rsidR="00E474BD" w:rsidRPr="00D25EC4">
        <w:t>r</w:t>
      </w:r>
      <w:r w:rsidR="00D249F3" w:rsidRPr="00D25EC4">
        <w:t xml:space="preserve">oad users and </w:t>
      </w:r>
      <w:r w:rsidR="00257229" w:rsidRPr="00D25EC4">
        <w:t>established</w:t>
      </w:r>
      <w:r w:rsidR="00930FC6" w:rsidRPr="00D25EC4">
        <w:t xml:space="preserve"> at the </w:t>
      </w:r>
      <w:r w:rsidR="00257229" w:rsidRPr="00D25EC4">
        <w:t>June</w:t>
      </w:r>
      <w:r w:rsidR="00930FC6" w:rsidRPr="00D25EC4">
        <w:t xml:space="preserve"> 202</w:t>
      </w:r>
      <w:r w:rsidR="00257229" w:rsidRPr="00D25EC4">
        <w:t>2</w:t>
      </w:r>
      <w:r w:rsidR="00930FC6" w:rsidRPr="00D25EC4">
        <w:t xml:space="preserve"> </w:t>
      </w:r>
      <w:r w:rsidR="00257229" w:rsidRPr="00D25EC4">
        <w:t>session a</w:t>
      </w:r>
      <w:r w:rsidR="00930FC6" w:rsidRPr="00D25EC4">
        <w:t xml:space="preserve"> new UN Regulation</w:t>
      </w:r>
      <w:r w:rsidR="00257229" w:rsidRPr="00D25EC4">
        <w:t xml:space="preserve"> No. 165 on </w:t>
      </w:r>
      <w:r w:rsidR="004617D3" w:rsidRPr="00D25EC4">
        <w:t>reverse warning</w:t>
      </w:r>
      <w:r w:rsidR="00E474BD" w:rsidRPr="00D25EC4">
        <w:t>,</w:t>
      </w:r>
      <w:r w:rsidR="00257229" w:rsidRPr="00D25EC4">
        <w:t xml:space="preserve"> and at the November 2022 session the following two new UN Regulations</w:t>
      </w:r>
      <w:r w:rsidR="00930FC6" w:rsidRPr="00D25EC4">
        <w:t>:</w:t>
      </w:r>
    </w:p>
    <w:p w14:paraId="4137AFD4" w14:textId="487BD0A5" w:rsidR="00930FC6" w:rsidRPr="00713203" w:rsidRDefault="00BB6D12" w:rsidP="004A530C">
      <w:pPr>
        <w:pStyle w:val="SingleTxtG"/>
        <w:ind w:firstLine="567"/>
      </w:pPr>
      <w:r w:rsidRPr="00106BDB">
        <w:t>(</w:t>
      </w:r>
      <w:r w:rsidR="00930FC6" w:rsidRPr="00106BDB">
        <w:t>a</w:t>
      </w:r>
      <w:r w:rsidRPr="00106BDB">
        <w:t>)</w:t>
      </w:r>
      <w:r w:rsidRPr="00106BDB">
        <w:tab/>
      </w:r>
      <w:r w:rsidRPr="00B65EA0">
        <w:rPr>
          <w:rStyle w:val="normaltextrun"/>
          <w:color w:val="000000"/>
        </w:rPr>
        <w:t xml:space="preserve">UN Regulation No. </w:t>
      </w:r>
      <w:r w:rsidR="00CA1591" w:rsidRPr="00713203">
        <w:rPr>
          <w:rStyle w:val="normaltextrun"/>
          <w:color w:val="000000"/>
        </w:rPr>
        <w:t>[</w:t>
      </w:r>
      <w:r w:rsidRPr="00713203">
        <w:rPr>
          <w:rStyle w:val="normaltextrun"/>
          <w:color w:val="000000"/>
        </w:rPr>
        <w:t>16</w:t>
      </w:r>
      <w:r w:rsidR="00257229" w:rsidRPr="00713203">
        <w:rPr>
          <w:rStyle w:val="normaltextrun"/>
          <w:color w:val="000000"/>
        </w:rPr>
        <w:t>6</w:t>
      </w:r>
      <w:r w:rsidR="00CA1591" w:rsidRPr="00713203">
        <w:rPr>
          <w:rStyle w:val="normaltextrun"/>
          <w:color w:val="000000"/>
        </w:rPr>
        <w:t>]</w:t>
      </w:r>
      <w:r w:rsidRPr="00713203">
        <w:rPr>
          <w:rStyle w:val="normaltextrun"/>
          <w:color w:val="000000"/>
        </w:rPr>
        <w:t xml:space="preserve"> on </w:t>
      </w:r>
      <w:r w:rsidR="00D249F3" w:rsidRPr="00713203">
        <w:rPr>
          <w:rStyle w:val="normaltextrun"/>
          <w:color w:val="000000"/>
        </w:rPr>
        <w:t>Vulnerable Road Users in Front and Side Close Proximity</w:t>
      </w:r>
      <w:r w:rsidR="007B3D3B">
        <w:rPr>
          <w:rStyle w:val="normaltextrun"/>
          <w:color w:val="000000"/>
        </w:rPr>
        <w:t>;</w:t>
      </w:r>
      <w:r w:rsidR="00D249F3" w:rsidRPr="00713203">
        <w:rPr>
          <w:rStyle w:val="normaltextrun"/>
          <w:color w:val="000000"/>
        </w:rPr>
        <w:t xml:space="preserve"> and</w:t>
      </w:r>
    </w:p>
    <w:p w14:paraId="7B46D5CA" w14:textId="35D6B33D" w:rsidR="00930FC6" w:rsidRPr="00595F40" w:rsidRDefault="00930FC6" w:rsidP="004A530C">
      <w:pPr>
        <w:pStyle w:val="SingleTxtG"/>
        <w:ind w:firstLine="567"/>
      </w:pPr>
      <w:r w:rsidRPr="00713203">
        <w:t>(b)</w:t>
      </w:r>
      <w:r w:rsidRPr="00713203">
        <w:tab/>
        <w:t xml:space="preserve">UN Regulation No. </w:t>
      </w:r>
      <w:r w:rsidR="00CA1591" w:rsidRPr="00713203">
        <w:t>[</w:t>
      </w:r>
      <w:r w:rsidRPr="00713203">
        <w:t>16</w:t>
      </w:r>
      <w:r w:rsidR="00D249F3" w:rsidRPr="00167731">
        <w:t>7</w:t>
      </w:r>
      <w:r w:rsidR="00CA1591" w:rsidRPr="00F1064A">
        <w:t>]</w:t>
      </w:r>
      <w:r w:rsidRPr="002E3E82">
        <w:t xml:space="preserve"> on </w:t>
      </w:r>
      <w:r w:rsidR="00D249F3" w:rsidRPr="002E3E82">
        <w:t>Vulnerable Road</w:t>
      </w:r>
      <w:r w:rsidR="00D249F3" w:rsidRPr="00595F40">
        <w:t xml:space="preserve"> Users Direct Vision.</w:t>
      </w:r>
    </w:p>
    <w:p w14:paraId="079C1F5E" w14:textId="57AFB650" w:rsidR="00F91B03" w:rsidRPr="0071079D" w:rsidRDefault="00A1151B" w:rsidP="00930FC6">
      <w:pPr>
        <w:pStyle w:val="SingleTxtG"/>
      </w:pPr>
      <w:r w:rsidRPr="00595F40">
        <w:t>7</w:t>
      </w:r>
      <w:r w:rsidR="00F91B03" w:rsidRPr="00595F40">
        <w:t>.</w:t>
      </w:r>
      <w:r w:rsidR="00F91B03" w:rsidRPr="00595F40">
        <w:tab/>
        <w:t>Existing UN Regulations</w:t>
      </w:r>
      <w:r w:rsidR="00521F35" w:rsidRPr="00595F40">
        <w:t xml:space="preserve"> and related Resolutions</w:t>
      </w:r>
      <w:r w:rsidR="00F91B03" w:rsidRPr="00C56803">
        <w:t xml:space="preserve"> were updated by </w:t>
      </w:r>
      <w:r w:rsidR="00A0363E" w:rsidRPr="00C56803">
        <w:t>1</w:t>
      </w:r>
      <w:r w:rsidR="00521F35" w:rsidRPr="00C56803">
        <w:t>20</w:t>
      </w:r>
      <w:r w:rsidR="00F91B03" w:rsidRPr="00C56803">
        <w:t xml:space="preserve"> amendments, which adapt the regulations to the most recent technological innovations and introduce more stringent limits aimed at increasing both the safety and environmental performance of vehicles. </w:t>
      </w:r>
    </w:p>
    <w:p w14:paraId="0B6C0429" w14:textId="3B165167" w:rsidR="00F91B03" w:rsidRPr="004617D3" w:rsidRDefault="00A1151B" w:rsidP="00F91B03">
      <w:pPr>
        <w:pStyle w:val="SingleTxtG"/>
      </w:pPr>
      <w:r w:rsidRPr="00F30332">
        <w:t>8</w:t>
      </w:r>
      <w:r w:rsidR="00F91B03" w:rsidRPr="00F30332">
        <w:t>.</w:t>
      </w:r>
      <w:r w:rsidR="00F91B03" w:rsidRPr="00F30332">
        <w:tab/>
        <w:t xml:space="preserve">As funding for the hosting of </w:t>
      </w:r>
      <w:r w:rsidR="00F91B03" w:rsidRPr="00E36860">
        <w:t xml:space="preserve">DETA at ECE could not be secured so far both under </w:t>
      </w:r>
      <w:r w:rsidR="00E70EE1" w:rsidRPr="00E36860">
        <w:t>the regular budget</w:t>
      </w:r>
      <w:r w:rsidR="00F91B03" w:rsidRPr="00584A1C">
        <w:t xml:space="preserve"> or </w:t>
      </w:r>
      <w:r w:rsidR="00E70EE1" w:rsidRPr="00D001C4">
        <w:t>extra</w:t>
      </w:r>
      <w:r w:rsidR="00E70EE1" w:rsidRPr="00D25EC4">
        <w:t xml:space="preserve">budgetary </w:t>
      </w:r>
      <w:r w:rsidR="00E70EE1" w:rsidRPr="004617D3">
        <w:t xml:space="preserve">resources. </w:t>
      </w:r>
      <w:r w:rsidR="00F91B03" w:rsidRPr="004617D3">
        <w:t>WP.29 was grateful to Germany</w:t>
      </w:r>
      <w:r w:rsidR="00897F89">
        <w:t>, which</w:t>
      </w:r>
      <w:r w:rsidR="00F91B03" w:rsidRPr="004617D3">
        <w:t xml:space="preserve"> currently host</w:t>
      </w:r>
      <w:r w:rsidR="00897F89">
        <w:t>s</w:t>
      </w:r>
      <w:r w:rsidR="00F91B03" w:rsidRPr="004617D3">
        <w:t xml:space="preserve"> the system on an </w:t>
      </w:r>
      <w:r w:rsidR="00E70EE1" w:rsidRPr="004617D3">
        <w:t>interim</w:t>
      </w:r>
      <w:r w:rsidR="00F91B03" w:rsidRPr="004617D3">
        <w:t xml:space="preserve"> basis. WP.29 would continue to </w:t>
      </w:r>
      <w:proofErr w:type="gramStart"/>
      <w:r w:rsidR="00F91B03" w:rsidRPr="004617D3">
        <w:t>look into</w:t>
      </w:r>
      <w:proofErr w:type="gramEnd"/>
      <w:r w:rsidR="00F91B03" w:rsidRPr="004617D3">
        <w:t xml:space="preserve"> possibilities for sustained solutions for the funding of the hosting of DETA.</w:t>
      </w:r>
    </w:p>
    <w:p w14:paraId="49E85669" w14:textId="00CF2791" w:rsidR="00F91B03" w:rsidRPr="00D001C4" w:rsidRDefault="00A1151B" w:rsidP="00F91B03">
      <w:pPr>
        <w:pStyle w:val="SingleTxtG"/>
      </w:pPr>
      <w:r w:rsidRPr="004617D3">
        <w:t>9</w:t>
      </w:r>
      <w:r w:rsidR="00F91B03" w:rsidRPr="004617D3">
        <w:t>.</w:t>
      </w:r>
      <w:r w:rsidR="00F91B03" w:rsidRPr="004617D3">
        <w:tab/>
        <w:t>As regards the development of additional functionaliti</w:t>
      </w:r>
      <w:r w:rsidR="00F91B03" w:rsidRPr="00FF0280">
        <w:t>es/modules of DETA, the International Motor Vehicle Inspection Committee reconfirmed its readiness to finance the development of the module for Declaration of Conformity</w:t>
      </w:r>
      <w:r w:rsidR="00E70EE1" w:rsidRPr="00F12F96">
        <w:t xml:space="preserve"> (</w:t>
      </w:r>
      <w:proofErr w:type="spellStart"/>
      <w:r w:rsidR="00E70EE1" w:rsidRPr="00F12F96">
        <w:t>DoC</w:t>
      </w:r>
      <w:proofErr w:type="spellEnd"/>
      <w:r w:rsidR="00E70EE1" w:rsidRPr="00F12F96">
        <w:t>)</w:t>
      </w:r>
      <w:r w:rsidR="00F91B03" w:rsidRPr="00F12F96">
        <w:t>. The industry associations:</w:t>
      </w:r>
      <w:r w:rsidR="00F91B03" w:rsidRPr="004617D3">
        <w:t xml:space="preserve"> the European Association of Automotive Suppliers</w:t>
      </w:r>
      <w:r w:rsidR="004617D3">
        <w:t>,</w:t>
      </w:r>
      <w:r w:rsidR="00F91B03" w:rsidRPr="004617D3">
        <w:t xml:space="preserve"> the European Tyre and Rim Technical Organization</w:t>
      </w:r>
      <w:r w:rsidR="00D9741C">
        <w:t xml:space="preserve"> and the </w:t>
      </w:r>
      <w:r w:rsidR="00D9741C" w:rsidRPr="004617D3">
        <w:t>International Organization of Motor Vehicle Manufacturers</w:t>
      </w:r>
      <w:r w:rsidR="00F91B03" w:rsidRPr="004617D3">
        <w:t xml:space="preserve"> confirmed their intention to finance the module for the Unique Identifier</w:t>
      </w:r>
      <w:r w:rsidR="00E70EE1" w:rsidRPr="004617D3">
        <w:t xml:space="preserve"> (UI)</w:t>
      </w:r>
      <w:r w:rsidR="00F91B03" w:rsidRPr="004617D3">
        <w:t>, whe</w:t>
      </w:r>
      <w:r w:rsidR="00521F35" w:rsidRPr="004617D3">
        <w:t>n</w:t>
      </w:r>
      <w:r w:rsidR="00F91B03" w:rsidRPr="004617D3">
        <w:t xml:space="preserve"> current contractual issues </w:t>
      </w:r>
      <w:r w:rsidR="00521F35" w:rsidRPr="00F30332">
        <w:t>are</w:t>
      </w:r>
      <w:r w:rsidR="00F91B03" w:rsidRPr="00E36860">
        <w:t xml:space="preserve"> solved</w:t>
      </w:r>
      <w:r w:rsidR="00521F35" w:rsidRPr="00E36860">
        <w:t>.</w:t>
      </w:r>
      <w:r w:rsidR="00F91B03" w:rsidRPr="00584A1C">
        <w:t xml:space="preserve"> </w:t>
      </w:r>
    </w:p>
    <w:p w14:paraId="7147D8DA" w14:textId="262DA1C5" w:rsidR="00F91B03" w:rsidRPr="00E27245" w:rsidRDefault="00F91B03" w:rsidP="004A530C">
      <w:pPr>
        <w:pStyle w:val="HChG"/>
        <w:rPr>
          <w:szCs w:val="24"/>
        </w:rPr>
      </w:pPr>
      <w:r w:rsidRPr="00D001C4">
        <w:tab/>
        <w:t>I</w:t>
      </w:r>
      <w:r w:rsidR="00130F7A">
        <w:t>V</w:t>
      </w:r>
      <w:r w:rsidRPr="00D001C4">
        <w:t>.</w:t>
      </w:r>
      <w:r w:rsidRPr="00D001C4">
        <w:tab/>
        <w:t>1997 Agreement</w:t>
      </w:r>
    </w:p>
    <w:p w14:paraId="6C5713CF" w14:textId="5B6EBBE3" w:rsidR="00F91B03" w:rsidRPr="00D25EC4" w:rsidRDefault="00A1151B" w:rsidP="004A530C">
      <w:pPr>
        <w:pStyle w:val="SingleTxtG"/>
        <w:rPr>
          <w:highlight w:val="yellow"/>
        </w:rPr>
      </w:pPr>
      <w:r w:rsidRPr="00D25EC4">
        <w:t>10</w:t>
      </w:r>
      <w:r w:rsidR="00F91B03" w:rsidRPr="00D25EC4">
        <w:t>.</w:t>
      </w:r>
      <w:r w:rsidR="00F91B03" w:rsidRPr="00D25EC4">
        <w:tab/>
        <w:t xml:space="preserve">At </w:t>
      </w:r>
      <w:r w:rsidR="00D27736" w:rsidRPr="00D25EC4">
        <w:t>its</w:t>
      </w:r>
      <w:r w:rsidR="00F91B03" w:rsidRPr="00D25EC4">
        <w:t xml:space="preserve"> 18</w:t>
      </w:r>
      <w:r w:rsidRPr="00D25EC4">
        <w:t>7</w:t>
      </w:r>
      <w:r w:rsidR="00930FC6" w:rsidRPr="00D25EC4">
        <w:t>th</w:t>
      </w:r>
      <w:r w:rsidR="00F91B03" w:rsidRPr="00D25EC4">
        <w:t xml:space="preserve"> session</w:t>
      </w:r>
      <w:r w:rsidR="00D27736" w:rsidRPr="00D25EC4">
        <w:t>,</w:t>
      </w:r>
      <w:r w:rsidR="00F91B03" w:rsidRPr="00D25EC4">
        <w:t xml:space="preserve"> WP.29 </w:t>
      </w:r>
      <w:r w:rsidR="00521F35" w:rsidRPr="00D25EC4">
        <w:t xml:space="preserve">agreed </w:t>
      </w:r>
      <w:r w:rsidRPr="00D25EC4">
        <w:t xml:space="preserve">in principle </w:t>
      </w:r>
      <w:r w:rsidR="00521F35" w:rsidRPr="00D25EC4">
        <w:t>on</w:t>
      </w:r>
      <w:r w:rsidR="00E70EE1" w:rsidRPr="00D25EC4">
        <w:t xml:space="preserve"> the draft </w:t>
      </w:r>
      <w:r w:rsidR="00930FC6" w:rsidRPr="00D25EC4">
        <w:t>framework document on vehicle whole</w:t>
      </w:r>
      <w:r w:rsidR="007A68DD" w:rsidRPr="00D25EC4">
        <w:t>-</w:t>
      </w:r>
      <w:r w:rsidR="00930FC6" w:rsidRPr="00D25EC4">
        <w:t>life compliance</w:t>
      </w:r>
      <w:r w:rsidR="00D27736" w:rsidRPr="00D25EC4">
        <w:t>, which provides for a compliance regime for vehicles from type-approval via periodic technical inspections, roadside technical inspections until its end-of-li</w:t>
      </w:r>
      <w:r w:rsidR="00E70EE1" w:rsidRPr="00D25EC4">
        <w:t>f</w:t>
      </w:r>
      <w:r w:rsidR="00D27736" w:rsidRPr="00D25EC4">
        <w:t>e and scrapping by applying a holistic approach</w:t>
      </w:r>
      <w:r w:rsidR="00F91B03" w:rsidRPr="00D25EC4">
        <w:t xml:space="preserve">. </w:t>
      </w:r>
    </w:p>
    <w:p w14:paraId="09487CA7" w14:textId="3FA3CFF8" w:rsidR="00F91B03" w:rsidRPr="00D25EC4" w:rsidRDefault="00F91B03" w:rsidP="004A530C">
      <w:pPr>
        <w:pStyle w:val="HChG"/>
        <w:rPr>
          <w:szCs w:val="24"/>
        </w:rPr>
      </w:pPr>
      <w:r w:rsidRPr="00D25EC4">
        <w:tab/>
        <w:t>V.</w:t>
      </w:r>
      <w:r w:rsidRPr="00D25EC4">
        <w:tab/>
        <w:t>1998 Agreement</w:t>
      </w:r>
    </w:p>
    <w:p w14:paraId="5ACECA2F" w14:textId="2A713EC3" w:rsidR="00521F35" w:rsidRPr="00D25EC4" w:rsidRDefault="00F91B03" w:rsidP="00930FC6">
      <w:pPr>
        <w:pStyle w:val="SingleTxtG"/>
      </w:pPr>
      <w:r w:rsidRPr="00D25EC4">
        <w:t>1</w:t>
      </w:r>
      <w:r w:rsidR="00A1151B" w:rsidRPr="00D25EC4">
        <w:t>1</w:t>
      </w:r>
      <w:r w:rsidRPr="00D25EC4">
        <w:t>.</w:t>
      </w:r>
      <w:r w:rsidRPr="00D25EC4">
        <w:tab/>
        <w:t>In 202</w:t>
      </w:r>
      <w:r w:rsidR="00521F35" w:rsidRPr="00D25EC4">
        <w:t>2</w:t>
      </w:r>
      <w:r w:rsidRPr="00D25EC4">
        <w:t xml:space="preserve">, WP.29 concluded several years of work on </w:t>
      </w:r>
      <w:r w:rsidR="00521F35" w:rsidRPr="00D25EC4">
        <w:t>two new UN Global Technical Regulations (UN</w:t>
      </w:r>
      <w:r w:rsidR="00693701" w:rsidRPr="00D25EC4">
        <w:t xml:space="preserve"> </w:t>
      </w:r>
      <w:r w:rsidR="00521F35" w:rsidRPr="00D25EC4">
        <w:t>GTR) and established:</w:t>
      </w:r>
    </w:p>
    <w:p w14:paraId="36564A82" w14:textId="0A6E346D" w:rsidR="00521F35" w:rsidRPr="00FF0280" w:rsidRDefault="00521F35" w:rsidP="00521F35">
      <w:pPr>
        <w:pStyle w:val="SingleTxtG"/>
        <w:ind w:firstLine="567"/>
      </w:pPr>
      <w:r w:rsidRPr="00D25EC4">
        <w:t xml:space="preserve">(a) </w:t>
      </w:r>
      <w:r w:rsidR="004A530C" w:rsidRPr="00D25EC4">
        <w:tab/>
      </w:r>
      <w:r w:rsidRPr="00D25EC4">
        <w:t xml:space="preserve">UN GTR No. 22 on </w:t>
      </w:r>
      <w:r w:rsidR="00FF0280" w:rsidRPr="00D25EC4">
        <w:t>in-vehicle durability for electrified vehicles</w:t>
      </w:r>
      <w:r w:rsidR="00D9741C">
        <w:t>;</w:t>
      </w:r>
      <w:r w:rsidRPr="00FF0280">
        <w:t xml:space="preserve"> and</w:t>
      </w:r>
    </w:p>
    <w:p w14:paraId="70521A7B" w14:textId="0E93B38D" w:rsidR="00521F35" w:rsidRPr="00D837D0" w:rsidRDefault="00521F35" w:rsidP="00521F35">
      <w:pPr>
        <w:pStyle w:val="SingleTxtG"/>
        <w:ind w:firstLine="567"/>
      </w:pPr>
      <w:r w:rsidRPr="00F30332">
        <w:t xml:space="preserve">(b) </w:t>
      </w:r>
      <w:r w:rsidR="004A530C" w:rsidRPr="00D837D0">
        <w:tab/>
      </w:r>
      <w:r w:rsidRPr="00D837D0">
        <w:t>UN GTR No. 23 on durability of pollution-control devices.</w:t>
      </w:r>
    </w:p>
    <w:p w14:paraId="6159FC50" w14:textId="3A9C5288" w:rsidR="00F91B03" w:rsidRPr="00F1064A" w:rsidRDefault="00F6634D" w:rsidP="00521F35">
      <w:pPr>
        <w:pStyle w:val="SingleTxtG"/>
        <w:rPr>
          <w:rFonts w:asciiTheme="majorBidi" w:hAnsiTheme="majorBidi" w:cstheme="majorBidi"/>
        </w:rPr>
      </w:pPr>
      <w:r w:rsidRPr="00D837D0">
        <w:t>1</w:t>
      </w:r>
      <w:r w:rsidR="00A1151B" w:rsidRPr="00D837D0">
        <w:t>2</w:t>
      </w:r>
      <w:r w:rsidRPr="00D837D0">
        <w:t>.</w:t>
      </w:r>
      <w:r w:rsidRPr="00D837D0">
        <w:tab/>
        <w:t xml:space="preserve">WP.29 established an </w:t>
      </w:r>
      <w:r w:rsidR="00F91B03" w:rsidRPr="00D837D0">
        <w:rPr>
          <w:rFonts w:asciiTheme="majorBidi" w:hAnsiTheme="majorBidi" w:cstheme="majorBidi"/>
        </w:rPr>
        <w:t xml:space="preserve">amendment to </w:t>
      </w:r>
      <w:r w:rsidR="00E70EE1" w:rsidRPr="00D837D0">
        <w:rPr>
          <w:rFonts w:asciiTheme="majorBidi" w:hAnsiTheme="majorBidi" w:cstheme="majorBidi"/>
        </w:rPr>
        <w:t xml:space="preserve">UN </w:t>
      </w:r>
      <w:r w:rsidR="00F91B03" w:rsidRPr="00D837D0">
        <w:rPr>
          <w:rFonts w:asciiTheme="majorBidi" w:hAnsiTheme="majorBidi" w:cstheme="majorBidi"/>
        </w:rPr>
        <w:t>Global Technical Regulation</w:t>
      </w:r>
      <w:r w:rsidR="00F91B03" w:rsidRPr="00FF0280">
        <w:rPr>
          <w:rFonts w:asciiTheme="majorBidi" w:hAnsiTheme="majorBidi" w:cstheme="majorBidi"/>
        </w:rPr>
        <w:t xml:space="preserve"> No. </w:t>
      </w:r>
      <w:r w:rsidRPr="00F12F96">
        <w:rPr>
          <w:rFonts w:asciiTheme="majorBidi" w:hAnsiTheme="majorBidi" w:cstheme="majorBidi"/>
        </w:rPr>
        <w:t>2</w:t>
      </w:r>
      <w:r w:rsidR="00F91B03" w:rsidRPr="00F12F96">
        <w:rPr>
          <w:rFonts w:asciiTheme="majorBidi" w:hAnsiTheme="majorBidi" w:cstheme="majorBidi"/>
        </w:rPr>
        <w:t xml:space="preserve"> (</w:t>
      </w:r>
      <w:r w:rsidR="00F12F96" w:rsidRPr="00F12F96">
        <w:rPr>
          <w:rFonts w:asciiTheme="majorBidi" w:hAnsiTheme="majorBidi" w:cstheme="majorBidi"/>
        </w:rPr>
        <w:t>Worldwide Motorcycl</w:t>
      </w:r>
      <w:r w:rsidRPr="00F12F96">
        <w:rPr>
          <w:rFonts w:asciiTheme="majorBidi" w:hAnsiTheme="majorBidi" w:cstheme="majorBidi"/>
        </w:rPr>
        <w:t xml:space="preserve">e </w:t>
      </w:r>
      <w:r w:rsidR="00F12F96" w:rsidRPr="00F12F96">
        <w:rPr>
          <w:rFonts w:asciiTheme="majorBidi" w:hAnsiTheme="majorBidi" w:cstheme="majorBidi"/>
        </w:rPr>
        <w:t xml:space="preserve">Emissions </w:t>
      </w:r>
      <w:r w:rsidR="00F12F96" w:rsidRPr="00F30332">
        <w:rPr>
          <w:rFonts w:asciiTheme="majorBidi" w:hAnsiTheme="majorBidi" w:cstheme="majorBidi"/>
        </w:rPr>
        <w:t>Test Cycle</w:t>
      </w:r>
      <w:r w:rsidR="007A68DD" w:rsidRPr="00E36860">
        <w:rPr>
          <w:rFonts w:asciiTheme="majorBidi" w:hAnsiTheme="majorBidi" w:cstheme="majorBidi"/>
        </w:rPr>
        <w:t xml:space="preserve">) </w:t>
      </w:r>
      <w:r w:rsidR="00D27736" w:rsidRPr="00584A1C">
        <w:rPr>
          <w:rFonts w:asciiTheme="majorBidi" w:hAnsiTheme="majorBidi" w:cstheme="majorBidi"/>
        </w:rPr>
        <w:t xml:space="preserve">and </w:t>
      </w:r>
      <w:r w:rsidR="007A68DD" w:rsidRPr="00D001C4">
        <w:rPr>
          <w:rFonts w:asciiTheme="majorBidi" w:hAnsiTheme="majorBidi" w:cstheme="majorBidi"/>
        </w:rPr>
        <w:t>one</w:t>
      </w:r>
      <w:r w:rsidR="00D27736" w:rsidRPr="00D001C4">
        <w:rPr>
          <w:rFonts w:asciiTheme="majorBidi" w:hAnsiTheme="majorBidi" w:cstheme="majorBidi"/>
        </w:rPr>
        <w:t xml:space="preserve"> </w:t>
      </w:r>
      <w:r w:rsidRPr="00E27245">
        <w:rPr>
          <w:rFonts w:asciiTheme="majorBidi" w:hAnsiTheme="majorBidi" w:cstheme="majorBidi"/>
        </w:rPr>
        <w:t xml:space="preserve">amendment to </w:t>
      </w:r>
      <w:r w:rsidR="00D27736" w:rsidRPr="00D837D0">
        <w:rPr>
          <w:rFonts w:asciiTheme="majorBidi" w:hAnsiTheme="majorBidi" w:cstheme="majorBidi"/>
        </w:rPr>
        <w:t>Mutual Resolution</w:t>
      </w:r>
      <w:r w:rsidR="00E26656">
        <w:rPr>
          <w:rFonts w:asciiTheme="majorBidi" w:hAnsiTheme="majorBidi" w:cstheme="majorBidi"/>
        </w:rPr>
        <w:t> </w:t>
      </w:r>
      <w:r w:rsidRPr="00D837D0">
        <w:rPr>
          <w:rFonts w:asciiTheme="majorBidi" w:hAnsiTheme="majorBidi" w:cstheme="majorBidi"/>
        </w:rPr>
        <w:t xml:space="preserve">No.1 (M.R.1) </w:t>
      </w:r>
      <w:r w:rsidR="00F12F96" w:rsidRPr="00D837D0">
        <w:rPr>
          <w:rFonts w:asciiTheme="majorBidi" w:hAnsiTheme="majorBidi" w:cstheme="majorBidi"/>
        </w:rPr>
        <w:t xml:space="preserve">on </w:t>
      </w:r>
      <w:r w:rsidRPr="00B65EA0">
        <w:rPr>
          <w:rFonts w:asciiTheme="majorBidi" w:hAnsiTheme="majorBidi" w:cstheme="majorBidi"/>
        </w:rPr>
        <w:t xml:space="preserve">the description and performance of test tools and devices necessary for the assessment of compliance of wheeled vehicles, </w:t>
      </w:r>
      <w:proofErr w:type="gramStart"/>
      <w:r w:rsidRPr="00B65EA0">
        <w:rPr>
          <w:rFonts w:asciiTheme="majorBidi" w:hAnsiTheme="majorBidi" w:cstheme="majorBidi"/>
        </w:rPr>
        <w:t>equipment</w:t>
      </w:r>
      <w:proofErr w:type="gramEnd"/>
      <w:r w:rsidRPr="00B65EA0">
        <w:rPr>
          <w:rFonts w:asciiTheme="majorBidi" w:hAnsiTheme="majorBidi" w:cstheme="majorBidi"/>
        </w:rPr>
        <w:t xml:space="preserve"> and parts according to the technical prescriptions specified in </w:t>
      </w:r>
      <w:r w:rsidR="00AF37C6">
        <w:rPr>
          <w:rFonts w:asciiTheme="majorBidi" w:hAnsiTheme="majorBidi" w:cstheme="majorBidi"/>
        </w:rPr>
        <w:t xml:space="preserve">the </w:t>
      </w:r>
      <w:r w:rsidRPr="00B65EA0">
        <w:rPr>
          <w:rFonts w:asciiTheme="majorBidi" w:hAnsiTheme="majorBidi" w:cstheme="majorBidi"/>
        </w:rPr>
        <w:t xml:space="preserve">UN Regulations </w:t>
      </w:r>
      <w:r w:rsidRPr="00713203">
        <w:rPr>
          <w:rFonts w:asciiTheme="majorBidi" w:hAnsiTheme="majorBidi" w:cstheme="majorBidi"/>
        </w:rPr>
        <w:t xml:space="preserve">and </w:t>
      </w:r>
      <w:r w:rsidR="00AF37C6">
        <w:rPr>
          <w:rFonts w:asciiTheme="majorBidi" w:hAnsiTheme="majorBidi" w:cstheme="majorBidi"/>
        </w:rPr>
        <w:t xml:space="preserve">the </w:t>
      </w:r>
      <w:r w:rsidRPr="00713203">
        <w:rPr>
          <w:rFonts w:asciiTheme="majorBidi" w:hAnsiTheme="majorBidi" w:cstheme="majorBidi"/>
        </w:rPr>
        <w:t>UN Global Technical Regulations.</w:t>
      </w:r>
      <w:r w:rsidR="00F91B03" w:rsidRPr="00713203">
        <w:rPr>
          <w:rFonts w:asciiTheme="majorBidi" w:hAnsiTheme="majorBidi" w:cstheme="majorBidi"/>
        </w:rPr>
        <w:t xml:space="preserve"> </w:t>
      </w:r>
      <w:r w:rsidR="00390699" w:rsidRPr="00713203">
        <w:t>This will</w:t>
      </w:r>
      <w:r w:rsidR="00F91B03" w:rsidRPr="00713203">
        <w:t xml:space="preserve"> adapt the UN GTRs to the most recent technological innovations and introduce more stringent requirements aimed at increasing both the safety and environmental performance of vehicles</w:t>
      </w:r>
      <w:r w:rsidR="00F91B03" w:rsidRPr="00167731">
        <w:rPr>
          <w:rFonts w:asciiTheme="majorBidi" w:hAnsiTheme="majorBidi" w:cstheme="majorBidi"/>
        </w:rPr>
        <w:t xml:space="preserve">. </w:t>
      </w:r>
    </w:p>
    <w:p w14:paraId="54316D77" w14:textId="12EDD526" w:rsidR="00F91B03" w:rsidRPr="00595F40" w:rsidRDefault="00F91B03" w:rsidP="004A530C">
      <w:pPr>
        <w:pStyle w:val="HChG"/>
      </w:pPr>
      <w:r w:rsidRPr="002E3E82">
        <w:lastRenderedPageBreak/>
        <w:tab/>
        <w:t>V</w:t>
      </w:r>
      <w:r w:rsidR="00130F7A">
        <w:t>I</w:t>
      </w:r>
      <w:r w:rsidRPr="002E3E82">
        <w:t>.</w:t>
      </w:r>
      <w:r w:rsidRPr="002E3E82">
        <w:tab/>
        <w:t>Link with the 2030 A</w:t>
      </w:r>
      <w:r w:rsidRPr="00595F40">
        <w:t>genda for Sustainable Development</w:t>
      </w:r>
    </w:p>
    <w:p w14:paraId="60899352" w14:textId="1A16F9DC" w:rsidR="00250503" w:rsidRPr="0071079D" w:rsidRDefault="00F91B03" w:rsidP="004A530C">
      <w:pPr>
        <w:pStyle w:val="SingleTxtG"/>
      </w:pPr>
      <w:r w:rsidRPr="00595F40">
        <w:t>1</w:t>
      </w:r>
      <w:r w:rsidR="00A1151B" w:rsidRPr="00595F40">
        <w:t>3</w:t>
      </w:r>
      <w:r w:rsidRPr="00595F40">
        <w:t>.</w:t>
      </w:r>
      <w:r w:rsidRPr="00595F40">
        <w:tab/>
        <w:t>Accession to United Nations vehicle agreements and adherence to annexed UN</w:t>
      </w:r>
      <w:r w:rsidR="00B619F0">
        <w:t> </w:t>
      </w:r>
      <w:r w:rsidRPr="00595F40">
        <w:t xml:space="preserve">Regulations, Rules and </w:t>
      </w:r>
      <w:r w:rsidR="00390699" w:rsidRPr="00C56803">
        <w:t xml:space="preserve">UN </w:t>
      </w:r>
      <w:r w:rsidRPr="00C56803">
        <w:t xml:space="preserve">GTRs can contribute to progress in achieving targets 3.6, 3.9, 7.3, 9.1, 11.2 and 13.2 of the Sustainable </w:t>
      </w:r>
      <w:r w:rsidRPr="0071079D">
        <w:t>Development Goals.</w:t>
      </w:r>
    </w:p>
    <w:p w14:paraId="03372C90" w14:textId="76B53194" w:rsidR="005C1615" w:rsidRPr="004617D3" w:rsidRDefault="005C1615" w:rsidP="005C1615">
      <w:pPr>
        <w:spacing w:before="240"/>
        <w:jc w:val="center"/>
        <w:rPr>
          <w:u w:val="single"/>
        </w:rPr>
      </w:pPr>
      <w:r w:rsidRPr="004617D3">
        <w:rPr>
          <w:u w:val="single"/>
        </w:rPr>
        <w:tab/>
      </w:r>
      <w:r w:rsidRPr="004617D3">
        <w:rPr>
          <w:u w:val="single"/>
        </w:rPr>
        <w:tab/>
      </w:r>
      <w:r w:rsidRPr="004617D3">
        <w:rPr>
          <w:u w:val="single"/>
        </w:rPr>
        <w:tab/>
      </w:r>
    </w:p>
    <w:sectPr w:rsidR="005C1615" w:rsidRPr="004617D3" w:rsidSect="0095478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B6E3" w14:textId="77777777" w:rsidR="001A6574" w:rsidRDefault="001A6574"/>
  </w:endnote>
  <w:endnote w:type="continuationSeparator" w:id="0">
    <w:p w14:paraId="2F6B163B" w14:textId="77777777" w:rsidR="001A6574" w:rsidRDefault="001A6574"/>
  </w:endnote>
  <w:endnote w:type="continuationNotice" w:id="1">
    <w:p w14:paraId="5B18AA10" w14:textId="77777777" w:rsidR="001A6574" w:rsidRDefault="001A6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0B7022" w:rsidRPr="00954785" w:rsidRDefault="000B7022"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0B7022" w:rsidRPr="00954785" w:rsidRDefault="000B7022"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1B7C" w14:textId="294A8B0F" w:rsidR="00B92DE2" w:rsidRDefault="00B92DE2" w:rsidP="00B92DE2">
    <w:pPr>
      <w:pStyle w:val="Footer"/>
    </w:pPr>
    <w:r w:rsidRPr="0027112F">
      <w:rPr>
        <w:noProof/>
        <w:lang w:val="en-US"/>
      </w:rPr>
      <w:drawing>
        <wp:anchor distT="0" distB="0" distL="114300" distR="114300" simplePos="0" relativeHeight="251659264" behindDoc="0" locked="1" layoutInCell="1" allowOverlap="1" wp14:anchorId="4B08A56C" wp14:editId="25BEF1A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C5990A" w14:textId="7A9286E1" w:rsidR="00B92DE2" w:rsidRPr="00B92DE2" w:rsidRDefault="00B92DE2" w:rsidP="00B92DE2">
    <w:pPr>
      <w:pStyle w:val="Footer"/>
      <w:ind w:right="1134"/>
      <w:rPr>
        <w:sz w:val="20"/>
      </w:rPr>
    </w:pPr>
    <w:r>
      <w:rPr>
        <w:sz w:val="20"/>
      </w:rPr>
      <w:t>GE.22-28054(E)</w:t>
    </w:r>
    <w:r>
      <w:rPr>
        <w:noProof/>
        <w:sz w:val="20"/>
      </w:rPr>
      <w:drawing>
        <wp:anchor distT="0" distB="0" distL="114300" distR="114300" simplePos="0" relativeHeight="251660288" behindDoc="0" locked="0" layoutInCell="1" allowOverlap="1" wp14:anchorId="14162361" wp14:editId="4C7D30D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8690" w14:textId="77777777" w:rsidR="001A6574" w:rsidRPr="000B175B" w:rsidRDefault="001A6574" w:rsidP="000B175B">
      <w:pPr>
        <w:tabs>
          <w:tab w:val="right" w:pos="2155"/>
        </w:tabs>
        <w:spacing w:after="80"/>
        <w:ind w:left="680"/>
        <w:rPr>
          <w:u w:val="single"/>
        </w:rPr>
      </w:pPr>
      <w:r>
        <w:rPr>
          <w:u w:val="single"/>
        </w:rPr>
        <w:tab/>
      </w:r>
    </w:p>
  </w:footnote>
  <w:footnote w:type="continuationSeparator" w:id="0">
    <w:p w14:paraId="08985036" w14:textId="77777777" w:rsidR="001A6574" w:rsidRPr="00FC68B7" w:rsidRDefault="001A6574" w:rsidP="00FC68B7">
      <w:pPr>
        <w:tabs>
          <w:tab w:val="left" w:pos="2155"/>
        </w:tabs>
        <w:spacing w:after="80"/>
        <w:ind w:left="680"/>
        <w:rPr>
          <w:u w:val="single"/>
        </w:rPr>
      </w:pPr>
      <w:r>
        <w:rPr>
          <w:u w:val="single"/>
        </w:rPr>
        <w:tab/>
      </w:r>
    </w:p>
  </w:footnote>
  <w:footnote w:type="continuationNotice" w:id="1">
    <w:p w14:paraId="68D76B5D" w14:textId="77777777" w:rsidR="001A6574" w:rsidRDefault="001A6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2BD5F0A3" w:rsidR="000B7022" w:rsidRPr="00954785" w:rsidRDefault="00632E83">
    <w:pPr>
      <w:pStyle w:val="Header"/>
    </w:pPr>
    <w:r>
      <w:fldChar w:fldCharType="begin"/>
    </w:r>
    <w:r>
      <w:instrText>TITLE  \</w:instrText>
    </w:r>
    <w:r>
      <w:instrText>* MERGEFORMAT</w:instrText>
    </w:r>
    <w:r>
      <w:fldChar w:fldCharType="separate"/>
    </w:r>
    <w:r w:rsidR="00075CEC">
      <w:t>ECE/TRANS/2023/25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6C786F53" w:rsidR="000B7022" w:rsidRPr="0006395A" w:rsidRDefault="00632E83" w:rsidP="00954785">
    <w:pPr>
      <w:pStyle w:val="Header"/>
      <w:jc w:val="right"/>
      <w:rPr>
        <w:lang w:val="fr-CH"/>
      </w:rPr>
    </w:pPr>
    <w:r>
      <w:fldChar w:fldCharType="begin"/>
    </w:r>
    <w:r>
      <w:instrText>TITLE  \* MERGEFORMAT</w:instrText>
    </w:r>
    <w:r>
      <w:fldChar w:fldCharType="separate"/>
    </w:r>
    <w:r w:rsidR="00075CEC">
      <w:t>ECE/TRANS/2023/25</w:t>
    </w:r>
    <w:r>
      <w:fldChar w:fldCharType="end"/>
    </w:r>
    <w:r w:rsidR="00F95212">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749039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66AE868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3633C"/>
    <w:multiLevelType w:val="hybridMultilevel"/>
    <w:tmpl w:val="164C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F7BB8"/>
    <w:multiLevelType w:val="multilevel"/>
    <w:tmpl w:val="086A0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5794E"/>
    <w:multiLevelType w:val="multilevel"/>
    <w:tmpl w:val="0F5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7B6468"/>
    <w:multiLevelType w:val="hybridMultilevel"/>
    <w:tmpl w:val="0CC0A146"/>
    <w:lvl w:ilvl="0" w:tplc="5380EBFE">
      <w:start w:val="2"/>
      <w:numFmt w:val="bullet"/>
      <w:lvlText w:val="-"/>
      <w:lvlJc w:val="left"/>
      <w:pPr>
        <w:ind w:left="410" w:hanging="360"/>
      </w:pPr>
      <w:rPr>
        <w:rFonts w:ascii="Calibri" w:eastAsiaTheme="minorEastAsia"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A71467"/>
    <w:multiLevelType w:val="multilevel"/>
    <w:tmpl w:val="CCA6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75A7B"/>
    <w:multiLevelType w:val="multilevel"/>
    <w:tmpl w:val="EA0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A1862"/>
    <w:multiLevelType w:val="multilevel"/>
    <w:tmpl w:val="5C6C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9F329B"/>
    <w:multiLevelType w:val="hybridMultilevel"/>
    <w:tmpl w:val="98E04A14"/>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A6B7B"/>
    <w:multiLevelType w:val="multilevel"/>
    <w:tmpl w:val="1E56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35463D"/>
    <w:multiLevelType w:val="multilevel"/>
    <w:tmpl w:val="CD92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0"/>
  </w:num>
  <w:num w:numId="14">
    <w:abstractNumId w:val="12"/>
  </w:num>
  <w:num w:numId="15">
    <w:abstractNumId w:val="20"/>
  </w:num>
  <w:num w:numId="16">
    <w:abstractNumId w:val="13"/>
  </w:num>
  <w:num w:numId="17">
    <w:abstractNumId w:val="26"/>
  </w:num>
  <w:num w:numId="18">
    <w:abstractNumId w:val="29"/>
  </w:num>
  <w:num w:numId="19">
    <w:abstractNumId w:val="11"/>
  </w:num>
  <w:num w:numId="20">
    <w:abstractNumId w:val="22"/>
  </w:num>
  <w:num w:numId="21">
    <w:abstractNumId w:val="15"/>
  </w:num>
  <w:num w:numId="22">
    <w:abstractNumId w:val="18"/>
  </w:num>
  <w:num w:numId="23">
    <w:abstractNumId w:val="17"/>
  </w:num>
  <w:num w:numId="24">
    <w:abstractNumId w:val="23"/>
  </w:num>
  <w:num w:numId="25">
    <w:abstractNumId w:val="16"/>
  </w:num>
  <w:num w:numId="26">
    <w:abstractNumId w:val="28"/>
  </w:num>
  <w:num w:numId="27">
    <w:abstractNumId w:val="27"/>
  </w:num>
  <w:num w:numId="28">
    <w:abstractNumId w:val="21"/>
  </w:num>
  <w:num w:numId="29">
    <w:abstractNumId w:val="25"/>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2DA5"/>
    <w:rsid w:val="000038A8"/>
    <w:rsid w:val="00006790"/>
    <w:rsid w:val="000103B8"/>
    <w:rsid w:val="00022045"/>
    <w:rsid w:val="0002687F"/>
    <w:rsid w:val="00027624"/>
    <w:rsid w:val="00050F6B"/>
    <w:rsid w:val="0006395A"/>
    <w:rsid w:val="000678CD"/>
    <w:rsid w:val="00072C8C"/>
    <w:rsid w:val="00074C0E"/>
    <w:rsid w:val="00075CEC"/>
    <w:rsid w:val="00081CE0"/>
    <w:rsid w:val="00084D30"/>
    <w:rsid w:val="00087C73"/>
    <w:rsid w:val="00090320"/>
    <w:rsid w:val="000931C0"/>
    <w:rsid w:val="00097D4E"/>
    <w:rsid w:val="000A2E09"/>
    <w:rsid w:val="000B175B"/>
    <w:rsid w:val="000B3A0F"/>
    <w:rsid w:val="000B7022"/>
    <w:rsid w:val="000D06A4"/>
    <w:rsid w:val="000D4BFB"/>
    <w:rsid w:val="000E0415"/>
    <w:rsid w:val="000F7715"/>
    <w:rsid w:val="00106BDB"/>
    <w:rsid w:val="00113DF1"/>
    <w:rsid w:val="00115ABD"/>
    <w:rsid w:val="00116477"/>
    <w:rsid w:val="00127251"/>
    <w:rsid w:val="00130F7A"/>
    <w:rsid w:val="00141375"/>
    <w:rsid w:val="00153CB3"/>
    <w:rsid w:val="00156B99"/>
    <w:rsid w:val="00161A37"/>
    <w:rsid w:val="00166124"/>
    <w:rsid w:val="00167731"/>
    <w:rsid w:val="00174EEB"/>
    <w:rsid w:val="00184DDA"/>
    <w:rsid w:val="001900CD"/>
    <w:rsid w:val="001A0452"/>
    <w:rsid w:val="001A6574"/>
    <w:rsid w:val="001B4B04"/>
    <w:rsid w:val="001B5875"/>
    <w:rsid w:val="001B5AC9"/>
    <w:rsid w:val="001B7F86"/>
    <w:rsid w:val="001B7FA6"/>
    <w:rsid w:val="001C4B9C"/>
    <w:rsid w:val="001C5E0D"/>
    <w:rsid w:val="001C6663"/>
    <w:rsid w:val="001C7895"/>
    <w:rsid w:val="001D26DF"/>
    <w:rsid w:val="001E1556"/>
    <w:rsid w:val="001E1BD3"/>
    <w:rsid w:val="001F1599"/>
    <w:rsid w:val="001F19C4"/>
    <w:rsid w:val="001F4E9A"/>
    <w:rsid w:val="002001DF"/>
    <w:rsid w:val="002043F0"/>
    <w:rsid w:val="00204A09"/>
    <w:rsid w:val="002053B6"/>
    <w:rsid w:val="00211E0B"/>
    <w:rsid w:val="00211FA5"/>
    <w:rsid w:val="0022137B"/>
    <w:rsid w:val="00222384"/>
    <w:rsid w:val="0022315D"/>
    <w:rsid w:val="00232575"/>
    <w:rsid w:val="00232D6D"/>
    <w:rsid w:val="00247258"/>
    <w:rsid w:val="00250503"/>
    <w:rsid w:val="00257229"/>
    <w:rsid w:val="00257CAC"/>
    <w:rsid w:val="0027237A"/>
    <w:rsid w:val="002734D4"/>
    <w:rsid w:val="00276C8B"/>
    <w:rsid w:val="00292B57"/>
    <w:rsid w:val="002974E9"/>
    <w:rsid w:val="002A7F94"/>
    <w:rsid w:val="002B109A"/>
    <w:rsid w:val="002C3A9B"/>
    <w:rsid w:val="002C5FFF"/>
    <w:rsid w:val="002C6D45"/>
    <w:rsid w:val="002D60D4"/>
    <w:rsid w:val="002D6E53"/>
    <w:rsid w:val="002E2B7B"/>
    <w:rsid w:val="002E3E82"/>
    <w:rsid w:val="002F046D"/>
    <w:rsid w:val="002F3023"/>
    <w:rsid w:val="00301764"/>
    <w:rsid w:val="00303D68"/>
    <w:rsid w:val="00305C83"/>
    <w:rsid w:val="00307A0A"/>
    <w:rsid w:val="003229D8"/>
    <w:rsid w:val="00326545"/>
    <w:rsid w:val="00326CA7"/>
    <w:rsid w:val="00336C97"/>
    <w:rsid w:val="00337EC6"/>
    <w:rsid w:val="00337F88"/>
    <w:rsid w:val="00342432"/>
    <w:rsid w:val="0035223F"/>
    <w:rsid w:val="00352D4B"/>
    <w:rsid w:val="00352FFA"/>
    <w:rsid w:val="0035638C"/>
    <w:rsid w:val="00364971"/>
    <w:rsid w:val="00380C3E"/>
    <w:rsid w:val="00390699"/>
    <w:rsid w:val="0039451F"/>
    <w:rsid w:val="003A0715"/>
    <w:rsid w:val="003A46BB"/>
    <w:rsid w:val="003A4EC7"/>
    <w:rsid w:val="003A7295"/>
    <w:rsid w:val="003B1F60"/>
    <w:rsid w:val="003C2CC4"/>
    <w:rsid w:val="003C359D"/>
    <w:rsid w:val="003C745D"/>
    <w:rsid w:val="003D4B23"/>
    <w:rsid w:val="003D7AC3"/>
    <w:rsid w:val="003E059E"/>
    <w:rsid w:val="003E278A"/>
    <w:rsid w:val="003E78AF"/>
    <w:rsid w:val="00400FE3"/>
    <w:rsid w:val="0040185F"/>
    <w:rsid w:val="00413520"/>
    <w:rsid w:val="004168AD"/>
    <w:rsid w:val="00432081"/>
    <w:rsid w:val="004325CB"/>
    <w:rsid w:val="00433E88"/>
    <w:rsid w:val="00440A07"/>
    <w:rsid w:val="004617D3"/>
    <w:rsid w:val="00462880"/>
    <w:rsid w:val="004662B9"/>
    <w:rsid w:val="004768EE"/>
    <w:rsid w:val="00476F24"/>
    <w:rsid w:val="00482610"/>
    <w:rsid w:val="004923A8"/>
    <w:rsid w:val="004A530C"/>
    <w:rsid w:val="004B1AB3"/>
    <w:rsid w:val="004C55B0"/>
    <w:rsid w:val="004D31B6"/>
    <w:rsid w:val="004E73C1"/>
    <w:rsid w:val="004F28C6"/>
    <w:rsid w:val="004F6BA0"/>
    <w:rsid w:val="00503BEA"/>
    <w:rsid w:val="0051364A"/>
    <w:rsid w:val="00516F9D"/>
    <w:rsid w:val="00521F35"/>
    <w:rsid w:val="00533616"/>
    <w:rsid w:val="00535ABA"/>
    <w:rsid w:val="0053768B"/>
    <w:rsid w:val="005420F2"/>
    <w:rsid w:val="0054285C"/>
    <w:rsid w:val="005756E9"/>
    <w:rsid w:val="00584173"/>
    <w:rsid w:val="00584A1C"/>
    <w:rsid w:val="00595520"/>
    <w:rsid w:val="00595F40"/>
    <w:rsid w:val="005A44B9"/>
    <w:rsid w:val="005A5BBB"/>
    <w:rsid w:val="005B1BA0"/>
    <w:rsid w:val="005B3B9D"/>
    <w:rsid w:val="005B3DB3"/>
    <w:rsid w:val="005B680E"/>
    <w:rsid w:val="005B69B3"/>
    <w:rsid w:val="005C1615"/>
    <w:rsid w:val="005D15CA"/>
    <w:rsid w:val="005D23B3"/>
    <w:rsid w:val="005E330C"/>
    <w:rsid w:val="005F08DF"/>
    <w:rsid w:val="005F3066"/>
    <w:rsid w:val="005F3E61"/>
    <w:rsid w:val="00604DDD"/>
    <w:rsid w:val="0060579D"/>
    <w:rsid w:val="00610276"/>
    <w:rsid w:val="006115CC"/>
    <w:rsid w:val="00611FC4"/>
    <w:rsid w:val="006165B9"/>
    <w:rsid w:val="006176FB"/>
    <w:rsid w:val="00620F69"/>
    <w:rsid w:val="0062262C"/>
    <w:rsid w:val="00630FCB"/>
    <w:rsid w:val="00632E83"/>
    <w:rsid w:val="00640B26"/>
    <w:rsid w:val="0065766B"/>
    <w:rsid w:val="00657867"/>
    <w:rsid w:val="006770B2"/>
    <w:rsid w:val="00686A48"/>
    <w:rsid w:val="00693701"/>
    <w:rsid w:val="006940E1"/>
    <w:rsid w:val="006A0FBE"/>
    <w:rsid w:val="006A3C72"/>
    <w:rsid w:val="006A7392"/>
    <w:rsid w:val="006B03A1"/>
    <w:rsid w:val="006B3ABA"/>
    <w:rsid w:val="006B4941"/>
    <w:rsid w:val="006B67D9"/>
    <w:rsid w:val="006C0288"/>
    <w:rsid w:val="006C5535"/>
    <w:rsid w:val="006C797D"/>
    <w:rsid w:val="006D0589"/>
    <w:rsid w:val="006D2024"/>
    <w:rsid w:val="006E07E5"/>
    <w:rsid w:val="006E564B"/>
    <w:rsid w:val="006E7154"/>
    <w:rsid w:val="006E7A0F"/>
    <w:rsid w:val="006F4B05"/>
    <w:rsid w:val="007003CD"/>
    <w:rsid w:val="00706F16"/>
    <w:rsid w:val="0070701E"/>
    <w:rsid w:val="0071079D"/>
    <w:rsid w:val="00713203"/>
    <w:rsid w:val="0072632A"/>
    <w:rsid w:val="00735195"/>
    <w:rsid w:val="007358E8"/>
    <w:rsid w:val="00736ECE"/>
    <w:rsid w:val="0074533B"/>
    <w:rsid w:val="00762DAA"/>
    <w:rsid w:val="007643BC"/>
    <w:rsid w:val="00780C68"/>
    <w:rsid w:val="007959FE"/>
    <w:rsid w:val="007A0CF1"/>
    <w:rsid w:val="007A2C8E"/>
    <w:rsid w:val="007A68DD"/>
    <w:rsid w:val="007B3D3B"/>
    <w:rsid w:val="007B6BA5"/>
    <w:rsid w:val="007C1230"/>
    <w:rsid w:val="007C3390"/>
    <w:rsid w:val="007C42D8"/>
    <w:rsid w:val="007C4F4B"/>
    <w:rsid w:val="007D7362"/>
    <w:rsid w:val="007F5CE2"/>
    <w:rsid w:val="007F5D51"/>
    <w:rsid w:val="007F6611"/>
    <w:rsid w:val="00810BAC"/>
    <w:rsid w:val="00814860"/>
    <w:rsid w:val="00815316"/>
    <w:rsid w:val="008158CF"/>
    <w:rsid w:val="008175E9"/>
    <w:rsid w:val="008242D7"/>
    <w:rsid w:val="0082577B"/>
    <w:rsid w:val="00827304"/>
    <w:rsid w:val="00827556"/>
    <w:rsid w:val="0082784B"/>
    <w:rsid w:val="008304E1"/>
    <w:rsid w:val="0084345F"/>
    <w:rsid w:val="0084436C"/>
    <w:rsid w:val="00866893"/>
    <w:rsid w:val="00866F02"/>
    <w:rsid w:val="00867D18"/>
    <w:rsid w:val="00871F9A"/>
    <w:rsid w:val="00871FD5"/>
    <w:rsid w:val="0088172E"/>
    <w:rsid w:val="00881EFA"/>
    <w:rsid w:val="00884982"/>
    <w:rsid w:val="008879CB"/>
    <w:rsid w:val="00887CFB"/>
    <w:rsid w:val="008979B1"/>
    <w:rsid w:val="00897F89"/>
    <w:rsid w:val="008A1D1B"/>
    <w:rsid w:val="008A6B25"/>
    <w:rsid w:val="008A6C4F"/>
    <w:rsid w:val="008B389E"/>
    <w:rsid w:val="008C6230"/>
    <w:rsid w:val="008D045E"/>
    <w:rsid w:val="008D3F25"/>
    <w:rsid w:val="008D4D82"/>
    <w:rsid w:val="008E0E46"/>
    <w:rsid w:val="008E7116"/>
    <w:rsid w:val="008F143B"/>
    <w:rsid w:val="008F3882"/>
    <w:rsid w:val="008F4B7C"/>
    <w:rsid w:val="00902399"/>
    <w:rsid w:val="0091411B"/>
    <w:rsid w:val="0091690A"/>
    <w:rsid w:val="00922D65"/>
    <w:rsid w:val="00926E47"/>
    <w:rsid w:val="00930FC6"/>
    <w:rsid w:val="00936F09"/>
    <w:rsid w:val="00943748"/>
    <w:rsid w:val="00943E8E"/>
    <w:rsid w:val="00947162"/>
    <w:rsid w:val="00954785"/>
    <w:rsid w:val="00960F3E"/>
    <w:rsid w:val="009610D0"/>
    <w:rsid w:val="0096375C"/>
    <w:rsid w:val="00964415"/>
    <w:rsid w:val="009662E6"/>
    <w:rsid w:val="0097095E"/>
    <w:rsid w:val="00973905"/>
    <w:rsid w:val="00976EC5"/>
    <w:rsid w:val="00980D34"/>
    <w:rsid w:val="0098592B"/>
    <w:rsid w:val="00985FC4"/>
    <w:rsid w:val="00990766"/>
    <w:rsid w:val="00991261"/>
    <w:rsid w:val="009964C4"/>
    <w:rsid w:val="009A73E4"/>
    <w:rsid w:val="009A7B81"/>
    <w:rsid w:val="009C5EAC"/>
    <w:rsid w:val="009D01C0"/>
    <w:rsid w:val="009D6A08"/>
    <w:rsid w:val="009E0A16"/>
    <w:rsid w:val="009E6CB7"/>
    <w:rsid w:val="009E7970"/>
    <w:rsid w:val="009F2EAC"/>
    <w:rsid w:val="009F57E3"/>
    <w:rsid w:val="00A02A18"/>
    <w:rsid w:val="00A0363E"/>
    <w:rsid w:val="00A10F4F"/>
    <w:rsid w:val="00A11067"/>
    <w:rsid w:val="00A1151B"/>
    <w:rsid w:val="00A11DA8"/>
    <w:rsid w:val="00A13992"/>
    <w:rsid w:val="00A14A96"/>
    <w:rsid w:val="00A1704A"/>
    <w:rsid w:val="00A21707"/>
    <w:rsid w:val="00A425EB"/>
    <w:rsid w:val="00A44513"/>
    <w:rsid w:val="00A44590"/>
    <w:rsid w:val="00A50B98"/>
    <w:rsid w:val="00A72F22"/>
    <w:rsid w:val="00A733BC"/>
    <w:rsid w:val="00A748A6"/>
    <w:rsid w:val="00A76147"/>
    <w:rsid w:val="00A76A69"/>
    <w:rsid w:val="00A879A4"/>
    <w:rsid w:val="00AA0FF8"/>
    <w:rsid w:val="00AC0F2C"/>
    <w:rsid w:val="00AC2F58"/>
    <w:rsid w:val="00AC502A"/>
    <w:rsid w:val="00AE2016"/>
    <w:rsid w:val="00AE7CBF"/>
    <w:rsid w:val="00AF37C6"/>
    <w:rsid w:val="00AF5561"/>
    <w:rsid w:val="00AF58C1"/>
    <w:rsid w:val="00B04A3F"/>
    <w:rsid w:val="00B06643"/>
    <w:rsid w:val="00B15055"/>
    <w:rsid w:val="00B20551"/>
    <w:rsid w:val="00B30179"/>
    <w:rsid w:val="00B33FC7"/>
    <w:rsid w:val="00B36F2A"/>
    <w:rsid w:val="00B37B15"/>
    <w:rsid w:val="00B45C02"/>
    <w:rsid w:val="00B462A5"/>
    <w:rsid w:val="00B5742E"/>
    <w:rsid w:val="00B619F0"/>
    <w:rsid w:val="00B65EA0"/>
    <w:rsid w:val="00B70B63"/>
    <w:rsid w:val="00B72A1E"/>
    <w:rsid w:val="00B81E12"/>
    <w:rsid w:val="00B92DE2"/>
    <w:rsid w:val="00B94754"/>
    <w:rsid w:val="00BA339B"/>
    <w:rsid w:val="00BA7090"/>
    <w:rsid w:val="00BB2277"/>
    <w:rsid w:val="00BB23CC"/>
    <w:rsid w:val="00BB6D12"/>
    <w:rsid w:val="00BC1E7E"/>
    <w:rsid w:val="00BC74E9"/>
    <w:rsid w:val="00BD3578"/>
    <w:rsid w:val="00BE36A9"/>
    <w:rsid w:val="00BE56AE"/>
    <w:rsid w:val="00BE618E"/>
    <w:rsid w:val="00BE7BEC"/>
    <w:rsid w:val="00BF0A5A"/>
    <w:rsid w:val="00BF0E63"/>
    <w:rsid w:val="00BF12A3"/>
    <w:rsid w:val="00BF16D7"/>
    <w:rsid w:val="00BF2373"/>
    <w:rsid w:val="00C012CF"/>
    <w:rsid w:val="00C044E2"/>
    <w:rsid w:val="00C048CB"/>
    <w:rsid w:val="00C066F3"/>
    <w:rsid w:val="00C101B2"/>
    <w:rsid w:val="00C13097"/>
    <w:rsid w:val="00C34F3C"/>
    <w:rsid w:val="00C37A3A"/>
    <w:rsid w:val="00C463DD"/>
    <w:rsid w:val="00C50006"/>
    <w:rsid w:val="00C56803"/>
    <w:rsid w:val="00C656C3"/>
    <w:rsid w:val="00C745C3"/>
    <w:rsid w:val="00C77ADD"/>
    <w:rsid w:val="00C978F5"/>
    <w:rsid w:val="00CA1591"/>
    <w:rsid w:val="00CA24A4"/>
    <w:rsid w:val="00CA32D9"/>
    <w:rsid w:val="00CA55C7"/>
    <w:rsid w:val="00CB0EAD"/>
    <w:rsid w:val="00CB1422"/>
    <w:rsid w:val="00CB1494"/>
    <w:rsid w:val="00CB348D"/>
    <w:rsid w:val="00CB42AE"/>
    <w:rsid w:val="00CD2C9A"/>
    <w:rsid w:val="00CD328F"/>
    <w:rsid w:val="00CD3488"/>
    <w:rsid w:val="00CD46F5"/>
    <w:rsid w:val="00CE4154"/>
    <w:rsid w:val="00CE4A8F"/>
    <w:rsid w:val="00CF071D"/>
    <w:rsid w:val="00CF331B"/>
    <w:rsid w:val="00CF499C"/>
    <w:rsid w:val="00D001C4"/>
    <w:rsid w:val="00D0123D"/>
    <w:rsid w:val="00D0590A"/>
    <w:rsid w:val="00D063F4"/>
    <w:rsid w:val="00D15B04"/>
    <w:rsid w:val="00D1718C"/>
    <w:rsid w:val="00D2031B"/>
    <w:rsid w:val="00D249F3"/>
    <w:rsid w:val="00D25EC4"/>
    <w:rsid w:val="00D25FE2"/>
    <w:rsid w:val="00D27736"/>
    <w:rsid w:val="00D37D95"/>
    <w:rsid w:val="00D37DA9"/>
    <w:rsid w:val="00D40322"/>
    <w:rsid w:val="00D406A7"/>
    <w:rsid w:val="00D43252"/>
    <w:rsid w:val="00D44D86"/>
    <w:rsid w:val="00D50B7D"/>
    <w:rsid w:val="00D52012"/>
    <w:rsid w:val="00D52FB8"/>
    <w:rsid w:val="00D626CE"/>
    <w:rsid w:val="00D704E5"/>
    <w:rsid w:val="00D72727"/>
    <w:rsid w:val="00D837D0"/>
    <w:rsid w:val="00D8714F"/>
    <w:rsid w:val="00D9741C"/>
    <w:rsid w:val="00D978C6"/>
    <w:rsid w:val="00DA0956"/>
    <w:rsid w:val="00DA357F"/>
    <w:rsid w:val="00DA3E12"/>
    <w:rsid w:val="00DB1EAB"/>
    <w:rsid w:val="00DC022A"/>
    <w:rsid w:val="00DC18AD"/>
    <w:rsid w:val="00DD60E8"/>
    <w:rsid w:val="00DD6659"/>
    <w:rsid w:val="00DF12EB"/>
    <w:rsid w:val="00DF6A00"/>
    <w:rsid w:val="00DF7CAE"/>
    <w:rsid w:val="00E01E7E"/>
    <w:rsid w:val="00E11BD6"/>
    <w:rsid w:val="00E11EFE"/>
    <w:rsid w:val="00E22972"/>
    <w:rsid w:val="00E26656"/>
    <w:rsid w:val="00E27245"/>
    <w:rsid w:val="00E36860"/>
    <w:rsid w:val="00E37E94"/>
    <w:rsid w:val="00E423C0"/>
    <w:rsid w:val="00E4349C"/>
    <w:rsid w:val="00E474BD"/>
    <w:rsid w:val="00E51D58"/>
    <w:rsid w:val="00E56255"/>
    <w:rsid w:val="00E61411"/>
    <w:rsid w:val="00E6414C"/>
    <w:rsid w:val="00E70EE1"/>
    <w:rsid w:val="00E7260F"/>
    <w:rsid w:val="00E86360"/>
    <w:rsid w:val="00E8702D"/>
    <w:rsid w:val="00E871CB"/>
    <w:rsid w:val="00E905F4"/>
    <w:rsid w:val="00E916A9"/>
    <w:rsid w:val="00E916DE"/>
    <w:rsid w:val="00E9220A"/>
    <w:rsid w:val="00E925AD"/>
    <w:rsid w:val="00E94B7A"/>
    <w:rsid w:val="00E96630"/>
    <w:rsid w:val="00E97356"/>
    <w:rsid w:val="00EB7245"/>
    <w:rsid w:val="00ED18DC"/>
    <w:rsid w:val="00ED6201"/>
    <w:rsid w:val="00ED659D"/>
    <w:rsid w:val="00ED7A2A"/>
    <w:rsid w:val="00EE0BE5"/>
    <w:rsid w:val="00EF1D7F"/>
    <w:rsid w:val="00F0137E"/>
    <w:rsid w:val="00F02C10"/>
    <w:rsid w:val="00F060D1"/>
    <w:rsid w:val="00F06C9C"/>
    <w:rsid w:val="00F1064A"/>
    <w:rsid w:val="00F12F96"/>
    <w:rsid w:val="00F21786"/>
    <w:rsid w:val="00F30332"/>
    <w:rsid w:val="00F3742B"/>
    <w:rsid w:val="00F41FDB"/>
    <w:rsid w:val="00F56D63"/>
    <w:rsid w:val="00F609A9"/>
    <w:rsid w:val="00F61D85"/>
    <w:rsid w:val="00F6634D"/>
    <w:rsid w:val="00F80C99"/>
    <w:rsid w:val="00F867EC"/>
    <w:rsid w:val="00F91B03"/>
    <w:rsid w:val="00F91B2B"/>
    <w:rsid w:val="00F94965"/>
    <w:rsid w:val="00F95212"/>
    <w:rsid w:val="00FA1BE3"/>
    <w:rsid w:val="00FC03CD"/>
    <w:rsid w:val="00FC0595"/>
    <w:rsid w:val="00FC0646"/>
    <w:rsid w:val="00FC1997"/>
    <w:rsid w:val="00FC68B7"/>
    <w:rsid w:val="00FD78EB"/>
    <w:rsid w:val="00FE6477"/>
    <w:rsid w:val="00FE6985"/>
    <w:rsid w:val="00FE7EE2"/>
    <w:rsid w:val="00FF0280"/>
    <w:rsid w:val="00FF02F5"/>
    <w:rsid w:val="00FF6766"/>
    <w:rsid w:val="21FF00C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E82"/>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F91B03"/>
    <w:rPr>
      <w:lang w:val="en-GB"/>
    </w:rPr>
  </w:style>
  <w:style w:type="character" w:customStyle="1" w:styleId="normaltextrun">
    <w:name w:val="normaltextrun"/>
    <w:basedOn w:val="DefaultParagraphFont"/>
    <w:rsid w:val="00F91B03"/>
  </w:style>
  <w:style w:type="character" w:styleId="CommentReference">
    <w:name w:val="annotation reference"/>
    <w:basedOn w:val="DefaultParagraphFont"/>
    <w:semiHidden/>
    <w:unhideWhenUsed/>
    <w:rsid w:val="00141375"/>
    <w:rPr>
      <w:sz w:val="16"/>
      <w:szCs w:val="16"/>
    </w:rPr>
  </w:style>
  <w:style w:type="paragraph" w:styleId="CommentText">
    <w:name w:val="annotation text"/>
    <w:basedOn w:val="Normal"/>
    <w:link w:val="CommentTextChar"/>
    <w:unhideWhenUsed/>
    <w:rsid w:val="00141375"/>
    <w:pPr>
      <w:spacing w:line="240" w:lineRule="auto"/>
    </w:pPr>
  </w:style>
  <w:style w:type="character" w:customStyle="1" w:styleId="CommentTextChar">
    <w:name w:val="Comment Text Char"/>
    <w:basedOn w:val="DefaultParagraphFont"/>
    <w:link w:val="CommentText"/>
    <w:rsid w:val="00141375"/>
    <w:rPr>
      <w:lang w:val="en-GB"/>
    </w:rPr>
  </w:style>
  <w:style w:type="paragraph" w:styleId="CommentSubject">
    <w:name w:val="annotation subject"/>
    <w:basedOn w:val="CommentText"/>
    <w:next w:val="CommentText"/>
    <w:link w:val="CommentSubjectChar"/>
    <w:semiHidden/>
    <w:unhideWhenUsed/>
    <w:rsid w:val="00141375"/>
    <w:rPr>
      <w:b/>
      <w:bCs/>
    </w:rPr>
  </w:style>
  <w:style w:type="character" w:customStyle="1" w:styleId="CommentSubjectChar">
    <w:name w:val="Comment Subject Char"/>
    <w:basedOn w:val="CommentTextChar"/>
    <w:link w:val="CommentSubject"/>
    <w:semiHidden/>
    <w:rsid w:val="00141375"/>
    <w:rPr>
      <w:b/>
      <w:bCs/>
      <w:lang w:val="en-GB"/>
    </w:rPr>
  </w:style>
  <w:style w:type="character" w:customStyle="1" w:styleId="Heading2Char">
    <w:name w:val="Heading 2 Char"/>
    <w:basedOn w:val="DefaultParagraphFont"/>
    <w:link w:val="Heading2"/>
    <w:uiPriority w:val="9"/>
    <w:rsid w:val="00610276"/>
    <w:rPr>
      <w:lang w:val="en-GB"/>
    </w:rPr>
  </w:style>
  <w:style w:type="paragraph" w:styleId="NormalWeb">
    <w:name w:val="Normal (Web)"/>
    <w:basedOn w:val="Normal"/>
    <w:uiPriority w:val="99"/>
    <w:unhideWhenUsed/>
    <w:rsid w:val="00610276"/>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610276"/>
    <w:rPr>
      <w:b/>
      <w:bCs/>
    </w:rPr>
  </w:style>
  <w:style w:type="paragraph" w:styleId="ListParagraph">
    <w:name w:val="List Paragraph"/>
    <w:basedOn w:val="Normal"/>
    <w:uiPriority w:val="34"/>
    <w:qFormat/>
    <w:rsid w:val="00610276"/>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styleId="Emphasis">
    <w:name w:val="Emphasis"/>
    <w:basedOn w:val="DefaultParagraphFont"/>
    <w:uiPriority w:val="20"/>
    <w:qFormat/>
    <w:rsid w:val="006C0288"/>
    <w:rPr>
      <w:i/>
      <w:iCs/>
    </w:rPr>
  </w:style>
  <w:style w:type="paragraph" w:styleId="Revision">
    <w:name w:val="Revision"/>
    <w:hidden/>
    <w:uiPriority w:val="99"/>
    <w:semiHidden/>
    <w:rsid w:val="00ED659D"/>
    <w:rPr>
      <w:lang w:val="en-GB"/>
    </w:rPr>
  </w:style>
  <w:style w:type="character" w:customStyle="1" w:styleId="hwsect">
    <w:name w:val="hwsect"/>
    <w:basedOn w:val="DefaultParagraphFont"/>
    <w:rsid w:val="000B7022"/>
  </w:style>
  <w:style w:type="character" w:customStyle="1" w:styleId="hw">
    <w:name w:val="hw"/>
    <w:basedOn w:val="DefaultParagraphFont"/>
    <w:rsid w:val="000B7022"/>
  </w:style>
  <w:style w:type="character" w:customStyle="1" w:styleId="ps">
    <w:name w:val="ps"/>
    <w:basedOn w:val="DefaultParagraphFont"/>
    <w:rsid w:val="000B7022"/>
  </w:style>
  <w:style w:type="paragraph" w:customStyle="1" w:styleId="rightlink">
    <w:name w:val="rightlink"/>
    <w:basedOn w:val="Normal"/>
    <w:rsid w:val="000B7022"/>
    <w:pPr>
      <w:suppressAutoHyphens w:val="0"/>
      <w:spacing w:before="100" w:beforeAutospacing="1" w:after="100" w:afterAutospacing="1" w:line="240" w:lineRule="auto"/>
    </w:pPr>
    <w:rPr>
      <w:sz w:val="24"/>
      <w:szCs w:val="24"/>
      <w:lang w:eastAsia="zh-CN"/>
    </w:rPr>
  </w:style>
  <w:style w:type="character" w:customStyle="1" w:styleId="screen-reader-text">
    <w:name w:val="screen-reader-text"/>
    <w:basedOn w:val="DefaultParagraphFont"/>
    <w:rsid w:val="000B7022"/>
  </w:style>
  <w:style w:type="character" w:customStyle="1" w:styleId="phonetics-block">
    <w:name w:val="phonetics-block"/>
    <w:basedOn w:val="DefaultParagraphFont"/>
    <w:rsid w:val="000B7022"/>
  </w:style>
  <w:style w:type="character" w:customStyle="1" w:styleId="phonetics">
    <w:name w:val="phonetics"/>
    <w:basedOn w:val="DefaultParagraphFont"/>
    <w:rsid w:val="000B7022"/>
  </w:style>
  <w:style w:type="paragraph" w:customStyle="1" w:styleId="entry-header">
    <w:name w:val="entry-header"/>
    <w:basedOn w:val="Normal"/>
    <w:rsid w:val="000B7022"/>
    <w:pPr>
      <w:suppressAutoHyphens w:val="0"/>
      <w:spacing w:before="100" w:beforeAutospacing="1" w:after="100" w:afterAutospacing="1" w:line="240" w:lineRule="auto"/>
    </w:pPr>
    <w:rPr>
      <w:sz w:val="24"/>
      <w:szCs w:val="24"/>
      <w:lang w:eastAsia="zh-CN"/>
    </w:rPr>
  </w:style>
  <w:style w:type="character" w:customStyle="1" w:styleId="noindent">
    <w:name w:val="noindent"/>
    <w:basedOn w:val="DefaultParagraphFont"/>
    <w:rsid w:val="000B7022"/>
  </w:style>
  <w:style w:type="character" w:customStyle="1" w:styleId="smallcaps">
    <w:name w:val="smallcaps"/>
    <w:basedOn w:val="DefaultParagraphFont"/>
    <w:rsid w:val="000B7022"/>
  </w:style>
  <w:style w:type="character" w:customStyle="1" w:styleId="quotationkeyword">
    <w:name w:val="quotationkeyword"/>
    <w:basedOn w:val="DefaultParagraphFont"/>
    <w:rsid w:val="000B7022"/>
  </w:style>
  <w:style w:type="character" w:customStyle="1" w:styleId="sr-only">
    <w:name w:val="sr-only"/>
    <w:basedOn w:val="DefaultParagraphFont"/>
    <w:rsid w:val="0084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137">
      <w:bodyDiv w:val="1"/>
      <w:marLeft w:val="0"/>
      <w:marRight w:val="0"/>
      <w:marTop w:val="0"/>
      <w:marBottom w:val="0"/>
      <w:divBdr>
        <w:top w:val="none" w:sz="0" w:space="0" w:color="auto"/>
        <w:left w:val="none" w:sz="0" w:space="0" w:color="auto"/>
        <w:bottom w:val="none" w:sz="0" w:space="0" w:color="auto"/>
        <w:right w:val="none" w:sz="0" w:space="0" w:color="auto"/>
      </w:divBdr>
    </w:div>
    <w:div w:id="509611502">
      <w:bodyDiv w:val="1"/>
      <w:marLeft w:val="0"/>
      <w:marRight w:val="0"/>
      <w:marTop w:val="0"/>
      <w:marBottom w:val="0"/>
      <w:divBdr>
        <w:top w:val="none" w:sz="0" w:space="0" w:color="auto"/>
        <w:left w:val="none" w:sz="0" w:space="0" w:color="auto"/>
        <w:bottom w:val="none" w:sz="0" w:space="0" w:color="auto"/>
        <w:right w:val="none" w:sz="0" w:space="0" w:color="auto"/>
      </w:divBdr>
    </w:div>
    <w:div w:id="639725780">
      <w:bodyDiv w:val="1"/>
      <w:marLeft w:val="0"/>
      <w:marRight w:val="0"/>
      <w:marTop w:val="0"/>
      <w:marBottom w:val="0"/>
      <w:divBdr>
        <w:top w:val="none" w:sz="0" w:space="0" w:color="auto"/>
        <w:left w:val="none" w:sz="0" w:space="0" w:color="auto"/>
        <w:bottom w:val="none" w:sz="0" w:space="0" w:color="auto"/>
        <w:right w:val="none" w:sz="0" w:space="0" w:color="auto"/>
      </w:divBdr>
    </w:div>
    <w:div w:id="899443429">
      <w:bodyDiv w:val="1"/>
      <w:marLeft w:val="0"/>
      <w:marRight w:val="0"/>
      <w:marTop w:val="0"/>
      <w:marBottom w:val="0"/>
      <w:divBdr>
        <w:top w:val="none" w:sz="0" w:space="0" w:color="auto"/>
        <w:left w:val="none" w:sz="0" w:space="0" w:color="auto"/>
        <w:bottom w:val="none" w:sz="0" w:space="0" w:color="auto"/>
        <w:right w:val="none" w:sz="0" w:space="0" w:color="auto"/>
      </w:divBdr>
      <w:divsChild>
        <w:div w:id="869337537">
          <w:marLeft w:val="0"/>
          <w:marRight w:val="0"/>
          <w:marTop w:val="0"/>
          <w:marBottom w:val="0"/>
          <w:divBdr>
            <w:top w:val="none" w:sz="0" w:space="0" w:color="auto"/>
            <w:left w:val="none" w:sz="0" w:space="0" w:color="auto"/>
            <w:bottom w:val="none" w:sz="0" w:space="0" w:color="auto"/>
            <w:right w:val="none" w:sz="0" w:space="0" w:color="auto"/>
          </w:divBdr>
          <w:divsChild>
            <w:div w:id="1419138420">
              <w:marLeft w:val="0"/>
              <w:marRight w:val="0"/>
              <w:marTop w:val="0"/>
              <w:marBottom w:val="0"/>
              <w:divBdr>
                <w:top w:val="none" w:sz="0" w:space="0" w:color="auto"/>
                <w:left w:val="none" w:sz="0" w:space="0" w:color="auto"/>
                <w:bottom w:val="none" w:sz="0" w:space="0" w:color="auto"/>
                <w:right w:val="none" w:sz="0" w:space="0" w:color="auto"/>
              </w:divBdr>
              <w:divsChild>
                <w:div w:id="66926181">
                  <w:marLeft w:val="0"/>
                  <w:marRight w:val="0"/>
                  <w:marTop w:val="0"/>
                  <w:marBottom w:val="0"/>
                  <w:divBdr>
                    <w:top w:val="none" w:sz="0" w:space="0" w:color="auto"/>
                    <w:left w:val="none" w:sz="0" w:space="0" w:color="auto"/>
                    <w:bottom w:val="none" w:sz="0" w:space="0" w:color="auto"/>
                    <w:right w:val="none" w:sz="0" w:space="0" w:color="auto"/>
                  </w:divBdr>
                </w:div>
                <w:div w:id="951059181">
                  <w:marLeft w:val="0"/>
                  <w:marRight w:val="0"/>
                  <w:marTop w:val="0"/>
                  <w:marBottom w:val="0"/>
                  <w:divBdr>
                    <w:top w:val="none" w:sz="0" w:space="0" w:color="auto"/>
                    <w:left w:val="none" w:sz="0" w:space="0" w:color="auto"/>
                    <w:bottom w:val="none" w:sz="0" w:space="0" w:color="auto"/>
                    <w:right w:val="none" w:sz="0" w:space="0" w:color="auto"/>
                  </w:divBdr>
                </w:div>
                <w:div w:id="530383788">
                  <w:marLeft w:val="0"/>
                  <w:marRight w:val="0"/>
                  <w:marTop w:val="0"/>
                  <w:marBottom w:val="0"/>
                  <w:divBdr>
                    <w:top w:val="none" w:sz="0" w:space="0" w:color="auto"/>
                    <w:left w:val="none" w:sz="0" w:space="0" w:color="auto"/>
                    <w:bottom w:val="none" w:sz="0" w:space="0" w:color="auto"/>
                    <w:right w:val="none" w:sz="0" w:space="0" w:color="auto"/>
                  </w:divBdr>
                </w:div>
              </w:divsChild>
            </w:div>
            <w:div w:id="1940679586">
              <w:marLeft w:val="0"/>
              <w:marRight w:val="0"/>
              <w:marTop w:val="0"/>
              <w:marBottom w:val="0"/>
              <w:divBdr>
                <w:top w:val="none" w:sz="0" w:space="0" w:color="auto"/>
                <w:left w:val="none" w:sz="0" w:space="0" w:color="auto"/>
                <w:bottom w:val="none" w:sz="0" w:space="0" w:color="auto"/>
                <w:right w:val="none" w:sz="0" w:space="0" w:color="auto"/>
              </w:divBdr>
              <w:divsChild>
                <w:div w:id="1742633268">
                  <w:marLeft w:val="0"/>
                  <w:marRight w:val="0"/>
                  <w:marTop w:val="0"/>
                  <w:marBottom w:val="0"/>
                  <w:divBdr>
                    <w:top w:val="none" w:sz="0" w:space="0" w:color="auto"/>
                    <w:left w:val="none" w:sz="0" w:space="0" w:color="auto"/>
                    <w:bottom w:val="none" w:sz="0" w:space="0" w:color="auto"/>
                    <w:right w:val="none" w:sz="0" w:space="0" w:color="auto"/>
                  </w:divBdr>
                </w:div>
                <w:div w:id="1512987125">
                  <w:marLeft w:val="0"/>
                  <w:marRight w:val="0"/>
                  <w:marTop w:val="0"/>
                  <w:marBottom w:val="0"/>
                  <w:divBdr>
                    <w:top w:val="none" w:sz="0" w:space="0" w:color="auto"/>
                    <w:left w:val="none" w:sz="0" w:space="0" w:color="auto"/>
                    <w:bottom w:val="none" w:sz="0" w:space="0" w:color="auto"/>
                    <w:right w:val="none" w:sz="0" w:space="0" w:color="auto"/>
                  </w:divBdr>
                </w:div>
                <w:div w:id="574046215">
                  <w:marLeft w:val="0"/>
                  <w:marRight w:val="0"/>
                  <w:marTop w:val="0"/>
                  <w:marBottom w:val="0"/>
                  <w:divBdr>
                    <w:top w:val="none" w:sz="0" w:space="0" w:color="auto"/>
                    <w:left w:val="none" w:sz="0" w:space="0" w:color="auto"/>
                    <w:bottom w:val="none" w:sz="0" w:space="0" w:color="auto"/>
                    <w:right w:val="none" w:sz="0" w:space="0" w:color="auto"/>
                  </w:divBdr>
                </w:div>
                <w:div w:id="1841776508">
                  <w:marLeft w:val="0"/>
                  <w:marRight w:val="0"/>
                  <w:marTop w:val="0"/>
                  <w:marBottom w:val="0"/>
                  <w:divBdr>
                    <w:top w:val="none" w:sz="0" w:space="0" w:color="auto"/>
                    <w:left w:val="none" w:sz="0" w:space="0" w:color="auto"/>
                    <w:bottom w:val="none" w:sz="0" w:space="0" w:color="auto"/>
                    <w:right w:val="none" w:sz="0" w:space="0" w:color="auto"/>
                  </w:divBdr>
                </w:div>
              </w:divsChild>
            </w:div>
            <w:div w:id="1546453602">
              <w:marLeft w:val="0"/>
              <w:marRight w:val="0"/>
              <w:marTop w:val="0"/>
              <w:marBottom w:val="0"/>
              <w:divBdr>
                <w:top w:val="none" w:sz="0" w:space="0" w:color="auto"/>
                <w:left w:val="none" w:sz="0" w:space="0" w:color="auto"/>
                <w:bottom w:val="none" w:sz="0" w:space="0" w:color="auto"/>
                <w:right w:val="none" w:sz="0" w:space="0" w:color="auto"/>
              </w:divBdr>
            </w:div>
            <w:div w:id="1884515489">
              <w:marLeft w:val="0"/>
              <w:marRight w:val="0"/>
              <w:marTop w:val="0"/>
              <w:marBottom w:val="0"/>
              <w:divBdr>
                <w:top w:val="none" w:sz="0" w:space="0" w:color="auto"/>
                <w:left w:val="none" w:sz="0" w:space="0" w:color="auto"/>
                <w:bottom w:val="none" w:sz="0" w:space="0" w:color="auto"/>
                <w:right w:val="none" w:sz="0" w:space="0" w:color="auto"/>
              </w:divBdr>
            </w:div>
            <w:div w:id="2065830709">
              <w:marLeft w:val="0"/>
              <w:marRight w:val="0"/>
              <w:marTop w:val="0"/>
              <w:marBottom w:val="0"/>
              <w:divBdr>
                <w:top w:val="none" w:sz="0" w:space="0" w:color="auto"/>
                <w:left w:val="none" w:sz="0" w:space="0" w:color="auto"/>
                <w:bottom w:val="none" w:sz="0" w:space="0" w:color="auto"/>
                <w:right w:val="none" w:sz="0" w:space="0" w:color="auto"/>
              </w:divBdr>
            </w:div>
            <w:div w:id="1393458950">
              <w:marLeft w:val="0"/>
              <w:marRight w:val="0"/>
              <w:marTop w:val="0"/>
              <w:marBottom w:val="0"/>
              <w:divBdr>
                <w:top w:val="none" w:sz="0" w:space="0" w:color="auto"/>
                <w:left w:val="none" w:sz="0" w:space="0" w:color="auto"/>
                <w:bottom w:val="none" w:sz="0" w:space="0" w:color="auto"/>
                <w:right w:val="none" w:sz="0" w:space="0" w:color="auto"/>
              </w:divBdr>
              <w:divsChild>
                <w:div w:id="227495667">
                  <w:marLeft w:val="0"/>
                  <w:marRight w:val="0"/>
                  <w:marTop w:val="0"/>
                  <w:marBottom w:val="0"/>
                  <w:divBdr>
                    <w:top w:val="none" w:sz="0" w:space="0" w:color="auto"/>
                    <w:left w:val="none" w:sz="0" w:space="0" w:color="auto"/>
                    <w:bottom w:val="none" w:sz="0" w:space="0" w:color="auto"/>
                    <w:right w:val="none" w:sz="0" w:space="0" w:color="auto"/>
                  </w:divBdr>
                  <w:divsChild>
                    <w:div w:id="1864896560">
                      <w:marLeft w:val="0"/>
                      <w:marRight w:val="0"/>
                      <w:marTop w:val="0"/>
                      <w:marBottom w:val="0"/>
                      <w:divBdr>
                        <w:top w:val="none" w:sz="0" w:space="0" w:color="auto"/>
                        <w:left w:val="none" w:sz="0" w:space="0" w:color="auto"/>
                        <w:bottom w:val="none" w:sz="0" w:space="0" w:color="auto"/>
                        <w:right w:val="none" w:sz="0" w:space="0" w:color="auto"/>
                      </w:divBdr>
                      <w:divsChild>
                        <w:div w:id="654458760">
                          <w:marLeft w:val="0"/>
                          <w:marRight w:val="0"/>
                          <w:marTop w:val="0"/>
                          <w:marBottom w:val="0"/>
                          <w:divBdr>
                            <w:top w:val="none" w:sz="0" w:space="0" w:color="auto"/>
                            <w:left w:val="none" w:sz="0" w:space="0" w:color="auto"/>
                            <w:bottom w:val="none" w:sz="0" w:space="0" w:color="auto"/>
                            <w:right w:val="none" w:sz="0" w:space="0" w:color="auto"/>
                          </w:divBdr>
                          <w:divsChild>
                            <w:div w:id="817651159">
                              <w:marLeft w:val="0"/>
                              <w:marRight w:val="0"/>
                              <w:marTop w:val="0"/>
                              <w:marBottom w:val="0"/>
                              <w:divBdr>
                                <w:top w:val="none" w:sz="0" w:space="0" w:color="auto"/>
                                <w:left w:val="none" w:sz="0" w:space="0" w:color="auto"/>
                                <w:bottom w:val="none" w:sz="0" w:space="0" w:color="auto"/>
                                <w:right w:val="none" w:sz="0" w:space="0" w:color="auto"/>
                              </w:divBdr>
                              <w:divsChild>
                                <w:div w:id="318074807">
                                  <w:marLeft w:val="0"/>
                                  <w:marRight w:val="0"/>
                                  <w:marTop w:val="0"/>
                                  <w:marBottom w:val="0"/>
                                  <w:divBdr>
                                    <w:top w:val="none" w:sz="0" w:space="0" w:color="auto"/>
                                    <w:left w:val="none" w:sz="0" w:space="0" w:color="auto"/>
                                    <w:bottom w:val="none" w:sz="0" w:space="0" w:color="auto"/>
                                    <w:right w:val="none" w:sz="0" w:space="0" w:color="auto"/>
                                  </w:divBdr>
                                  <w:divsChild>
                                    <w:div w:id="1947156281">
                                      <w:marLeft w:val="0"/>
                                      <w:marRight w:val="0"/>
                                      <w:marTop w:val="0"/>
                                      <w:marBottom w:val="0"/>
                                      <w:divBdr>
                                        <w:top w:val="none" w:sz="0" w:space="0" w:color="auto"/>
                                        <w:left w:val="none" w:sz="0" w:space="0" w:color="auto"/>
                                        <w:bottom w:val="none" w:sz="0" w:space="0" w:color="auto"/>
                                        <w:right w:val="none" w:sz="0" w:space="0" w:color="auto"/>
                                      </w:divBdr>
                                      <w:divsChild>
                                        <w:div w:id="1613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4472">
                                  <w:marLeft w:val="0"/>
                                  <w:marRight w:val="0"/>
                                  <w:marTop w:val="0"/>
                                  <w:marBottom w:val="0"/>
                                  <w:divBdr>
                                    <w:top w:val="none" w:sz="0" w:space="0" w:color="auto"/>
                                    <w:left w:val="none" w:sz="0" w:space="0" w:color="auto"/>
                                    <w:bottom w:val="none" w:sz="0" w:space="0" w:color="auto"/>
                                    <w:right w:val="none" w:sz="0" w:space="0" w:color="auto"/>
                                  </w:divBdr>
                                  <w:divsChild>
                                    <w:div w:id="1206063669">
                                      <w:marLeft w:val="0"/>
                                      <w:marRight w:val="0"/>
                                      <w:marTop w:val="0"/>
                                      <w:marBottom w:val="0"/>
                                      <w:divBdr>
                                        <w:top w:val="none" w:sz="0" w:space="0" w:color="auto"/>
                                        <w:left w:val="none" w:sz="0" w:space="0" w:color="auto"/>
                                        <w:bottom w:val="none" w:sz="0" w:space="0" w:color="auto"/>
                                        <w:right w:val="none" w:sz="0" w:space="0" w:color="auto"/>
                                      </w:divBdr>
                                      <w:divsChild>
                                        <w:div w:id="1940023581">
                                          <w:marLeft w:val="0"/>
                                          <w:marRight w:val="0"/>
                                          <w:marTop w:val="0"/>
                                          <w:marBottom w:val="0"/>
                                          <w:divBdr>
                                            <w:top w:val="none" w:sz="0" w:space="0" w:color="auto"/>
                                            <w:left w:val="none" w:sz="0" w:space="0" w:color="auto"/>
                                            <w:bottom w:val="none" w:sz="0" w:space="0" w:color="auto"/>
                                            <w:right w:val="none" w:sz="0" w:space="0" w:color="auto"/>
                                          </w:divBdr>
                                        </w:div>
                                        <w:div w:id="881138488">
                                          <w:marLeft w:val="0"/>
                                          <w:marRight w:val="0"/>
                                          <w:marTop w:val="0"/>
                                          <w:marBottom w:val="0"/>
                                          <w:divBdr>
                                            <w:top w:val="none" w:sz="0" w:space="0" w:color="auto"/>
                                            <w:left w:val="none" w:sz="0" w:space="0" w:color="auto"/>
                                            <w:bottom w:val="none" w:sz="0" w:space="0" w:color="auto"/>
                                            <w:right w:val="none" w:sz="0" w:space="0" w:color="auto"/>
                                          </w:divBdr>
                                        </w:div>
                                        <w:div w:id="1448699128">
                                          <w:marLeft w:val="0"/>
                                          <w:marRight w:val="0"/>
                                          <w:marTop w:val="0"/>
                                          <w:marBottom w:val="0"/>
                                          <w:divBdr>
                                            <w:top w:val="none" w:sz="0" w:space="0" w:color="auto"/>
                                            <w:left w:val="none" w:sz="0" w:space="0" w:color="auto"/>
                                            <w:bottom w:val="none" w:sz="0" w:space="0" w:color="auto"/>
                                            <w:right w:val="none" w:sz="0" w:space="0" w:color="auto"/>
                                          </w:divBdr>
                                        </w:div>
                                        <w:div w:id="470444379">
                                          <w:marLeft w:val="0"/>
                                          <w:marRight w:val="0"/>
                                          <w:marTop w:val="0"/>
                                          <w:marBottom w:val="0"/>
                                          <w:divBdr>
                                            <w:top w:val="none" w:sz="0" w:space="0" w:color="auto"/>
                                            <w:left w:val="none" w:sz="0" w:space="0" w:color="auto"/>
                                            <w:bottom w:val="none" w:sz="0" w:space="0" w:color="auto"/>
                                            <w:right w:val="none" w:sz="0" w:space="0" w:color="auto"/>
                                          </w:divBdr>
                                        </w:div>
                                        <w:div w:id="1560051091">
                                          <w:marLeft w:val="0"/>
                                          <w:marRight w:val="0"/>
                                          <w:marTop w:val="0"/>
                                          <w:marBottom w:val="0"/>
                                          <w:divBdr>
                                            <w:top w:val="none" w:sz="0" w:space="0" w:color="auto"/>
                                            <w:left w:val="none" w:sz="0" w:space="0" w:color="auto"/>
                                            <w:bottom w:val="none" w:sz="0" w:space="0" w:color="auto"/>
                                            <w:right w:val="none" w:sz="0" w:space="0" w:color="auto"/>
                                          </w:divBdr>
                                        </w:div>
                                        <w:div w:id="3080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246940">
      <w:bodyDiv w:val="1"/>
      <w:marLeft w:val="0"/>
      <w:marRight w:val="0"/>
      <w:marTop w:val="0"/>
      <w:marBottom w:val="0"/>
      <w:divBdr>
        <w:top w:val="none" w:sz="0" w:space="0" w:color="auto"/>
        <w:left w:val="none" w:sz="0" w:space="0" w:color="auto"/>
        <w:bottom w:val="none" w:sz="0" w:space="0" w:color="auto"/>
        <w:right w:val="none" w:sz="0" w:space="0" w:color="auto"/>
      </w:divBdr>
    </w:div>
    <w:div w:id="1537936045">
      <w:bodyDiv w:val="1"/>
      <w:marLeft w:val="0"/>
      <w:marRight w:val="0"/>
      <w:marTop w:val="0"/>
      <w:marBottom w:val="0"/>
      <w:divBdr>
        <w:top w:val="none" w:sz="0" w:space="0" w:color="auto"/>
        <w:left w:val="none" w:sz="0" w:space="0" w:color="auto"/>
        <w:bottom w:val="none" w:sz="0" w:space="0" w:color="auto"/>
        <w:right w:val="none" w:sz="0" w:space="0" w:color="auto"/>
      </w:divBdr>
    </w:div>
    <w:div w:id="1562977798">
      <w:bodyDiv w:val="1"/>
      <w:marLeft w:val="0"/>
      <w:marRight w:val="0"/>
      <w:marTop w:val="0"/>
      <w:marBottom w:val="0"/>
      <w:divBdr>
        <w:top w:val="none" w:sz="0" w:space="0" w:color="auto"/>
        <w:left w:val="none" w:sz="0" w:space="0" w:color="auto"/>
        <w:bottom w:val="none" w:sz="0" w:space="0" w:color="auto"/>
        <w:right w:val="none" w:sz="0" w:space="0" w:color="auto"/>
      </w:divBdr>
    </w:div>
    <w:div w:id="1609854588">
      <w:bodyDiv w:val="1"/>
      <w:marLeft w:val="0"/>
      <w:marRight w:val="0"/>
      <w:marTop w:val="0"/>
      <w:marBottom w:val="0"/>
      <w:divBdr>
        <w:top w:val="none" w:sz="0" w:space="0" w:color="auto"/>
        <w:left w:val="none" w:sz="0" w:space="0" w:color="auto"/>
        <w:bottom w:val="none" w:sz="0" w:space="0" w:color="auto"/>
        <w:right w:val="none" w:sz="0" w:space="0" w:color="auto"/>
      </w:divBdr>
    </w:div>
    <w:div w:id="17675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408F2F40-79A1-4466-97D0-1D2E63A91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8189</Characters>
  <Application>Microsoft Office Word</Application>
  <DocSecurity>0</DocSecurity>
  <Lines>144</Lines>
  <Paragraphs>44</Paragraphs>
  <ScaleCrop>false</ScaleCrop>
  <HeadingPairs>
    <vt:vector size="2" baseType="variant">
      <vt:variant>
        <vt:lpstr>Title</vt:lpstr>
      </vt:variant>
      <vt:variant>
        <vt:i4>1</vt:i4>
      </vt:variant>
    </vt:vector>
  </HeadingPairs>
  <TitlesOfParts>
    <vt:vector size="1" baseType="lpstr">
      <vt:lpstr>ECE/TRANS/2023/25</vt:lpstr>
    </vt:vector>
  </TitlesOfParts>
  <Company>CSD</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ECE/TRANS/2023/25</dc:title>
  <dc:subject>2228054</dc:subject>
  <dc:creator>Una Philippa GILTSOFF</dc:creator>
  <cp:keywords/>
  <dc:description/>
  <cp:lastModifiedBy>Pauline Anne Escalante</cp:lastModifiedBy>
  <cp:revision>2</cp:revision>
  <cp:lastPrinted>2022-12-09T15:21:00Z</cp:lastPrinted>
  <dcterms:created xsi:type="dcterms:W3CDTF">2022-12-09T15:22:00Z</dcterms:created>
  <dcterms:modified xsi:type="dcterms:W3CDTF">2022-12-09T15:22:00Z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