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CD6C16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DE8A57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121696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D5742E" w14:textId="014A8093" w:rsidR="009E6CB7" w:rsidRPr="00D47EEA" w:rsidRDefault="0052149A" w:rsidP="00C02976">
            <w:pPr>
              <w:jc w:val="right"/>
            </w:pPr>
            <w:r w:rsidRPr="0052149A">
              <w:rPr>
                <w:sz w:val="40"/>
              </w:rPr>
              <w:t>ECE</w:t>
            </w:r>
            <w:r>
              <w:t>/TRANS/2023/13/Rev.1</w:t>
            </w:r>
          </w:p>
        </w:tc>
      </w:tr>
      <w:tr w:rsidR="009E6CB7" w14:paraId="0F5625B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C7860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4F29DD" wp14:editId="6F05F76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6EB2E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B20CE23" w14:textId="77777777" w:rsidR="009E6CB7" w:rsidRDefault="00C02976" w:rsidP="00C02976">
            <w:pPr>
              <w:spacing w:before="240" w:line="240" w:lineRule="exact"/>
            </w:pPr>
            <w:r>
              <w:t>Distr.: General</w:t>
            </w:r>
          </w:p>
          <w:p w14:paraId="1B69B993" w14:textId="630265BA" w:rsidR="00C02976" w:rsidRDefault="003141D0" w:rsidP="00C02976">
            <w:pPr>
              <w:spacing w:line="240" w:lineRule="exact"/>
            </w:pPr>
            <w:r>
              <w:t>1</w:t>
            </w:r>
            <w:r w:rsidR="002E68CB">
              <w:t>1</w:t>
            </w:r>
            <w:r>
              <w:t xml:space="preserve"> January</w:t>
            </w:r>
            <w:r w:rsidR="00C02976">
              <w:t xml:space="preserve"> 202</w:t>
            </w:r>
            <w:r>
              <w:t>3</w:t>
            </w:r>
          </w:p>
          <w:p w14:paraId="384A448F" w14:textId="4FCA6A08" w:rsidR="00C02976" w:rsidRDefault="00726E66" w:rsidP="00C02976">
            <w:pPr>
              <w:spacing w:line="240" w:lineRule="exact"/>
            </w:pPr>
            <w:r>
              <w:t>English</w:t>
            </w:r>
          </w:p>
          <w:p w14:paraId="3BD256BB" w14:textId="08A760C9" w:rsidR="00C02976" w:rsidRDefault="00F73A15" w:rsidP="00C02976">
            <w:pPr>
              <w:spacing w:line="240" w:lineRule="exact"/>
            </w:pPr>
            <w:r>
              <w:t>Original: E</w:t>
            </w:r>
            <w:r w:rsidR="00C02976">
              <w:t>nglish</w:t>
            </w:r>
            <w:r w:rsidR="003141D0">
              <w:t>, French and Russian</w:t>
            </w:r>
          </w:p>
        </w:tc>
      </w:tr>
    </w:tbl>
    <w:p w14:paraId="76F1B8E4" w14:textId="77777777" w:rsidR="00943748" w:rsidRPr="007D68EB" w:rsidRDefault="00943748" w:rsidP="00943748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14:paraId="324EF3BF" w14:textId="77777777" w:rsidR="00943748" w:rsidRPr="007D68EB" w:rsidRDefault="00943748" w:rsidP="00943748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19E9B60A" w14:textId="531FCF0B" w:rsidR="00943748" w:rsidRDefault="008312DD" w:rsidP="00943748">
      <w:pPr>
        <w:spacing w:before="120"/>
        <w:rPr>
          <w:b/>
          <w:bCs/>
          <w:lang w:val="en-US"/>
        </w:rPr>
      </w:pPr>
      <w:r w:rsidRPr="00FF02F5">
        <w:rPr>
          <w:b/>
          <w:bCs/>
        </w:rPr>
        <w:t>Eighty-</w:t>
      </w:r>
      <w:r>
        <w:rPr>
          <w:b/>
          <w:bCs/>
        </w:rPr>
        <w:t>fifth</w:t>
      </w:r>
      <w:r w:rsidR="00943748">
        <w:rPr>
          <w:b/>
          <w:bCs/>
          <w:lang w:val="en-US"/>
        </w:rPr>
        <w:t xml:space="preserve"> </w:t>
      </w:r>
      <w:r w:rsidR="00943748" w:rsidRPr="007D68EB">
        <w:rPr>
          <w:b/>
          <w:bCs/>
          <w:lang w:val="en-US"/>
        </w:rPr>
        <w:t>session</w:t>
      </w:r>
    </w:p>
    <w:p w14:paraId="35F95455" w14:textId="171E5A03" w:rsidR="00943748" w:rsidRDefault="00943748" w:rsidP="00943748">
      <w:r w:rsidRPr="007D68EB">
        <w:t>Geneva</w:t>
      </w:r>
      <w:r>
        <w:t xml:space="preserve">, </w:t>
      </w:r>
      <w:r w:rsidR="008312DD">
        <w:t>21-24 February 2023</w:t>
      </w:r>
    </w:p>
    <w:p w14:paraId="4E5AA5F2" w14:textId="4CF0C2A0" w:rsidR="001C6663" w:rsidRDefault="00943748" w:rsidP="00C02976">
      <w:r w:rsidRPr="004C2966">
        <w:t xml:space="preserve">Item </w:t>
      </w:r>
      <w:r w:rsidR="00B54038">
        <w:t>6</w:t>
      </w:r>
      <w:r w:rsidR="004516A6">
        <w:t xml:space="preserve"> (</w:t>
      </w:r>
      <w:r w:rsidR="006106E1">
        <w:t>c</w:t>
      </w:r>
      <w:r w:rsidR="004516A6">
        <w:t>)</w:t>
      </w:r>
      <w:r>
        <w:t xml:space="preserve"> </w:t>
      </w:r>
      <w:r w:rsidRPr="004C2966">
        <w:t>of the provisional agenda</w:t>
      </w:r>
    </w:p>
    <w:p w14:paraId="6D40518D" w14:textId="6D10BCA3" w:rsidR="004D7D88" w:rsidRDefault="00671E59" w:rsidP="004D7D88">
      <w:pPr>
        <w:rPr>
          <w:b/>
          <w:bCs/>
        </w:rPr>
      </w:pPr>
      <w:r w:rsidRPr="00671E59">
        <w:rPr>
          <w:b/>
          <w:bCs/>
        </w:rPr>
        <w:t>Programmatic issues</w:t>
      </w:r>
      <w:r w:rsidR="00955425">
        <w:rPr>
          <w:b/>
          <w:bCs/>
        </w:rPr>
        <w:t>:</w:t>
      </w:r>
    </w:p>
    <w:p w14:paraId="79CB1D27" w14:textId="57F998D3" w:rsidR="00955425" w:rsidRPr="00FF02F5" w:rsidRDefault="00513BD8" w:rsidP="004D7D88">
      <w:pPr>
        <w:rPr>
          <w:b/>
          <w:bCs/>
        </w:rPr>
      </w:pPr>
      <w:r w:rsidRPr="00513BD8">
        <w:rPr>
          <w:b/>
          <w:bCs/>
        </w:rPr>
        <w:t>List of Publications for 2024</w:t>
      </w:r>
    </w:p>
    <w:p w14:paraId="08F14F72" w14:textId="77777777" w:rsidR="00C15A3E" w:rsidRDefault="00502021" w:rsidP="00C15A3E">
      <w:pPr>
        <w:pStyle w:val="HChG"/>
      </w:pPr>
      <w:r w:rsidRPr="00FF02F5">
        <w:tab/>
      </w:r>
      <w:r w:rsidRPr="00FF02F5">
        <w:tab/>
      </w:r>
      <w:r w:rsidR="00C15A3E">
        <w:tab/>
      </w:r>
      <w:r w:rsidR="00C15A3E" w:rsidRPr="006C6062">
        <w:t>Publication</w:t>
      </w:r>
      <w:r w:rsidR="00C15A3E">
        <w:t>s</w:t>
      </w:r>
      <w:r w:rsidR="00C15A3E" w:rsidRPr="006C6062">
        <w:t xml:space="preserve"> programme for 202</w:t>
      </w:r>
      <w:r w:rsidR="00C15A3E">
        <w:t>4</w:t>
      </w:r>
    </w:p>
    <w:p w14:paraId="2DA3D4C5" w14:textId="77777777" w:rsidR="00072634" w:rsidRDefault="00072634" w:rsidP="0041063F">
      <w:pPr>
        <w:pStyle w:val="H23G"/>
      </w:pPr>
      <w:r>
        <w:tab/>
      </w:r>
      <w:r>
        <w:tab/>
        <w:t>Revision</w:t>
      </w:r>
    </w:p>
    <w:p w14:paraId="2C8172D3" w14:textId="77777777" w:rsidR="00C15A3E" w:rsidRPr="00857398" w:rsidRDefault="00C15A3E" w:rsidP="0041063F">
      <w:pPr>
        <w:pStyle w:val="H1G"/>
      </w:pPr>
      <w:r w:rsidRPr="00857398">
        <w:tab/>
      </w:r>
      <w:r w:rsidRPr="00857398">
        <w:tab/>
        <w:t>Note by the secretariat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C15A3E" w14:paraId="23CA1A1F" w14:textId="77777777" w:rsidTr="00AC3635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7D1EDB25" w14:textId="77777777" w:rsidR="00C15A3E" w:rsidRDefault="00C15A3E" w:rsidP="00AC3635">
            <w:pPr>
              <w:spacing w:line="240" w:lineRule="auto"/>
            </w:pPr>
            <w:r w:rsidRPr="00857398">
              <w:tab/>
            </w:r>
          </w:p>
        </w:tc>
      </w:tr>
      <w:tr w:rsidR="00C15A3E" w14:paraId="3B5D6431" w14:textId="77777777" w:rsidTr="00AC3635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1B58DE85" w14:textId="0F2E6FF8" w:rsidR="00C15A3E" w:rsidRDefault="00C15A3E" w:rsidP="00AC3635">
            <w:pPr>
              <w:spacing w:after="120"/>
              <w:jc w:val="both"/>
            </w:pPr>
            <w:r>
              <w:rPr>
                <w:lang w:val="en-US"/>
              </w:rPr>
              <w:tab/>
            </w:r>
            <w:r w:rsidR="00895AE5" w:rsidRPr="00895AE5">
              <w:rPr>
                <w:lang w:val="en-US"/>
              </w:rPr>
              <w:t>The Inland Transport Committee will have the opportunity to review the list of publications for 202</w:t>
            </w:r>
            <w:r w:rsidR="00475578">
              <w:rPr>
                <w:lang w:val="en-US"/>
              </w:rPr>
              <w:t>4</w:t>
            </w:r>
            <w:r w:rsidR="00895AE5" w:rsidRPr="00895AE5">
              <w:rPr>
                <w:lang w:val="en-US"/>
              </w:rPr>
              <w:t xml:space="preserve"> in line with instructions received from the United Nations Publications Board for preparing the ECE Publications </w:t>
            </w:r>
            <w:proofErr w:type="spellStart"/>
            <w:r w:rsidR="00895AE5" w:rsidRPr="00895AE5">
              <w:rPr>
                <w:lang w:val="en-US"/>
              </w:rPr>
              <w:t>Programme</w:t>
            </w:r>
            <w:proofErr w:type="spellEnd"/>
            <w:r w:rsidR="00895AE5" w:rsidRPr="00895AE5">
              <w:rPr>
                <w:lang w:val="en-US"/>
              </w:rPr>
              <w:t xml:space="preserve"> for the new budget year 202</w:t>
            </w:r>
            <w:r w:rsidR="00475578">
              <w:rPr>
                <w:lang w:val="en-US"/>
              </w:rPr>
              <w:t>4</w:t>
            </w:r>
            <w:r w:rsidR="00895AE5" w:rsidRPr="00895AE5">
              <w:rPr>
                <w:lang w:val="en-US"/>
              </w:rPr>
              <w:t xml:space="preserve">. The Committee </w:t>
            </w:r>
            <w:r w:rsidRPr="002E0C68">
              <w:rPr>
                <w:lang w:val="en-US"/>
              </w:rPr>
              <w:t xml:space="preserve">will be </w:t>
            </w:r>
            <w:r w:rsidRPr="002E0C68">
              <w:rPr>
                <w:b/>
                <w:bCs/>
                <w:lang w:val="en-US"/>
              </w:rPr>
              <w:t>invited to consider, support and endorse</w:t>
            </w:r>
            <w:r w:rsidRPr="002E0C68">
              <w:rPr>
                <w:lang w:val="en-US"/>
              </w:rPr>
              <w:t xml:space="preserve"> the list of publications for 202</w:t>
            </w:r>
            <w:r>
              <w:rPr>
                <w:lang w:val="en-US"/>
              </w:rPr>
              <w:t>4</w:t>
            </w:r>
            <w:r w:rsidRPr="002E0C68">
              <w:rPr>
                <w:lang w:val="en-US"/>
              </w:rPr>
              <w:t xml:space="preserve"> contained in the annex.</w:t>
            </w:r>
            <w:r>
              <w:rPr>
                <w:lang w:val="en-US"/>
              </w:rPr>
              <w:t xml:space="preserve"> </w:t>
            </w:r>
          </w:p>
        </w:tc>
      </w:tr>
      <w:tr w:rsidR="00C15A3E" w14:paraId="19C68ED3" w14:textId="77777777" w:rsidTr="00AC3635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08D97768" w14:textId="77777777" w:rsidR="00C15A3E" w:rsidRDefault="00C15A3E" w:rsidP="00AC3635">
            <w:pPr>
              <w:spacing w:after="120"/>
              <w:jc w:val="both"/>
            </w:pPr>
          </w:p>
        </w:tc>
      </w:tr>
      <w:tr w:rsidR="00C15A3E" w14:paraId="565D7147" w14:textId="77777777" w:rsidTr="00AC3635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7161F769" w14:textId="77777777" w:rsidR="00C15A3E" w:rsidRDefault="00C15A3E" w:rsidP="00AC3635">
            <w:pPr>
              <w:spacing w:line="240" w:lineRule="auto"/>
            </w:pPr>
          </w:p>
        </w:tc>
      </w:tr>
    </w:tbl>
    <w:p w14:paraId="59CF8DA1" w14:textId="77777777" w:rsidR="00C15A3E" w:rsidRDefault="00C15A3E" w:rsidP="00C15A3E">
      <w:pPr>
        <w:pStyle w:val="SingleTxtG"/>
      </w:pPr>
      <w:r>
        <w:br w:type="page"/>
      </w:r>
    </w:p>
    <w:p w14:paraId="0A79355B" w14:textId="77777777" w:rsidR="00C15A3E" w:rsidRDefault="00C15A3E" w:rsidP="00C15A3E">
      <w:pPr>
        <w:pStyle w:val="HChG"/>
      </w:pPr>
      <w:r>
        <w:lastRenderedPageBreak/>
        <w:t>Annex</w:t>
      </w:r>
    </w:p>
    <w:p w14:paraId="67008BB2" w14:textId="77777777" w:rsidR="00C15A3E" w:rsidRPr="00857398" w:rsidRDefault="00C15A3E" w:rsidP="00C15A3E">
      <w:pPr>
        <w:pStyle w:val="HChG"/>
      </w:pPr>
      <w:r>
        <w:tab/>
      </w:r>
      <w:r>
        <w:tab/>
      </w:r>
      <w:r w:rsidRPr="00320688">
        <w:t>Proposed Publications for 202</w:t>
      </w:r>
      <w:r>
        <w:t>4</w:t>
      </w:r>
    </w:p>
    <w:p w14:paraId="1AFC08E1" w14:textId="77777777" w:rsidR="00C15A3E" w:rsidRPr="0010561A" w:rsidRDefault="00C15A3E" w:rsidP="00C15A3E">
      <w:pPr>
        <w:pStyle w:val="H1G"/>
        <w:rPr>
          <w:lang w:val="ru-RU"/>
        </w:rPr>
      </w:pPr>
      <w:r w:rsidRPr="00672EEB">
        <w:tab/>
        <w:t>A.</w:t>
      </w:r>
      <w:r w:rsidRPr="00672EEB">
        <w:tab/>
        <w:t>Recurrent publications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3986"/>
        <w:gridCol w:w="933"/>
        <w:gridCol w:w="1020"/>
        <w:gridCol w:w="1050"/>
        <w:gridCol w:w="1108"/>
      </w:tblGrid>
      <w:tr w:rsidR="00C15A3E" w:rsidRPr="00DA76C6" w14:paraId="7190D586" w14:textId="77777777" w:rsidTr="00AC3635">
        <w:trPr>
          <w:cantSplit/>
          <w:tblHeader/>
        </w:trPr>
        <w:tc>
          <w:tcPr>
            <w:tcW w:w="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1ED51B7" w14:textId="77777777" w:rsidR="00C15A3E" w:rsidRPr="009E75D3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E75D3">
              <w:rPr>
                <w:i/>
                <w:sz w:val="16"/>
              </w:rPr>
              <w:t>Item no.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864B93E" w14:textId="77777777" w:rsidR="00C15A3E" w:rsidRPr="009E75D3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E75D3">
              <w:rPr>
                <w:i/>
                <w:sz w:val="16"/>
              </w:rPr>
              <w:t>Title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B23383E" w14:textId="77777777" w:rsidR="00C15A3E" w:rsidRPr="009E75D3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E75D3">
              <w:rPr>
                <w:i/>
                <w:sz w:val="16"/>
              </w:rPr>
              <w:t>Print and/or digital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1318F9F" w14:textId="77777777" w:rsidR="00C15A3E" w:rsidRPr="009E75D3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E75D3">
              <w:rPr>
                <w:i/>
                <w:sz w:val="16"/>
              </w:rPr>
              <w:t>No. of pages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55F8C39" w14:textId="77777777" w:rsidR="00C15A3E" w:rsidRPr="009E75D3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E75D3">
              <w:rPr>
                <w:i/>
                <w:sz w:val="16"/>
              </w:rPr>
              <w:t>Original language(s)</w:t>
            </w:r>
            <w:r w:rsidRPr="009E75D3">
              <w:rPr>
                <w:i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D9328CB" w14:textId="77777777" w:rsidR="00C15A3E" w:rsidRPr="009E75D3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9E75D3">
              <w:rPr>
                <w:i/>
                <w:sz w:val="16"/>
              </w:rPr>
              <w:t>Translated language(s)</w:t>
            </w:r>
          </w:p>
        </w:tc>
      </w:tr>
      <w:tr w:rsidR="00C15A3E" w:rsidRPr="00DA76C6" w14:paraId="3FBFEE8F" w14:textId="77777777" w:rsidTr="00AC3635">
        <w:trPr>
          <w:cantSplit/>
          <w:trHeight w:hRule="exact" w:val="113"/>
          <w:tblHeader/>
        </w:trPr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14:paraId="5C5C7774" w14:textId="77777777" w:rsidR="00C15A3E" w:rsidRPr="009E75D3" w:rsidRDefault="00C15A3E" w:rsidP="00AC3635">
            <w:pPr>
              <w:spacing w:before="40" w:after="120"/>
              <w:ind w:right="113"/>
            </w:pPr>
          </w:p>
        </w:tc>
        <w:tc>
          <w:tcPr>
            <w:tcW w:w="3986" w:type="dxa"/>
            <w:tcBorders>
              <w:top w:val="single" w:sz="12" w:space="0" w:color="auto"/>
            </w:tcBorders>
            <w:shd w:val="clear" w:color="auto" w:fill="auto"/>
          </w:tcPr>
          <w:p w14:paraId="625F8E0E" w14:textId="77777777" w:rsidR="00C15A3E" w:rsidRPr="009E75D3" w:rsidRDefault="00C15A3E" w:rsidP="00AC3635">
            <w:pPr>
              <w:spacing w:before="40" w:after="120"/>
              <w:ind w:right="113"/>
            </w:pPr>
          </w:p>
        </w:tc>
        <w:tc>
          <w:tcPr>
            <w:tcW w:w="933" w:type="dxa"/>
            <w:tcBorders>
              <w:top w:val="single" w:sz="12" w:space="0" w:color="auto"/>
            </w:tcBorders>
            <w:shd w:val="clear" w:color="auto" w:fill="auto"/>
          </w:tcPr>
          <w:p w14:paraId="06D9A507" w14:textId="77777777" w:rsidR="00C15A3E" w:rsidRPr="009E75D3" w:rsidRDefault="00C15A3E" w:rsidP="00AC3635">
            <w:pPr>
              <w:spacing w:before="40" w:after="120"/>
              <w:ind w:right="113"/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14:paraId="669CAD45" w14:textId="77777777" w:rsidR="00C15A3E" w:rsidRPr="009E75D3" w:rsidRDefault="00C15A3E" w:rsidP="00AC3635">
            <w:pPr>
              <w:spacing w:before="40" w:after="120"/>
              <w:ind w:right="113"/>
            </w:pP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</w:tcPr>
          <w:p w14:paraId="23B024F5" w14:textId="77777777" w:rsidR="00C15A3E" w:rsidRPr="009E75D3" w:rsidRDefault="00C15A3E" w:rsidP="00AC3635">
            <w:pPr>
              <w:spacing w:before="40" w:after="120"/>
              <w:ind w:right="113"/>
            </w:pP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</w:tcPr>
          <w:p w14:paraId="37868C44" w14:textId="77777777" w:rsidR="00C15A3E" w:rsidRPr="009E75D3" w:rsidRDefault="00C15A3E" w:rsidP="00AC3635">
            <w:pPr>
              <w:spacing w:before="40" w:after="120"/>
              <w:ind w:right="113"/>
            </w:pPr>
          </w:p>
        </w:tc>
      </w:tr>
      <w:tr w:rsidR="00C15A3E" w:rsidRPr="00DA76C6" w14:paraId="34E04295" w14:textId="77777777" w:rsidTr="00AC3635">
        <w:trPr>
          <w:cantSplit/>
        </w:trPr>
        <w:tc>
          <w:tcPr>
            <w:tcW w:w="408" w:type="dxa"/>
            <w:shd w:val="clear" w:color="auto" w:fill="auto"/>
          </w:tcPr>
          <w:p w14:paraId="412FC655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9E75D3">
              <w:rPr>
                <w:szCs w:val="18"/>
                <w:lang w:val="ru-RU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14:paraId="60D8714F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t>Agreement concerning the International Carriage of Dangerous Goods by Road (ADR 2025) (Volume I and II)</w:t>
            </w:r>
          </w:p>
        </w:tc>
        <w:tc>
          <w:tcPr>
            <w:tcW w:w="933" w:type="dxa"/>
            <w:shd w:val="clear" w:color="auto" w:fill="auto"/>
          </w:tcPr>
          <w:p w14:paraId="6A7FDA02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45DB77A9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t xml:space="preserve">Vol. I: 700  </w:t>
            </w:r>
            <w:proofErr w:type="spellStart"/>
            <w:r w:rsidRPr="009E75D3">
              <w:t>Vol.II</w:t>
            </w:r>
            <w:proofErr w:type="spellEnd"/>
            <w:r w:rsidRPr="009E75D3">
              <w:t>: 700</w:t>
            </w:r>
          </w:p>
        </w:tc>
        <w:tc>
          <w:tcPr>
            <w:tcW w:w="1050" w:type="dxa"/>
            <w:shd w:val="clear" w:color="auto" w:fill="auto"/>
          </w:tcPr>
          <w:p w14:paraId="0F8A6EAE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9E75D3">
              <w:rPr>
                <w:szCs w:val="18"/>
              </w:rPr>
              <w:t>E, F</w:t>
            </w:r>
          </w:p>
        </w:tc>
        <w:tc>
          <w:tcPr>
            <w:tcW w:w="1108" w:type="dxa"/>
            <w:shd w:val="clear" w:color="auto" w:fill="auto"/>
          </w:tcPr>
          <w:p w14:paraId="4CC4CC59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R</w:t>
            </w:r>
          </w:p>
        </w:tc>
      </w:tr>
      <w:tr w:rsidR="00C15A3E" w:rsidRPr="00DA76C6" w14:paraId="02074A9A" w14:textId="77777777" w:rsidTr="00AC3635">
        <w:trPr>
          <w:cantSplit/>
        </w:trPr>
        <w:tc>
          <w:tcPr>
            <w:tcW w:w="408" w:type="dxa"/>
            <w:shd w:val="clear" w:color="auto" w:fill="auto"/>
          </w:tcPr>
          <w:p w14:paraId="1A671636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9E75D3">
              <w:rPr>
                <w:szCs w:val="18"/>
                <w:lang w:val="ru-RU"/>
              </w:rPr>
              <w:t>2</w:t>
            </w:r>
          </w:p>
        </w:tc>
        <w:tc>
          <w:tcPr>
            <w:tcW w:w="3986" w:type="dxa"/>
            <w:shd w:val="clear" w:color="auto" w:fill="auto"/>
          </w:tcPr>
          <w:p w14:paraId="7FCBE56A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t>European Agreement concerning the International Carriage of Dangerous Goods by Inland Waterways (ADN 2025) (Volume I and II)</w:t>
            </w:r>
          </w:p>
        </w:tc>
        <w:tc>
          <w:tcPr>
            <w:tcW w:w="933" w:type="dxa"/>
            <w:shd w:val="clear" w:color="auto" w:fill="auto"/>
          </w:tcPr>
          <w:p w14:paraId="4C2CFE81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752C8363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t xml:space="preserve">Vol. I: 650  </w:t>
            </w:r>
            <w:proofErr w:type="spellStart"/>
            <w:r w:rsidRPr="009E75D3">
              <w:t>Vol.II</w:t>
            </w:r>
            <w:proofErr w:type="spellEnd"/>
            <w:r w:rsidRPr="009E75D3">
              <w:t>: 500</w:t>
            </w:r>
          </w:p>
        </w:tc>
        <w:tc>
          <w:tcPr>
            <w:tcW w:w="1050" w:type="dxa"/>
            <w:shd w:val="clear" w:color="auto" w:fill="auto"/>
          </w:tcPr>
          <w:p w14:paraId="47B955B7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9E75D3">
              <w:rPr>
                <w:szCs w:val="18"/>
              </w:rPr>
              <w:t xml:space="preserve">E, F,  </w:t>
            </w:r>
          </w:p>
        </w:tc>
        <w:tc>
          <w:tcPr>
            <w:tcW w:w="1108" w:type="dxa"/>
            <w:shd w:val="clear" w:color="auto" w:fill="auto"/>
          </w:tcPr>
          <w:p w14:paraId="2C1A24EC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R</w:t>
            </w:r>
          </w:p>
        </w:tc>
      </w:tr>
      <w:tr w:rsidR="00C15A3E" w:rsidRPr="00DA76C6" w14:paraId="465F6351" w14:textId="77777777" w:rsidTr="00AC3635">
        <w:trPr>
          <w:cantSplit/>
        </w:trPr>
        <w:tc>
          <w:tcPr>
            <w:tcW w:w="408" w:type="dxa"/>
            <w:shd w:val="clear" w:color="auto" w:fill="auto"/>
          </w:tcPr>
          <w:p w14:paraId="6CC5B9C1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9E75D3">
              <w:rPr>
                <w:szCs w:val="18"/>
                <w:lang w:val="ru-RU"/>
              </w:rPr>
              <w:t>3</w:t>
            </w:r>
          </w:p>
        </w:tc>
        <w:tc>
          <w:tcPr>
            <w:tcW w:w="3986" w:type="dxa"/>
            <w:shd w:val="clear" w:color="auto" w:fill="auto"/>
          </w:tcPr>
          <w:p w14:paraId="787409B6" w14:textId="77777777" w:rsidR="00C15A3E" w:rsidRPr="009E75D3" w:rsidRDefault="00C15A3E" w:rsidP="00AC3635">
            <w:pPr>
              <w:spacing w:before="40" w:after="120"/>
              <w:ind w:right="113"/>
            </w:pPr>
            <w:r w:rsidRPr="009E75D3">
              <w:rPr>
                <w:szCs w:val="18"/>
              </w:rPr>
              <w:t>Agreement on the International Carriage of Perishable Foodstuffs and on the Special Equipment to be Used for such Carriage (ATP)</w:t>
            </w:r>
          </w:p>
        </w:tc>
        <w:tc>
          <w:tcPr>
            <w:tcW w:w="933" w:type="dxa"/>
            <w:shd w:val="clear" w:color="auto" w:fill="auto"/>
          </w:tcPr>
          <w:p w14:paraId="16A591EB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68DB8F27" w14:textId="77777777" w:rsidR="00C15A3E" w:rsidRPr="009E75D3" w:rsidRDefault="00C15A3E" w:rsidP="00AC3635">
            <w:pPr>
              <w:spacing w:before="40" w:after="120"/>
              <w:ind w:right="113"/>
            </w:pPr>
            <w:r w:rsidRPr="009E75D3">
              <w:rPr>
                <w:szCs w:val="18"/>
              </w:rPr>
              <w:t>150</w:t>
            </w:r>
          </w:p>
        </w:tc>
        <w:tc>
          <w:tcPr>
            <w:tcW w:w="1050" w:type="dxa"/>
            <w:shd w:val="clear" w:color="auto" w:fill="auto"/>
          </w:tcPr>
          <w:p w14:paraId="4A0FC081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E, F</w:t>
            </w:r>
          </w:p>
        </w:tc>
        <w:tc>
          <w:tcPr>
            <w:tcW w:w="1108" w:type="dxa"/>
            <w:shd w:val="clear" w:color="auto" w:fill="auto"/>
          </w:tcPr>
          <w:p w14:paraId="5958FFEF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R</w:t>
            </w:r>
          </w:p>
        </w:tc>
      </w:tr>
      <w:tr w:rsidR="00C15A3E" w:rsidRPr="00DA76C6" w14:paraId="546B3921" w14:textId="77777777" w:rsidTr="00AC3635">
        <w:trPr>
          <w:cantSplit/>
        </w:trPr>
        <w:tc>
          <w:tcPr>
            <w:tcW w:w="408" w:type="dxa"/>
            <w:shd w:val="clear" w:color="auto" w:fill="auto"/>
          </w:tcPr>
          <w:p w14:paraId="5471FF0E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9E75D3">
              <w:rPr>
                <w:szCs w:val="18"/>
                <w:lang w:val="ru-RU"/>
              </w:rPr>
              <w:t>4</w:t>
            </w:r>
          </w:p>
        </w:tc>
        <w:tc>
          <w:tcPr>
            <w:tcW w:w="3986" w:type="dxa"/>
            <w:shd w:val="clear" w:color="auto" w:fill="auto"/>
          </w:tcPr>
          <w:p w14:paraId="345293C1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World Forum for Harmonization of Vehicle Regulations (WP.29). How it works - how to join it</w:t>
            </w:r>
          </w:p>
        </w:tc>
        <w:tc>
          <w:tcPr>
            <w:tcW w:w="933" w:type="dxa"/>
            <w:shd w:val="clear" w:color="auto" w:fill="auto"/>
          </w:tcPr>
          <w:p w14:paraId="5EFB1A85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62353E20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120</w:t>
            </w:r>
          </w:p>
        </w:tc>
        <w:tc>
          <w:tcPr>
            <w:tcW w:w="1050" w:type="dxa"/>
            <w:shd w:val="clear" w:color="auto" w:fill="auto"/>
          </w:tcPr>
          <w:p w14:paraId="2F9D3B5A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9E75D3">
              <w:rPr>
                <w:szCs w:val="18"/>
              </w:rPr>
              <w:t>E</w:t>
            </w:r>
          </w:p>
        </w:tc>
        <w:tc>
          <w:tcPr>
            <w:tcW w:w="1108" w:type="dxa"/>
            <w:shd w:val="clear" w:color="auto" w:fill="auto"/>
          </w:tcPr>
          <w:p w14:paraId="3DFAAA7C" w14:textId="77777777" w:rsidR="00C15A3E" w:rsidRPr="009E75D3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9E75D3">
              <w:rPr>
                <w:szCs w:val="18"/>
              </w:rPr>
              <w:t>F, R</w:t>
            </w:r>
          </w:p>
        </w:tc>
      </w:tr>
      <w:tr w:rsidR="00C15A3E" w:rsidRPr="00DA76C6" w14:paraId="680D8A91" w14:textId="77777777" w:rsidTr="00AC3635">
        <w:trPr>
          <w:cantSplit/>
        </w:trPr>
        <w:tc>
          <w:tcPr>
            <w:tcW w:w="408" w:type="dxa"/>
            <w:shd w:val="clear" w:color="auto" w:fill="auto"/>
          </w:tcPr>
          <w:p w14:paraId="307B77EA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5</w:t>
            </w:r>
          </w:p>
        </w:tc>
        <w:tc>
          <w:tcPr>
            <w:tcW w:w="3986" w:type="dxa"/>
            <w:shd w:val="clear" w:color="auto" w:fill="auto"/>
          </w:tcPr>
          <w:p w14:paraId="0BB40615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7A47F8">
              <w:rPr>
                <w:szCs w:val="18"/>
              </w:rPr>
              <w:t>2024 Inland Transport Statistics for Europe and North America (Volume LXII)</w:t>
            </w:r>
          </w:p>
        </w:tc>
        <w:tc>
          <w:tcPr>
            <w:tcW w:w="933" w:type="dxa"/>
            <w:shd w:val="clear" w:color="auto" w:fill="auto"/>
          </w:tcPr>
          <w:p w14:paraId="1459FE57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5B7F179C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180</w:t>
            </w:r>
          </w:p>
        </w:tc>
        <w:tc>
          <w:tcPr>
            <w:tcW w:w="1050" w:type="dxa"/>
            <w:shd w:val="clear" w:color="auto" w:fill="auto"/>
          </w:tcPr>
          <w:p w14:paraId="35B9AADE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E</w:t>
            </w:r>
          </w:p>
        </w:tc>
        <w:tc>
          <w:tcPr>
            <w:tcW w:w="1108" w:type="dxa"/>
            <w:shd w:val="clear" w:color="auto" w:fill="auto"/>
          </w:tcPr>
          <w:p w14:paraId="2EDCCF68" w14:textId="494D5C22" w:rsidR="00C15A3E" w:rsidRPr="00DA76C6" w:rsidRDefault="003141D0" w:rsidP="00AC363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F, R</w:t>
            </w:r>
          </w:p>
        </w:tc>
      </w:tr>
      <w:tr w:rsidR="007A13FA" w:rsidRPr="00DA76C6" w14:paraId="4513CA30" w14:textId="77777777" w:rsidTr="007A13FA">
        <w:trPr>
          <w:cantSplit/>
        </w:trPr>
        <w:tc>
          <w:tcPr>
            <w:tcW w:w="408" w:type="dxa"/>
            <w:shd w:val="clear" w:color="auto" w:fill="auto"/>
          </w:tcPr>
          <w:p w14:paraId="38828DDF" w14:textId="6F023206" w:rsidR="007A13FA" w:rsidRDefault="007A13FA" w:rsidP="007A13FA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6</w:t>
            </w:r>
          </w:p>
        </w:tc>
        <w:tc>
          <w:tcPr>
            <w:tcW w:w="3986" w:type="dxa"/>
            <w:shd w:val="clear" w:color="auto" w:fill="auto"/>
          </w:tcPr>
          <w:p w14:paraId="038978C2" w14:textId="42460358" w:rsidR="007A13FA" w:rsidRDefault="007A13FA" w:rsidP="007A13FA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 xml:space="preserve">Transport trends and economics - </w:t>
            </w:r>
            <w:r w:rsidRPr="00CA4711">
              <w:rPr>
                <w:szCs w:val="18"/>
              </w:rPr>
              <w:t>General trends and developments surrounding Electric Vehicles and their charging infrastructure</w:t>
            </w:r>
          </w:p>
        </w:tc>
        <w:tc>
          <w:tcPr>
            <w:tcW w:w="933" w:type="dxa"/>
            <w:shd w:val="clear" w:color="auto" w:fill="auto"/>
          </w:tcPr>
          <w:p w14:paraId="4BEA6EA9" w14:textId="12FB27DB" w:rsidR="007A13FA" w:rsidRPr="00236C1A" w:rsidRDefault="007A13FA" w:rsidP="007A13FA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7BA42E78" w14:textId="4834AAB7" w:rsidR="007A13FA" w:rsidRDefault="007A13FA" w:rsidP="007A13FA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150</w:t>
            </w:r>
          </w:p>
        </w:tc>
        <w:tc>
          <w:tcPr>
            <w:tcW w:w="1050" w:type="dxa"/>
            <w:shd w:val="clear" w:color="auto" w:fill="auto"/>
          </w:tcPr>
          <w:p w14:paraId="6497B311" w14:textId="27860420" w:rsidR="007A13FA" w:rsidRPr="00CD1854" w:rsidRDefault="007A13FA" w:rsidP="007A13FA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08" w:type="dxa"/>
            <w:shd w:val="clear" w:color="auto" w:fill="auto"/>
          </w:tcPr>
          <w:p w14:paraId="2ABD8E96" w14:textId="5B590AB4" w:rsidR="007A13FA" w:rsidRDefault="007A13FA" w:rsidP="007A13FA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  <w:tr w:rsidR="007A13FA" w:rsidRPr="00DA76C6" w14:paraId="5CDF041A" w14:textId="77777777" w:rsidTr="00AC3635">
        <w:trPr>
          <w:cantSplit/>
        </w:trPr>
        <w:tc>
          <w:tcPr>
            <w:tcW w:w="408" w:type="dxa"/>
            <w:tcBorders>
              <w:bottom w:val="single" w:sz="12" w:space="0" w:color="auto"/>
            </w:tcBorders>
            <w:shd w:val="clear" w:color="auto" w:fill="auto"/>
          </w:tcPr>
          <w:p w14:paraId="0CC1F8EE" w14:textId="00B36406" w:rsidR="007A13FA" w:rsidRDefault="007A13FA" w:rsidP="007A13FA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7</w:t>
            </w:r>
          </w:p>
        </w:tc>
        <w:tc>
          <w:tcPr>
            <w:tcW w:w="3986" w:type="dxa"/>
            <w:tcBorders>
              <w:bottom w:val="single" w:sz="12" w:space="0" w:color="auto"/>
            </w:tcBorders>
            <w:shd w:val="clear" w:color="auto" w:fill="auto"/>
          </w:tcPr>
          <w:p w14:paraId="0877786A" w14:textId="7D10FD2A" w:rsidR="007A13FA" w:rsidRDefault="007A13FA" w:rsidP="007A13FA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 xml:space="preserve">The </w:t>
            </w:r>
            <w:r w:rsidRPr="00236C1A">
              <w:rPr>
                <w:szCs w:val="18"/>
              </w:rPr>
              <w:t>TIR Handbook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shd w:val="clear" w:color="auto" w:fill="auto"/>
          </w:tcPr>
          <w:p w14:paraId="6A532597" w14:textId="0FCD1CF0" w:rsidR="007A13FA" w:rsidRPr="00DA76C6" w:rsidRDefault="007A13FA" w:rsidP="007A13FA">
            <w:pPr>
              <w:spacing w:before="40" w:after="120"/>
              <w:ind w:right="113"/>
              <w:rPr>
                <w:szCs w:val="18"/>
              </w:rPr>
            </w:pPr>
            <w:r w:rsidRPr="00236C1A">
              <w:rPr>
                <w:szCs w:val="18"/>
              </w:rPr>
              <w:t>Print and digital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14:paraId="12D5FCB5" w14:textId="4ADBD8C3" w:rsidR="007A13FA" w:rsidRDefault="007A13FA" w:rsidP="007A13FA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400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14:paraId="364C5FFB" w14:textId="6F1785CE" w:rsidR="007A13FA" w:rsidRPr="00DA76C6" w:rsidRDefault="007A13FA" w:rsidP="007A13FA">
            <w:pPr>
              <w:spacing w:before="40" w:after="120"/>
              <w:ind w:right="113"/>
              <w:rPr>
                <w:szCs w:val="18"/>
              </w:rPr>
            </w:pPr>
            <w:r w:rsidRPr="00CD1854">
              <w:rPr>
                <w:szCs w:val="18"/>
              </w:rPr>
              <w:t>E, F, R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</w:tcPr>
          <w:p w14:paraId="2B0AEAD0" w14:textId="74752F49" w:rsidR="007A13FA" w:rsidRPr="00DA76C6" w:rsidRDefault="007A13FA" w:rsidP="007A13FA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A, C, S</w:t>
            </w:r>
          </w:p>
        </w:tc>
      </w:tr>
    </w:tbl>
    <w:p w14:paraId="1D9F0D52" w14:textId="77777777" w:rsidR="00C15A3E" w:rsidRPr="00672EEB" w:rsidRDefault="00C15A3E" w:rsidP="00C15A3E">
      <w:pPr>
        <w:spacing w:line="220" w:lineRule="exact"/>
        <w:ind w:left="1134" w:firstLine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672EEB">
        <w:t xml:space="preserve"> </w:t>
      </w:r>
      <w:r w:rsidRPr="00150C03">
        <w:rPr>
          <w:sz w:val="18"/>
          <w:szCs w:val="18"/>
        </w:rPr>
        <w:t>Arabic</w:t>
      </w:r>
      <w:r w:rsidRPr="00672EEB">
        <w:rPr>
          <w:sz w:val="18"/>
          <w:szCs w:val="18"/>
        </w:rPr>
        <w:t>=A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Chinese=C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English=E</w:t>
      </w:r>
      <w:r>
        <w:rPr>
          <w:sz w:val="18"/>
          <w:szCs w:val="18"/>
        </w:rPr>
        <w:t>, French=F, Russian=R, Spanish=S</w:t>
      </w:r>
    </w:p>
    <w:p w14:paraId="79CEBFB4" w14:textId="77777777" w:rsidR="00C15A3E" w:rsidRPr="00672EEB" w:rsidRDefault="00C15A3E" w:rsidP="00C15A3E">
      <w:pPr>
        <w:pStyle w:val="H1G"/>
      </w:pPr>
      <w:r w:rsidRPr="00672EEB">
        <w:tab/>
        <w:t>B.</w:t>
      </w:r>
      <w:r w:rsidRPr="00672EEB">
        <w:tab/>
        <w:t>Non-recurrent publications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087"/>
        <w:gridCol w:w="1015"/>
        <w:gridCol w:w="597"/>
        <w:gridCol w:w="1194"/>
        <w:gridCol w:w="1194"/>
      </w:tblGrid>
      <w:tr w:rsidR="00C15A3E" w:rsidRPr="00DA76C6" w14:paraId="19DB394C" w14:textId="77777777" w:rsidTr="00AC3635">
        <w:trPr>
          <w:cantSplit/>
          <w:tblHeader/>
        </w:trPr>
        <w:tc>
          <w:tcPr>
            <w:tcW w:w="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B9D5015" w14:textId="77777777" w:rsidR="00C15A3E" w:rsidRPr="00DA76C6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Item no.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D15FA7D" w14:textId="77777777" w:rsidR="00C15A3E" w:rsidRPr="00DA76C6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Title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F37647A" w14:textId="77777777" w:rsidR="00C15A3E" w:rsidRPr="00DA76C6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 xml:space="preserve">Print and/or </w:t>
            </w:r>
            <w:r w:rsidRPr="00DA76C6">
              <w:rPr>
                <w:i/>
                <w:iCs/>
                <w:sz w:val="16"/>
                <w:szCs w:val="16"/>
              </w:rPr>
              <w:t>digital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B1678B5" w14:textId="77777777" w:rsidR="00C15A3E" w:rsidRPr="00DA76C6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No. of pages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821902C" w14:textId="77777777" w:rsidR="00C15A3E" w:rsidRPr="00DA76C6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iCs/>
                <w:sz w:val="16"/>
                <w:szCs w:val="16"/>
              </w:rPr>
              <w:t>Original language(s)</w:t>
            </w:r>
            <w:r w:rsidRPr="00DA76C6">
              <w:rPr>
                <w:i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AA4A858" w14:textId="77777777" w:rsidR="00C15A3E" w:rsidRPr="00DA76C6" w:rsidRDefault="00C15A3E" w:rsidP="00AC363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iCs/>
                <w:sz w:val="16"/>
                <w:szCs w:val="16"/>
              </w:rPr>
              <w:t>Translated language(s)</w:t>
            </w:r>
          </w:p>
        </w:tc>
      </w:tr>
      <w:tr w:rsidR="00C15A3E" w:rsidRPr="00DA76C6" w14:paraId="1D55FF53" w14:textId="77777777" w:rsidTr="00AC3635">
        <w:trPr>
          <w:cantSplit/>
          <w:trHeight w:hRule="exact" w:val="113"/>
          <w:tblHeader/>
        </w:trPr>
        <w:tc>
          <w:tcPr>
            <w:tcW w:w="418" w:type="dxa"/>
            <w:tcBorders>
              <w:top w:val="single" w:sz="12" w:space="0" w:color="auto"/>
            </w:tcBorders>
            <w:shd w:val="clear" w:color="auto" w:fill="auto"/>
          </w:tcPr>
          <w:p w14:paraId="0A31DFDF" w14:textId="77777777" w:rsidR="00C15A3E" w:rsidRPr="00DA76C6" w:rsidRDefault="00C15A3E" w:rsidP="00AC3635">
            <w:pPr>
              <w:spacing w:before="40" w:after="120"/>
              <w:ind w:right="113"/>
            </w:pPr>
          </w:p>
        </w:tc>
        <w:tc>
          <w:tcPr>
            <w:tcW w:w="4087" w:type="dxa"/>
            <w:tcBorders>
              <w:top w:val="single" w:sz="12" w:space="0" w:color="auto"/>
            </w:tcBorders>
            <w:shd w:val="clear" w:color="auto" w:fill="auto"/>
          </w:tcPr>
          <w:p w14:paraId="36661786" w14:textId="77777777" w:rsidR="00C15A3E" w:rsidRPr="00DA76C6" w:rsidRDefault="00C15A3E" w:rsidP="00AC3635">
            <w:pPr>
              <w:spacing w:before="40" w:after="120"/>
              <w:ind w:right="113"/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</w:tcPr>
          <w:p w14:paraId="05A13B49" w14:textId="77777777" w:rsidR="00C15A3E" w:rsidRPr="00DA76C6" w:rsidRDefault="00C15A3E" w:rsidP="00AC3635">
            <w:pPr>
              <w:spacing w:before="40" w:after="120"/>
              <w:ind w:right="113"/>
            </w:pP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</w:tcPr>
          <w:p w14:paraId="156C1D90" w14:textId="77777777" w:rsidR="00C15A3E" w:rsidRPr="00DA76C6" w:rsidRDefault="00C15A3E" w:rsidP="00AC3635">
            <w:pPr>
              <w:spacing w:before="40" w:after="120"/>
              <w:ind w:right="113"/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</w:tcPr>
          <w:p w14:paraId="6FB6E012" w14:textId="77777777" w:rsidR="00C15A3E" w:rsidRPr="00DA76C6" w:rsidRDefault="00C15A3E" w:rsidP="00AC3635">
            <w:pPr>
              <w:spacing w:before="40" w:after="120"/>
              <w:ind w:right="113"/>
              <w:rPr>
                <w:iCs/>
                <w:szCs w:val="16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</w:tcPr>
          <w:p w14:paraId="55BF0CAC" w14:textId="77777777" w:rsidR="00C15A3E" w:rsidRPr="00DA76C6" w:rsidRDefault="00C15A3E" w:rsidP="00AC3635">
            <w:pPr>
              <w:spacing w:before="40" w:after="120"/>
              <w:ind w:right="113"/>
              <w:rPr>
                <w:iCs/>
                <w:szCs w:val="16"/>
              </w:rPr>
            </w:pPr>
          </w:p>
        </w:tc>
      </w:tr>
      <w:tr w:rsidR="00C15A3E" w:rsidRPr="00DA76C6" w14:paraId="6814EC07" w14:textId="77777777" w:rsidTr="00AC3635">
        <w:trPr>
          <w:cantSplit/>
        </w:trPr>
        <w:tc>
          <w:tcPr>
            <w:tcW w:w="418" w:type="dxa"/>
            <w:shd w:val="clear" w:color="auto" w:fill="auto"/>
          </w:tcPr>
          <w:p w14:paraId="0730C8A8" w14:textId="77777777" w:rsidR="00C15A3E" w:rsidRPr="00FB3D11" w:rsidRDefault="00C15A3E" w:rsidP="00AC3635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</w:t>
            </w:r>
          </w:p>
        </w:tc>
        <w:tc>
          <w:tcPr>
            <w:tcW w:w="4087" w:type="dxa"/>
            <w:shd w:val="clear" w:color="auto" w:fill="auto"/>
          </w:tcPr>
          <w:p w14:paraId="758E7CAA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>
              <w:t>Road safety publication</w:t>
            </w:r>
          </w:p>
        </w:tc>
        <w:tc>
          <w:tcPr>
            <w:tcW w:w="1015" w:type="dxa"/>
            <w:shd w:val="clear" w:color="auto" w:fill="auto"/>
          </w:tcPr>
          <w:p w14:paraId="76518954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597" w:type="dxa"/>
            <w:shd w:val="clear" w:color="auto" w:fill="auto"/>
          </w:tcPr>
          <w:p w14:paraId="310E5A38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150</w:t>
            </w:r>
          </w:p>
        </w:tc>
        <w:tc>
          <w:tcPr>
            <w:tcW w:w="1194" w:type="dxa"/>
            <w:shd w:val="clear" w:color="auto" w:fill="auto"/>
          </w:tcPr>
          <w:p w14:paraId="0EA7F62E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94" w:type="dxa"/>
            <w:shd w:val="clear" w:color="auto" w:fill="auto"/>
          </w:tcPr>
          <w:p w14:paraId="5C9C0266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  <w:tr w:rsidR="00C15A3E" w:rsidRPr="00DA76C6" w14:paraId="2DAF69BC" w14:textId="77777777" w:rsidTr="00AC3635">
        <w:trPr>
          <w:cantSplit/>
        </w:trPr>
        <w:tc>
          <w:tcPr>
            <w:tcW w:w="418" w:type="dxa"/>
            <w:shd w:val="clear" w:color="auto" w:fill="auto"/>
          </w:tcPr>
          <w:p w14:paraId="05AFB4BE" w14:textId="77777777" w:rsidR="00C15A3E" w:rsidRPr="00525865" w:rsidRDefault="00C15A3E" w:rsidP="00AC3635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</w:t>
            </w:r>
          </w:p>
        </w:tc>
        <w:tc>
          <w:tcPr>
            <w:tcW w:w="4087" w:type="dxa"/>
            <w:shd w:val="clear" w:color="auto" w:fill="auto"/>
          </w:tcPr>
          <w:p w14:paraId="40B59B97" w14:textId="77777777" w:rsidR="00C15A3E" w:rsidRPr="00DA76C6" w:rsidRDefault="00C15A3E" w:rsidP="00AC3635">
            <w:pPr>
              <w:spacing w:before="40" w:after="120"/>
              <w:ind w:right="113"/>
            </w:pPr>
            <w:r>
              <w:t>Rail Transport publication</w:t>
            </w:r>
          </w:p>
        </w:tc>
        <w:tc>
          <w:tcPr>
            <w:tcW w:w="1015" w:type="dxa"/>
            <w:shd w:val="clear" w:color="auto" w:fill="auto"/>
          </w:tcPr>
          <w:p w14:paraId="121EBD09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597" w:type="dxa"/>
            <w:shd w:val="clear" w:color="auto" w:fill="auto"/>
          </w:tcPr>
          <w:p w14:paraId="4046B931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150</w:t>
            </w:r>
          </w:p>
        </w:tc>
        <w:tc>
          <w:tcPr>
            <w:tcW w:w="1194" w:type="dxa"/>
            <w:shd w:val="clear" w:color="auto" w:fill="auto"/>
          </w:tcPr>
          <w:p w14:paraId="743B6C1B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94" w:type="dxa"/>
            <w:shd w:val="clear" w:color="auto" w:fill="auto"/>
          </w:tcPr>
          <w:p w14:paraId="26AF49D0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  <w:tr w:rsidR="00C15A3E" w:rsidRPr="00DA76C6" w14:paraId="20DF8E33" w14:textId="77777777" w:rsidTr="00AC3635">
        <w:trPr>
          <w:cantSplit/>
        </w:trPr>
        <w:tc>
          <w:tcPr>
            <w:tcW w:w="418" w:type="dxa"/>
            <w:tcBorders>
              <w:bottom w:val="single" w:sz="12" w:space="0" w:color="auto"/>
            </w:tcBorders>
            <w:shd w:val="clear" w:color="auto" w:fill="auto"/>
          </w:tcPr>
          <w:p w14:paraId="3D781B7A" w14:textId="77777777" w:rsidR="00C15A3E" w:rsidRDefault="00C15A3E" w:rsidP="00AC3635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3</w:t>
            </w:r>
          </w:p>
        </w:tc>
        <w:tc>
          <w:tcPr>
            <w:tcW w:w="4087" w:type="dxa"/>
            <w:tcBorders>
              <w:bottom w:val="single" w:sz="12" w:space="0" w:color="auto"/>
            </w:tcBorders>
            <w:shd w:val="clear" w:color="auto" w:fill="auto"/>
          </w:tcPr>
          <w:p w14:paraId="43C2EA6A" w14:textId="77777777" w:rsidR="00C15A3E" w:rsidRPr="00666137" w:rsidRDefault="00C15A3E" w:rsidP="00AC3635">
            <w:pPr>
              <w:spacing w:before="40" w:after="120"/>
              <w:ind w:right="113"/>
            </w:pPr>
            <w:r>
              <w:t>Intermodal transport publication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</w:tcPr>
          <w:p w14:paraId="27A7CF35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</w:tcPr>
          <w:p w14:paraId="6BC4F0E7" w14:textId="77777777" w:rsidR="00C15A3E" w:rsidRDefault="00C15A3E" w:rsidP="00AC3635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70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14:paraId="7D5AC726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14:paraId="1E96F91D" w14:textId="77777777" w:rsidR="00C15A3E" w:rsidRPr="00DA76C6" w:rsidRDefault="00C15A3E" w:rsidP="00AC3635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</w:tbl>
    <w:p w14:paraId="3B5F0B00" w14:textId="77777777" w:rsidR="00C15A3E" w:rsidRDefault="00C15A3E" w:rsidP="00C15A3E">
      <w:pPr>
        <w:spacing w:line="220" w:lineRule="exact"/>
        <w:ind w:left="1134" w:firstLine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672EEB">
        <w:t xml:space="preserve"> </w:t>
      </w:r>
      <w:r w:rsidRPr="00150C03">
        <w:rPr>
          <w:sz w:val="18"/>
          <w:szCs w:val="18"/>
        </w:rPr>
        <w:t>Arabic</w:t>
      </w:r>
      <w:r w:rsidRPr="00672EEB">
        <w:rPr>
          <w:sz w:val="18"/>
          <w:szCs w:val="18"/>
        </w:rPr>
        <w:t>=A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Chinese=C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English=E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French=F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</w:t>
      </w:r>
      <w:r>
        <w:rPr>
          <w:sz w:val="18"/>
          <w:szCs w:val="18"/>
        </w:rPr>
        <w:t>Russian=R, Spanish=S</w:t>
      </w:r>
    </w:p>
    <w:p w14:paraId="0222759D" w14:textId="7F06B2AA" w:rsidR="00BF5682" w:rsidRPr="00BF5682" w:rsidRDefault="00BF5682" w:rsidP="00BF568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5682" w:rsidRPr="00BF5682" w:rsidSect="00C0297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F55C" w14:textId="77777777" w:rsidR="00EC3E44" w:rsidRDefault="00EC3E44"/>
  </w:endnote>
  <w:endnote w:type="continuationSeparator" w:id="0">
    <w:p w14:paraId="0BDEE833" w14:textId="77777777" w:rsidR="00EC3E44" w:rsidRDefault="00EC3E44"/>
  </w:endnote>
  <w:endnote w:type="continuationNotice" w:id="1">
    <w:p w14:paraId="723D32FD" w14:textId="77777777" w:rsidR="00EC3E44" w:rsidRDefault="00EC3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44F" w14:textId="35A6A2DD" w:rsidR="00C02976" w:rsidRPr="00C02976" w:rsidRDefault="00C02976" w:rsidP="00C02976">
    <w:pPr>
      <w:pStyle w:val="Footer"/>
      <w:tabs>
        <w:tab w:val="right" w:pos="9638"/>
      </w:tabs>
      <w:rPr>
        <w:sz w:val="18"/>
      </w:rPr>
    </w:pP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2</w:t>
    </w:r>
    <w:r w:rsidRPr="00C0297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5DE1" w14:textId="41934157" w:rsidR="00C02976" w:rsidRPr="00C02976" w:rsidRDefault="00C02976" w:rsidP="00C02976">
    <w:pPr>
      <w:pStyle w:val="Footer"/>
      <w:tabs>
        <w:tab w:val="right" w:pos="9638"/>
      </w:tabs>
      <w:rPr>
        <w:b/>
        <w:sz w:val="18"/>
      </w:rPr>
    </w:pPr>
    <w:r>
      <w:tab/>
    </w: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3</w:t>
    </w:r>
    <w:r w:rsidRPr="00C029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6067" w14:textId="035A6376" w:rsidR="001D577D" w:rsidRDefault="00606056" w:rsidP="0060605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063713D" wp14:editId="51FBFB0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42152A" w14:textId="410820E3" w:rsidR="00606056" w:rsidRPr="00606056" w:rsidRDefault="00606056" w:rsidP="00606056">
    <w:pPr>
      <w:pStyle w:val="Footer"/>
      <w:ind w:right="1134"/>
      <w:rPr>
        <w:sz w:val="20"/>
      </w:rPr>
    </w:pPr>
    <w:r>
      <w:rPr>
        <w:sz w:val="20"/>
      </w:rPr>
      <w:t>GE.23-00451(E)</w:t>
    </w: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348A7C7D" wp14:editId="237D519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271E" w14:textId="77777777" w:rsidR="00EC3E44" w:rsidRPr="000B175B" w:rsidRDefault="00EC3E4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7A1661" w14:textId="77777777" w:rsidR="00EC3E44" w:rsidRPr="00FC68B7" w:rsidRDefault="00EC3E4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0703D5" w14:textId="77777777" w:rsidR="00EC3E44" w:rsidRDefault="00EC3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3F9" w14:textId="1628987F" w:rsidR="00C02976" w:rsidRPr="00C02976" w:rsidRDefault="00C02976">
    <w:pPr>
      <w:pStyle w:val="Header"/>
    </w:pPr>
    <w:r>
      <w:t>ECE/TRANS/2023/</w:t>
    </w:r>
    <w:r w:rsidR="007A428C">
      <w:t>1</w:t>
    </w:r>
    <w:r w:rsidR="00513BD8">
      <w:t>3</w:t>
    </w:r>
    <w:r w:rsidR="009636D4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162B" w14:textId="185CE6A7" w:rsidR="00C02976" w:rsidRPr="00C02976" w:rsidRDefault="00C02976" w:rsidP="00C02976">
    <w:pPr>
      <w:pStyle w:val="Header"/>
      <w:jc w:val="right"/>
    </w:pPr>
    <w:r>
      <w:t>ECE/TRANS/2023/</w:t>
    </w:r>
    <w:r w:rsidR="007A428C">
      <w:t>1</w:t>
    </w:r>
    <w:r w:rsidR="00513BD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6"/>
    <w:rsid w:val="00002A7D"/>
    <w:rsid w:val="000038A8"/>
    <w:rsid w:val="00006790"/>
    <w:rsid w:val="000117D2"/>
    <w:rsid w:val="00027624"/>
    <w:rsid w:val="00050F6B"/>
    <w:rsid w:val="000678CD"/>
    <w:rsid w:val="00072634"/>
    <w:rsid w:val="00072C8C"/>
    <w:rsid w:val="00077F22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56B99"/>
    <w:rsid w:val="001649ED"/>
    <w:rsid w:val="00166124"/>
    <w:rsid w:val="00181091"/>
    <w:rsid w:val="00184DDA"/>
    <w:rsid w:val="00186A4E"/>
    <w:rsid w:val="001900CD"/>
    <w:rsid w:val="001A0452"/>
    <w:rsid w:val="001B4B04"/>
    <w:rsid w:val="001B5875"/>
    <w:rsid w:val="001C4B9C"/>
    <w:rsid w:val="001C6663"/>
    <w:rsid w:val="001C7895"/>
    <w:rsid w:val="001D26DF"/>
    <w:rsid w:val="001D577D"/>
    <w:rsid w:val="001D632B"/>
    <w:rsid w:val="001E359C"/>
    <w:rsid w:val="001E691B"/>
    <w:rsid w:val="001F1599"/>
    <w:rsid w:val="001F19C4"/>
    <w:rsid w:val="002043F0"/>
    <w:rsid w:val="00205E5C"/>
    <w:rsid w:val="00211E0B"/>
    <w:rsid w:val="00225B00"/>
    <w:rsid w:val="002302BB"/>
    <w:rsid w:val="00232575"/>
    <w:rsid w:val="00234022"/>
    <w:rsid w:val="00236C1A"/>
    <w:rsid w:val="00247258"/>
    <w:rsid w:val="00257CAC"/>
    <w:rsid w:val="0027237A"/>
    <w:rsid w:val="002974E9"/>
    <w:rsid w:val="002978EC"/>
    <w:rsid w:val="002A7F94"/>
    <w:rsid w:val="002B0D5F"/>
    <w:rsid w:val="002B109A"/>
    <w:rsid w:val="002C46A7"/>
    <w:rsid w:val="002C6D45"/>
    <w:rsid w:val="002D2CE0"/>
    <w:rsid w:val="002D6E53"/>
    <w:rsid w:val="002E68CB"/>
    <w:rsid w:val="002F046D"/>
    <w:rsid w:val="002F3023"/>
    <w:rsid w:val="00301764"/>
    <w:rsid w:val="003141D0"/>
    <w:rsid w:val="003229D8"/>
    <w:rsid w:val="00336C97"/>
    <w:rsid w:val="003371C8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359D"/>
    <w:rsid w:val="003D4B23"/>
    <w:rsid w:val="003E278A"/>
    <w:rsid w:val="0041063F"/>
    <w:rsid w:val="00410B6E"/>
    <w:rsid w:val="00413520"/>
    <w:rsid w:val="004325CB"/>
    <w:rsid w:val="00440A07"/>
    <w:rsid w:val="004516A6"/>
    <w:rsid w:val="0046093F"/>
    <w:rsid w:val="00462880"/>
    <w:rsid w:val="00473C22"/>
    <w:rsid w:val="00475578"/>
    <w:rsid w:val="00476F24"/>
    <w:rsid w:val="004923A8"/>
    <w:rsid w:val="004C55B0"/>
    <w:rsid w:val="004D7D88"/>
    <w:rsid w:val="004F064F"/>
    <w:rsid w:val="004F6BA0"/>
    <w:rsid w:val="00502021"/>
    <w:rsid w:val="005029DB"/>
    <w:rsid w:val="00503BEA"/>
    <w:rsid w:val="00513BD8"/>
    <w:rsid w:val="0052149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49CB"/>
    <w:rsid w:val="005D15CA"/>
    <w:rsid w:val="005D76D0"/>
    <w:rsid w:val="005F08DF"/>
    <w:rsid w:val="005F3066"/>
    <w:rsid w:val="005F3E61"/>
    <w:rsid w:val="00604DDD"/>
    <w:rsid w:val="00606056"/>
    <w:rsid w:val="006106E1"/>
    <w:rsid w:val="006115CC"/>
    <w:rsid w:val="00611FC4"/>
    <w:rsid w:val="006176FB"/>
    <w:rsid w:val="00620F69"/>
    <w:rsid w:val="00622B11"/>
    <w:rsid w:val="00630FCB"/>
    <w:rsid w:val="00640B26"/>
    <w:rsid w:val="0065209C"/>
    <w:rsid w:val="0065766B"/>
    <w:rsid w:val="00671E59"/>
    <w:rsid w:val="006770B2"/>
    <w:rsid w:val="00686A48"/>
    <w:rsid w:val="006940E1"/>
    <w:rsid w:val="00696C51"/>
    <w:rsid w:val="006A3C72"/>
    <w:rsid w:val="006A7392"/>
    <w:rsid w:val="006B03A1"/>
    <w:rsid w:val="006B67D9"/>
    <w:rsid w:val="006C5535"/>
    <w:rsid w:val="006D0589"/>
    <w:rsid w:val="006E564B"/>
    <w:rsid w:val="006E5B19"/>
    <w:rsid w:val="006E7154"/>
    <w:rsid w:val="007003CD"/>
    <w:rsid w:val="0070701E"/>
    <w:rsid w:val="0072632A"/>
    <w:rsid w:val="00726E66"/>
    <w:rsid w:val="007358E8"/>
    <w:rsid w:val="00736ECE"/>
    <w:rsid w:val="0074533B"/>
    <w:rsid w:val="007643BC"/>
    <w:rsid w:val="00780C68"/>
    <w:rsid w:val="007959FE"/>
    <w:rsid w:val="007A0CF1"/>
    <w:rsid w:val="007A13FA"/>
    <w:rsid w:val="007A2AF8"/>
    <w:rsid w:val="007A428C"/>
    <w:rsid w:val="007A5EB0"/>
    <w:rsid w:val="007B6BA5"/>
    <w:rsid w:val="007C3390"/>
    <w:rsid w:val="007C42D8"/>
    <w:rsid w:val="007C4F4B"/>
    <w:rsid w:val="007D7362"/>
    <w:rsid w:val="007F5CE2"/>
    <w:rsid w:val="007F6611"/>
    <w:rsid w:val="00810BAC"/>
    <w:rsid w:val="00815316"/>
    <w:rsid w:val="008175E9"/>
    <w:rsid w:val="008242D7"/>
    <w:rsid w:val="0082577B"/>
    <w:rsid w:val="008304E1"/>
    <w:rsid w:val="008312DD"/>
    <w:rsid w:val="00866893"/>
    <w:rsid w:val="00866F02"/>
    <w:rsid w:val="00867D18"/>
    <w:rsid w:val="00871F9A"/>
    <w:rsid w:val="00871FD5"/>
    <w:rsid w:val="0088172E"/>
    <w:rsid w:val="00881EFA"/>
    <w:rsid w:val="008879CB"/>
    <w:rsid w:val="00895AE5"/>
    <w:rsid w:val="00896734"/>
    <w:rsid w:val="008979B1"/>
    <w:rsid w:val="008A6B25"/>
    <w:rsid w:val="008A6C4F"/>
    <w:rsid w:val="008B389E"/>
    <w:rsid w:val="008C4B34"/>
    <w:rsid w:val="008C6230"/>
    <w:rsid w:val="008D045E"/>
    <w:rsid w:val="008D3F25"/>
    <w:rsid w:val="008D4D82"/>
    <w:rsid w:val="008E0E46"/>
    <w:rsid w:val="008E7116"/>
    <w:rsid w:val="008F143B"/>
    <w:rsid w:val="008F3882"/>
    <w:rsid w:val="008F4B7C"/>
    <w:rsid w:val="00916C4C"/>
    <w:rsid w:val="00926E47"/>
    <w:rsid w:val="00943748"/>
    <w:rsid w:val="00947162"/>
    <w:rsid w:val="00955425"/>
    <w:rsid w:val="009610D0"/>
    <w:rsid w:val="009636D4"/>
    <w:rsid w:val="0096375C"/>
    <w:rsid w:val="009662E6"/>
    <w:rsid w:val="0097095E"/>
    <w:rsid w:val="00984BFC"/>
    <w:rsid w:val="0098592B"/>
    <w:rsid w:val="00985FC4"/>
    <w:rsid w:val="00990766"/>
    <w:rsid w:val="00991261"/>
    <w:rsid w:val="009964C4"/>
    <w:rsid w:val="009A7B81"/>
    <w:rsid w:val="009D01C0"/>
    <w:rsid w:val="009D4A6B"/>
    <w:rsid w:val="009D5CCC"/>
    <w:rsid w:val="009D6A08"/>
    <w:rsid w:val="009E0A16"/>
    <w:rsid w:val="009E6CB7"/>
    <w:rsid w:val="009E7970"/>
    <w:rsid w:val="009F2316"/>
    <w:rsid w:val="009F2EAC"/>
    <w:rsid w:val="009F357E"/>
    <w:rsid w:val="009F57E3"/>
    <w:rsid w:val="00A04FE4"/>
    <w:rsid w:val="00A10F4F"/>
    <w:rsid w:val="00A11067"/>
    <w:rsid w:val="00A1704A"/>
    <w:rsid w:val="00A425EB"/>
    <w:rsid w:val="00A632B5"/>
    <w:rsid w:val="00A72F22"/>
    <w:rsid w:val="00A733BC"/>
    <w:rsid w:val="00A748A6"/>
    <w:rsid w:val="00A76A69"/>
    <w:rsid w:val="00A8106E"/>
    <w:rsid w:val="00A879A4"/>
    <w:rsid w:val="00AA0FF8"/>
    <w:rsid w:val="00AC0F2C"/>
    <w:rsid w:val="00AC502A"/>
    <w:rsid w:val="00AF0205"/>
    <w:rsid w:val="00AF232E"/>
    <w:rsid w:val="00AF58C1"/>
    <w:rsid w:val="00B04A3F"/>
    <w:rsid w:val="00B06643"/>
    <w:rsid w:val="00B15055"/>
    <w:rsid w:val="00B20551"/>
    <w:rsid w:val="00B261FC"/>
    <w:rsid w:val="00B30179"/>
    <w:rsid w:val="00B33FC7"/>
    <w:rsid w:val="00B37B15"/>
    <w:rsid w:val="00B4389B"/>
    <w:rsid w:val="00B45C02"/>
    <w:rsid w:val="00B54038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5682"/>
    <w:rsid w:val="00C01CEE"/>
    <w:rsid w:val="00C02976"/>
    <w:rsid w:val="00C044E2"/>
    <w:rsid w:val="00C048CB"/>
    <w:rsid w:val="00C066F3"/>
    <w:rsid w:val="00C15A3E"/>
    <w:rsid w:val="00C463DD"/>
    <w:rsid w:val="00C745C3"/>
    <w:rsid w:val="00C978F5"/>
    <w:rsid w:val="00CA24A4"/>
    <w:rsid w:val="00CB348D"/>
    <w:rsid w:val="00CD1854"/>
    <w:rsid w:val="00CD46F5"/>
    <w:rsid w:val="00CE4A8F"/>
    <w:rsid w:val="00CE75C5"/>
    <w:rsid w:val="00CF071D"/>
    <w:rsid w:val="00CF331B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086"/>
    <w:rsid w:val="00DA0956"/>
    <w:rsid w:val="00DA357F"/>
    <w:rsid w:val="00DA3E12"/>
    <w:rsid w:val="00DC18AD"/>
    <w:rsid w:val="00DF7CAE"/>
    <w:rsid w:val="00E423C0"/>
    <w:rsid w:val="00E6414C"/>
    <w:rsid w:val="00E7260F"/>
    <w:rsid w:val="00E84699"/>
    <w:rsid w:val="00E8702D"/>
    <w:rsid w:val="00E905F4"/>
    <w:rsid w:val="00E916A9"/>
    <w:rsid w:val="00E916DE"/>
    <w:rsid w:val="00E925AD"/>
    <w:rsid w:val="00E95FC7"/>
    <w:rsid w:val="00E96630"/>
    <w:rsid w:val="00EC3E44"/>
    <w:rsid w:val="00ED18DC"/>
    <w:rsid w:val="00ED4FDC"/>
    <w:rsid w:val="00ED6201"/>
    <w:rsid w:val="00ED7A2A"/>
    <w:rsid w:val="00EE3E3C"/>
    <w:rsid w:val="00EF1D7F"/>
    <w:rsid w:val="00F0137E"/>
    <w:rsid w:val="00F21786"/>
    <w:rsid w:val="00F3407E"/>
    <w:rsid w:val="00F3742B"/>
    <w:rsid w:val="00F41FDB"/>
    <w:rsid w:val="00F56D63"/>
    <w:rsid w:val="00F609A9"/>
    <w:rsid w:val="00F73A15"/>
    <w:rsid w:val="00F80C99"/>
    <w:rsid w:val="00F867EC"/>
    <w:rsid w:val="00F91B2B"/>
    <w:rsid w:val="00FC03CD"/>
    <w:rsid w:val="00FC0646"/>
    <w:rsid w:val="00FC68B7"/>
    <w:rsid w:val="00FE382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9101"/>
  <w15:docId w15:val="{3CE7CEBF-12ED-49D5-B4A5-6D323285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502021"/>
    <w:rPr>
      <w:b/>
      <w:sz w:val="28"/>
      <w:lang w:val="en-GB"/>
    </w:rPr>
  </w:style>
  <w:style w:type="character" w:customStyle="1" w:styleId="SingleTxtGChar">
    <w:name w:val="_ Single Txt_G Char"/>
    <w:link w:val="SingleTxtG"/>
    <w:rsid w:val="00C15A3E"/>
    <w:rPr>
      <w:lang w:val="en-GB"/>
    </w:rPr>
  </w:style>
  <w:style w:type="character" w:customStyle="1" w:styleId="H1GChar">
    <w:name w:val="_ H_1_G Char"/>
    <w:link w:val="H1G"/>
    <w:rsid w:val="00C15A3E"/>
    <w:rPr>
      <w:b/>
      <w:sz w:val="24"/>
      <w:lang w:val="en-GB"/>
    </w:rPr>
  </w:style>
  <w:style w:type="paragraph" w:styleId="Revision">
    <w:name w:val="Revision"/>
    <w:hidden/>
    <w:uiPriority w:val="99"/>
    <w:semiHidden/>
    <w:rsid w:val="00DA00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60C6A-CCDB-49B2-AEF5-0EA9CCC3EDF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CBAF1613-63BC-47A1-BC9C-E70823B09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16AC7-4505-4F83-A0AE-E324AABD5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1942</Characters>
  <Application>Microsoft Office Word</Application>
  <DocSecurity>0</DocSecurity>
  <Lines>153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ECE/TRANS/2023/13</vt:lpstr>
      <vt:lpstr/>
    </vt:vector>
  </TitlesOfParts>
  <Company>CSD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ECE/TRANS/2023/13/Rev.1</dc:title>
  <dc:subject>2300451</dc:subject>
  <dc:creator>ECE/TRANS/315/Add.1</dc:creator>
  <cp:keywords/>
  <dc:description/>
  <cp:lastModifiedBy>Maria Rosario Corazon Gatmaytan</cp:lastModifiedBy>
  <cp:revision>2</cp:revision>
  <cp:lastPrinted>2023-01-10T15:44:00Z</cp:lastPrinted>
  <dcterms:created xsi:type="dcterms:W3CDTF">2023-01-11T07:58:00Z</dcterms:created>
  <dcterms:modified xsi:type="dcterms:W3CDTF">2023-01-11T07:58:00Z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GrammarlyDocumentId">
    <vt:lpwstr>b12187585a5a8845c3a394f2a42526c7137184c1d4c8eaa9d3417590b6cf6a80</vt:lpwstr>
  </property>
</Properties>
</file>