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7EA8C6E" w14:textId="77777777" w:rsidTr="00C97039">
        <w:trPr>
          <w:trHeight w:hRule="exact" w:val="851"/>
        </w:trPr>
        <w:tc>
          <w:tcPr>
            <w:tcW w:w="1276" w:type="dxa"/>
            <w:tcBorders>
              <w:bottom w:val="single" w:sz="4" w:space="0" w:color="auto"/>
            </w:tcBorders>
          </w:tcPr>
          <w:p w14:paraId="66BA5083" w14:textId="77777777" w:rsidR="00F35BAF" w:rsidRPr="00DB58B5" w:rsidRDefault="00F35BAF" w:rsidP="000F01DB"/>
        </w:tc>
        <w:tc>
          <w:tcPr>
            <w:tcW w:w="2268" w:type="dxa"/>
            <w:tcBorders>
              <w:bottom w:val="single" w:sz="4" w:space="0" w:color="auto"/>
            </w:tcBorders>
            <w:vAlign w:val="bottom"/>
          </w:tcPr>
          <w:p w14:paraId="14AFAAD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2393672" w14:textId="60A35BB3" w:rsidR="00F35BAF" w:rsidRPr="00DB58B5" w:rsidRDefault="000F01DB" w:rsidP="000F01DB">
            <w:pPr>
              <w:jc w:val="right"/>
            </w:pPr>
            <w:r w:rsidRPr="000F01DB">
              <w:rPr>
                <w:sz w:val="40"/>
              </w:rPr>
              <w:t>ECE</w:t>
            </w:r>
            <w:r>
              <w:t>/TRANS/2023/1</w:t>
            </w:r>
          </w:p>
        </w:tc>
      </w:tr>
      <w:tr w:rsidR="00F35BAF" w:rsidRPr="00DB58B5" w14:paraId="5D5D86C7" w14:textId="77777777" w:rsidTr="00C97039">
        <w:trPr>
          <w:trHeight w:hRule="exact" w:val="2835"/>
        </w:trPr>
        <w:tc>
          <w:tcPr>
            <w:tcW w:w="1276" w:type="dxa"/>
            <w:tcBorders>
              <w:top w:val="single" w:sz="4" w:space="0" w:color="auto"/>
              <w:bottom w:val="single" w:sz="12" w:space="0" w:color="auto"/>
            </w:tcBorders>
          </w:tcPr>
          <w:p w14:paraId="5C1A29B5" w14:textId="77777777" w:rsidR="00F35BAF" w:rsidRPr="00DB58B5" w:rsidRDefault="00F35BAF" w:rsidP="00C97039">
            <w:pPr>
              <w:spacing w:before="120"/>
              <w:jc w:val="center"/>
            </w:pPr>
            <w:r>
              <w:rPr>
                <w:noProof/>
                <w:lang w:eastAsia="fr-CH"/>
              </w:rPr>
              <w:drawing>
                <wp:inline distT="0" distB="0" distL="0" distR="0" wp14:anchorId="14F869E6" wp14:editId="19035F1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2BEE51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D86DC6E" w14:textId="77777777" w:rsidR="00F35BAF" w:rsidRDefault="000F01DB" w:rsidP="00C97039">
            <w:pPr>
              <w:spacing w:before="240"/>
            </w:pPr>
            <w:proofErr w:type="spellStart"/>
            <w:r>
              <w:t>Distr</w:t>
            </w:r>
            <w:proofErr w:type="spellEnd"/>
            <w:r>
              <w:t>. générale</w:t>
            </w:r>
          </w:p>
          <w:p w14:paraId="6AA97893" w14:textId="77777777" w:rsidR="000F01DB" w:rsidRDefault="000F01DB" w:rsidP="000F01DB">
            <w:pPr>
              <w:spacing w:line="240" w:lineRule="exact"/>
            </w:pPr>
            <w:r>
              <w:t>8 décembre 2022</w:t>
            </w:r>
          </w:p>
          <w:p w14:paraId="11D38348" w14:textId="77777777" w:rsidR="000F01DB" w:rsidRDefault="000F01DB" w:rsidP="000F01DB">
            <w:pPr>
              <w:spacing w:line="240" w:lineRule="exact"/>
            </w:pPr>
            <w:r>
              <w:t>Français</w:t>
            </w:r>
          </w:p>
          <w:p w14:paraId="206853A4" w14:textId="524F44AC" w:rsidR="000F01DB" w:rsidRPr="00DB58B5" w:rsidRDefault="000F01DB" w:rsidP="000F01DB">
            <w:pPr>
              <w:spacing w:line="240" w:lineRule="exact"/>
            </w:pPr>
            <w:r>
              <w:t>Original : anglais</w:t>
            </w:r>
          </w:p>
        </w:tc>
      </w:tr>
    </w:tbl>
    <w:p w14:paraId="68087614" w14:textId="552249D8" w:rsidR="007F20FA" w:rsidRPr="000312C0" w:rsidRDefault="007F20FA" w:rsidP="007F20FA">
      <w:pPr>
        <w:spacing w:before="120"/>
        <w:rPr>
          <w:b/>
          <w:sz w:val="28"/>
          <w:szCs w:val="28"/>
        </w:rPr>
      </w:pPr>
      <w:r w:rsidRPr="000312C0">
        <w:rPr>
          <w:b/>
          <w:sz w:val="28"/>
          <w:szCs w:val="28"/>
        </w:rPr>
        <w:t>Commission économique pour l</w:t>
      </w:r>
      <w:r w:rsidR="00E54597">
        <w:rPr>
          <w:b/>
          <w:sz w:val="28"/>
          <w:szCs w:val="28"/>
        </w:rPr>
        <w:t>’</w:t>
      </w:r>
      <w:r w:rsidRPr="000312C0">
        <w:rPr>
          <w:b/>
          <w:sz w:val="28"/>
          <w:szCs w:val="28"/>
        </w:rPr>
        <w:t>Europe</w:t>
      </w:r>
    </w:p>
    <w:p w14:paraId="27A6CBC9" w14:textId="77777777" w:rsidR="007F20FA" w:rsidRDefault="007F20FA" w:rsidP="007F20FA">
      <w:pPr>
        <w:spacing w:before="120"/>
        <w:rPr>
          <w:sz w:val="28"/>
          <w:szCs w:val="28"/>
        </w:rPr>
      </w:pPr>
      <w:r w:rsidRPr="00685843">
        <w:rPr>
          <w:sz w:val="28"/>
          <w:szCs w:val="28"/>
        </w:rPr>
        <w:t>Comité des transports intérieurs</w:t>
      </w:r>
    </w:p>
    <w:p w14:paraId="65F40073" w14:textId="77777777" w:rsidR="000F01DB" w:rsidRPr="008338A6" w:rsidRDefault="000F01DB" w:rsidP="000F01DB">
      <w:pPr>
        <w:spacing w:before="120"/>
        <w:rPr>
          <w:b/>
          <w:bCs/>
        </w:rPr>
      </w:pPr>
      <w:r>
        <w:rPr>
          <w:b/>
          <w:bCs/>
          <w:lang w:val="fr-FR"/>
        </w:rPr>
        <w:t>Quatre-vingt-cinquième session</w:t>
      </w:r>
    </w:p>
    <w:p w14:paraId="5CC22BDF" w14:textId="77777777" w:rsidR="000F01DB" w:rsidRPr="008338A6" w:rsidRDefault="000F01DB" w:rsidP="000F01DB">
      <w:r>
        <w:rPr>
          <w:lang w:val="fr-FR"/>
        </w:rPr>
        <w:t>Genève, 21-24 février 2023</w:t>
      </w:r>
    </w:p>
    <w:p w14:paraId="2019F0AA" w14:textId="52BFADAD" w:rsidR="000F01DB" w:rsidRPr="008338A6" w:rsidRDefault="000F01DB" w:rsidP="000F01DB">
      <w:r>
        <w:rPr>
          <w:lang w:val="fr-FR"/>
        </w:rPr>
        <w:t>Point 2 de l</w:t>
      </w:r>
      <w:r w:rsidR="00E54597">
        <w:rPr>
          <w:lang w:val="fr-FR"/>
        </w:rPr>
        <w:t>’</w:t>
      </w:r>
      <w:r>
        <w:rPr>
          <w:lang w:val="fr-FR"/>
        </w:rPr>
        <w:t>ordre du jour provisoire</w:t>
      </w:r>
    </w:p>
    <w:p w14:paraId="5408C664" w14:textId="1716BBC0" w:rsidR="00F9573C" w:rsidRDefault="000F01DB" w:rsidP="000F01DB">
      <w:pPr>
        <w:rPr>
          <w:b/>
          <w:bCs/>
          <w:lang w:val="fr-FR"/>
        </w:rPr>
      </w:pPr>
      <w:r>
        <w:rPr>
          <w:b/>
          <w:bCs/>
          <w:lang w:val="fr-FR"/>
        </w:rPr>
        <w:t xml:space="preserve">Actions menées par le secteur des transports intérieurs pour contribuer </w:t>
      </w:r>
      <w:r>
        <w:rPr>
          <w:b/>
          <w:bCs/>
          <w:lang w:val="fr-FR"/>
        </w:rPr>
        <w:br/>
      </w:r>
      <w:r>
        <w:rPr>
          <w:b/>
          <w:bCs/>
          <w:lang w:val="fr-FR"/>
        </w:rPr>
        <w:t>à la lutte mondiale contre les changements climatiques</w:t>
      </w:r>
    </w:p>
    <w:p w14:paraId="0EFE5F64" w14:textId="772E6CF6" w:rsidR="008F43E8" w:rsidRPr="008338A6" w:rsidRDefault="008F43E8" w:rsidP="008F43E8">
      <w:pPr>
        <w:pStyle w:val="HChG"/>
      </w:pPr>
      <w:r>
        <w:rPr>
          <w:lang w:val="fr-FR"/>
        </w:rPr>
        <w:tab/>
      </w:r>
      <w:r>
        <w:rPr>
          <w:lang w:val="fr-FR"/>
        </w:rPr>
        <w:tab/>
      </w:r>
      <w:r>
        <w:rPr>
          <w:lang w:val="fr-FR"/>
        </w:rPr>
        <w:tab/>
        <w:t xml:space="preserve">Document de réflexion pour le débat de haut niveau organisé autour du </w:t>
      </w:r>
      <w:r w:rsidRPr="008F43E8">
        <w:t>thème</w:t>
      </w:r>
      <w:r>
        <w:rPr>
          <w:lang w:val="fr-FR"/>
        </w:rPr>
        <w:t xml:space="preserve"> « Actions menées par le secteur </w:t>
      </w:r>
      <w:r>
        <w:rPr>
          <w:lang w:val="fr-FR"/>
        </w:rPr>
        <w:br/>
      </w:r>
      <w:r>
        <w:rPr>
          <w:lang w:val="fr-FR"/>
        </w:rPr>
        <w:t xml:space="preserve">des transports intérieurs pour contribuer à la lutte </w:t>
      </w:r>
      <w:r>
        <w:rPr>
          <w:lang w:val="fr-FR"/>
        </w:rPr>
        <w:br/>
      </w:r>
      <w:r>
        <w:rPr>
          <w:lang w:val="fr-FR"/>
        </w:rPr>
        <w:t>mondiale contre les changements climatiques »</w:t>
      </w:r>
    </w:p>
    <w:p w14:paraId="5E2D6B12" w14:textId="4B170184" w:rsidR="000F01DB" w:rsidRDefault="008F43E8" w:rsidP="008F43E8">
      <w:pPr>
        <w:pStyle w:val="H1G"/>
        <w:rPr>
          <w:lang w:val="fr-FR"/>
        </w:rPr>
      </w:pPr>
      <w:r>
        <w:rPr>
          <w:lang w:val="fr-FR"/>
        </w:rPr>
        <w:tab/>
      </w:r>
      <w:r>
        <w:rPr>
          <w:lang w:val="fr-FR"/>
        </w:rPr>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8F43E8" w14:paraId="7ECD0E24" w14:textId="77777777">
        <w:trPr>
          <w:jc w:val="center"/>
        </w:trPr>
        <w:tc>
          <w:tcPr>
            <w:tcW w:w="9637" w:type="dxa"/>
            <w:shd w:val="clear" w:color="auto" w:fill="auto"/>
          </w:tcPr>
          <w:p w14:paraId="00816359" w14:textId="77777777" w:rsidR="008F43E8" w:rsidRDefault="008F43E8">
            <w:pPr>
              <w:spacing w:before="240" w:after="120"/>
              <w:ind w:left="255"/>
              <w:rPr>
                <w:i/>
                <w:sz w:val="24"/>
              </w:rPr>
            </w:pPr>
            <w:r>
              <w:rPr>
                <w:i/>
                <w:sz w:val="24"/>
              </w:rPr>
              <w:t>Résumé</w:t>
            </w:r>
          </w:p>
        </w:tc>
      </w:tr>
      <w:tr w:rsidR="008F43E8" w14:paraId="10C9AE7B" w14:textId="77777777">
        <w:trPr>
          <w:jc w:val="center"/>
        </w:trPr>
        <w:tc>
          <w:tcPr>
            <w:tcW w:w="9637" w:type="dxa"/>
            <w:shd w:val="clear" w:color="auto" w:fill="auto"/>
          </w:tcPr>
          <w:p w14:paraId="1BA47FDB" w14:textId="794B6FE2" w:rsidR="008F43E8" w:rsidRDefault="008F43E8" w:rsidP="008F43E8">
            <w:pPr>
              <w:pStyle w:val="SingleTxtG"/>
              <w:ind w:firstLine="567"/>
            </w:pPr>
            <w:r>
              <w:rPr>
                <w:lang w:val="fr-FR"/>
              </w:rPr>
              <w:t>On trouvera dans le présent document une réflexion sur le thème du débat général de haut niveau, à savoir « Actions menées par le secteur des transports intérieurs pour contribuer à la lutte mondiale contre les changements climatiques ». On y trouvera également des informations sur les activités prévues. À sa réunion de juin 2022, le Bureau du Comité des transports intérieurs (CTI) a décidé que les tables rondes de la première journée de la quatre</w:t>
            </w:r>
            <w:r w:rsidR="008A641A">
              <w:rPr>
                <w:lang w:val="fr-FR"/>
              </w:rPr>
              <w:noBreakHyphen/>
            </w:r>
            <w:r>
              <w:rPr>
                <w:lang w:val="fr-FR"/>
              </w:rPr>
              <w:t>vingt-cinquième session du Comité porteraient sur des sujets liés à ce thème. Le débat de haut niveau se terminera par l</w:t>
            </w:r>
            <w:r w:rsidR="00E54597">
              <w:rPr>
                <w:lang w:val="fr-FR"/>
              </w:rPr>
              <w:t>’</w:t>
            </w:r>
            <w:r>
              <w:rPr>
                <w:lang w:val="fr-FR"/>
              </w:rPr>
              <w:t>approbation de la déclaration du CTI intitulée « Tirer le meilleur parti des solutions de transport intérieur dans la lutte mondiale contre les changements climatiques ».</w:t>
            </w:r>
          </w:p>
        </w:tc>
      </w:tr>
      <w:tr w:rsidR="008F43E8" w14:paraId="7C96B389" w14:textId="77777777">
        <w:trPr>
          <w:jc w:val="center"/>
        </w:trPr>
        <w:tc>
          <w:tcPr>
            <w:tcW w:w="9637" w:type="dxa"/>
            <w:shd w:val="clear" w:color="auto" w:fill="auto"/>
          </w:tcPr>
          <w:p w14:paraId="243767D2" w14:textId="77777777" w:rsidR="008F43E8" w:rsidRDefault="008F43E8"/>
        </w:tc>
      </w:tr>
    </w:tbl>
    <w:p w14:paraId="0CE8B79C" w14:textId="77777777" w:rsidR="008F43E8" w:rsidRDefault="008F43E8">
      <w:pPr>
        <w:suppressAutoHyphens w:val="0"/>
        <w:kinsoku/>
        <w:overflowPunct/>
        <w:autoSpaceDE/>
        <w:autoSpaceDN/>
        <w:adjustRightInd/>
        <w:snapToGrid/>
        <w:spacing w:after="200" w:line="276" w:lineRule="auto"/>
        <w:rPr>
          <w:lang w:val="fr-FR"/>
        </w:rPr>
      </w:pPr>
      <w:r>
        <w:rPr>
          <w:lang w:val="fr-FR"/>
        </w:rPr>
        <w:br w:type="page"/>
      </w:r>
    </w:p>
    <w:p w14:paraId="57BCACB4" w14:textId="62BA6595" w:rsidR="008F43E8" w:rsidRPr="008338A6" w:rsidRDefault="008F43E8" w:rsidP="008F43E8">
      <w:pPr>
        <w:pStyle w:val="HChG"/>
      </w:pPr>
      <w:r>
        <w:rPr>
          <w:lang w:val="fr-FR"/>
        </w:rPr>
        <w:lastRenderedPageBreak/>
        <w:tab/>
      </w:r>
      <w:r>
        <w:rPr>
          <w:lang w:val="fr-FR"/>
        </w:rPr>
        <w:t>I.</w:t>
      </w:r>
      <w:r>
        <w:rPr>
          <w:lang w:val="fr-FR"/>
        </w:rPr>
        <w:tab/>
        <w:t>Généralités et contexte</w:t>
      </w:r>
    </w:p>
    <w:p w14:paraId="7C3A585E" w14:textId="275E23C2" w:rsidR="008F43E8" w:rsidRPr="008338A6" w:rsidRDefault="008F43E8" w:rsidP="008F43E8">
      <w:pPr>
        <w:pStyle w:val="SingleTxtG"/>
      </w:pPr>
      <w:r>
        <w:rPr>
          <w:lang w:val="fr-FR"/>
        </w:rPr>
        <w:t>1.</w:t>
      </w:r>
      <w:r>
        <w:rPr>
          <w:lang w:val="fr-FR"/>
        </w:rPr>
        <w:tab/>
        <w:t>Huit ans après la signature de l</w:t>
      </w:r>
      <w:r w:rsidR="00E54597">
        <w:rPr>
          <w:lang w:val="fr-FR"/>
        </w:rPr>
        <w:t>’</w:t>
      </w:r>
      <w:r>
        <w:rPr>
          <w:lang w:val="fr-FR"/>
        </w:rPr>
        <w:t>Accord de Paris sur le climat et l</w:t>
      </w:r>
      <w:r w:rsidR="00E54597">
        <w:rPr>
          <w:lang w:val="fr-FR"/>
        </w:rPr>
        <w:t>’</w:t>
      </w:r>
      <w:r>
        <w:rPr>
          <w:lang w:val="fr-FR"/>
        </w:rPr>
        <w:t>adoption des objectifs de développement durable par l</w:t>
      </w:r>
      <w:r w:rsidR="00E54597">
        <w:rPr>
          <w:lang w:val="fr-FR"/>
        </w:rPr>
        <w:t>’</w:t>
      </w:r>
      <w:r>
        <w:rPr>
          <w:lang w:val="fr-FR"/>
        </w:rPr>
        <w:t>Assemblée générale des Nations Unies, les changements climatiques demeurent un défi planétaire dont les effets délétères se font sentir partout dans le monde et constituent déjà, dans certaines régions, une menace existentielle. Le Programme de développement durable à l</w:t>
      </w:r>
      <w:r w:rsidR="00E54597">
        <w:rPr>
          <w:lang w:val="fr-FR"/>
        </w:rPr>
        <w:t>’</w:t>
      </w:r>
      <w:r>
        <w:rPr>
          <w:lang w:val="fr-FR"/>
        </w:rPr>
        <w:t>horizon 2030 appelle à prendre d</w:t>
      </w:r>
      <w:r w:rsidR="00E54597">
        <w:rPr>
          <w:lang w:val="fr-FR"/>
        </w:rPr>
        <w:t>’</w:t>
      </w:r>
      <w:r>
        <w:rPr>
          <w:lang w:val="fr-FR"/>
        </w:rPr>
        <w:t>urgence des mesures pour lutter contre les changements climatiques et leurs répercussions</w:t>
      </w:r>
      <w:r w:rsidRPr="008F43E8">
        <w:rPr>
          <w:rStyle w:val="Appelnotedebasdep"/>
        </w:rPr>
        <w:footnoteReference w:id="2"/>
      </w:r>
      <w:r>
        <w:rPr>
          <w:lang w:val="fr-FR"/>
        </w:rPr>
        <w:t>. L</w:t>
      </w:r>
      <w:r w:rsidR="00E54597">
        <w:rPr>
          <w:lang w:val="fr-FR"/>
        </w:rPr>
        <w:t>’</w:t>
      </w:r>
      <w:r>
        <w:rPr>
          <w:lang w:val="fr-FR"/>
        </w:rPr>
        <w:t>Accord de Paris sur les changements climatiques, adopté à Paris en 2015 par 196 Parties lors de la vingt et unième session de la Conférence des Parties à la Convention-cadre des Nations Unies sur les changements climatiques, se fixe pour objectif de limiter le réchauffement général à un niveau bien inférieur à 2 °C, de préférence à 1,5 °C, par rapport aux niveaux préindustriels.</w:t>
      </w:r>
    </w:p>
    <w:p w14:paraId="655D0C53" w14:textId="36DD1A74" w:rsidR="008F43E8" w:rsidRPr="008338A6" w:rsidRDefault="008F43E8" w:rsidP="008F43E8">
      <w:pPr>
        <w:pStyle w:val="SingleTxtG"/>
      </w:pPr>
      <w:r>
        <w:rPr>
          <w:lang w:val="fr-FR"/>
        </w:rPr>
        <w:t>2.</w:t>
      </w:r>
      <w:r>
        <w:rPr>
          <w:lang w:val="fr-FR"/>
        </w:rPr>
        <w:tab/>
        <w:t>Au niveau mondial, le CO</w:t>
      </w:r>
      <w:r>
        <w:rPr>
          <w:vertAlign w:val="subscript"/>
          <w:lang w:val="fr-FR"/>
        </w:rPr>
        <w:t>2</w:t>
      </w:r>
      <w:r>
        <w:rPr>
          <w:lang w:val="fr-FR"/>
        </w:rPr>
        <w:t xml:space="preserve"> (principal gaz à effet de serre) émis par le secteur des transports représente 23</w:t>
      </w:r>
      <w:r>
        <w:rPr>
          <w:lang w:val="fr-FR"/>
        </w:rPr>
        <w:t> </w:t>
      </w:r>
      <w:r>
        <w:rPr>
          <w:lang w:val="fr-FR"/>
        </w:rPr>
        <w:t>% des émissions mondiales de carbone d</w:t>
      </w:r>
      <w:r w:rsidR="00E54597">
        <w:rPr>
          <w:lang w:val="fr-FR"/>
        </w:rPr>
        <w:t>’</w:t>
      </w:r>
      <w:r>
        <w:rPr>
          <w:lang w:val="fr-FR"/>
        </w:rPr>
        <w:t>origine énergétique</w:t>
      </w:r>
      <w:r w:rsidRPr="008F43E8">
        <w:rPr>
          <w:rStyle w:val="Appelnotedebasdep"/>
        </w:rPr>
        <w:footnoteReference w:id="3"/>
      </w:r>
      <w:r>
        <w:rPr>
          <w:lang w:val="fr-FR"/>
        </w:rPr>
        <w:t>. Dans le secteur des transports, plus de 71</w:t>
      </w:r>
      <w:r>
        <w:rPr>
          <w:lang w:val="fr-FR"/>
        </w:rPr>
        <w:t> </w:t>
      </w:r>
      <w:r>
        <w:rPr>
          <w:lang w:val="fr-FR"/>
        </w:rPr>
        <w:t>% des émissions de CO</w:t>
      </w:r>
      <w:r>
        <w:rPr>
          <w:vertAlign w:val="subscript"/>
          <w:lang w:val="fr-FR"/>
        </w:rPr>
        <w:t>2</w:t>
      </w:r>
      <w:r>
        <w:rPr>
          <w:lang w:val="fr-FR"/>
        </w:rPr>
        <w:t xml:space="preserve"> proviennent des transports intérieurs, dont environ 70</w:t>
      </w:r>
      <w:r>
        <w:rPr>
          <w:lang w:val="fr-FR"/>
        </w:rPr>
        <w:t> </w:t>
      </w:r>
      <w:r>
        <w:rPr>
          <w:lang w:val="fr-FR"/>
        </w:rPr>
        <w:t>% du seul sous-secteur des transports routiers</w:t>
      </w:r>
      <w:r w:rsidRPr="008F43E8">
        <w:rPr>
          <w:rStyle w:val="Appelnotedebasdep"/>
        </w:rPr>
        <w:footnoteReference w:id="4"/>
      </w:r>
      <w:r>
        <w:rPr>
          <w:lang w:val="fr-FR"/>
        </w:rPr>
        <w:t>.</w:t>
      </w:r>
    </w:p>
    <w:p w14:paraId="3DAEC7DC" w14:textId="62EE3743" w:rsidR="008F43E8" w:rsidRPr="002C74AA" w:rsidRDefault="008F43E8" w:rsidP="008F43E8">
      <w:pPr>
        <w:pStyle w:val="SingleTxtG"/>
        <w:rPr>
          <w:lang w:val="fr-FR"/>
        </w:rPr>
      </w:pPr>
      <w:r>
        <w:rPr>
          <w:lang w:val="fr-FR"/>
        </w:rPr>
        <w:t>3.</w:t>
      </w:r>
      <w:r>
        <w:rPr>
          <w:lang w:val="fr-FR"/>
        </w:rPr>
        <w:tab/>
        <w:t>Pour atteindre l</w:t>
      </w:r>
      <w:r w:rsidR="00E54597">
        <w:rPr>
          <w:lang w:val="fr-FR"/>
        </w:rPr>
        <w:t>’</w:t>
      </w:r>
      <w:r>
        <w:rPr>
          <w:lang w:val="fr-FR"/>
        </w:rPr>
        <w:t>objectif fixé dans l</w:t>
      </w:r>
      <w:r w:rsidR="00E54597">
        <w:rPr>
          <w:lang w:val="fr-FR"/>
        </w:rPr>
        <w:t>’</w:t>
      </w:r>
      <w:r>
        <w:rPr>
          <w:lang w:val="fr-FR"/>
        </w:rPr>
        <w:t>Accord de Paris, des cibles ambitieuses et rigoureuses ont été définies pour le secteur des transports, en particulier celui des transports routiers, afin de réduire les émissions de CO</w:t>
      </w:r>
      <w:r>
        <w:rPr>
          <w:vertAlign w:val="subscript"/>
          <w:lang w:val="fr-FR"/>
        </w:rPr>
        <w:t>2</w:t>
      </w:r>
      <w:r>
        <w:rPr>
          <w:lang w:val="fr-FR"/>
        </w:rPr>
        <w:t>. Pour autant, le Forum international des transports (FIT) prévoit que, si l</w:t>
      </w:r>
      <w:r w:rsidR="00E54597">
        <w:rPr>
          <w:lang w:val="fr-FR"/>
        </w:rPr>
        <w:t>’</w:t>
      </w:r>
      <w:r>
        <w:rPr>
          <w:lang w:val="fr-FR"/>
        </w:rPr>
        <w:t>on continue sur la trajectoire actuelle, le volume du transport de voyageurs aura été multiplié par 2,3 et celui du fret par 2,6 en 2050</w:t>
      </w:r>
      <w:r w:rsidRPr="008F43E8">
        <w:rPr>
          <w:rStyle w:val="Appelnotedebasdep"/>
        </w:rPr>
        <w:footnoteReference w:id="5"/>
      </w:r>
      <w:r>
        <w:rPr>
          <w:lang w:val="fr-FR"/>
        </w:rPr>
        <w:t>. Même si tous les engagements pris jusqu</w:t>
      </w:r>
      <w:r w:rsidR="00E54597">
        <w:rPr>
          <w:lang w:val="fr-FR"/>
        </w:rPr>
        <w:t>’</w:t>
      </w:r>
      <w:r>
        <w:rPr>
          <w:lang w:val="fr-FR"/>
        </w:rPr>
        <w:t>ici pour décarboner les transports sont pleinement respectés, les émissions de CO</w:t>
      </w:r>
      <w:r>
        <w:rPr>
          <w:vertAlign w:val="subscript"/>
          <w:lang w:val="fr-FR"/>
        </w:rPr>
        <w:t>2</w:t>
      </w:r>
      <w:r>
        <w:rPr>
          <w:lang w:val="fr-FR"/>
        </w:rPr>
        <w:t xml:space="preserve"> imputables aux transports augmenteront de 16</w:t>
      </w:r>
      <w:r w:rsidR="004618B3">
        <w:rPr>
          <w:lang w:val="fr-FR"/>
        </w:rPr>
        <w:t> </w:t>
      </w:r>
      <w:r>
        <w:rPr>
          <w:lang w:val="fr-FR"/>
        </w:rPr>
        <w:t>% d</w:t>
      </w:r>
      <w:r w:rsidR="00E54597">
        <w:rPr>
          <w:lang w:val="fr-FR"/>
        </w:rPr>
        <w:t>’</w:t>
      </w:r>
      <w:r>
        <w:rPr>
          <w:lang w:val="fr-FR"/>
        </w:rPr>
        <w:t xml:space="preserve">ici à 2050. </w:t>
      </w:r>
      <w:r w:rsidRPr="002C74AA">
        <w:t>Un tel avenir n</w:t>
      </w:r>
      <w:r w:rsidR="00E54597">
        <w:t>’</w:t>
      </w:r>
      <w:r w:rsidRPr="002C74AA">
        <w:t xml:space="preserve">est pas viable. </w:t>
      </w:r>
      <w:r w:rsidRPr="002C74AA">
        <w:rPr>
          <w:lang w:val="fr-FR"/>
        </w:rPr>
        <w:t xml:space="preserve">Pour </w:t>
      </w:r>
      <w:r w:rsidRPr="005D0796">
        <w:rPr>
          <w:lang w:val="fr-FR"/>
        </w:rPr>
        <w:t>que</w:t>
      </w:r>
      <w:r w:rsidRPr="002C74AA">
        <w:rPr>
          <w:lang w:val="fr-FR"/>
        </w:rPr>
        <w:t xml:space="preserve"> ces engagements puissent </w:t>
      </w:r>
      <w:r w:rsidRPr="005D0796">
        <w:rPr>
          <w:lang w:val="fr-FR"/>
        </w:rPr>
        <w:t>ê</w:t>
      </w:r>
      <w:r w:rsidRPr="002C74AA">
        <w:rPr>
          <w:lang w:val="fr-FR"/>
        </w:rPr>
        <w:t xml:space="preserve">tre </w:t>
      </w:r>
      <w:r>
        <w:rPr>
          <w:lang w:val="fr-FR"/>
        </w:rPr>
        <w:t>pleinement honorés</w:t>
      </w:r>
      <w:r w:rsidRPr="002C74AA">
        <w:rPr>
          <w:lang w:val="fr-FR"/>
        </w:rPr>
        <w:t xml:space="preserve">, il faut que le cadre réglementaire international existant </w:t>
      </w:r>
      <w:r>
        <w:rPr>
          <w:lang w:val="fr-FR"/>
        </w:rPr>
        <w:t xml:space="preserve">appuie la réalisation de </w:t>
      </w:r>
      <w:r w:rsidRPr="002C74AA">
        <w:rPr>
          <w:lang w:val="fr-FR"/>
        </w:rPr>
        <w:t>cet objectif ambitieux.</w:t>
      </w:r>
    </w:p>
    <w:p w14:paraId="7536187D" w14:textId="67CAE219" w:rsidR="008F43E8" w:rsidRPr="008338A6" w:rsidRDefault="008F43E8" w:rsidP="008F43E8">
      <w:pPr>
        <w:pStyle w:val="SingleTxtG"/>
      </w:pPr>
      <w:r>
        <w:rPr>
          <w:lang w:val="fr-FR"/>
        </w:rPr>
        <w:t>4.</w:t>
      </w:r>
      <w:r>
        <w:rPr>
          <w:lang w:val="fr-FR"/>
        </w:rPr>
        <w:tab/>
        <w:t>À sa quatre-vingt-unième session, en 2019, le Comité a adopté sa Stratégie à l</w:t>
      </w:r>
      <w:r w:rsidR="00E54597">
        <w:rPr>
          <w:lang w:val="fr-FR"/>
        </w:rPr>
        <w:t>’</w:t>
      </w:r>
      <w:r>
        <w:rPr>
          <w:lang w:val="fr-FR"/>
        </w:rPr>
        <w:t xml:space="preserve">horizon 2030, qui fait de lui la </w:t>
      </w:r>
      <w:proofErr w:type="spellStart"/>
      <w:r>
        <w:rPr>
          <w:lang w:val="fr-FR"/>
        </w:rPr>
        <w:t>plateforme</w:t>
      </w:r>
      <w:proofErr w:type="spellEnd"/>
      <w:r>
        <w:rPr>
          <w:lang w:val="fr-FR"/>
        </w:rPr>
        <w:t xml:space="preserve"> des Nations Unies pour les transports intérieurs, avec des fonctions comparables à celles de l</w:t>
      </w:r>
      <w:r w:rsidR="00E54597">
        <w:rPr>
          <w:lang w:val="fr-FR"/>
        </w:rPr>
        <w:t>’</w:t>
      </w:r>
      <w:r>
        <w:rPr>
          <w:lang w:val="fr-FR"/>
        </w:rPr>
        <w:t>Organisation de l</w:t>
      </w:r>
      <w:r w:rsidR="00E54597">
        <w:rPr>
          <w:lang w:val="fr-FR"/>
        </w:rPr>
        <w:t>’</w:t>
      </w:r>
      <w:r>
        <w:rPr>
          <w:lang w:val="fr-FR"/>
        </w:rPr>
        <w:t>aviation civile internationale (</w:t>
      </w:r>
      <w:hyperlink r:id="rId8" w:anchor=":~:text=It%20reiterated%20the%20two%20global,the%2037th%20Assembly%20in%202010." w:history="1">
        <w:r w:rsidRPr="008F43E8">
          <w:rPr>
            <w:rStyle w:val="Lienhypertexte"/>
            <w:lang w:val="fr-FR"/>
          </w:rPr>
          <w:t>OA</w:t>
        </w:r>
        <w:r w:rsidRPr="008F43E8">
          <w:rPr>
            <w:rStyle w:val="Lienhypertexte"/>
            <w:lang w:val="fr-FR"/>
          </w:rPr>
          <w:t>C</w:t>
        </w:r>
        <w:r w:rsidRPr="008F43E8">
          <w:rPr>
            <w:rStyle w:val="Lienhypertexte"/>
            <w:lang w:val="fr-FR"/>
          </w:rPr>
          <w:t>I</w:t>
        </w:r>
      </w:hyperlink>
      <w:r>
        <w:rPr>
          <w:lang w:val="fr-FR"/>
        </w:rPr>
        <w:t>) et de l</w:t>
      </w:r>
      <w:r w:rsidR="00E54597">
        <w:rPr>
          <w:lang w:val="fr-FR"/>
        </w:rPr>
        <w:t>’</w:t>
      </w:r>
      <w:r>
        <w:rPr>
          <w:lang w:val="fr-FR"/>
        </w:rPr>
        <w:t>Organisation maritime internationale (</w:t>
      </w:r>
      <w:hyperlink r:id="rId9" w:history="1">
        <w:r w:rsidRPr="008F43E8">
          <w:rPr>
            <w:rStyle w:val="Lienhypertexte"/>
            <w:lang w:val="fr-FR"/>
          </w:rPr>
          <w:t>OMI</w:t>
        </w:r>
      </w:hyperlink>
      <w:r>
        <w:rPr>
          <w:lang w:val="fr-FR"/>
        </w:rPr>
        <w:t>). L</w:t>
      </w:r>
      <w:r w:rsidR="00E54597">
        <w:rPr>
          <w:lang w:val="fr-FR"/>
        </w:rPr>
        <w:t>’</w:t>
      </w:r>
      <w:r>
        <w:rPr>
          <w:lang w:val="fr-FR"/>
        </w:rPr>
        <w:t>OACI et l</w:t>
      </w:r>
      <w:r w:rsidR="00E54597">
        <w:rPr>
          <w:lang w:val="fr-FR"/>
        </w:rPr>
        <w:t>’</w:t>
      </w:r>
      <w:r>
        <w:rPr>
          <w:lang w:val="fr-FR"/>
        </w:rPr>
        <w:t>OMI ont toutes deux fixé des objectifs précis et adopté des stratégies ou des mesures concrètes pour la réduction des émissions de CO</w:t>
      </w:r>
      <w:r>
        <w:rPr>
          <w:vertAlign w:val="subscript"/>
          <w:lang w:val="fr-FR"/>
        </w:rPr>
        <w:t>2</w:t>
      </w:r>
      <w:r>
        <w:rPr>
          <w:lang w:val="fr-FR"/>
        </w:rPr>
        <w:t xml:space="preserve"> de l</w:t>
      </w:r>
      <w:r w:rsidR="00E54597">
        <w:rPr>
          <w:lang w:val="fr-FR"/>
        </w:rPr>
        <w:t>’</w:t>
      </w:r>
      <w:r>
        <w:rPr>
          <w:lang w:val="fr-FR"/>
        </w:rPr>
        <w:t>aviation civile et du transport maritime, respectivement.</w:t>
      </w:r>
    </w:p>
    <w:p w14:paraId="37565DE2" w14:textId="5F304598" w:rsidR="008F43E8" w:rsidRPr="008338A6" w:rsidRDefault="008F43E8" w:rsidP="008F43E8">
      <w:pPr>
        <w:pStyle w:val="SingleTxtG"/>
      </w:pPr>
      <w:r>
        <w:rPr>
          <w:lang w:val="fr-FR"/>
        </w:rPr>
        <w:t>5.</w:t>
      </w:r>
      <w:r>
        <w:rPr>
          <w:lang w:val="fr-FR"/>
        </w:rPr>
        <w:tab/>
        <w:t xml:space="preserve">À sa quatre-vingt-quatrième session, qui marquait son </w:t>
      </w:r>
      <w:r w:rsidR="004618B3">
        <w:rPr>
          <w:lang w:val="fr-FR"/>
        </w:rPr>
        <w:t xml:space="preserve">soixante-quinzième </w:t>
      </w:r>
      <w:r>
        <w:rPr>
          <w:lang w:val="fr-FR"/>
        </w:rPr>
        <w:t>anniversaire, le CTI a approuvé une résolution ministérielle ambitieuse intitulée « En route pour une décennie au service de transports intérieurs et d</w:t>
      </w:r>
      <w:r w:rsidR="00E54597">
        <w:rPr>
          <w:lang w:val="fr-FR"/>
        </w:rPr>
        <w:t>’</w:t>
      </w:r>
      <w:r>
        <w:rPr>
          <w:lang w:val="fr-FR"/>
        </w:rPr>
        <w:t>un développement durables » (ECE/TRANS/316, annexe</w:t>
      </w:r>
      <w:r>
        <w:rPr>
          <w:lang w:val="fr-FR"/>
        </w:rPr>
        <w:t> </w:t>
      </w:r>
      <w:r>
        <w:rPr>
          <w:lang w:val="fr-FR"/>
        </w:rPr>
        <w:t>I). Des décisions importantes qui guideront les travaux du Comité ont été intégrées dans les paragraphes du dispositif de la résolution axées sur la réalisation des objectifs et des cibles du Programme de développement durable. En parallèle, des projets et des objectifs nationaux ambitieux ont été formulés ces dernières années dans des domaines déterminants pour l</w:t>
      </w:r>
      <w:r w:rsidR="00E54597">
        <w:rPr>
          <w:lang w:val="fr-FR"/>
        </w:rPr>
        <w:t>’</w:t>
      </w:r>
      <w:r>
        <w:rPr>
          <w:lang w:val="fr-FR"/>
        </w:rPr>
        <w:t>avenir de la planète. Les transports intérieurs ont un rôle essentiel à jouer, notamment dans le domaine des changements climatiques. Le débat de haut niveau de la quatre</w:t>
      </w:r>
      <w:r>
        <w:rPr>
          <w:lang w:val="fr-FR"/>
        </w:rPr>
        <w:noBreakHyphen/>
      </w:r>
      <w:r>
        <w:rPr>
          <w:lang w:val="fr-FR"/>
        </w:rPr>
        <w:t>vingt</w:t>
      </w:r>
      <w:r>
        <w:rPr>
          <w:lang w:val="fr-FR"/>
        </w:rPr>
        <w:noBreakHyphen/>
      </w:r>
      <w:r>
        <w:rPr>
          <w:lang w:val="fr-FR"/>
        </w:rPr>
        <w:t>cinquième session plénière du CTI est l</w:t>
      </w:r>
      <w:r w:rsidR="00E54597">
        <w:rPr>
          <w:lang w:val="fr-FR"/>
        </w:rPr>
        <w:t>’</w:t>
      </w:r>
      <w:r>
        <w:rPr>
          <w:lang w:val="fr-FR"/>
        </w:rPr>
        <w:t>occasion de tirer parti des décisions et mandats importants issus de la quatre-vingt-quatrième session et de contribuer à transformer les aspirations et les objectifs ambitieux en mesures et résultats concrets.</w:t>
      </w:r>
    </w:p>
    <w:p w14:paraId="075C854A" w14:textId="2827006E" w:rsidR="008F43E8" w:rsidRPr="008338A6" w:rsidRDefault="008F43E8" w:rsidP="008F43E8">
      <w:pPr>
        <w:pStyle w:val="SingleTxtG"/>
      </w:pPr>
      <w:r>
        <w:rPr>
          <w:lang w:val="fr-FR"/>
        </w:rPr>
        <w:t>6.</w:t>
      </w:r>
      <w:r>
        <w:rPr>
          <w:lang w:val="fr-FR"/>
        </w:rPr>
        <w:tab/>
        <w:t>Le débat de haut niveau sera l</w:t>
      </w:r>
      <w:r w:rsidR="00E54597">
        <w:rPr>
          <w:lang w:val="fr-FR"/>
        </w:rPr>
        <w:t>’</w:t>
      </w:r>
      <w:r>
        <w:rPr>
          <w:lang w:val="fr-FR"/>
        </w:rPr>
        <w:t>occasion de poser des questions difficiles : comment faire des transports intérieurs un catalyseur de la mobilité et du développement durables</w:t>
      </w:r>
      <w:r w:rsidR="00C926FD">
        <w:rPr>
          <w:lang w:val="fr-FR"/>
        </w:rPr>
        <w:t> </w:t>
      </w:r>
      <w:r>
        <w:rPr>
          <w:lang w:val="fr-FR"/>
        </w:rPr>
        <w:t>? Quel rôle le Comité des transports intérieurs a-t-il à jouer dans cette démarche ? Pour y répondre, les participants aux tables rondes se pencheront sur la question des changements climatiques et sur la nécessité de réduire, à l</w:t>
      </w:r>
      <w:r w:rsidR="00E54597">
        <w:rPr>
          <w:lang w:val="fr-FR"/>
        </w:rPr>
        <w:t>’</w:t>
      </w:r>
      <w:r>
        <w:rPr>
          <w:lang w:val="fr-FR"/>
        </w:rPr>
        <w:t xml:space="preserve">échelle locale, les émissions provenant du secteur des </w:t>
      </w:r>
      <w:r w:rsidRPr="00C926FD">
        <w:rPr>
          <w:lang w:val="fr-FR"/>
        </w:rPr>
        <w:t xml:space="preserve">transports. Quelles sont les meilleures pratiques de réduction des émissions dans </w:t>
      </w:r>
      <w:r w:rsidRPr="00C926FD">
        <w:rPr>
          <w:lang w:val="fr-FR"/>
        </w:rPr>
        <w:lastRenderedPageBreak/>
        <w:t>le secteur des transports ? Quel est le rôle des partenariats stratégiques ? Comment le Comité des transports intérieurs peut-il encourager ou faire progresser le recours à des carburants de substitution ou à d</w:t>
      </w:r>
      <w:r w:rsidR="00E54597" w:rsidRPr="00C926FD">
        <w:rPr>
          <w:lang w:val="fr-FR"/>
        </w:rPr>
        <w:t>’</w:t>
      </w:r>
      <w:r w:rsidRPr="00C926FD">
        <w:rPr>
          <w:lang w:val="fr-FR"/>
        </w:rPr>
        <w:t>autres modes de transport ?</w:t>
      </w:r>
    </w:p>
    <w:p w14:paraId="037227BA" w14:textId="0DACF660" w:rsidR="008F43E8" w:rsidRPr="008338A6" w:rsidRDefault="008F43E8" w:rsidP="008F43E8">
      <w:pPr>
        <w:pStyle w:val="SingleTxtG"/>
      </w:pPr>
      <w:r>
        <w:rPr>
          <w:lang w:val="fr-FR"/>
        </w:rPr>
        <w:t>7.</w:t>
      </w:r>
      <w:r>
        <w:rPr>
          <w:lang w:val="fr-FR"/>
        </w:rPr>
        <w:tab/>
        <w:t>En outre, les participants aux tables rondes se concentreront sur les innovations technologiques, financières et réglementaires nécessaires pour relever efficacement les défis liés aux changements climatiques. Ils examineront les réponses politiques apportées aux évolutions technologiques et les conditions de la mise en place d</w:t>
      </w:r>
      <w:r w:rsidR="00E54597">
        <w:rPr>
          <w:lang w:val="fr-FR"/>
        </w:rPr>
        <w:t>’</w:t>
      </w:r>
      <w:r>
        <w:rPr>
          <w:lang w:val="fr-FR"/>
        </w:rPr>
        <w:t>un environnement ouvert et propice à l</w:t>
      </w:r>
      <w:r w:rsidR="00E54597">
        <w:rPr>
          <w:lang w:val="fr-FR"/>
        </w:rPr>
        <w:t>’</w:t>
      </w:r>
      <w:r>
        <w:rPr>
          <w:lang w:val="fr-FR"/>
        </w:rPr>
        <w:t>innovation. Ils se pencheront également sur des questions telles que l</w:t>
      </w:r>
      <w:r w:rsidR="00E54597">
        <w:rPr>
          <w:lang w:val="fr-FR"/>
        </w:rPr>
        <w:t>’</w:t>
      </w:r>
      <w:r>
        <w:rPr>
          <w:lang w:val="fr-FR"/>
        </w:rPr>
        <w:t>appui réglementaire que le Comité des transports intérieurs peut fournir à l</w:t>
      </w:r>
      <w:r w:rsidR="00E54597">
        <w:rPr>
          <w:lang w:val="fr-FR"/>
        </w:rPr>
        <w:t>’</w:t>
      </w:r>
      <w:r>
        <w:rPr>
          <w:lang w:val="fr-FR"/>
        </w:rPr>
        <w:t>échelon international pour accélérer la transition vers des transports terrestres (notamment routiers) plus écologiques, y compris l</w:t>
      </w:r>
      <w:r w:rsidR="00E54597">
        <w:rPr>
          <w:lang w:val="fr-FR"/>
        </w:rPr>
        <w:t>’</w:t>
      </w:r>
      <w:r>
        <w:rPr>
          <w:lang w:val="fr-FR"/>
        </w:rPr>
        <w:t>utilisation croissante de véhicules automatiques et autonomes, ainsi que les systèmes de transport intelligents et le recours croissant aux technologies de l</w:t>
      </w:r>
      <w:r w:rsidR="00E54597">
        <w:rPr>
          <w:lang w:val="fr-FR"/>
        </w:rPr>
        <w:t>’</w:t>
      </w:r>
      <w:r>
        <w:rPr>
          <w:lang w:val="fr-FR"/>
        </w:rPr>
        <w:t>information et de la communication.</w:t>
      </w:r>
    </w:p>
    <w:p w14:paraId="4D6AB4C1" w14:textId="03D4208C" w:rsidR="008F43E8" w:rsidRPr="008338A6" w:rsidRDefault="008F43E8" w:rsidP="008F43E8">
      <w:pPr>
        <w:pStyle w:val="SingleTxtG"/>
      </w:pPr>
      <w:r>
        <w:rPr>
          <w:lang w:val="fr-FR"/>
        </w:rPr>
        <w:t>8.</w:t>
      </w:r>
      <w:r>
        <w:rPr>
          <w:lang w:val="fr-FR"/>
        </w:rPr>
        <w:tab/>
        <w:t xml:space="preserve">Depuis sa création en 1947, le Comité des transports intérieurs fournit un cadre de coopération </w:t>
      </w:r>
      <w:proofErr w:type="spellStart"/>
      <w:r>
        <w:rPr>
          <w:lang w:val="fr-FR"/>
        </w:rPr>
        <w:t>intergouvernementale</w:t>
      </w:r>
      <w:proofErr w:type="spellEnd"/>
      <w:r>
        <w:rPr>
          <w:lang w:val="fr-FR"/>
        </w:rPr>
        <w:t xml:space="preserve"> et de concertation dans l</w:t>
      </w:r>
      <w:r w:rsidR="00E54597">
        <w:rPr>
          <w:lang w:val="fr-FR"/>
        </w:rPr>
        <w:t>’</w:t>
      </w:r>
      <w:r>
        <w:rPr>
          <w:lang w:val="fr-FR"/>
        </w:rPr>
        <w:t>action visant à faciliter les transports internationaux tout en améliorant leur viabilité et leur performance environnementale. Il n</w:t>
      </w:r>
      <w:r w:rsidR="00E54597">
        <w:rPr>
          <w:lang w:val="fr-FR"/>
        </w:rPr>
        <w:t>’</w:t>
      </w:r>
      <w:r>
        <w:rPr>
          <w:lang w:val="fr-FR"/>
        </w:rPr>
        <w:t xml:space="preserve">existe pas de meilleurs témoins des principaux résultats de ses travaux que les 59 accords et conventions des Nations Unies sur les transports relevant du Comité et de ses organes subsidiaires, lesquels constituent une </w:t>
      </w:r>
      <w:proofErr w:type="spellStart"/>
      <w:r>
        <w:rPr>
          <w:lang w:val="fr-FR"/>
        </w:rPr>
        <w:t>plateforme</w:t>
      </w:r>
      <w:proofErr w:type="spellEnd"/>
      <w:r>
        <w:rPr>
          <w:lang w:val="fr-FR"/>
        </w:rPr>
        <w:t xml:space="preserve"> politique, juridique et technique au service du développement des transports routier, ferroviaire, fluvial et combiné à l</w:t>
      </w:r>
      <w:r w:rsidR="00E54597">
        <w:rPr>
          <w:lang w:val="fr-FR"/>
        </w:rPr>
        <w:t>’</w:t>
      </w:r>
      <w:r>
        <w:rPr>
          <w:lang w:val="fr-FR"/>
        </w:rPr>
        <w:t>échelon international. Les travaux relatifs aux conventions ont abouti, entre autres, à l</w:t>
      </w:r>
      <w:r w:rsidR="00E54597">
        <w:rPr>
          <w:lang w:val="fr-FR"/>
        </w:rPr>
        <w:t>’</w:t>
      </w:r>
      <w:r>
        <w:rPr>
          <w:lang w:val="fr-FR"/>
        </w:rPr>
        <w:t>adoption de plusieurs Règlements ONU relatifs aux véhicules portant sur les émissions de CO</w:t>
      </w:r>
      <w:r>
        <w:rPr>
          <w:vertAlign w:val="subscript"/>
          <w:lang w:val="fr-FR"/>
        </w:rPr>
        <w:t>2</w:t>
      </w:r>
      <w:r>
        <w:rPr>
          <w:lang w:val="fr-FR"/>
        </w:rPr>
        <w:t xml:space="preserve"> et la consommation de carburant des voitures et des véhicules utilitaires légers</w:t>
      </w:r>
      <w:r w:rsidRPr="008F43E8">
        <w:rPr>
          <w:rStyle w:val="Appelnotedebasdep"/>
        </w:rPr>
        <w:footnoteReference w:id="6"/>
      </w:r>
      <w:r>
        <w:rPr>
          <w:lang w:val="fr-FR"/>
        </w:rPr>
        <w:t xml:space="preserve">, et sont complétés par des outils tels que </w:t>
      </w:r>
      <w:proofErr w:type="spellStart"/>
      <w:r>
        <w:rPr>
          <w:lang w:val="fr-FR"/>
        </w:rPr>
        <w:t>ForFITS</w:t>
      </w:r>
      <w:proofErr w:type="spellEnd"/>
      <w:r>
        <w:rPr>
          <w:lang w:val="fr-FR"/>
        </w:rPr>
        <w:t xml:space="preserve"> (For Future </w:t>
      </w:r>
      <w:proofErr w:type="spellStart"/>
      <w:r>
        <w:rPr>
          <w:lang w:val="fr-FR"/>
        </w:rPr>
        <w:t>Inland</w:t>
      </w:r>
      <w:proofErr w:type="spellEnd"/>
      <w:r>
        <w:rPr>
          <w:lang w:val="fr-FR"/>
        </w:rPr>
        <w:t xml:space="preserve"> Transport </w:t>
      </w:r>
      <w:proofErr w:type="spellStart"/>
      <w:r>
        <w:rPr>
          <w:lang w:val="fr-FR"/>
        </w:rPr>
        <w:t>Systems</w:t>
      </w:r>
      <w:proofErr w:type="spellEnd"/>
      <w:r>
        <w:rPr>
          <w:lang w:val="fr-FR"/>
        </w:rPr>
        <w:t>), qui permet d</w:t>
      </w:r>
      <w:r w:rsidR="00E54597">
        <w:rPr>
          <w:lang w:val="fr-FR"/>
        </w:rPr>
        <w:t>’</w:t>
      </w:r>
      <w:r>
        <w:rPr>
          <w:lang w:val="fr-FR"/>
        </w:rPr>
        <w:t>aider les pays à faire des choix éclairés entre les mesures disponibles, sur la base de leur incidence sur la réduction des émissions de CO</w:t>
      </w:r>
      <w:r w:rsidRPr="006702A8">
        <w:rPr>
          <w:vertAlign w:val="subscript"/>
          <w:lang w:val="fr-FR"/>
        </w:rPr>
        <w:t>2</w:t>
      </w:r>
      <w:r>
        <w:rPr>
          <w:lang w:val="fr-FR"/>
        </w:rPr>
        <w:t>.</w:t>
      </w:r>
    </w:p>
    <w:p w14:paraId="11A53412" w14:textId="7BF15FA4" w:rsidR="008F43E8" w:rsidRPr="008338A6" w:rsidRDefault="008F43E8" w:rsidP="008F43E8">
      <w:pPr>
        <w:pStyle w:val="HChG"/>
      </w:pPr>
      <w:r>
        <w:rPr>
          <w:lang w:val="fr-FR"/>
        </w:rPr>
        <w:tab/>
      </w:r>
      <w:r>
        <w:rPr>
          <w:lang w:val="fr-FR"/>
        </w:rPr>
        <w:t>II.</w:t>
      </w:r>
      <w:r>
        <w:rPr>
          <w:lang w:val="fr-FR"/>
        </w:rPr>
        <w:tab/>
        <w:t>Débat de haut niveau</w:t>
      </w:r>
    </w:p>
    <w:p w14:paraId="09CB55DB" w14:textId="08D91214" w:rsidR="008F43E8" w:rsidRPr="008338A6" w:rsidRDefault="008F43E8" w:rsidP="008F43E8">
      <w:pPr>
        <w:pStyle w:val="SingleTxtG"/>
      </w:pPr>
      <w:r>
        <w:rPr>
          <w:lang w:val="fr-FR"/>
        </w:rPr>
        <w:t>9.</w:t>
      </w:r>
      <w:r>
        <w:rPr>
          <w:lang w:val="fr-FR"/>
        </w:rPr>
        <w:tab/>
        <w:t>Compte tenu des recommandations du CTI et des délibérations du Bureau, le débat de politique générale aura pour thème « Actions menées par le secteur des transports intérieurs pour contribuer à la lutte mondiale contre les changements climatiques ». Ce débat sera l</w:t>
      </w:r>
      <w:r w:rsidR="00E54597">
        <w:rPr>
          <w:lang w:val="fr-FR"/>
        </w:rPr>
        <w:t>’</w:t>
      </w:r>
      <w:r>
        <w:rPr>
          <w:lang w:val="fr-FR"/>
        </w:rPr>
        <w:t>occasion d</w:t>
      </w:r>
      <w:r w:rsidR="00E54597">
        <w:rPr>
          <w:lang w:val="fr-FR"/>
        </w:rPr>
        <w:t>’</w:t>
      </w:r>
      <w:r>
        <w:rPr>
          <w:lang w:val="fr-FR"/>
        </w:rPr>
        <w:t>entreprendre une réflexion sur les atouts propres au Comité, de mettre en lumière sa valeur ajoutée et de souligner le rôle qu</w:t>
      </w:r>
      <w:r w:rsidR="00E54597">
        <w:rPr>
          <w:lang w:val="fr-FR"/>
        </w:rPr>
        <w:t>’</w:t>
      </w:r>
      <w:r>
        <w:rPr>
          <w:lang w:val="fr-FR"/>
        </w:rPr>
        <w:t>il pourrait jouer dans la réduction des émissions de gaz à effet de serre provenant des transports intérieurs dans une économie mondiale mise à mal par les catastrophes liées aux changements climatiques, tant à l</w:t>
      </w:r>
      <w:r w:rsidR="00E54597">
        <w:rPr>
          <w:lang w:val="fr-FR"/>
        </w:rPr>
        <w:t>’</w:t>
      </w:r>
      <w:r>
        <w:rPr>
          <w:lang w:val="fr-FR"/>
        </w:rPr>
        <w:t>échelle régionale qu</w:t>
      </w:r>
      <w:r w:rsidR="00E54597">
        <w:rPr>
          <w:lang w:val="fr-FR"/>
        </w:rPr>
        <w:t>’</w:t>
      </w:r>
      <w:r>
        <w:rPr>
          <w:lang w:val="fr-FR"/>
        </w:rPr>
        <w:t>au niveau mondial.</w:t>
      </w:r>
    </w:p>
    <w:p w14:paraId="58A978B1" w14:textId="57440C0D" w:rsidR="008F43E8" w:rsidRPr="008338A6" w:rsidRDefault="008F43E8" w:rsidP="008F43E8">
      <w:pPr>
        <w:pStyle w:val="SingleTxtG"/>
      </w:pPr>
      <w:r>
        <w:rPr>
          <w:lang w:val="fr-FR"/>
        </w:rPr>
        <w:t>10.</w:t>
      </w:r>
      <w:r>
        <w:rPr>
          <w:lang w:val="fr-FR"/>
        </w:rPr>
        <w:tab/>
        <w:t>Le projet de programme pour le mardi 21</w:t>
      </w:r>
      <w:r>
        <w:rPr>
          <w:lang w:val="fr-FR"/>
        </w:rPr>
        <w:t> </w:t>
      </w:r>
      <w:r>
        <w:rPr>
          <w:lang w:val="fr-FR"/>
        </w:rPr>
        <w:t>février 2023 est le suivant :</w:t>
      </w:r>
    </w:p>
    <w:p w14:paraId="7887F8BC" w14:textId="77777777" w:rsidR="008F43E8" w:rsidRPr="008338A6" w:rsidRDefault="008F43E8" w:rsidP="008F43E8">
      <w:pPr>
        <w:pStyle w:val="SingleTxtG"/>
        <w:ind w:firstLine="567"/>
      </w:pPr>
      <w:r>
        <w:rPr>
          <w:lang w:val="fr-FR"/>
        </w:rPr>
        <w:t>a)</w:t>
      </w:r>
      <w:r>
        <w:rPr>
          <w:lang w:val="fr-FR"/>
        </w:rPr>
        <w:tab/>
        <w:t>Déclarations liminaires ;</w:t>
      </w:r>
    </w:p>
    <w:p w14:paraId="135E4DB8" w14:textId="4BE2ED2D" w:rsidR="008F43E8" w:rsidRPr="008338A6" w:rsidRDefault="008F43E8" w:rsidP="008F43E8">
      <w:pPr>
        <w:pStyle w:val="SingleTxtG"/>
        <w:ind w:firstLine="567"/>
      </w:pPr>
      <w:r>
        <w:rPr>
          <w:lang w:val="fr-FR"/>
        </w:rPr>
        <w:t>b)</w:t>
      </w:r>
      <w:r>
        <w:rPr>
          <w:lang w:val="fr-FR"/>
        </w:rPr>
        <w:tab/>
        <w:t>Deux discours d</w:t>
      </w:r>
      <w:r w:rsidR="00E54597">
        <w:rPr>
          <w:lang w:val="fr-FR"/>
        </w:rPr>
        <w:t>’</w:t>
      </w:r>
      <w:r>
        <w:rPr>
          <w:lang w:val="fr-FR"/>
        </w:rPr>
        <w:t>orientation sur l</w:t>
      </w:r>
      <w:r w:rsidR="00E54597">
        <w:rPr>
          <w:lang w:val="fr-FR"/>
        </w:rPr>
        <w:t>’</w:t>
      </w:r>
      <w:r>
        <w:rPr>
          <w:lang w:val="fr-FR"/>
        </w:rPr>
        <w:t>importance de relever les défis posés par les changements climatiques et de tirer le meilleur parti des solutions offertes par les transports intérieurs et sur le rôle du Comité en tant que catalyseur de l</w:t>
      </w:r>
      <w:r w:rsidR="00E54597">
        <w:rPr>
          <w:lang w:val="fr-FR"/>
        </w:rPr>
        <w:t>’</w:t>
      </w:r>
      <w:r>
        <w:rPr>
          <w:lang w:val="fr-FR"/>
        </w:rPr>
        <w:t>action et de la réalisation des objectifs ;</w:t>
      </w:r>
    </w:p>
    <w:p w14:paraId="23D8446B" w14:textId="3CA37391" w:rsidR="008F43E8" w:rsidRPr="008338A6" w:rsidRDefault="008F43E8" w:rsidP="008F43E8">
      <w:pPr>
        <w:pStyle w:val="SingleTxtG"/>
        <w:ind w:firstLine="567"/>
      </w:pPr>
      <w:r>
        <w:rPr>
          <w:lang w:val="fr-FR"/>
        </w:rPr>
        <w:t>c)</w:t>
      </w:r>
      <w:r>
        <w:rPr>
          <w:lang w:val="fr-FR"/>
        </w:rPr>
        <w:tab/>
        <w:t>Trois tables rondes thématiques réunissant chacune cinq participants au maximum, dont les déclarations initiales seront suivies d</w:t>
      </w:r>
      <w:r w:rsidR="00E54597">
        <w:rPr>
          <w:lang w:val="fr-FR"/>
        </w:rPr>
        <w:t>’</w:t>
      </w:r>
      <w:r>
        <w:rPr>
          <w:lang w:val="fr-FR"/>
        </w:rPr>
        <w:t>interventions de membres de l</w:t>
      </w:r>
      <w:r w:rsidR="00E54597">
        <w:rPr>
          <w:lang w:val="fr-FR"/>
        </w:rPr>
        <w:t>’</w:t>
      </w:r>
      <w:r>
        <w:rPr>
          <w:lang w:val="fr-FR"/>
        </w:rPr>
        <w:t>assistance ;</w:t>
      </w:r>
    </w:p>
    <w:p w14:paraId="3AC575AB" w14:textId="2C077E18" w:rsidR="008F43E8" w:rsidRPr="008338A6" w:rsidRDefault="008F43E8" w:rsidP="008F43E8">
      <w:pPr>
        <w:pStyle w:val="SingleTxtG"/>
        <w:ind w:firstLine="567"/>
      </w:pPr>
      <w:r>
        <w:rPr>
          <w:lang w:val="fr-FR"/>
        </w:rPr>
        <w:t>d)</w:t>
      </w:r>
      <w:r>
        <w:rPr>
          <w:lang w:val="fr-FR"/>
        </w:rPr>
        <w:tab/>
        <w:t>La conférence se terminera par l</w:t>
      </w:r>
      <w:r w:rsidR="00E54597">
        <w:rPr>
          <w:lang w:val="fr-FR"/>
        </w:rPr>
        <w:t>’</w:t>
      </w:r>
      <w:r>
        <w:rPr>
          <w:lang w:val="fr-FR"/>
        </w:rPr>
        <w:t>adoption de la déclaration du Comité des transports intérieurs.</w:t>
      </w:r>
    </w:p>
    <w:p w14:paraId="443FEED2" w14:textId="12AF72D4" w:rsidR="008F43E8" w:rsidRPr="008338A6" w:rsidRDefault="008F43E8" w:rsidP="008F43E8">
      <w:pPr>
        <w:pStyle w:val="H1G"/>
      </w:pPr>
      <w:r>
        <w:rPr>
          <w:lang w:val="fr-FR"/>
        </w:rPr>
        <w:lastRenderedPageBreak/>
        <w:tab/>
      </w:r>
      <w:r>
        <w:rPr>
          <w:lang w:val="fr-FR"/>
        </w:rPr>
        <w:t>A.</w:t>
      </w:r>
      <w:r>
        <w:rPr>
          <w:lang w:val="fr-FR"/>
        </w:rPr>
        <w:tab/>
        <w:t>Déclarations et discours liminaires</w:t>
      </w:r>
    </w:p>
    <w:p w14:paraId="63B9D5FD" w14:textId="3EE40BB0" w:rsidR="008F43E8" w:rsidRPr="008338A6" w:rsidRDefault="008F43E8" w:rsidP="008F43E8">
      <w:pPr>
        <w:pStyle w:val="SingleTxtG"/>
      </w:pPr>
      <w:r>
        <w:rPr>
          <w:lang w:val="fr-FR"/>
        </w:rPr>
        <w:t>11.</w:t>
      </w:r>
      <w:r>
        <w:rPr>
          <w:lang w:val="fr-FR"/>
        </w:rPr>
        <w:tab/>
        <w:t>Les traditionnelles déclarations liminaires seront suivies de deux discours d</w:t>
      </w:r>
      <w:r w:rsidR="00E54597">
        <w:rPr>
          <w:lang w:val="fr-FR"/>
        </w:rPr>
        <w:t>’</w:t>
      </w:r>
      <w:r>
        <w:rPr>
          <w:lang w:val="fr-FR"/>
        </w:rPr>
        <w:t>orientation prononcés par de grands leaders de la lutte mondiale contre les changements climatiques sur l</w:t>
      </w:r>
      <w:r w:rsidR="00E54597">
        <w:rPr>
          <w:lang w:val="fr-FR"/>
        </w:rPr>
        <w:t>’</w:t>
      </w:r>
      <w:r>
        <w:rPr>
          <w:lang w:val="fr-FR"/>
        </w:rPr>
        <w:t>importance vitale de trouver et d</w:t>
      </w:r>
      <w:r w:rsidR="00E54597">
        <w:rPr>
          <w:lang w:val="fr-FR"/>
        </w:rPr>
        <w:t>’</w:t>
      </w:r>
      <w:r>
        <w:rPr>
          <w:lang w:val="fr-FR"/>
        </w:rPr>
        <w:t>appliquer au plus vite des solutions efficaces pour permettre aux gouvernements du monde entier de s</w:t>
      </w:r>
      <w:r w:rsidR="00E54597">
        <w:rPr>
          <w:lang w:val="fr-FR"/>
        </w:rPr>
        <w:t>’</w:t>
      </w:r>
      <w:r>
        <w:rPr>
          <w:lang w:val="fr-FR"/>
        </w:rPr>
        <w:t>inspirer des meilleurs exemples, de faciliter le partage des connaissances, notamment sur les solutions technologiques, et de tenir leurs engagements. L</w:t>
      </w:r>
      <w:r w:rsidR="00E54597">
        <w:rPr>
          <w:lang w:val="fr-FR"/>
        </w:rPr>
        <w:t>’</w:t>
      </w:r>
      <w:r>
        <w:rPr>
          <w:lang w:val="fr-FR"/>
        </w:rPr>
        <w:t>un des éléments cl</w:t>
      </w:r>
      <w:r w:rsidR="003B5B1D">
        <w:rPr>
          <w:lang w:val="fr-FR"/>
        </w:rPr>
        <w:t>ef</w:t>
      </w:r>
      <w:r>
        <w:rPr>
          <w:lang w:val="fr-FR"/>
        </w:rPr>
        <w:t>s du succès de cette entreprise étant la capacité du système réglementaire international à fournir des solutions effectives à l</w:t>
      </w:r>
      <w:r w:rsidR="00E54597">
        <w:rPr>
          <w:lang w:val="fr-FR"/>
        </w:rPr>
        <w:t>’</w:t>
      </w:r>
      <w:r>
        <w:rPr>
          <w:lang w:val="fr-FR"/>
        </w:rPr>
        <w:t>appui des efforts des États membres, les discours mettront aussi l</w:t>
      </w:r>
      <w:r w:rsidR="00E54597">
        <w:rPr>
          <w:lang w:val="fr-FR"/>
        </w:rPr>
        <w:t>’</w:t>
      </w:r>
      <w:r>
        <w:rPr>
          <w:lang w:val="fr-FR"/>
        </w:rPr>
        <w:t xml:space="preserve">accent sur le rôle stratégique du Comité, qui offre une </w:t>
      </w:r>
      <w:proofErr w:type="spellStart"/>
      <w:r>
        <w:rPr>
          <w:lang w:val="fr-FR"/>
        </w:rPr>
        <w:t>plateforme</w:t>
      </w:r>
      <w:proofErr w:type="spellEnd"/>
      <w:r>
        <w:rPr>
          <w:lang w:val="fr-FR"/>
        </w:rPr>
        <w:t xml:space="preserve"> de coopération globale au sein de laquelle il est possible d</w:t>
      </w:r>
      <w:r w:rsidR="00E54597">
        <w:rPr>
          <w:lang w:val="fr-FR"/>
        </w:rPr>
        <w:t>’</w:t>
      </w:r>
      <w:r>
        <w:rPr>
          <w:lang w:val="fr-FR"/>
        </w:rPr>
        <w:t>élaborer des solutions concertées et de renforcer la collaboration internationale.</w:t>
      </w:r>
    </w:p>
    <w:p w14:paraId="6B5333BC" w14:textId="10D0B293" w:rsidR="008F43E8" w:rsidRPr="008338A6" w:rsidRDefault="008F43E8" w:rsidP="008F43E8">
      <w:pPr>
        <w:pStyle w:val="H1G"/>
      </w:pPr>
      <w:r>
        <w:rPr>
          <w:lang w:val="fr-FR"/>
        </w:rPr>
        <w:tab/>
      </w:r>
      <w:r>
        <w:rPr>
          <w:lang w:val="fr-FR"/>
        </w:rPr>
        <w:t>B.</w:t>
      </w:r>
      <w:r>
        <w:rPr>
          <w:lang w:val="fr-FR"/>
        </w:rPr>
        <w:tab/>
        <w:t>Tables rondes</w:t>
      </w:r>
    </w:p>
    <w:p w14:paraId="71F4918E" w14:textId="315F74D7" w:rsidR="008F43E8" w:rsidRPr="002C74AA" w:rsidRDefault="008F43E8" w:rsidP="008F43E8">
      <w:pPr>
        <w:spacing w:after="120"/>
        <w:ind w:left="1134" w:right="1134"/>
        <w:jc w:val="both"/>
        <w:rPr>
          <w:lang w:val="fr-FR"/>
        </w:rPr>
      </w:pPr>
      <w:r>
        <w:rPr>
          <w:lang w:val="fr-FR"/>
        </w:rPr>
        <w:t>12.</w:t>
      </w:r>
      <w:r>
        <w:rPr>
          <w:lang w:val="fr-FR"/>
        </w:rPr>
        <w:tab/>
        <w:t>Trois tables rondes de haut niveau seront ensuite proposées sur des questions de politique et de réglementation essentielles, en relation directe avec le défi que représente la lutte contre les changements climatiques pour le CTI et ses organes subsidiaires. Les thèmes de ces tables rondes sont les suivants :</w:t>
      </w:r>
    </w:p>
    <w:p w14:paraId="4E80E1E8" w14:textId="154C183D" w:rsidR="008F43E8" w:rsidRPr="008338A6" w:rsidRDefault="008F43E8" w:rsidP="008F43E8">
      <w:pPr>
        <w:pStyle w:val="Bullet1G"/>
        <w:numPr>
          <w:ilvl w:val="0"/>
          <w:numId w:val="0"/>
        </w:numPr>
        <w:kinsoku/>
        <w:overflowPunct/>
        <w:autoSpaceDE/>
        <w:autoSpaceDN/>
        <w:adjustRightInd/>
        <w:snapToGrid/>
        <w:ind w:left="1134" w:firstLine="567"/>
      </w:pPr>
      <w:r>
        <w:rPr>
          <w:lang w:val="fr-FR"/>
        </w:rPr>
        <w:t>a)</w:t>
      </w:r>
      <w:r>
        <w:rPr>
          <w:lang w:val="fr-FR"/>
        </w:rPr>
        <w:tab/>
      </w:r>
      <w:r>
        <w:rPr>
          <w:lang w:val="fr-FR"/>
        </w:rPr>
        <w:t>Ne laisser personne de côté dans la bataille du climat : défis planétaires et formules gagnantes pour les chefs de file du « zéro émission nette » ;</w:t>
      </w:r>
    </w:p>
    <w:p w14:paraId="41675BB8" w14:textId="5874BAAA" w:rsidR="008F43E8" w:rsidRPr="008338A6" w:rsidRDefault="008F43E8" w:rsidP="008F43E8">
      <w:pPr>
        <w:kinsoku/>
        <w:overflowPunct/>
        <w:autoSpaceDE/>
        <w:autoSpaceDN/>
        <w:adjustRightInd/>
        <w:snapToGrid/>
        <w:spacing w:after="120"/>
        <w:ind w:left="1134" w:right="1134" w:firstLine="567"/>
      </w:pPr>
      <w:r>
        <w:rPr>
          <w:lang w:val="fr-FR"/>
        </w:rPr>
        <w:t>b)</w:t>
      </w:r>
      <w:r>
        <w:rPr>
          <w:lang w:val="fr-FR"/>
        </w:rPr>
        <w:tab/>
      </w:r>
      <w:r>
        <w:rPr>
          <w:lang w:val="fr-FR"/>
        </w:rPr>
        <w:t>Réunir les organismes de réglementation et les innovateurs afin de transposer à plus grande échelle les technologies essentielles pour appuyer les efforts d</w:t>
      </w:r>
      <w:r w:rsidR="00E54597">
        <w:rPr>
          <w:lang w:val="fr-FR"/>
        </w:rPr>
        <w:t>’</w:t>
      </w:r>
      <w:r>
        <w:rPr>
          <w:lang w:val="fr-FR"/>
        </w:rPr>
        <w:t>atténuation des changements climatiques ;</w:t>
      </w:r>
    </w:p>
    <w:p w14:paraId="353684E6" w14:textId="5C677A19" w:rsidR="008F43E8" w:rsidRPr="008338A6" w:rsidRDefault="008F43E8" w:rsidP="008F43E8">
      <w:pPr>
        <w:kinsoku/>
        <w:overflowPunct/>
        <w:autoSpaceDE/>
        <w:autoSpaceDN/>
        <w:adjustRightInd/>
        <w:snapToGrid/>
        <w:spacing w:after="120"/>
        <w:ind w:left="1134" w:right="1134" w:firstLine="567"/>
      </w:pPr>
      <w:r>
        <w:rPr>
          <w:lang w:val="fr-FR"/>
        </w:rPr>
        <w:t>c)</w:t>
      </w:r>
      <w:r>
        <w:rPr>
          <w:lang w:val="fr-FR"/>
        </w:rPr>
        <w:tab/>
      </w:r>
      <w:r>
        <w:rPr>
          <w:lang w:val="fr-FR"/>
        </w:rPr>
        <w:t>Un pari qu</w:t>
      </w:r>
      <w:r w:rsidR="00E54597">
        <w:rPr>
          <w:lang w:val="fr-FR"/>
        </w:rPr>
        <w:t>’</w:t>
      </w:r>
      <w:r>
        <w:rPr>
          <w:lang w:val="fr-FR"/>
        </w:rPr>
        <w:t>on ne peut pas se permettre de perdre : défis et opportunités dans le domaine de l</w:t>
      </w:r>
      <w:r w:rsidR="00E54597">
        <w:rPr>
          <w:lang w:val="fr-FR"/>
        </w:rPr>
        <w:t>’</w:t>
      </w:r>
      <w:r>
        <w:rPr>
          <w:lang w:val="fr-FR"/>
        </w:rPr>
        <w:t>appui financier et réglementaire international à l</w:t>
      </w:r>
      <w:r w:rsidR="00E54597">
        <w:rPr>
          <w:lang w:val="fr-FR"/>
        </w:rPr>
        <w:t>’</w:t>
      </w:r>
      <w:r>
        <w:rPr>
          <w:lang w:val="fr-FR"/>
        </w:rPr>
        <w:t>action pour le climat</w:t>
      </w:r>
      <w:r>
        <w:rPr>
          <w:lang w:val="fr-FR"/>
        </w:rPr>
        <w:t>.</w:t>
      </w:r>
    </w:p>
    <w:p w14:paraId="07954A58" w14:textId="14705EF1" w:rsidR="008F43E8" w:rsidRPr="008338A6" w:rsidRDefault="008F43E8" w:rsidP="008F43E8">
      <w:pPr>
        <w:spacing w:after="120"/>
        <w:ind w:left="1134" w:right="1134"/>
        <w:jc w:val="both"/>
      </w:pPr>
      <w:r>
        <w:rPr>
          <w:lang w:val="fr-FR"/>
        </w:rPr>
        <w:t>13.</w:t>
      </w:r>
      <w:r>
        <w:rPr>
          <w:lang w:val="fr-FR"/>
        </w:rPr>
        <w:tab/>
        <w:t>Chaque table ronde accueillera au plus cinq participants de haut niveau.</w:t>
      </w:r>
    </w:p>
    <w:p w14:paraId="0551BCD5" w14:textId="6F31786B" w:rsidR="008F43E8" w:rsidRPr="008338A6" w:rsidRDefault="008F43E8" w:rsidP="008F43E8">
      <w:pPr>
        <w:spacing w:after="120"/>
        <w:ind w:left="1134" w:right="1134"/>
        <w:jc w:val="both"/>
      </w:pPr>
      <w:r>
        <w:rPr>
          <w:lang w:val="fr-FR"/>
        </w:rPr>
        <w:t>14.</w:t>
      </w:r>
      <w:r>
        <w:rPr>
          <w:lang w:val="fr-FR"/>
        </w:rPr>
        <w:tab/>
        <w:t>Chacune sera animée par un modérateur et commencera par de brèves déclarations des participants, qui seront suivies d</w:t>
      </w:r>
      <w:r w:rsidR="00E54597">
        <w:rPr>
          <w:lang w:val="fr-FR"/>
        </w:rPr>
        <w:t>’</w:t>
      </w:r>
      <w:r>
        <w:rPr>
          <w:lang w:val="fr-FR"/>
        </w:rPr>
        <w:t>interventions de haut niveau de membres de l</w:t>
      </w:r>
      <w:r w:rsidR="00E54597">
        <w:rPr>
          <w:lang w:val="fr-FR"/>
        </w:rPr>
        <w:t>’</w:t>
      </w:r>
      <w:r>
        <w:rPr>
          <w:lang w:val="fr-FR"/>
        </w:rPr>
        <w:t>assistance, puis d</w:t>
      </w:r>
      <w:r w:rsidR="00E54597">
        <w:rPr>
          <w:lang w:val="fr-FR"/>
        </w:rPr>
        <w:t>’</w:t>
      </w:r>
      <w:r>
        <w:rPr>
          <w:lang w:val="fr-FR"/>
        </w:rPr>
        <w:t>un débat ouvert.</w:t>
      </w:r>
    </w:p>
    <w:p w14:paraId="2BC5E6F6" w14:textId="2993C5CF" w:rsidR="008F43E8" w:rsidRPr="008338A6" w:rsidRDefault="008F43E8" w:rsidP="008F43E8">
      <w:pPr>
        <w:pStyle w:val="H1G"/>
      </w:pPr>
      <w:r>
        <w:rPr>
          <w:lang w:val="fr-FR"/>
        </w:rPr>
        <w:tab/>
      </w:r>
      <w:r>
        <w:rPr>
          <w:lang w:val="fr-FR"/>
        </w:rPr>
        <w:t>C.</w:t>
      </w:r>
      <w:r>
        <w:rPr>
          <w:lang w:val="fr-FR"/>
        </w:rPr>
        <w:tab/>
        <w:t xml:space="preserve">Approbation de la déclaration du CTI intitulée « Tirer le meilleur parti des solutions de transport intérieur dans la lutte mondiale </w:t>
      </w:r>
      <w:r w:rsidR="00790BFD">
        <w:rPr>
          <w:lang w:val="fr-FR"/>
        </w:rPr>
        <w:br/>
      </w:r>
      <w:r>
        <w:rPr>
          <w:lang w:val="fr-FR"/>
        </w:rPr>
        <w:t>contre les changements climatiques »</w:t>
      </w:r>
    </w:p>
    <w:p w14:paraId="623A2BF4" w14:textId="24080543" w:rsidR="008F43E8" w:rsidRPr="008338A6" w:rsidRDefault="008F43E8" w:rsidP="008F43E8">
      <w:pPr>
        <w:spacing w:after="120"/>
        <w:ind w:left="1134" w:right="1134"/>
        <w:jc w:val="both"/>
      </w:pPr>
      <w:r>
        <w:rPr>
          <w:lang w:val="fr-FR"/>
        </w:rPr>
        <w:t>15.</w:t>
      </w:r>
      <w:r>
        <w:rPr>
          <w:lang w:val="fr-FR"/>
        </w:rPr>
        <w:tab/>
        <w:t>À la fin de la réunion, les ministres et les chefs de délégation des parties contractantes seront invités à exprimer leur soutien à la déclaration du CTI intitulée «</w:t>
      </w:r>
      <w:r w:rsidR="00790BFD">
        <w:rPr>
          <w:lang w:val="fr-FR"/>
        </w:rPr>
        <w:t> </w:t>
      </w:r>
      <w:r>
        <w:rPr>
          <w:lang w:val="fr-FR"/>
        </w:rPr>
        <w:t>Tirer le meilleur parti des solutions de transport intérieur dans la lutte mondiale contre les changements climatiques</w:t>
      </w:r>
      <w:r w:rsidR="00790BFD">
        <w:rPr>
          <w:lang w:val="fr-FR"/>
        </w:rPr>
        <w:t> </w:t>
      </w:r>
      <w:r>
        <w:rPr>
          <w:lang w:val="fr-FR"/>
        </w:rPr>
        <w:t>» (ECE/TRANS/2023/2). Ce texte fait le bilan de la situation d</w:t>
      </w:r>
      <w:r w:rsidR="00E54597">
        <w:rPr>
          <w:lang w:val="fr-FR"/>
        </w:rPr>
        <w:t>’</w:t>
      </w:r>
      <w:r>
        <w:rPr>
          <w:lang w:val="fr-FR"/>
        </w:rPr>
        <w:t>urgence climatique, qui s</w:t>
      </w:r>
      <w:r w:rsidR="00E54597">
        <w:rPr>
          <w:lang w:val="fr-FR"/>
        </w:rPr>
        <w:t>’</w:t>
      </w:r>
      <w:r>
        <w:rPr>
          <w:lang w:val="fr-FR"/>
        </w:rPr>
        <w:t>aggrave au niveau mondial ; il fait ensuite le constat que le Comité dispose d</w:t>
      </w:r>
      <w:r w:rsidR="00E54597">
        <w:rPr>
          <w:lang w:val="fr-FR"/>
        </w:rPr>
        <w:t>’</w:t>
      </w:r>
      <w:r>
        <w:rPr>
          <w:lang w:val="fr-FR"/>
        </w:rPr>
        <w:t>atouts uniques pour y faire face, puis se conclut par un vibrant appel à tirer le meilleur parti des transports intérieurs, formulé dans des termes qui sont compatibles avec les mandats du Comité. Les auteurs de la déclaration y reconnaissent la pertinence des outils réglementaires dont dispose le Comité en tant que principale enceinte internationale à l</w:t>
      </w:r>
      <w:r w:rsidR="00E54597">
        <w:rPr>
          <w:lang w:val="fr-FR"/>
        </w:rPr>
        <w:t>’</w:t>
      </w:r>
      <w:r>
        <w:rPr>
          <w:lang w:val="fr-FR"/>
        </w:rPr>
        <w:t>appui de la recherche de solutions aux défis susmentionnés et de la réalisation des objectifs ambitieux qui découlent de l</w:t>
      </w:r>
      <w:r w:rsidR="00E54597">
        <w:rPr>
          <w:lang w:val="fr-FR"/>
        </w:rPr>
        <w:t>’</w:t>
      </w:r>
      <w:r>
        <w:rPr>
          <w:lang w:val="fr-FR"/>
        </w:rPr>
        <w:t xml:space="preserve">Accord de Paris de 2015 et des mesures et initiatives prises au niveaux régional et national. Ils y invitent également les principaux acteurs des transports dans le monde à manifester et renforcer leur appui aux travaux du Comité, qui est la </w:t>
      </w:r>
      <w:proofErr w:type="spellStart"/>
      <w:r>
        <w:rPr>
          <w:lang w:val="fr-FR"/>
        </w:rPr>
        <w:t>plateforme</w:t>
      </w:r>
      <w:proofErr w:type="spellEnd"/>
      <w:r>
        <w:rPr>
          <w:lang w:val="fr-FR"/>
        </w:rPr>
        <w:t xml:space="preserve"> d</w:t>
      </w:r>
      <w:r w:rsidR="00E54597">
        <w:rPr>
          <w:lang w:val="fr-FR"/>
        </w:rPr>
        <w:t>’</w:t>
      </w:r>
      <w:r>
        <w:rPr>
          <w:lang w:val="fr-FR"/>
        </w:rPr>
        <w:t>action des Nations Unies dans le domaine des transports intérieurs, dans l</w:t>
      </w:r>
      <w:r w:rsidR="00E54597">
        <w:rPr>
          <w:lang w:val="fr-FR"/>
        </w:rPr>
        <w:t>’</w:t>
      </w:r>
      <w:r>
        <w:rPr>
          <w:lang w:val="fr-FR"/>
        </w:rPr>
        <w:t>intérêt de la communauté internationale et des générations futures.</w:t>
      </w:r>
    </w:p>
    <w:p w14:paraId="6CB51F82" w14:textId="4935FE6B" w:rsidR="008F43E8" w:rsidRPr="008338A6" w:rsidRDefault="00824F07" w:rsidP="00824F07">
      <w:pPr>
        <w:pStyle w:val="HChG"/>
      </w:pPr>
      <w:r>
        <w:rPr>
          <w:lang w:val="fr-FR"/>
        </w:rPr>
        <w:lastRenderedPageBreak/>
        <w:tab/>
      </w:r>
      <w:r w:rsidR="008F43E8">
        <w:rPr>
          <w:lang w:val="fr-FR"/>
        </w:rPr>
        <w:t>III.</w:t>
      </w:r>
      <w:r w:rsidR="008F43E8">
        <w:rPr>
          <w:lang w:val="fr-FR"/>
        </w:rPr>
        <w:tab/>
        <w:t>Manifestations parallèles de haut niveau prévues</w:t>
      </w:r>
    </w:p>
    <w:p w14:paraId="7B869F55" w14:textId="376E22DE" w:rsidR="008F43E8" w:rsidRPr="008338A6" w:rsidRDefault="00824F07" w:rsidP="00824F07">
      <w:pPr>
        <w:pStyle w:val="H1G"/>
      </w:pPr>
      <w:r>
        <w:rPr>
          <w:lang w:val="fr-FR"/>
        </w:rPr>
        <w:tab/>
      </w:r>
      <w:r w:rsidR="008F43E8">
        <w:rPr>
          <w:lang w:val="fr-FR"/>
        </w:rPr>
        <w:t>A.</w:t>
      </w:r>
      <w:r w:rsidR="008F43E8">
        <w:rPr>
          <w:lang w:val="fr-FR"/>
        </w:rPr>
        <w:tab/>
        <w:t>Manifestation parallèle de haut niveau sur le Forum de la sécurité routière du CTI</w:t>
      </w:r>
    </w:p>
    <w:p w14:paraId="769B694D" w14:textId="2AEA38D8" w:rsidR="008F43E8" w:rsidRPr="008338A6" w:rsidRDefault="008F43E8" w:rsidP="00824F07">
      <w:pPr>
        <w:pStyle w:val="SingleTxtG"/>
      </w:pPr>
      <w:r>
        <w:rPr>
          <w:lang w:val="fr-FR"/>
        </w:rPr>
        <w:t>16.</w:t>
      </w:r>
      <w:r>
        <w:rPr>
          <w:lang w:val="fr-FR"/>
        </w:rPr>
        <w:tab/>
        <w:t>Malgré les efforts intenses et soutenus des États membres, la communauté internationale n</w:t>
      </w:r>
      <w:r w:rsidR="00E54597">
        <w:rPr>
          <w:lang w:val="fr-FR"/>
        </w:rPr>
        <w:t>’</w:t>
      </w:r>
      <w:r>
        <w:rPr>
          <w:lang w:val="fr-FR"/>
        </w:rPr>
        <w:t>a pas été en mesure d</w:t>
      </w:r>
      <w:r w:rsidR="00E54597">
        <w:rPr>
          <w:lang w:val="fr-FR"/>
        </w:rPr>
        <w:t>’</w:t>
      </w:r>
      <w:r>
        <w:rPr>
          <w:lang w:val="fr-FR"/>
        </w:rPr>
        <w:t>atteindre en 2020 l</w:t>
      </w:r>
      <w:r w:rsidR="00E54597">
        <w:rPr>
          <w:lang w:val="fr-FR"/>
        </w:rPr>
        <w:t>’</w:t>
      </w:r>
      <w:r>
        <w:rPr>
          <w:lang w:val="fr-FR"/>
        </w:rPr>
        <w:t>objectif de développement durable en matière de sécurité routière, comme en témoigne le nombre de personnes tuées et blessées sur les routes dans le monde, qui a augmenté au lieu de diminuer. Pour remédier à cette situation, l</w:t>
      </w:r>
      <w:r w:rsidR="00E54597">
        <w:rPr>
          <w:lang w:val="fr-FR"/>
        </w:rPr>
        <w:t>’</w:t>
      </w:r>
      <w:r>
        <w:rPr>
          <w:lang w:val="fr-FR"/>
        </w:rPr>
        <w:t>Assemblée générale a adopté, le 31</w:t>
      </w:r>
      <w:r w:rsidR="00824F07">
        <w:rPr>
          <w:lang w:val="fr-FR"/>
        </w:rPr>
        <w:t> </w:t>
      </w:r>
      <w:r>
        <w:rPr>
          <w:lang w:val="fr-FR"/>
        </w:rPr>
        <w:t>août 2020, la résolution 74/299 sur l</w:t>
      </w:r>
      <w:r w:rsidR="00E54597">
        <w:rPr>
          <w:lang w:val="fr-FR"/>
        </w:rPr>
        <w:t>’</w:t>
      </w:r>
      <w:r>
        <w:rPr>
          <w:lang w:val="fr-FR"/>
        </w:rPr>
        <w:t>amélioration de la sécurité routière mondiale, qui a marqué le lancement de la deuxième Décennie d</w:t>
      </w:r>
      <w:r w:rsidR="00E54597">
        <w:rPr>
          <w:lang w:val="fr-FR"/>
        </w:rPr>
        <w:t>’</w:t>
      </w:r>
      <w:r>
        <w:rPr>
          <w:lang w:val="fr-FR"/>
        </w:rPr>
        <w:t>action pour la sécurité routière et fixé de nouveaux objectifs ambitieux qu</w:t>
      </w:r>
      <w:r w:rsidR="00E54597">
        <w:rPr>
          <w:lang w:val="fr-FR"/>
        </w:rPr>
        <w:t>’</w:t>
      </w:r>
      <w:r>
        <w:rPr>
          <w:lang w:val="fr-FR"/>
        </w:rPr>
        <w:t>est venue soutenir l</w:t>
      </w:r>
      <w:r w:rsidR="00E54597">
        <w:rPr>
          <w:lang w:val="fr-FR"/>
        </w:rPr>
        <w:t>’</w:t>
      </w:r>
      <w:r>
        <w:rPr>
          <w:lang w:val="fr-FR"/>
        </w:rPr>
        <w:t>adoption en 2021 d</w:t>
      </w:r>
      <w:r w:rsidR="00E54597">
        <w:rPr>
          <w:lang w:val="fr-FR"/>
        </w:rPr>
        <w:t>’</w:t>
      </w:r>
      <w:r>
        <w:rPr>
          <w:lang w:val="fr-FR"/>
        </w:rPr>
        <w:t>un nouveau Plan d</w:t>
      </w:r>
      <w:r w:rsidR="00E54597">
        <w:rPr>
          <w:lang w:val="fr-FR"/>
        </w:rPr>
        <w:t>’</w:t>
      </w:r>
      <w:r>
        <w:rPr>
          <w:lang w:val="fr-FR"/>
        </w:rPr>
        <w:t>action mondial, qui servira de guide pour la réalisation des objectifs de la deuxième Décennie d</w:t>
      </w:r>
      <w:r w:rsidR="00E54597">
        <w:rPr>
          <w:lang w:val="fr-FR"/>
        </w:rPr>
        <w:t>’</w:t>
      </w:r>
      <w:r>
        <w:rPr>
          <w:lang w:val="fr-FR"/>
        </w:rPr>
        <w:t>action. L</w:t>
      </w:r>
      <w:r w:rsidR="00E54597">
        <w:rPr>
          <w:lang w:val="fr-FR"/>
        </w:rPr>
        <w:t>’</w:t>
      </w:r>
      <w:r>
        <w:rPr>
          <w:lang w:val="fr-FR"/>
        </w:rPr>
        <w:t>adoption de ces deux documents phares a été l</w:t>
      </w:r>
      <w:r w:rsidR="00E54597">
        <w:rPr>
          <w:lang w:val="fr-FR"/>
        </w:rPr>
        <w:t>’</w:t>
      </w:r>
      <w:r>
        <w:rPr>
          <w:lang w:val="fr-FR"/>
        </w:rPr>
        <w:t>occasion de mettre en avant le caractère irremplaçable et essentiel de l</w:t>
      </w:r>
      <w:r w:rsidR="00E54597">
        <w:rPr>
          <w:lang w:val="fr-FR"/>
        </w:rPr>
        <w:t>’</w:t>
      </w:r>
      <w:r>
        <w:rPr>
          <w:lang w:val="fr-FR"/>
        </w:rPr>
        <w:t>action de la CEE et du CTI.</w:t>
      </w:r>
    </w:p>
    <w:p w14:paraId="43239EB1" w14:textId="1CE0C304" w:rsidR="008F43E8" w:rsidRPr="008338A6" w:rsidRDefault="008F43E8" w:rsidP="008F43E8">
      <w:pPr>
        <w:spacing w:after="120"/>
        <w:ind w:left="1134" w:right="1134"/>
        <w:jc w:val="both"/>
      </w:pPr>
      <w:r>
        <w:rPr>
          <w:lang w:val="fr-FR"/>
        </w:rPr>
        <w:t>17.</w:t>
      </w:r>
      <w:r>
        <w:rPr>
          <w:lang w:val="fr-FR"/>
        </w:rPr>
        <w:tab/>
        <w:t>Le Forum sur la sécurité routière du Comité des transports intérieurs a pour objet de servir d</w:t>
      </w:r>
      <w:r w:rsidR="00E54597">
        <w:rPr>
          <w:lang w:val="fr-FR"/>
        </w:rPr>
        <w:t>’</w:t>
      </w:r>
      <w:r>
        <w:rPr>
          <w:lang w:val="fr-FR"/>
        </w:rPr>
        <w:t>instance structurée permettant aux principales parties prenantes mondiales de se réunir régulièrement pour des discussions stratégiques portant sur les progrès réalisés, les défis restant à relever et la voie à suivre pour assurer la réussite de la deuxième Décennie d</w:t>
      </w:r>
      <w:r w:rsidR="00E54597">
        <w:rPr>
          <w:lang w:val="fr-FR"/>
        </w:rPr>
        <w:t>’</w:t>
      </w:r>
      <w:r>
        <w:rPr>
          <w:lang w:val="fr-FR"/>
        </w:rPr>
        <w:t>action et la mise en œuvre de son Plan d</w:t>
      </w:r>
      <w:r w:rsidR="00E54597">
        <w:rPr>
          <w:lang w:val="fr-FR"/>
        </w:rPr>
        <w:t>’</w:t>
      </w:r>
      <w:r>
        <w:rPr>
          <w:lang w:val="fr-FR"/>
        </w:rPr>
        <w:t>action mondial (ECE/TRANS/2023/36).</w:t>
      </w:r>
    </w:p>
    <w:p w14:paraId="0C14C399" w14:textId="05FBC240" w:rsidR="008F43E8" w:rsidRDefault="008F43E8" w:rsidP="008F43E8">
      <w:pPr>
        <w:pStyle w:val="SingleTxtG"/>
        <w:rPr>
          <w:lang w:val="fr-FR"/>
        </w:rPr>
      </w:pPr>
      <w:r>
        <w:rPr>
          <w:lang w:val="fr-FR"/>
        </w:rPr>
        <w:t>18.</w:t>
      </w:r>
      <w:r>
        <w:rPr>
          <w:lang w:val="fr-FR"/>
        </w:rPr>
        <w:tab/>
        <w:t>Cette année, la manifestation parallèle de haut niveau rassemblera les principaux partenaires du monde entier pour un débat stratégique sur les nouveaux modes d</w:t>
      </w:r>
      <w:r w:rsidR="00E54597">
        <w:rPr>
          <w:lang w:val="fr-FR"/>
        </w:rPr>
        <w:t>’</w:t>
      </w:r>
      <w:r>
        <w:rPr>
          <w:lang w:val="fr-FR"/>
        </w:rPr>
        <w:t>action à adopter pour que de réels progrès soient faits face à la crise persistante, et fournira au Forum sur la sécurité routière du CTI des orientations essentielles et des analyses de haut niveau.</w:t>
      </w:r>
    </w:p>
    <w:p w14:paraId="3E52C9FE" w14:textId="77777777" w:rsidR="008F43E8" w:rsidRDefault="008F43E8">
      <w:pPr>
        <w:suppressAutoHyphens w:val="0"/>
        <w:kinsoku/>
        <w:overflowPunct/>
        <w:autoSpaceDE/>
        <w:autoSpaceDN/>
        <w:adjustRightInd/>
        <w:snapToGrid/>
        <w:spacing w:after="200" w:line="276" w:lineRule="auto"/>
        <w:rPr>
          <w:lang w:val="fr-FR"/>
        </w:rPr>
      </w:pPr>
      <w:r>
        <w:rPr>
          <w:lang w:val="fr-FR"/>
        </w:rPr>
        <w:br w:type="page"/>
      </w:r>
    </w:p>
    <w:p w14:paraId="1A829C25" w14:textId="77777777" w:rsidR="008F43E8" w:rsidRPr="008338A6" w:rsidRDefault="008F43E8" w:rsidP="008F43E8">
      <w:pPr>
        <w:pStyle w:val="HChG"/>
      </w:pPr>
      <w:r>
        <w:rPr>
          <w:lang w:val="fr-FR"/>
        </w:rPr>
        <w:lastRenderedPageBreak/>
        <w:t>Annexe I</w:t>
      </w:r>
    </w:p>
    <w:p w14:paraId="6CAB10EE" w14:textId="491BED12" w:rsidR="008F43E8" w:rsidRDefault="008F43E8" w:rsidP="008F43E8">
      <w:pPr>
        <w:pStyle w:val="HChG"/>
        <w:rPr>
          <w:lang w:val="fr-FR"/>
        </w:rPr>
      </w:pPr>
      <w:r>
        <w:rPr>
          <w:lang w:val="fr-FR"/>
        </w:rPr>
        <w:tab/>
      </w:r>
      <w:r>
        <w:rPr>
          <w:lang w:val="fr-FR"/>
        </w:rPr>
        <w:tab/>
        <w:t>Projet de programme (20-24 février 2023)</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11"/>
        <w:gridCol w:w="1568"/>
        <w:gridCol w:w="3373"/>
        <w:gridCol w:w="3387"/>
      </w:tblGrid>
      <w:tr w:rsidR="008F43E8" w:rsidRPr="002C74AA" w14:paraId="3CE1A6C1" w14:textId="77777777" w:rsidTr="00A15AC5">
        <w:trPr>
          <w:trHeight w:val="630"/>
        </w:trPr>
        <w:tc>
          <w:tcPr>
            <w:tcW w:w="1311" w:type="dxa"/>
            <w:shd w:val="clear" w:color="auto" w:fill="auto"/>
            <w:vAlign w:val="center"/>
            <w:hideMark/>
          </w:tcPr>
          <w:p w14:paraId="2A4DAC53" w14:textId="44E455F9" w:rsidR="008F43E8" w:rsidRPr="006F2F0E" w:rsidRDefault="008F43E8" w:rsidP="00E35A6B">
            <w:pPr>
              <w:suppressAutoHyphens w:val="0"/>
              <w:spacing w:line="240" w:lineRule="auto"/>
              <w:jc w:val="center"/>
              <w:rPr>
                <w:rFonts w:asciiTheme="majorBidi" w:hAnsiTheme="majorBidi" w:cstheme="majorBidi"/>
                <w:b/>
                <w:bCs/>
                <w:color w:val="000000"/>
                <w:sz w:val="22"/>
                <w:szCs w:val="22"/>
              </w:rPr>
            </w:pPr>
            <w:bookmarkStart w:id="0" w:name="RANGE!A1:F15"/>
            <w:r>
              <w:rPr>
                <w:b/>
                <w:bCs/>
                <w:lang w:val="fr-FR"/>
              </w:rPr>
              <w:t>Lundi</w:t>
            </w:r>
            <w:r w:rsidR="00824F07">
              <w:rPr>
                <w:b/>
                <w:bCs/>
                <w:lang w:val="fr-FR"/>
              </w:rPr>
              <w:br/>
            </w:r>
            <w:r>
              <w:rPr>
                <w:b/>
                <w:bCs/>
                <w:lang w:val="fr-FR"/>
              </w:rPr>
              <w:t>20 février</w:t>
            </w:r>
            <w:bookmarkEnd w:id="0"/>
          </w:p>
        </w:tc>
        <w:tc>
          <w:tcPr>
            <w:tcW w:w="1568" w:type="dxa"/>
            <w:shd w:val="clear" w:color="auto" w:fill="auto"/>
            <w:vAlign w:val="center"/>
            <w:hideMark/>
          </w:tcPr>
          <w:p w14:paraId="00D8BCC8" w14:textId="30632681" w:rsidR="008F43E8" w:rsidRPr="006F2F0E" w:rsidRDefault="008F43E8" w:rsidP="00E35A6B">
            <w:pPr>
              <w:suppressAutoHyphens w:val="0"/>
              <w:spacing w:line="240" w:lineRule="auto"/>
              <w:jc w:val="center"/>
              <w:rPr>
                <w:rFonts w:asciiTheme="majorBidi" w:hAnsiTheme="majorBidi" w:cstheme="majorBidi"/>
                <w:b/>
                <w:bCs/>
                <w:color w:val="000000"/>
                <w:sz w:val="22"/>
                <w:szCs w:val="22"/>
              </w:rPr>
            </w:pPr>
            <w:r>
              <w:rPr>
                <w:b/>
                <w:bCs/>
                <w:lang w:val="fr-FR"/>
              </w:rPr>
              <w:t>15 heures-</w:t>
            </w:r>
            <w:r w:rsidR="00824F07">
              <w:rPr>
                <w:b/>
                <w:bCs/>
                <w:lang w:val="fr-FR"/>
              </w:rPr>
              <w:br/>
            </w:r>
            <w:r>
              <w:rPr>
                <w:b/>
                <w:bCs/>
                <w:lang w:val="fr-FR"/>
              </w:rPr>
              <w:t>18 heures</w:t>
            </w:r>
          </w:p>
        </w:tc>
        <w:tc>
          <w:tcPr>
            <w:tcW w:w="6760" w:type="dxa"/>
            <w:gridSpan w:val="2"/>
            <w:shd w:val="clear" w:color="000000" w:fill="92D050"/>
            <w:vAlign w:val="center"/>
            <w:hideMark/>
          </w:tcPr>
          <w:p w14:paraId="15CEE2DB" w14:textId="77777777" w:rsidR="008F43E8" w:rsidRPr="008338A6" w:rsidRDefault="008F43E8" w:rsidP="00E35A6B">
            <w:pPr>
              <w:suppressAutoHyphens w:val="0"/>
              <w:spacing w:line="240" w:lineRule="auto"/>
              <w:jc w:val="center"/>
              <w:rPr>
                <w:rFonts w:asciiTheme="majorBidi" w:hAnsiTheme="majorBidi" w:cstheme="majorBidi"/>
                <w:b/>
                <w:bCs/>
                <w:color w:val="000000"/>
                <w:sz w:val="22"/>
                <w:szCs w:val="22"/>
              </w:rPr>
            </w:pPr>
            <w:r>
              <w:rPr>
                <w:b/>
                <w:bCs/>
                <w:lang w:val="fr-FR"/>
              </w:rPr>
              <w:t>Réunion du Bureau du CTI</w:t>
            </w:r>
          </w:p>
        </w:tc>
      </w:tr>
      <w:tr w:rsidR="008F43E8" w:rsidRPr="002C74AA" w14:paraId="753FB71E" w14:textId="77777777" w:rsidTr="00A15AC5">
        <w:trPr>
          <w:trHeight w:val="660"/>
        </w:trPr>
        <w:tc>
          <w:tcPr>
            <w:tcW w:w="1311" w:type="dxa"/>
            <w:vMerge w:val="restart"/>
            <w:shd w:val="clear" w:color="auto" w:fill="auto"/>
            <w:vAlign w:val="center"/>
            <w:hideMark/>
          </w:tcPr>
          <w:p w14:paraId="37C70C20" w14:textId="01A3EAA9" w:rsidR="008F43E8" w:rsidRPr="006F2F0E" w:rsidRDefault="008F43E8" w:rsidP="00E35A6B">
            <w:pPr>
              <w:suppressAutoHyphens w:val="0"/>
              <w:spacing w:line="240" w:lineRule="auto"/>
              <w:jc w:val="center"/>
              <w:rPr>
                <w:rFonts w:asciiTheme="majorBidi" w:hAnsiTheme="majorBidi" w:cstheme="majorBidi"/>
                <w:b/>
                <w:bCs/>
                <w:color w:val="000000"/>
                <w:sz w:val="22"/>
                <w:szCs w:val="22"/>
              </w:rPr>
            </w:pPr>
            <w:r>
              <w:rPr>
                <w:b/>
                <w:bCs/>
                <w:lang w:val="fr-FR"/>
              </w:rPr>
              <w:t>Mardi</w:t>
            </w:r>
            <w:r w:rsidR="00824F07">
              <w:rPr>
                <w:b/>
                <w:bCs/>
                <w:lang w:val="fr-FR"/>
              </w:rPr>
              <w:br/>
            </w:r>
            <w:r>
              <w:rPr>
                <w:b/>
                <w:bCs/>
                <w:lang w:val="fr-FR"/>
              </w:rPr>
              <w:t>21 février</w:t>
            </w:r>
          </w:p>
        </w:tc>
        <w:tc>
          <w:tcPr>
            <w:tcW w:w="1568" w:type="dxa"/>
            <w:shd w:val="clear" w:color="auto" w:fill="auto"/>
            <w:vAlign w:val="center"/>
            <w:hideMark/>
          </w:tcPr>
          <w:p w14:paraId="6A28E6DD" w14:textId="7DE1A101" w:rsidR="008F43E8" w:rsidRPr="006F2F0E" w:rsidRDefault="008F43E8" w:rsidP="00E35A6B">
            <w:pPr>
              <w:suppressAutoHyphens w:val="0"/>
              <w:spacing w:line="240" w:lineRule="auto"/>
              <w:jc w:val="center"/>
              <w:rPr>
                <w:rFonts w:asciiTheme="majorBidi" w:hAnsiTheme="majorBidi" w:cstheme="majorBidi"/>
                <w:b/>
                <w:bCs/>
                <w:color w:val="000000"/>
                <w:sz w:val="22"/>
                <w:szCs w:val="22"/>
              </w:rPr>
            </w:pPr>
            <w:r>
              <w:rPr>
                <w:b/>
                <w:bCs/>
                <w:lang w:val="fr-FR"/>
              </w:rPr>
              <w:t>10 heures-</w:t>
            </w:r>
            <w:r w:rsidR="00824F07">
              <w:rPr>
                <w:b/>
                <w:bCs/>
                <w:lang w:val="fr-FR"/>
              </w:rPr>
              <w:br/>
            </w:r>
            <w:r>
              <w:rPr>
                <w:b/>
                <w:bCs/>
                <w:lang w:val="fr-FR"/>
              </w:rPr>
              <w:t>13 heures</w:t>
            </w:r>
          </w:p>
        </w:tc>
        <w:tc>
          <w:tcPr>
            <w:tcW w:w="6760" w:type="dxa"/>
            <w:gridSpan w:val="2"/>
            <w:shd w:val="clear" w:color="000000" w:fill="9BC2E6"/>
            <w:vAlign w:val="center"/>
            <w:hideMark/>
          </w:tcPr>
          <w:p w14:paraId="3E2D91D0" w14:textId="07EB708C" w:rsidR="008F43E8" w:rsidRPr="008338A6" w:rsidRDefault="008F43E8" w:rsidP="00E35A6B">
            <w:pPr>
              <w:suppressAutoHyphens w:val="0"/>
              <w:spacing w:line="240" w:lineRule="auto"/>
              <w:jc w:val="center"/>
              <w:rPr>
                <w:rFonts w:asciiTheme="majorBidi" w:hAnsiTheme="majorBidi" w:cstheme="majorBidi"/>
                <w:b/>
                <w:bCs/>
                <w:color w:val="000000"/>
                <w:sz w:val="22"/>
                <w:szCs w:val="22"/>
              </w:rPr>
            </w:pPr>
            <w:r>
              <w:rPr>
                <w:b/>
                <w:bCs/>
                <w:lang w:val="fr-FR"/>
              </w:rPr>
              <w:t xml:space="preserve">Débat de haut niveau du CTI </w:t>
            </w:r>
            <w:r w:rsidR="00A15AC5">
              <w:rPr>
                <w:b/>
                <w:bCs/>
                <w:lang w:val="fr-FR"/>
              </w:rPr>
              <w:t>−</w:t>
            </w:r>
            <w:r>
              <w:rPr>
                <w:b/>
                <w:bCs/>
                <w:lang w:val="fr-FR"/>
              </w:rPr>
              <w:t xml:space="preserve"> Salle XIX</w:t>
            </w:r>
          </w:p>
        </w:tc>
      </w:tr>
      <w:tr w:rsidR="008F43E8" w:rsidRPr="002C74AA" w14:paraId="3257CFED" w14:textId="77777777" w:rsidTr="00A15AC5">
        <w:trPr>
          <w:trHeight w:val="585"/>
        </w:trPr>
        <w:tc>
          <w:tcPr>
            <w:tcW w:w="1311" w:type="dxa"/>
            <w:vMerge/>
            <w:shd w:val="clear" w:color="auto" w:fill="auto"/>
            <w:vAlign w:val="center"/>
            <w:hideMark/>
          </w:tcPr>
          <w:p w14:paraId="286102F2" w14:textId="77777777" w:rsidR="008F43E8" w:rsidRPr="008338A6" w:rsidRDefault="008F43E8" w:rsidP="00E35A6B">
            <w:pPr>
              <w:suppressAutoHyphens w:val="0"/>
              <w:spacing w:line="240" w:lineRule="auto"/>
              <w:rPr>
                <w:rFonts w:asciiTheme="majorBidi" w:hAnsiTheme="majorBidi" w:cstheme="majorBidi"/>
                <w:b/>
                <w:bCs/>
                <w:color w:val="000000"/>
                <w:sz w:val="22"/>
                <w:szCs w:val="22"/>
                <w:lang w:eastAsia="zh-CN"/>
              </w:rPr>
            </w:pPr>
          </w:p>
        </w:tc>
        <w:tc>
          <w:tcPr>
            <w:tcW w:w="1568" w:type="dxa"/>
            <w:shd w:val="clear" w:color="auto" w:fill="auto"/>
            <w:vAlign w:val="center"/>
            <w:hideMark/>
          </w:tcPr>
          <w:p w14:paraId="2CBAB9EF" w14:textId="086DF877" w:rsidR="008F43E8" w:rsidRPr="006F2F0E" w:rsidRDefault="008F43E8" w:rsidP="00E35A6B">
            <w:pPr>
              <w:suppressAutoHyphens w:val="0"/>
              <w:spacing w:line="240" w:lineRule="auto"/>
              <w:jc w:val="center"/>
              <w:rPr>
                <w:rFonts w:asciiTheme="majorBidi" w:hAnsiTheme="majorBidi" w:cstheme="majorBidi"/>
                <w:b/>
                <w:bCs/>
                <w:color w:val="000000"/>
                <w:sz w:val="22"/>
                <w:szCs w:val="22"/>
              </w:rPr>
            </w:pPr>
            <w:r>
              <w:rPr>
                <w:b/>
                <w:bCs/>
                <w:lang w:val="fr-FR"/>
              </w:rPr>
              <w:t>13 heures-</w:t>
            </w:r>
            <w:r w:rsidR="00824F07">
              <w:rPr>
                <w:b/>
                <w:bCs/>
                <w:lang w:val="fr-FR"/>
              </w:rPr>
              <w:br/>
            </w:r>
            <w:r>
              <w:rPr>
                <w:b/>
                <w:bCs/>
                <w:lang w:val="fr-FR"/>
              </w:rPr>
              <w:t>15 heures</w:t>
            </w:r>
          </w:p>
        </w:tc>
        <w:tc>
          <w:tcPr>
            <w:tcW w:w="6760" w:type="dxa"/>
            <w:gridSpan w:val="2"/>
            <w:shd w:val="clear" w:color="auto" w:fill="auto"/>
            <w:vAlign w:val="center"/>
            <w:hideMark/>
          </w:tcPr>
          <w:p w14:paraId="127BCC43" w14:textId="5B9A2774" w:rsidR="008F43E8" w:rsidRPr="008338A6" w:rsidRDefault="008F43E8" w:rsidP="00E35A6B">
            <w:pPr>
              <w:suppressAutoHyphens w:val="0"/>
              <w:spacing w:line="240" w:lineRule="auto"/>
              <w:jc w:val="center"/>
              <w:rPr>
                <w:rFonts w:asciiTheme="majorBidi" w:hAnsiTheme="majorBidi" w:cstheme="majorBidi"/>
                <w:b/>
                <w:bCs/>
                <w:color w:val="000000"/>
                <w:sz w:val="22"/>
                <w:szCs w:val="22"/>
              </w:rPr>
            </w:pPr>
            <w:r>
              <w:rPr>
                <w:b/>
                <w:bCs/>
                <w:i/>
                <w:iCs/>
                <w:lang w:val="fr-FR"/>
              </w:rPr>
              <w:t>Pause</w:t>
            </w:r>
            <w:r w:rsidR="006664AE">
              <w:rPr>
                <w:b/>
                <w:bCs/>
                <w:i/>
                <w:iCs/>
                <w:lang w:val="fr-FR"/>
              </w:rPr>
              <w:t>-</w:t>
            </w:r>
            <w:r>
              <w:rPr>
                <w:b/>
                <w:bCs/>
                <w:i/>
                <w:iCs/>
                <w:lang w:val="fr-FR"/>
              </w:rPr>
              <w:t xml:space="preserve">déjeuner et manifestation parallèle de haut niveau </w:t>
            </w:r>
            <w:r w:rsidR="00A15AC5">
              <w:rPr>
                <w:b/>
                <w:bCs/>
                <w:i/>
                <w:iCs/>
                <w:lang w:val="fr-FR"/>
              </w:rPr>
              <w:br/>
            </w:r>
            <w:r>
              <w:rPr>
                <w:b/>
                <w:bCs/>
                <w:i/>
                <w:iCs/>
                <w:lang w:val="fr-FR"/>
              </w:rPr>
              <w:t>sur le Forum de la sécurité routière du CTI</w:t>
            </w:r>
          </w:p>
        </w:tc>
      </w:tr>
      <w:tr w:rsidR="008F43E8" w:rsidRPr="002C74AA" w14:paraId="62640C90" w14:textId="77777777" w:rsidTr="00A15AC5">
        <w:trPr>
          <w:trHeight w:val="675"/>
        </w:trPr>
        <w:tc>
          <w:tcPr>
            <w:tcW w:w="1311" w:type="dxa"/>
            <w:vMerge/>
            <w:shd w:val="clear" w:color="auto" w:fill="auto"/>
            <w:vAlign w:val="center"/>
            <w:hideMark/>
          </w:tcPr>
          <w:p w14:paraId="6DD089AB" w14:textId="77777777" w:rsidR="008F43E8" w:rsidRPr="008338A6" w:rsidRDefault="008F43E8" w:rsidP="00E35A6B">
            <w:pPr>
              <w:suppressAutoHyphens w:val="0"/>
              <w:spacing w:line="240" w:lineRule="auto"/>
              <w:rPr>
                <w:rFonts w:asciiTheme="majorBidi" w:hAnsiTheme="majorBidi" w:cstheme="majorBidi"/>
                <w:b/>
                <w:bCs/>
                <w:color w:val="000000"/>
                <w:sz w:val="22"/>
                <w:szCs w:val="22"/>
                <w:lang w:eastAsia="zh-CN"/>
              </w:rPr>
            </w:pPr>
          </w:p>
        </w:tc>
        <w:tc>
          <w:tcPr>
            <w:tcW w:w="1568" w:type="dxa"/>
            <w:shd w:val="clear" w:color="auto" w:fill="auto"/>
            <w:vAlign w:val="center"/>
            <w:hideMark/>
          </w:tcPr>
          <w:p w14:paraId="743E4567" w14:textId="60F8304A" w:rsidR="008F43E8" w:rsidRPr="006F2F0E" w:rsidRDefault="008F43E8" w:rsidP="00E35A6B">
            <w:pPr>
              <w:suppressAutoHyphens w:val="0"/>
              <w:spacing w:line="240" w:lineRule="auto"/>
              <w:jc w:val="center"/>
              <w:rPr>
                <w:rFonts w:asciiTheme="majorBidi" w:hAnsiTheme="majorBidi" w:cstheme="majorBidi"/>
                <w:b/>
                <w:bCs/>
                <w:color w:val="000000"/>
                <w:sz w:val="22"/>
                <w:szCs w:val="22"/>
              </w:rPr>
            </w:pPr>
            <w:r>
              <w:rPr>
                <w:b/>
                <w:bCs/>
                <w:lang w:val="fr-FR"/>
              </w:rPr>
              <w:t>15 heures-</w:t>
            </w:r>
            <w:r w:rsidR="00E54597">
              <w:rPr>
                <w:b/>
                <w:bCs/>
                <w:lang w:val="fr-FR"/>
              </w:rPr>
              <w:br/>
            </w:r>
            <w:r>
              <w:rPr>
                <w:b/>
                <w:bCs/>
                <w:lang w:val="fr-FR"/>
              </w:rPr>
              <w:t>18 heures</w:t>
            </w:r>
          </w:p>
        </w:tc>
        <w:tc>
          <w:tcPr>
            <w:tcW w:w="6760" w:type="dxa"/>
            <w:gridSpan w:val="2"/>
            <w:shd w:val="clear" w:color="000000" w:fill="9BC2E6"/>
            <w:vAlign w:val="center"/>
          </w:tcPr>
          <w:p w14:paraId="13F969FF" w14:textId="2239FF04" w:rsidR="008F43E8" w:rsidRPr="008338A6" w:rsidRDefault="008F43E8" w:rsidP="00E35A6B">
            <w:pPr>
              <w:suppressAutoHyphens w:val="0"/>
              <w:spacing w:line="240" w:lineRule="auto"/>
              <w:jc w:val="center"/>
              <w:rPr>
                <w:rFonts w:asciiTheme="majorBidi" w:hAnsiTheme="majorBidi" w:cstheme="majorBidi"/>
                <w:b/>
                <w:bCs/>
                <w:color w:val="000000"/>
                <w:sz w:val="22"/>
                <w:szCs w:val="22"/>
              </w:rPr>
            </w:pPr>
            <w:r>
              <w:rPr>
                <w:b/>
                <w:bCs/>
                <w:lang w:val="fr-FR"/>
              </w:rPr>
              <w:t>Débat de haut niveau du CTI (</w:t>
            </w:r>
            <w:r w:rsidRPr="00824F07">
              <w:rPr>
                <w:b/>
                <w:bCs/>
                <w:i/>
                <w:iCs/>
                <w:lang w:val="fr-FR"/>
              </w:rPr>
              <w:t>suite</w:t>
            </w:r>
            <w:r>
              <w:rPr>
                <w:b/>
                <w:bCs/>
                <w:lang w:val="fr-FR"/>
              </w:rPr>
              <w:t xml:space="preserve">) </w:t>
            </w:r>
            <w:r w:rsidR="00824F07">
              <w:rPr>
                <w:b/>
                <w:bCs/>
                <w:lang w:val="fr-FR"/>
              </w:rPr>
              <w:t>−</w:t>
            </w:r>
            <w:r>
              <w:rPr>
                <w:b/>
                <w:bCs/>
                <w:lang w:val="fr-FR"/>
              </w:rPr>
              <w:t xml:space="preserve"> Salle XIX</w:t>
            </w:r>
          </w:p>
        </w:tc>
      </w:tr>
      <w:tr w:rsidR="008F43E8" w:rsidRPr="002C74AA" w14:paraId="7EDCB5D3" w14:textId="77777777" w:rsidTr="00A15AC5">
        <w:trPr>
          <w:trHeight w:val="315"/>
        </w:trPr>
        <w:tc>
          <w:tcPr>
            <w:tcW w:w="1311" w:type="dxa"/>
            <w:vMerge/>
            <w:shd w:val="clear" w:color="auto" w:fill="auto"/>
            <w:vAlign w:val="center"/>
            <w:hideMark/>
          </w:tcPr>
          <w:p w14:paraId="3342E19B" w14:textId="77777777" w:rsidR="008F43E8" w:rsidRPr="008338A6" w:rsidRDefault="008F43E8" w:rsidP="00E35A6B">
            <w:pPr>
              <w:suppressAutoHyphens w:val="0"/>
              <w:spacing w:line="240" w:lineRule="auto"/>
              <w:rPr>
                <w:rFonts w:asciiTheme="majorBidi" w:hAnsiTheme="majorBidi" w:cstheme="majorBidi"/>
                <w:b/>
                <w:bCs/>
                <w:color w:val="000000"/>
                <w:sz w:val="22"/>
                <w:szCs w:val="22"/>
                <w:lang w:eastAsia="zh-CN"/>
              </w:rPr>
            </w:pPr>
          </w:p>
        </w:tc>
        <w:tc>
          <w:tcPr>
            <w:tcW w:w="1568" w:type="dxa"/>
            <w:shd w:val="clear" w:color="auto" w:fill="auto"/>
            <w:vAlign w:val="center"/>
            <w:hideMark/>
          </w:tcPr>
          <w:p w14:paraId="27D5C35D" w14:textId="2C615EC6" w:rsidR="008F43E8" w:rsidRPr="006F2F0E" w:rsidRDefault="008F43E8" w:rsidP="00E35A6B">
            <w:pPr>
              <w:suppressAutoHyphens w:val="0"/>
              <w:spacing w:line="240" w:lineRule="auto"/>
              <w:jc w:val="center"/>
              <w:rPr>
                <w:rFonts w:asciiTheme="majorBidi" w:hAnsiTheme="majorBidi" w:cstheme="majorBidi"/>
                <w:b/>
                <w:bCs/>
                <w:color w:val="000000"/>
                <w:sz w:val="22"/>
                <w:szCs w:val="22"/>
              </w:rPr>
            </w:pPr>
            <w:r>
              <w:rPr>
                <w:b/>
                <w:bCs/>
                <w:lang w:val="fr-FR"/>
              </w:rPr>
              <w:t>18 heures-</w:t>
            </w:r>
            <w:r w:rsidR="00E54597">
              <w:rPr>
                <w:b/>
                <w:bCs/>
                <w:lang w:val="fr-FR"/>
              </w:rPr>
              <w:br/>
            </w:r>
            <w:r>
              <w:rPr>
                <w:b/>
                <w:bCs/>
                <w:lang w:val="fr-FR"/>
              </w:rPr>
              <w:t>20 heures</w:t>
            </w:r>
          </w:p>
        </w:tc>
        <w:tc>
          <w:tcPr>
            <w:tcW w:w="6760" w:type="dxa"/>
            <w:gridSpan w:val="2"/>
            <w:shd w:val="clear" w:color="000000" w:fill="FFC000"/>
            <w:vAlign w:val="center"/>
            <w:hideMark/>
          </w:tcPr>
          <w:p w14:paraId="4EB48846" w14:textId="77777777" w:rsidR="008F43E8" w:rsidRPr="008338A6" w:rsidRDefault="008F43E8" w:rsidP="00E35A6B">
            <w:pPr>
              <w:suppressAutoHyphens w:val="0"/>
              <w:spacing w:line="240" w:lineRule="auto"/>
              <w:jc w:val="center"/>
              <w:rPr>
                <w:rFonts w:asciiTheme="majorBidi" w:hAnsiTheme="majorBidi" w:cstheme="majorBidi"/>
                <w:b/>
                <w:bCs/>
                <w:color w:val="000000"/>
                <w:sz w:val="22"/>
                <w:szCs w:val="22"/>
              </w:rPr>
            </w:pPr>
            <w:r>
              <w:rPr>
                <w:b/>
                <w:bCs/>
                <w:lang w:val="fr-FR"/>
              </w:rPr>
              <w:t>Cocktail (Palais des Nations) (</w:t>
            </w:r>
            <w:r w:rsidRPr="002C74AA">
              <w:rPr>
                <w:b/>
                <w:bCs/>
                <w:color w:val="FF0000"/>
                <w:lang w:val="fr-FR"/>
              </w:rPr>
              <w:t>à confirmer</w:t>
            </w:r>
            <w:r>
              <w:rPr>
                <w:b/>
                <w:bCs/>
                <w:lang w:val="fr-FR"/>
              </w:rPr>
              <w:t>)</w:t>
            </w:r>
          </w:p>
        </w:tc>
      </w:tr>
      <w:tr w:rsidR="008F43E8" w:rsidRPr="002C74AA" w14:paraId="437A1868" w14:textId="77777777" w:rsidTr="00A15AC5">
        <w:trPr>
          <w:trHeight w:val="975"/>
        </w:trPr>
        <w:tc>
          <w:tcPr>
            <w:tcW w:w="1311" w:type="dxa"/>
            <w:vMerge w:val="restart"/>
            <w:shd w:val="clear" w:color="auto" w:fill="auto"/>
            <w:vAlign w:val="center"/>
            <w:hideMark/>
          </w:tcPr>
          <w:p w14:paraId="74385C08" w14:textId="25F8FF71" w:rsidR="008F43E8" w:rsidRPr="006F2F0E" w:rsidRDefault="008F43E8" w:rsidP="00E35A6B">
            <w:pPr>
              <w:suppressAutoHyphens w:val="0"/>
              <w:spacing w:line="240" w:lineRule="auto"/>
              <w:jc w:val="center"/>
              <w:rPr>
                <w:rFonts w:asciiTheme="majorBidi" w:hAnsiTheme="majorBidi" w:cstheme="majorBidi"/>
                <w:b/>
                <w:bCs/>
                <w:color w:val="000000"/>
                <w:sz w:val="22"/>
                <w:szCs w:val="22"/>
              </w:rPr>
            </w:pPr>
            <w:r>
              <w:rPr>
                <w:b/>
                <w:bCs/>
                <w:lang w:val="fr-FR"/>
              </w:rPr>
              <w:t xml:space="preserve">Mercredi </w:t>
            </w:r>
            <w:r w:rsidR="00824F07">
              <w:rPr>
                <w:b/>
                <w:bCs/>
                <w:lang w:val="fr-FR"/>
              </w:rPr>
              <w:br/>
            </w:r>
            <w:r>
              <w:rPr>
                <w:b/>
                <w:bCs/>
                <w:lang w:val="fr-FR"/>
              </w:rPr>
              <w:t>22 février</w:t>
            </w:r>
          </w:p>
        </w:tc>
        <w:tc>
          <w:tcPr>
            <w:tcW w:w="1568" w:type="dxa"/>
            <w:shd w:val="clear" w:color="auto" w:fill="auto"/>
            <w:vAlign w:val="center"/>
            <w:hideMark/>
          </w:tcPr>
          <w:p w14:paraId="312F8CD4" w14:textId="2E7DAE3E" w:rsidR="008F43E8" w:rsidRPr="006F2F0E" w:rsidRDefault="008F43E8" w:rsidP="00E35A6B">
            <w:pPr>
              <w:suppressAutoHyphens w:val="0"/>
              <w:spacing w:line="240" w:lineRule="auto"/>
              <w:jc w:val="center"/>
              <w:rPr>
                <w:rFonts w:asciiTheme="majorBidi" w:hAnsiTheme="majorBidi" w:cstheme="majorBidi"/>
                <w:b/>
                <w:bCs/>
                <w:color w:val="000000"/>
                <w:sz w:val="22"/>
                <w:szCs w:val="22"/>
              </w:rPr>
            </w:pPr>
            <w:r>
              <w:rPr>
                <w:b/>
                <w:bCs/>
                <w:lang w:val="fr-FR"/>
              </w:rPr>
              <w:t>10 heures-</w:t>
            </w:r>
            <w:r w:rsidR="00E54597">
              <w:rPr>
                <w:b/>
                <w:bCs/>
                <w:lang w:val="fr-FR"/>
              </w:rPr>
              <w:br/>
            </w:r>
            <w:r>
              <w:rPr>
                <w:b/>
                <w:bCs/>
                <w:lang w:val="fr-FR"/>
              </w:rPr>
              <w:t>13 heures</w:t>
            </w:r>
          </w:p>
        </w:tc>
        <w:tc>
          <w:tcPr>
            <w:tcW w:w="6760" w:type="dxa"/>
            <w:gridSpan w:val="2"/>
            <w:shd w:val="clear" w:color="000000" w:fill="9BC2E6"/>
            <w:vAlign w:val="center"/>
            <w:hideMark/>
          </w:tcPr>
          <w:p w14:paraId="083A667A" w14:textId="1631B14C" w:rsidR="008F43E8" w:rsidRPr="008338A6" w:rsidRDefault="008F43E8" w:rsidP="00E35A6B">
            <w:pPr>
              <w:suppressAutoHyphens w:val="0"/>
              <w:spacing w:line="240" w:lineRule="auto"/>
              <w:jc w:val="center"/>
              <w:rPr>
                <w:rFonts w:asciiTheme="majorBidi" w:hAnsiTheme="majorBidi" w:cstheme="majorBidi"/>
                <w:b/>
                <w:bCs/>
                <w:color w:val="000000"/>
                <w:sz w:val="22"/>
                <w:szCs w:val="22"/>
              </w:rPr>
            </w:pPr>
            <w:r>
              <w:rPr>
                <w:b/>
                <w:bCs/>
                <w:lang w:val="fr-FR"/>
              </w:rPr>
              <w:t>Session annuelle du CTI − session restreinte</w:t>
            </w:r>
            <w:r w:rsidRPr="00E54597">
              <w:rPr>
                <w:lang w:val="fr-FR"/>
              </w:rPr>
              <w:t>*</w:t>
            </w:r>
            <w:r>
              <w:rPr>
                <w:b/>
                <w:bCs/>
                <w:lang w:val="fr-FR"/>
              </w:rPr>
              <w:t xml:space="preserve"> </w:t>
            </w:r>
            <w:r w:rsidR="00E54597">
              <w:rPr>
                <w:b/>
                <w:bCs/>
                <w:lang w:val="fr-FR"/>
              </w:rPr>
              <w:br/>
            </w:r>
            <w:r>
              <w:rPr>
                <w:b/>
                <w:bCs/>
                <w:lang w:val="fr-FR"/>
              </w:rPr>
              <w:t>Salle XIX (</w:t>
            </w:r>
            <w:r w:rsidRPr="00E54597">
              <w:rPr>
                <w:lang w:val="fr-FR"/>
              </w:rPr>
              <w:t>*</w:t>
            </w:r>
            <w:r>
              <w:rPr>
                <w:b/>
                <w:bCs/>
                <w:lang w:val="fr-FR"/>
              </w:rPr>
              <w:t>réservée aux représentantes et représentants de gouvernements)</w:t>
            </w:r>
          </w:p>
        </w:tc>
      </w:tr>
      <w:tr w:rsidR="008F43E8" w:rsidRPr="006F2F0E" w14:paraId="1CEB6F34" w14:textId="77777777" w:rsidTr="00A15AC5">
        <w:trPr>
          <w:trHeight w:val="315"/>
        </w:trPr>
        <w:tc>
          <w:tcPr>
            <w:tcW w:w="1311" w:type="dxa"/>
            <w:vMerge/>
            <w:vAlign w:val="center"/>
            <w:hideMark/>
          </w:tcPr>
          <w:p w14:paraId="3E072F90" w14:textId="77777777" w:rsidR="008F43E8" w:rsidRPr="008338A6" w:rsidRDefault="008F43E8" w:rsidP="00E35A6B">
            <w:pPr>
              <w:suppressAutoHyphens w:val="0"/>
              <w:spacing w:line="240" w:lineRule="auto"/>
              <w:rPr>
                <w:rFonts w:asciiTheme="majorBidi" w:hAnsiTheme="majorBidi" w:cstheme="majorBidi"/>
                <w:b/>
                <w:bCs/>
                <w:color w:val="000000"/>
                <w:sz w:val="22"/>
                <w:szCs w:val="22"/>
                <w:lang w:eastAsia="zh-CN"/>
              </w:rPr>
            </w:pPr>
          </w:p>
        </w:tc>
        <w:tc>
          <w:tcPr>
            <w:tcW w:w="1568" w:type="dxa"/>
            <w:shd w:val="clear" w:color="auto" w:fill="auto"/>
            <w:vAlign w:val="center"/>
            <w:hideMark/>
          </w:tcPr>
          <w:p w14:paraId="34B882BA" w14:textId="269251F9" w:rsidR="008F43E8" w:rsidRPr="006F2F0E" w:rsidRDefault="008F43E8" w:rsidP="00E35A6B">
            <w:pPr>
              <w:suppressAutoHyphens w:val="0"/>
              <w:spacing w:line="240" w:lineRule="auto"/>
              <w:jc w:val="center"/>
              <w:rPr>
                <w:rFonts w:asciiTheme="majorBidi" w:hAnsiTheme="majorBidi" w:cstheme="majorBidi"/>
                <w:b/>
                <w:bCs/>
                <w:color w:val="000000"/>
                <w:sz w:val="22"/>
                <w:szCs w:val="22"/>
              </w:rPr>
            </w:pPr>
            <w:r>
              <w:rPr>
                <w:b/>
                <w:bCs/>
                <w:lang w:val="fr-FR"/>
              </w:rPr>
              <w:t>13 heures-</w:t>
            </w:r>
            <w:r w:rsidR="00E54597">
              <w:rPr>
                <w:b/>
                <w:bCs/>
                <w:lang w:val="fr-FR"/>
              </w:rPr>
              <w:br/>
            </w:r>
            <w:r>
              <w:rPr>
                <w:b/>
                <w:bCs/>
                <w:lang w:val="fr-FR"/>
              </w:rPr>
              <w:t>15 heures</w:t>
            </w:r>
          </w:p>
        </w:tc>
        <w:tc>
          <w:tcPr>
            <w:tcW w:w="6760" w:type="dxa"/>
            <w:gridSpan w:val="2"/>
            <w:shd w:val="clear" w:color="auto" w:fill="auto"/>
            <w:vAlign w:val="center"/>
            <w:hideMark/>
          </w:tcPr>
          <w:p w14:paraId="257BE420" w14:textId="43318B69" w:rsidR="008F43E8" w:rsidRPr="00FB5093" w:rsidRDefault="008F43E8" w:rsidP="00E35A6B">
            <w:pPr>
              <w:suppressAutoHyphens w:val="0"/>
              <w:spacing w:line="240" w:lineRule="auto"/>
              <w:jc w:val="center"/>
              <w:rPr>
                <w:rFonts w:asciiTheme="majorBidi" w:hAnsiTheme="majorBidi" w:cstheme="majorBidi"/>
                <w:b/>
                <w:bCs/>
                <w:i/>
                <w:iCs/>
                <w:color w:val="000000"/>
                <w:sz w:val="22"/>
                <w:szCs w:val="22"/>
              </w:rPr>
            </w:pPr>
            <w:r w:rsidRPr="002C74AA">
              <w:rPr>
                <w:b/>
                <w:bCs/>
                <w:i/>
                <w:iCs/>
                <w:lang w:val="fr-FR"/>
              </w:rPr>
              <w:t>Pause</w:t>
            </w:r>
          </w:p>
        </w:tc>
      </w:tr>
      <w:tr w:rsidR="008F43E8" w:rsidRPr="002C74AA" w14:paraId="00BE184D" w14:textId="77777777" w:rsidTr="00A15AC5">
        <w:trPr>
          <w:trHeight w:val="1065"/>
        </w:trPr>
        <w:tc>
          <w:tcPr>
            <w:tcW w:w="1311" w:type="dxa"/>
            <w:vMerge/>
            <w:vAlign w:val="center"/>
            <w:hideMark/>
          </w:tcPr>
          <w:p w14:paraId="0F15CDA0" w14:textId="77777777" w:rsidR="008F43E8" w:rsidRPr="006F2F0E" w:rsidRDefault="008F43E8" w:rsidP="00E35A6B">
            <w:pPr>
              <w:suppressAutoHyphens w:val="0"/>
              <w:spacing w:line="240" w:lineRule="auto"/>
              <w:rPr>
                <w:rFonts w:asciiTheme="majorBidi" w:hAnsiTheme="majorBidi" w:cstheme="majorBidi"/>
                <w:b/>
                <w:bCs/>
                <w:color w:val="000000"/>
                <w:sz w:val="22"/>
                <w:szCs w:val="22"/>
                <w:lang w:eastAsia="zh-CN"/>
              </w:rPr>
            </w:pPr>
          </w:p>
        </w:tc>
        <w:tc>
          <w:tcPr>
            <w:tcW w:w="1568" w:type="dxa"/>
            <w:shd w:val="clear" w:color="auto" w:fill="auto"/>
            <w:vAlign w:val="center"/>
            <w:hideMark/>
          </w:tcPr>
          <w:p w14:paraId="527E1B49" w14:textId="565F81F1" w:rsidR="008F43E8" w:rsidRPr="006F2F0E" w:rsidRDefault="008F43E8" w:rsidP="00E35A6B">
            <w:pPr>
              <w:suppressAutoHyphens w:val="0"/>
              <w:spacing w:line="240" w:lineRule="auto"/>
              <w:jc w:val="center"/>
              <w:rPr>
                <w:rFonts w:asciiTheme="majorBidi" w:hAnsiTheme="majorBidi" w:cstheme="majorBidi"/>
                <w:b/>
                <w:bCs/>
                <w:color w:val="000000"/>
                <w:sz w:val="22"/>
                <w:szCs w:val="22"/>
              </w:rPr>
            </w:pPr>
            <w:r>
              <w:rPr>
                <w:b/>
                <w:bCs/>
                <w:lang w:val="fr-FR"/>
              </w:rPr>
              <w:t>15 heures-</w:t>
            </w:r>
            <w:r w:rsidR="00E54597">
              <w:rPr>
                <w:b/>
                <w:bCs/>
                <w:lang w:val="fr-FR"/>
              </w:rPr>
              <w:br/>
            </w:r>
            <w:r>
              <w:rPr>
                <w:b/>
                <w:bCs/>
                <w:lang w:val="fr-FR"/>
              </w:rPr>
              <w:t>18 heures</w:t>
            </w:r>
          </w:p>
        </w:tc>
        <w:tc>
          <w:tcPr>
            <w:tcW w:w="6760" w:type="dxa"/>
            <w:gridSpan w:val="2"/>
            <w:shd w:val="clear" w:color="000000" w:fill="9BC2E6"/>
            <w:vAlign w:val="center"/>
            <w:hideMark/>
          </w:tcPr>
          <w:p w14:paraId="4AE9A725" w14:textId="77777777" w:rsidR="008F43E8" w:rsidRPr="008338A6" w:rsidRDefault="008F43E8" w:rsidP="00E35A6B">
            <w:pPr>
              <w:suppressAutoHyphens w:val="0"/>
              <w:spacing w:line="240" w:lineRule="auto"/>
              <w:jc w:val="center"/>
              <w:rPr>
                <w:rFonts w:asciiTheme="majorBidi" w:hAnsiTheme="majorBidi" w:cstheme="majorBidi"/>
                <w:b/>
                <w:bCs/>
                <w:color w:val="000000"/>
                <w:sz w:val="22"/>
                <w:szCs w:val="22"/>
              </w:rPr>
            </w:pPr>
            <w:r>
              <w:rPr>
                <w:b/>
                <w:bCs/>
                <w:lang w:val="fr-FR"/>
              </w:rPr>
              <w:t>Session annuelle du CTI − session ordinaire − Salle XIX</w:t>
            </w:r>
          </w:p>
        </w:tc>
      </w:tr>
      <w:tr w:rsidR="008F43E8" w:rsidRPr="002C74AA" w14:paraId="67FFD225" w14:textId="77777777" w:rsidTr="00A15AC5">
        <w:trPr>
          <w:trHeight w:val="1155"/>
        </w:trPr>
        <w:tc>
          <w:tcPr>
            <w:tcW w:w="1311" w:type="dxa"/>
            <w:vMerge w:val="restart"/>
            <w:shd w:val="clear" w:color="auto" w:fill="auto"/>
            <w:vAlign w:val="center"/>
            <w:hideMark/>
          </w:tcPr>
          <w:p w14:paraId="17B6FDFE" w14:textId="42ED441C" w:rsidR="008F43E8" w:rsidRPr="006F2F0E" w:rsidRDefault="008F43E8" w:rsidP="00E35A6B">
            <w:pPr>
              <w:suppressAutoHyphens w:val="0"/>
              <w:spacing w:line="240" w:lineRule="auto"/>
              <w:jc w:val="center"/>
              <w:rPr>
                <w:rFonts w:asciiTheme="majorBidi" w:hAnsiTheme="majorBidi" w:cstheme="majorBidi"/>
                <w:b/>
                <w:bCs/>
                <w:color w:val="000000"/>
                <w:sz w:val="22"/>
                <w:szCs w:val="22"/>
              </w:rPr>
            </w:pPr>
            <w:r>
              <w:rPr>
                <w:b/>
                <w:bCs/>
                <w:lang w:val="fr-FR"/>
              </w:rPr>
              <w:t>Jeudi</w:t>
            </w:r>
            <w:r w:rsidR="00824F07">
              <w:rPr>
                <w:b/>
                <w:bCs/>
                <w:lang w:val="fr-FR"/>
              </w:rPr>
              <w:br/>
            </w:r>
            <w:r>
              <w:rPr>
                <w:b/>
                <w:bCs/>
                <w:lang w:val="fr-FR"/>
              </w:rPr>
              <w:t>23 février</w:t>
            </w:r>
          </w:p>
        </w:tc>
        <w:tc>
          <w:tcPr>
            <w:tcW w:w="1568" w:type="dxa"/>
            <w:shd w:val="clear" w:color="auto" w:fill="auto"/>
            <w:vAlign w:val="center"/>
            <w:hideMark/>
          </w:tcPr>
          <w:p w14:paraId="623ABFB5" w14:textId="2908D524" w:rsidR="008F43E8" w:rsidRPr="006F2F0E" w:rsidRDefault="008F43E8" w:rsidP="00E35A6B">
            <w:pPr>
              <w:suppressAutoHyphens w:val="0"/>
              <w:spacing w:line="240" w:lineRule="auto"/>
              <w:jc w:val="center"/>
              <w:rPr>
                <w:rFonts w:asciiTheme="majorBidi" w:hAnsiTheme="majorBidi" w:cstheme="majorBidi"/>
                <w:b/>
                <w:bCs/>
                <w:color w:val="000000"/>
                <w:sz w:val="22"/>
                <w:szCs w:val="22"/>
              </w:rPr>
            </w:pPr>
            <w:r>
              <w:rPr>
                <w:b/>
                <w:bCs/>
                <w:lang w:val="fr-FR"/>
              </w:rPr>
              <w:t>10 heures-</w:t>
            </w:r>
            <w:r w:rsidR="00E54597">
              <w:rPr>
                <w:b/>
                <w:bCs/>
                <w:lang w:val="fr-FR"/>
              </w:rPr>
              <w:br/>
            </w:r>
            <w:r>
              <w:rPr>
                <w:b/>
                <w:bCs/>
                <w:lang w:val="fr-FR"/>
              </w:rPr>
              <w:t>13 heures</w:t>
            </w:r>
          </w:p>
        </w:tc>
        <w:tc>
          <w:tcPr>
            <w:tcW w:w="6760" w:type="dxa"/>
            <w:gridSpan w:val="2"/>
            <w:shd w:val="clear" w:color="000000" w:fill="9BC2E6"/>
            <w:vAlign w:val="center"/>
            <w:hideMark/>
          </w:tcPr>
          <w:p w14:paraId="02D95E35" w14:textId="77777777" w:rsidR="008F43E8" w:rsidRPr="008338A6" w:rsidRDefault="008F43E8" w:rsidP="00E35A6B">
            <w:pPr>
              <w:suppressAutoHyphens w:val="0"/>
              <w:spacing w:line="240" w:lineRule="auto"/>
              <w:jc w:val="center"/>
              <w:rPr>
                <w:rFonts w:asciiTheme="majorBidi" w:hAnsiTheme="majorBidi" w:cstheme="majorBidi"/>
                <w:b/>
                <w:bCs/>
                <w:color w:val="000000"/>
                <w:sz w:val="22"/>
                <w:szCs w:val="22"/>
              </w:rPr>
            </w:pPr>
            <w:r>
              <w:rPr>
                <w:b/>
                <w:bCs/>
                <w:lang w:val="fr-FR"/>
              </w:rPr>
              <w:t>Session annuelle du CTI − session ordinaire (</w:t>
            </w:r>
            <w:r w:rsidRPr="00824F07">
              <w:rPr>
                <w:b/>
                <w:bCs/>
                <w:i/>
                <w:iCs/>
                <w:lang w:val="fr-FR"/>
              </w:rPr>
              <w:t>suite</w:t>
            </w:r>
            <w:r>
              <w:rPr>
                <w:b/>
                <w:bCs/>
                <w:lang w:val="fr-FR"/>
              </w:rPr>
              <w:t>) − Salle XIX</w:t>
            </w:r>
          </w:p>
        </w:tc>
      </w:tr>
      <w:tr w:rsidR="008F43E8" w:rsidRPr="006F2F0E" w14:paraId="7E3E5454" w14:textId="77777777" w:rsidTr="00A15AC5">
        <w:trPr>
          <w:trHeight w:val="315"/>
        </w:trPr>
        <w:tc>
          <w:tcPr>
            <w:tcW w:w="1311" w:type="dxa"/>
            <w:vMerge/>
            <w:vAlign w:val="center"/>
            <w:hideMark/>
          </w:tcPr>
          <w:p w14:paraId="5C2DCCCE" w14:textId="77777777" w:rsidR="008F43E8" w:rsidRPr="008338A6" w:rsidRDefault="008F43E8" w:rsidP="00E35A6B">
            <w:pPr>
              <w:suppressAutoHyphens w:val="0"/>
              <w:spacing w:line="240" w:lineRule="auto"/>
              <w:rPr>
                <w:rFonts w:asciiTheme="majorBidi" w:hAnsiTheme="majorBidi" w:cstheme="majorBidi"/>
                <w:b/>
                <w:bCs/>
                <w:color w:val="000000"/>
                <w:sz w:val="22"/>
                <w:szCs w:val="22"/>
                <w:lang w:eastAsia="zh-CN"/>
              </w:rPr>
            </w:pPr>
          </w:p>
        </w:tc>
        <w:tc>
          <w:tcPr>
            <w:tcW w:w="1568" w:type="dxa"/>
            <w:shd w:val="clear" w:color="auto" w:fill="auto"/>
            <w:vAlign w:val="center"/>
            <w:hideMark/>
          </w:tcPr>
          <w:p w14:paraId="6416D2E0" w14:textId="52E590B5" w:rsidR="008F43E8" w:rsidRPr="006F2F0E" w:rsidRDefault="008F43E8" w:rsidP="00E35A6B">
            <w:pPr>
              <w:suppressAutoHyphens w:val="0"/>
              <w:spacing w:line="240" w:lineRule="auto"/>
              <w:jc w:val="center"/>
              <w:rPr>
                <w:rFonts w:asciiTheme="majorBidi" w:hAnsiTheme="majorBidi" w:cstheme="majorBidi"/>
                <w:b/>
                <w:bCs/>
                <w:color w:val="000000"/>
                <w:sz w:val="22"/>
                <w:szCs w:val="22"/>
              </w:rPr>
            </w:pPr>
            <w:r>
              <w:rPr>
                <w:b/>
                <w:bCs/>
                <w:lang w:val="fr-FR"/>
              </w:rPr>
              <w:t>13 heures-</w:t>
            </w:r>
            <w:r w:rsidR="00E54597">
              <w:rPr>
                <w:b/>
                <w:bCs/>
                <w:lang w:val="fr-FR"/>
              </w:rPr>
              <w:br/>
            </w:r>
            <w:r>
              <w:rPr>
                <w:b/>
                <w:bCs/>
                <w:lang w:val="fr-FR"/>
              </w:rPr>
              <w:t>15 heures</w:t>
            </w:r>
          </w:p>
        </w:tc>
        <w:tc>
          <w:tcPr>
            <w:tcW w:w="6760" w:type="dxa"/>
            <w:gridSpan w:val="2"/>
            <w:shd w:val="clear" w:color="auto" w:fill="auto"/>
            <w:vAlign w:val="center"/>
            <w:hideMark/>
          </w:tcPr>
          <w:p w14:paraId="5AA4C59F" w14:textId="5EBE1B47" w:rsidR="008F43E8" w:rsidRPr="00FB5093" w:rsidRDefault="008F43E8" w:rsidP="00E35A6B">
            <w:pPr>
              <w:suppressAutoHyphens w:val="0"/>
              <w:spacing w:line="240" w:lineRule="auto"/>
              <w:jc w:val="center"/>
              <w:rPr>
                <w:rFonts w:asciiTheme="majorBidi" w:hAnsiTheme="majorBidi" w:cstheme="majorBidi"/>
                <w:b/>
                <w:bCs/>
                <w:i/>
                <w:iCs/>
                <w:color w:val="000000"/>
                <w:sz w:val="22"/>
                <w:szCs w:val="22"/>
              </w:rPr>
            </w:pPr>
            <w:r w:rsidRPr="002C74AA">
              <w:rPr>
                <w:b/>
                <w:bCs/>
                <w:i/>
                <w:iCs/>
                <w:lang w:val="fr-FR"/>
              </w:rPr>
              <w:t>Pause</w:t>
            </w:r>
          </w:p>
        </w:tc>
      </w:tr>
      <w:tr w:rsidR="008F43E8" w:rsidRPr="002C74AA" w14:paraId="4EC9596F" w14:textId="77777777" w:rsidTr="00A15AC5">
        <w:trPr>
          <w:trHeight w:val="1080"/>
        </w:trPr>
        <w:tc>
          <w:tcPr>
            <w:tcW w:w="1311" w:type="dxa"/>
            <w:vMerge/>
            <w:vAlign w:val="center"/>
            <w:hideMark/>
          </w:tcPr>
          <w:p w14:paraId="3836061D" w14:textId="77777777" w:rsidR="008F43E8" w:rsidRPr="006F2F0E" w:rsidRDefault="008F43E8" w:rsidP="00E35A6B">
            <w:pPr>
              <w:suppressAutoHyphens w:val="0"/>
              <w:spacing w:line="240" w:lineRule="auto"/>
              <w:rPr>
                <w:rFonts w:asciiTheme="majorBidi" w:hAnsiTheme="majorBidi" w:cstheme="majorBidi"/>
                <w:b/>
                <w:bCs/>
                <w:color w:val="000000"/>
                <w:sz w:val="22"/>
                <w:szCs w:val="22"/>
                <w:lang w:eastAsia="zh-CN"/>
              </w:rPr>
            </w:pPr>
          </w:p>
        </w:tc>
        <w:tc>
          <w:tcPr>
            <w:tcW w:w="1568" w:type="dxa"/>
            <w:shd w:val="clear" w:color="auto" w:fill="auto"/>
            <w:vAlign w:val="center"/>
            <w:hideMark/>
          </w:tcPr>
          <w:p w14:paraId="0B955A15" w14:textId="68AEA394" w:rsidR="008F43E8" w:rsidRPr="006F2F0E" w:rsidRDefault="008F43E8" w:rsidP="00E35A6B">
            <w:pPr>
              <w:suppressAutoHyphens w:val="0"/>
              <w:spacing w:line="240" w:lineRule="auto"/>
              <w:jc w:val="center"/>
              <w:rPr>
                <w:rFonts w:asciiTheme="majorBidi" w:hAnsiTheme="majorBidi" w:cstheme="majorBidi"/>
                <w:b/>
                <w:bCs/>
                <w:color w:val="000000"/>
                <w:sz w:val="22"/>
                <w:szCs w:val="22"/>
              </w:rPr>
            </w:pPr>
            <w:r>
              <w:rPr>
                <w:b/>
                <w:bCs/>
                <w:lang w:val="fr-FR"/>
              </w:rPr>
              <w:t>15 heures-</w:t>
            </w:r>
            <w:r w:rsidR="00E54597">
              <w:rPr>
                <w:b/>
                <w:bCs/>
                <w:lang w:val="fr-FR"/>
              </w:rPr>
              <w:br/>
            </w:r>
            <w:r>
              <w:rPr>
                <w:b/>
                <w:bCs/>
                <w:lang w:val="fr-FR"/>
              </w:rPr>
              <w:t>18 heures</w:t>
            </w:r>
          </w:p>
        </w:tc>
        <w:tc>
          <w:tcPr>
            <w:tcW w:w="6760" w:type="dxa"/>
            <w:gridSpan w:val="2"/>
            <w:shd w:val="clear" w:color="000000" w:fill="9BC2E6"/>
            <w:vAlign w:val="center"/>
            <w:hideMark/>
          </w:tcPr>
          <w:p w14:paraId="7BAD9F68" w14:textId="77777777" w:rsidR="008F43E8" w:rsidRPr="008338A6" w:rsidRDefault="008F43E8" w:rsidP="00E35A6B">
            <w:pPr>
              <w:suppressAutoHyphens w:val="0"/>
              <w:spacing w:line="240" w:lineRule="auto"/>
              <w:jc w:val="center"/>
              <w:rPr>
                <w:rFonts w:asciiTheme="majorBidi" w:hAnsiTheme="majorBidi" w:cstheme="majorBidi"/>
                <w:b/>
                <w:bCs/>
                <w:color w:val="000000"/>
                <w:sz w:val="22"/>
                <w:szCs w:val="22"/>
              </w:rPr>
            </w:pPr>
            <w:r>
              <w:rPr>
                <w:b/>
                <w:bCs/>
                <w:lang w:val="fr-FR"/>
              </w:rPr>
              <w:t>Session annuelle du CTI − session ordinaire (</w:t>
            </w:r>
            <w:r w:rsidRPr="00824F07">
              <w:rPr>
                <w:b/>
                <w:bCs/>
                <w:i/>
                <w:iCs/>
                <w:lang w:val="fr-FR"/>
              </w:rPr>
              <w:t>suite</w:t>
            </w:r>
            <w:r>
              <w:rPr>
                <w:b/>
                <w:bCs/>
                <w:lang w:val="fr-FR"/>
              </w:rPr>
              <w:t>) − Salle XIX</w:t>
            </w:r>
          </w:p>
        </w:tc>
      </w:tr>
      <w:tr w:rsidR="008F43E8" w:rsidRPr="002C74AA" w14:paraId="5E14B4D9" w14:textId="77777777" w:rsidTr="00A15AC5">
        <w:trPr>
          <w:trHeight w:val="1020"/>
        </w:trPr>
        <w:tc>
          <w:tcPr>
            <w:tcW w:w="1311" w:type="dxa"/>
            <w:vMerge w:val="restart"/>
            <w:shd w:val="clear" w:color="auto" w:fill="auto"/>
            <w:vAlign w:val="center"/>
            <w:hideMark/>
          </w:tcPr>
          <w:p w14:paraId="1D78CC85" w14:textId="69E71762" w:rsidR="008F43E8" w:rsidRPr="006F2F0E" w:rsidRDefault="008F43E8" w:rsidP="00E35A6B">
            <w:pPr>
              <w:suppressAutoHyphens w:val="0"/>
              <w:spacing w:line="240" w:lineRule="auto"/>
              <w:jc w:val="center"/>
              <w:rPr>
                <w:rFonts w:asciiTheme="majorBidi" w:hAnsiTheme="majorBidi" w:cstheme="majorBidi"/>
                <w:b/>
                <w:bCs/>
                <w:color w:val="000000"/>
                <w:sz w:val="22"/>
                <w:szCs w:val="22"/>
              </w:rPr>
            </w:pPr>
            <w:r>
              <w:rPr>
                <w:b/>
                <w:bCs/>
                <w:lang w:val="fr-FR"/>
              </w:rPr>
              <w:t>Vendredi</w:t>
            </w:r>
            <w:r w:rsidR="00824F07">
              <w:rPr>
                <w:b/>
                <w:bCs/>
                <w:lang w:val="fr-FR"/>
              </w:rPr>
              <w:br/>
            </w:r>
            <w:r>
              <w:rPr>
                <w:b/>
                <w:bCs/>
                <w:lang w:val="fr-FR"/>
              </w:rPr>
              <w:t>24 février</w:t>
            </w:r>
          </w:p>
        </w:tc>
        <w:tc>
          <w:tcPr>
            <w:tcW w:w="1568" w:type="dxa"/>
            <w:shd w:val="clear" w:color="auto" w:fill="auto"/>
            <w:vAlign w:val="center"/>
            <w:hideMark/>
          </w:tcPr>
          <w:p w14:paraId="3E4AD1F3" w14:textId="4BED464C" w:rsidR="008F43E8" w:rsidRPr="006F2F0E" w:rsidRDefault="008F43E8" w:rsidP="00E35A6B">
            <w:pPr>
              <w:suppressAutoHyphens w:val="0"/>
              <w:spacing w:line="240" w:lineRule="auto"/>
              <w:jc w:val="center"/>
              <w:rPr>
                <w:rFonts w:asciiTheme="majorBidi" w:hAnsiTheme="majorBidi" w:cstheme="majorBidi"/>
                <w:b/>
                <w:bCs/>
                <w:color w:val="000000"/>
                <w:sz w:val="22"/>
                <w:szCs w:val="22"/>
              </w:rPr>
            </w:pPr>
            <w:r>
              <w:rPr>
                <w:b/>
                <w:bCs/>
                <w:lang w:val="fr-FR"/>
              </w:rPr>
              <w:t>10 heures-</w:t>
            </w:r>
            <w:r w:rsidR="00E54597">
              <w:rPr>
                <w:b/>
                <w:bCs/>
                <w:lang w:val="fr-FR"/>
              </w:rPr>
              <w:br/>
            </w:r>
            <w:r>
              <w:rPr>
                <w:b/>
                <w:bCs/>
                <w:lang w:val="fr-FR"/>
              </w:rPr>
              <w:t>13 heures</w:t>
            </w:r>
          </w:p>
        </w:tc>
        <w:tc>
          <w:tcPr>
            <w:tcW w:w="6760" w:type="dxa"/>
            <w:gridSpan w:val="2"/>
            <w:shd w:val="clear" w:color="000000" w:fill="9BC2E6"/>
            <w:vAlign w:val="center"/>
          </w:tcPr>
          <w:p w14:paraId="576523A1" w14:textId="77777777" w:rsidR="008F43E8" w:rsidRPr="008338A6" w:rsidRDefault="008F43E8" w:rsidP="00E35A6B">
            <w:pPr>
              <w:suppressAutoHyphens w:val="0"/>
              <w:spacing w:line="240" w:lineRule="auto"/>
              <w:jc w:val="center"/>
              <w:rPr>
                <w:rFonts w:asciiTheme="majorBidi" w:hAnsiTheme="majorBidi" w:cstheme="majorBidi"/>
                <w:b/>
                <w:bCs/>
                <w:color w:val="000000"/>
                <w:sz w:val="22"/>
                <w:szCs w:val="22"/>
              </w:rPr>
            </w:pPr>
            <w:r>
              <w:rPr>
                <w:b/>
                <w:bCs/>
                <w:lang w:val="fr-FR"/>
              </w:rPr>
              <w:t>Session annuelle du CTI − session ordinaire (</w:t>
            </w:r>
            <w:r w:rsidRPr="00824F07">
              <w:rPr>
                <w:b/>
                <w:bCs/>
                <w:i/>
                <w:iCs/>
                <w:lang w:val="fr-FR"/>
              </w:rPr>
              <w:t>suite</w:t>
            </w:r>
            <w:r>
              <w:rPr>
                <w:b/>
                <w:bCs/>
                <w:lang w:val="fr-FR"/>
              </w:rPr>
              <w:t>) − Salle XIX</w:t>
            </w:r>
          </w:p>
        </w:tc>
      </w:tr>
      <w:tr w:rsidR="008F43E8" w:rsidRPr="002C74AA" w14:paraId="4E9C185F" w14:textId="77777777" w:rsidTr="00A15AC5">
        <w:trPr>
          <w:trHeight w:val="315"/>
        </w:trPr>
        <w:tc>
          <w:tcPr>
            <w:tcW w:w="1311" w:type="dxa"/>
            <w:vMerge/>
            <w:shd w:val="clear" w:color="auto" w:fill="auto"/>
            <w:vAlign w:val="center"/>
            <w:hideMark/>
          </w:tcPr>
          <w:p w14:paraId="5B6ACF1C" w14:textId="77777777" w:rsidR="008F43E8" w:rsidRPr="008338A6" w:rsidRDefault="008F43E8" w:rsidP="00E35A6B">
            <w:pPr>
              <w:suppressAutoHyphens w:val="0"/>
              <w:spacing w:line="240" w:lineRule="auto"/>
              <w:rPr>
                <w:rFonts w:asciiTheme="majorBidi" w:hAnsiTheme="majorBidi" w:cstheme="majorBidi"/>
                <w:b/>
                <w:bCs/>
                <w:color w:val="000000"/>
                <w:sz w:val="22"/>
                <w:szCs w:val="22"/>
                <w:lang w:eastAsia="zh-CN"/>
              </w:rPr>
            </w:pPr>
          </w:p>
        </w:tc>
        <w:tc>
          <w:tcPr>
            <w:tcW w:w="1568" w:type="dxa"/>
            <w:shd w:val="clear" w:color="auto" w:fill="auto"/>
            <w:vAlign w:val="center"/>
            <w:hideMark/>
          </w:tcPr>
          <w:p w14:paraId="2B983CB1" w14:textId="0EC65A08" w:rsidR="008F43E8" w:rsidRPr="006F2F0E" w:rsidRDefault="008F43E8" w:rsidP="00E35A6B">
            <w:pPr>
              <w:suppressAutoHyphens w:val="0"/>
              <w:spacing w:line="240" w:lineRule="auto"/>
              <w:jc w:val="center"/>
              <w:rPr>
                <w:rFonts w:asciiTheme="majorBidi" w:hAnsiTheme="majorBidi" w:cstheme="majorBidi"/>
                <w:b/>
                <w:bCs/>
                <w:color w:val="000000"/>
                <w:sz w:val="22"/>
                <w:szCs w:val="22"/>
              </w:rPr>
            </w:pPr>
            <w:r>
              <w:rPr>
                <w:b/>
                <w:bCs/>
                <w:lang w:val="fr-FR"/>
              </w:rPr>
              <w:t>13 heures-</w:t>
            </w:r>
            <w:r w:rsidR="00E54597">
              <w:rPr>
                <w:b/>
                <w:bCs/>
                <w:lang w:val="fr-FR"/>
              </w:rPr>
              <w:br/>
            </w:r>
            <w:r>
              <w:rPr>
                <w:b/>
                <w:bCs/>
                <w:lang w:val="fr-FR"/>
              </w:rPr>
              <w:t>15 heures</w:t>
            </w:r>
          </w:p>
        </w:tc>
        <w:tc>
          <w:tcPr>
            <w:tcW w:w="3373" w:type="dxa"/>
            <w:shd w:val="clear" w:color="auto" w:fill="auto"/>
            <w:vAlign w:val="center"/>
            <w:hideMark/>
          </w:tcPr>
          <w:p w14:paraId="0A5D0BC6" w14:textId="77777777" w:rsidR="008F43E8" w:rsidRPr="006F2F0E" w:rsidRDefault="008F43E8" w:rsidP="00E35A6B">
            <w:pPr>
              <w:suppressAutoHyphens w:val="0"/>
              <w:spacing w:line="240" w:lineRule="auto"/>
              <w:jc w:val="center"/>
              <w:rPr>
                <w:rFonts w:asciiTheme="majorBidi" w:hAnsiTheme="majorBidi" w:cstheme="majorBidi"/>
                <w:b/>
                <w:bCs/>
                <w:i/>
                <w:iCs/>
                <w:color w:val="000000"/>
                <w:sz w:val="22"/>
                <w:szCs w:val="22"/>
              </w:rPr>
            </w:pPr>
            <w:r>
              <w:rPr>
                <w:b/>
                <w:bCs/>
                <w:i/>
                <w:iCs/>
                <w:lang w:val="fr-FR"/>
              </w:rPr>
              <w:t>Pause</w:t>
            </w:r>
            <w:r>
              <w:rPr>
                <w:lang w:val="fr-FR"/>
              </w:rPr>
              <w:t xml:space="preserve"> </w:t>
            </w:r>
          </w:p>
        </w:tc>
        <w:tc>
          <w:tcPr>
            <w:tcW w:w="3387" w:type="dxa"/>
            <w:shd w:val="clear" w:color="auto" w:fill="92D050"/>
            <w:vAlign w:val="center"/>
          </w:tcPr>
          <w:p w14:paraId="2E996A9F" w14:textId="77777777" w:rsidR="008F43E8" w:rsidRPr="008338A6" w:rsidRDefault="008F43E8" w:rsidP="00E35A6B">
            <w:pPr>
              <w:suppressAutoHyphens w:val="0"/>
              <w:spacing w:line="240" w:lineRule="auto"/>
              <w:jc w:val="center"/>
              <w:rPr>
                <w:rFonts w:asciiTheme="majorBidi" w:hAnsiTheme="majorBidi" w:cstheme="majorBidi"/>
                <w:b/>
                <w:bCs/>
                <w:color w:val="000000"/>
                <w:sz w:val="22"/>
                <w:szCs w:val="22"/>
              </w:rPr>
            </w:pPr>
            <w:r>
              <w:rPr>
                <w:b/>
                <w:bCs/>
                <w:lang w:val="fr-FR"/>
              </w:rPr>
              <w:t>Réunion du Bureau du CTI</w:t>
            </w:r>
          </w:p>
        </w:tc>
      </w:tr>
      <w:tr w:rsidR="008F43E8" w:rsidRPr="002C74AA" w14:paraId="4E795509" w14:textId="77777777" w:rsidTr="00A15AC5">
        <w:trPr>
          <w:trHeight w:val="705"/>
        </w:trPr>
        <w:tc>
          <w:tcPr>
            <w:tcW w:w="1311" w:type="dxa"/>
            <w:vMerge/>
            <w:shd w:val="clear" w:color="auto" w:fill="auto"/>
            <w:vAlign w:val="center"/>
            <w:hideMark/>
          </w:tcPr>
          <w:p w14:paraId="555FE0B5" w14:textId="77777777" w:rsidR="008F43E8" w:rsidRPr="008338A6" w:rsidRDefault="008F43E8" w:rsidP="00E35A6B">
            <w:pPr>
              <w:suppressAutoHyphens w:val="0"/>
              <w:spacing w:line="240" w:lineRule="auto"/>
              <w:rPr>
                <w:rFonts w:asciiTheme="majorBidi" w:hAnsiTheme="majorBidi" w:cstheme="majorBidi"/>
                <w:b/>
                <w:bCs/>
                <w:color w:val="000000"/>
                <w:sz w:val="22"/>
                <w:szCs w:val="22"/>
                <w:lang w:eastAsia="zh-CN"/>
              </w:rPr>
            </w:pPr>
          </w:p>
        </w:tc>
        <w:tc>
          <w:tcPr>
            <w:tcW w:w="1568" w:type="dxa"/>
            <w:shd w:val="clear" w:color="auto" w:fill="auto"/>
            <w:vAlign w:val="center"/>
            <w:hideMark/>
          </w:tcPr>
          <w:p w14:paraId="5A3C64AE" w14:textId="6A78A2A5" w:rsidR="008F43E8" w:rsidRPr="006F2F0E" w:rsidRDefault="008F43E8" w:rsidP="00E35A6B">
            <w:pPr>
              <w:suppressAutoHyphens w:val="0"/>
              <w:spacing w:line="240" w:lineRule="auto"/>
              <w:jc w:val="center"/>
              <w:rPr>
                <w:rFonts w:asciiTheme="majorBidi" w:hAnsiTheme="majorBidi" w:cstheme="majorBidi"/>
                <w:b/>
                <w:bCs/>
                <w:color w:val="000000"/>
                <w:sz w:val="22"/>
                <w:szCs w:val="22"/>
              </w:rPr>
            </w:pPr>
            <w:r>
              <w:rPr>
                <w:b/>
                <w:bCs/>
                <w:lang w:val="fr-FR"/>
              </w:rPr>
              <w:t>15 heures-</w:t>
            </w:r>
            <w:r w:rsidR="00E54597">
              <w:rPr>
                <w:b/>
                <w:bCs/>
                <w:lang w:val="fr-FR"/>
              </w:rPr>
              <w:br/>
            </w:r>
            <w:r>
              <w:rPr>
                <w:b/>
                <w:bCs/>
                <w:lang w:val="fr-FR"/>
              </w:rPr>
              <w:t>18 heures</w:t>
            </w:r>
          </w:p>
        </w:tc>
        <w:tc>
          <w:tcPr>
            <w:tcW w:w="6760" w:type="dxa"/>
            <w:gridSpan w:val="2"/>
            <w:shd w:val="clear" w:color="000000" w:fill="92D050"/>
            <w:vAlign w:val="center"/>
            <w:hideMark/>
          </w:tcPr>
          <w:p w14:paraId="59EF5AC0" w14:textId="77777777" w:rsidR="008F43E8" w:rsidRPr="008338A6" w:rsidRDefault="008F43E8" w:rsidP="00E35A6B">
            <w:pPr>
              <w:suppressAutoHyphens w:val="0"/>
              <w:spacing w:line="240" w:lineRule="auto"/>
              <w:jc w:val="center"/>
              <w:rPr>
                <w:rFonts w:asciiTheme="majorBidi" w:hAnsiTheme="majorBidi" w:cstheme="majorBidi"/>
                <w:b/>
                <w:bCs/>
                <w:color w:val="000000"/>
                <w:sz w:val="22"/>
                <w:szCs w:val="22"/>
              </w:rPr>
            </w:pPr>
            <w:r>
              <w:rPr>
                <w:b/>
                <w:bCs/>
                <w:lang w:val="fr-FR"/>
              </w:rPr>
              <w:t>Table ronde du CTI sur la connectivité − Salle XIX</w:t>
            </w:r>
          </w:p>
        </w:tc>
      </w:tr>
    </w:tbl>
    <w:p w14:paraId="3C473DF6" w14:textId="77777777" w:rsidR="008F43E8" w:rsidRDefault="008F43E8">
      <w:pPr>
        <w:suppressAutoHyphens w:val="0"/>
        <w:kinsoku/>
        <w:overflowPunct/>
        <w:autoSpaceDE/>
        <w:autoSpaceDN/>
        <w:adjustRightInd/>
        <w:snapToGrid/>
        <w:spacing w:after="200" w:line="276" w:lineRule="auto"/>
      </w:pPr>
      <w:r>
        <w:br w:type="page"/>
      </w:r>
    </w:p>
    <w:p w14:paraId="007DF2D2" w14:textId="77777777" w:rsidR="008F43E8" w:rsidRPr="006F2F0E" w:rsidRDefault="008F43E8" w:rsidP="008F43E8">
      <w:pPr>
        <w:pStyle w:val="HChG"/>
      </w:pPr>
      <w:r>
        <w:rPr>
          <w:bCs/>
          <w:lang w:val="fr-FR"/>
        </w:rPr>
        <w:lastRenderedPageBreak/>
        <w:t>Annexe II</w:t>
      </w:r>
    </w:p>
    <w:p w14:paraId="51B15729" w14:textId="40968991" w:rsidR="008F43E8" w:rsidRDefault="008F43E8" w:rsidP="008F43E8">
      <w:pPr>
        <w:pStyle w:val="HChG"/>
        <w:rPr>
          <w:bCs/>
          <w:lang w:val="fr-FR"/>
        </w:rPr>
      </w:pPr>
      <w:r>
        <w:rPr>
          <w:lang w:val="fr-FR"/>
        </w:rPr>
        <w:tab/>
      </w:r>
      <w:r>
        <w:rPr>
          <w:lang w:val="fr-FR"/>
        </w:rPr>
        <w:tab/>
      </w:r>
      <w:r>
        <w:rPr>
          <w:bCs/>
          <w:lang w:val="fr-FR"/>
        </w:rPr>
        <w:t>Projet de programme</w:t>
      </w:r>
    </w:p>
    <w:tbl>
      <w:tblPr>
        <w:tblW w:w="9639" w:type="dxa"/>
        <w:tblLayout w:type="fixed"/>
        <w:tblCellMar>
          <w:left w:w="0" w:type="dxa"/>
          <w:right w:w="0" w:type="dxa"/>
        </w:tblCellMar>
        <w:tblLook w:val="04A0" w:firstRow="1" w:lastRow="0" w:firstColumn="1" w:lastColumn="0" w:noHBand="0" w:noVBand="1"/>
      </w:tblPr>
      <w:tblGrid>
        <w:gridCol w:w="15"/>
        <w:gridCol w:w="1861"/>
        <w:gridCol w:w="7748"/>
        <w:gridCol w:w="15"/>
      </w:tblGrid>
      <w:tr w:rsidR="008F43E8" w:rsidRPr="002C74AA" w14:paraId="0184ADFF" w14:textId="77777777" w:rsidTr="00C8563A">
        <w:trPr>
          <w:gridBefore w:val="1"/>
          <w:wBefore w:w="15" w:type="dxa"/>
        </w:trPr>
        <w:tc>
          <w:tcPr>
            <w:tcW w:w="9624" w:type="dxa"/>
            <w:gridSpan w:val="3"/>
            <w:shd w:val="clear" w:color="auto" w:fill="auto"/>
            <w:vAlign w:val="bottom"/>
          </w:tcPr>
          <w:p w14:paraId="7985D0D9" w14:textId="4433AC66" w:rsidR="008F43E8" w:rsidRPr="008338A6" w:rsidRDefault="008F43E8" w:rsidP="00E35A6B">
            <w:pPr>
              <w:ind w:left="1134" w:right="1134"/>
              <w:jc w:val="both"/>
              <w:rPr>
                <w:b/>
              </w:rPr>
            </w:pPr>
            <w:r>
              <w:rPr>
                <w:b/>
                <w:bCs/>
                <w:lang w:val="fr-FR"/>
              </w:rPr>
              <w:t>Débat de haut niveau</w:t>
            </w:r>
          </w:p>
          <w:p w14:paraId="1DAA0FDE" w14:textId="23B2CD08" w:rsidR="008F43E8" w:rsidRPr="008338A6" w:rsidRDefault="008F43E8" w:rsidP="00E35A6B">
            <w:pPr>
              <w:ind w:left="1134"/>
              <w:rPr>
                <w:b/>
              </w:rPr>
            </w:pPr>
            <w:r>
              <w:rPr>
                <w:b/>
                <w:bCs/>
                <w:lang w:val="fr-FR"/>
              </w:rPr>
              <w:t>Actions menées par le secteur des transports intérieurs</w:t>
            </w:r>
          </w:p>
          <w:p w14:paraId="202F7504" w14:textId="77777777" w:rsidR="008F43E8" w:rsidRPr="008338A6" w:rsidRDefault="008F43E8" w:rsidP="00E35A6B">
            <w:pPr>
              <w:ind w:left="1134"/>
              <w:rPr>
                <w:b/>
              </w:rPr>
            </w:pPr>
            <w:r>
              <w:rPr>
                <w:b/>
                <w:bCs/>
                <w:lang w:val="fr-FR"/>
              </w:rPr>
              <w:t>pour contribuer à la lutte mondiale contre les changements climatiques</w:t>
            </w:r>
          </w:p>
          <w:p w14:paraId="57A8EB3A" w14:textId="77777777" w:rsidR="008F43E8" w:rsidRPr="008338A6" w:rsidRDefault="008F43E8" w:rsidP="00E35A6B">
            <w:pPr>
              <w:ind w:left="1134"/>
              <w:rPr>
                <w:b/>
              </w:rPr>
            </w:pPr>
            <w:r>
              <w:rPr>
                <w:b/>
                <w:bCs/>
                <w:lang w:val="fr-FR"/>
              </w:rPr>
              <w:t>21 février 2023, 10 heures-18 heures − Salle XIX</w:t>
            </w:r>
          </w:p>
          <w:p w14:paraId="0654E292" w14:textId="77777777" w:rsidR="008F43E8" w:rsidRPr="008338A6" w:rsidRDefault="008F43E8" w:rsidP="00E35A6B">
            <w:pPr>
              <w:spacing w:after="240"/>
              <w:ind w:left="1134"/>
              <w:rPr>
                <w:i/>
                <w:sz w:val="16"/>
              </w:rPr>
            </w:pPr>
            <w:r>
              <w:rPr>
                <w:b/>
                <w:bCs/>
                <w:lang w:val="fr-FR"/>
              </w:rPr>
              <w:t>Palais des Nations, Genève</w:t>
            </w:r>
          </w:p>
        </w:tc>
      </w:tr>
      <w:tr w:rsidR="008F43E8" w:rsidRPr="002C74AA" w14:paraId="75D19E38" w14:textId="77777777" w:rsidTr="00C8563A">
        <w:trPr>
          <w:gridAfter w:val="1"/>
          <w:wAfter w:w="15" w:type="dxa"/>
          <w:trHeight w:val="454"/>
        </w:trPr>
        <w:tc>
          <w:tcPr>
            <w:tcW w:w="1876" w:type="dxa"/>
            <w:gridSpan w:val="2"/>
            <w:tcBorders>
              <w:top w:val="single" w:sz="12" w:space="0" w:color="000000"/>
              <w:left w:val="nil"/>
              <w:bottom w:val="nil"/>
              <w:right w:val="nil"/>
            </w:tcBorders>
            <w:shd w:val="clear" w:color="auto" w:fill="auto"/>
            <w:tcMar>
              <w:top w:w="15" w:type="dxa"/>
              <w:left w:w="15" w:type="dxa"/>
              <w:bottom w:w="0" w:type="dxa"/>
              <w:right w:w="15" w:type="dxa"/>
            </w:tcMar>
            <w:hideMark/>
          </w:tcPr>
          <w:p w14:paraId="5A13B087" w14:textId="77777777" w:rsidR="008F43E8" w:rsidRPr="006F2F0E" w:rsidRDefault="008F43E8" w:rsidP="00E54597">
            <w:pPr>
              <w:spacing w:before="40" w:after="120"/>
            </w:pPr>
            <w:r>
              <w:rPr>
                <w:lang w:val="fr-FR"/>
              </w:rPr>
              <w:t>10 heures-10 h 30</w:t>
            </w:r>
          </w:p>
        </w:tc>
        <w:tc>
          <w:tcPr>
            <w:tcW w:w="7748" w:type="dxa"/>
            <w:tcBorders>
              <w:top w:val="single" w:sz="12" w:space="0" w:color="000000"/>
              <w:left w:val="nil"/>
              <w:bottom w:val="nil"/>
              <w:right w:val="nil"/>
            </w:tcBorders>
            <w:shd w:val="clear" w:color="auto" w:fill="auto"/>
            <w:tcMar>
              <w:top w:w="15" w:type="dxa"/>
              <w:left w:w="15" w:type="dxa"/>
              <w:bottom w:w="0" w:type="dxa"/>
              <w:right w:w="15" w:type="dxa"/>
            </w:tcMar>
            <w:hideMark/>
          </w:tcPr>
          <w:p w14:paraId="40682148" w14:textId="50CF9009" w:rsidR="008F43E8" w:rsidRPr="008338A6" w:rsidRDefault="008F43E8" w:rsidP="00E54597">
            <w:pPr>
              <w:spacing w:before="40" w:after="120"/>
              <w:rPr>
                <w:b/>
              </w:rPr>
            </w:pPr>
            <w:r>
              <w:rPr>
                <w:b/>
                <w:bCs/>
                <w:lang w:val="fr-FR"/>
              </w:rPr>
              <w:t>Déclarations liminaires et allocutions de bienvenue</w:t>
            </w:r>
          </w:p>
        </w:tc>
      </w:tr>
      <w:tr w:rsidR="008F43E8" w:rsidRPr="006F2F0E" w14:paraId="1534E0F4" w14:textId="77777777" w:rsidTr="00C8563A">
        <w:trPr>
          <w:gridAfter w:val="1"/>
          <w:wAfter w:w="15" w:type="dxa"/>
          <w:trHeight w:val="454"/>
        </w:trPr>
        <w:tc>
          <w:tcPr>
            <w:tcW w:w="1876" w:type="dxa"/>
            <w:gridSpan w:val="2"/>
            <w:tcBorders>
              <w:top w:val="nil"/>
              <w:left w:val="nil"/>
              <w:bottom w:val="nil"/>
              <w:right w:val="nil"/>
            </w:tcBorders>
            <w:shd w:val="clear" w:color="auto" w:fill="auto"/>
            <w:tcMar>
              <w:top w:w="15" w:type="dxa"/>
              <w:left w:w="15" w:type="dxa"/>
              <w:bottom w:w="0" w:type="dxa"/>
              <w:right w:w="15" w:type="dxa"/>
            </w:tcMar>
            <w:hideMark/>
          </w:tcPr>
          <w:p w14:paraId="05AFCD19" w14:textId="77777777" w:rsidR="008F43E8" w:rsidRPr="006F2F0E" w:rsidRDefault="008F43E8" w:rsidP="00E54597">
            <w:pPr>
              <w:spacing w:before="40" w:after="120"/>
            </w:pPr>
            <w:r>
              <w:rPr>
                <w:lang w:val="fr-FR"/>
              </w:rPr>
              <w:t>10 h 30-10 h 50</w:t>
            </w:r>
          </w:p>
        </w:tc>
        <w:tc>
          <w:tcPr>
            <w:tcW w:w="7748" w:type="dxa"/>
            <w:tcBorders>
              <w:top w:val="nil"/>
              <w:left w:val="nil"/>
              <w:bottom w:val="nil"/>
              <w:right w:val="nil"/>
            </w:tcBorders>
            <w:shd w:val="clear" w:color="auto" w:fill="auto"/>
            <w:tcMar>
              <w:top w:w="15" w:type="dxa"/>
              <w:left w:w="15" w:type="dxa"/>
              <w:bottom w:w="0" w:type="dxa"/>
              <w:right w:w="15" w:type="dxa"/>
            </w:tcMar>
            <w:hideMark/>
          </w:tcPr>
          <w:p w14:paraId="445BEA36" w14:textId="12564BE6" w:rsidR="008F43E8" w:rsidRPr="006F2F0E" w:rsidRDefault="008F43E8" w:rsidP="00E54597">
            <w:pPr>
              <w:spacing w:before="40" w:after="120"/>
              <w:rPr>
                <w:b/>
              </w:rPr>
            </w:pPr>
            <w:r>
              <w:rPr>
                <w:b/>
                <w:bCs/>
                <w:lang w:val="fr-FR"/>
              </w:rPr>
              <w:t>Discours d</w:t>
            </w:r>
            <w:r w:rsidR="00E54597">
              <w:rPr>
                <w:b/>
                <w:bCs/>
                <w:lang w:val="fr-FR"/>
              </w:rPr>
              <w:t>’</w:t>
            </w:r>
            <w:r>
              <w:rPr>
                <w:b/>
                <w:bCs/>
                <w:lang w:val="fr-FR"/>
              </w:rPr>
              <w:t>orientation 1</w:t>
            </w:r>
          </w:p>
        </w:tc>
      </w:tr>
      <w:tr w:rsidR="008F43E8" w:rsidRPr="006F2F0E" w14:paraId="153702CE" w14:textId="77777777" w:rsidTr="00C8563A">
        <w:trPr>
          <w:gridAfter w:val="1"/>
          <w:wAfter w:w="15" w:type="dxa"/>
          <w:trHeight w:val="454"/>
        </w:trPr>
        <w:tc>
          <w:tcPr>
            <w:tcW w:w="1876" w:type="dxa"/>
            <w:gridSpan w:val="2"/>
            <w:tcBorders>
              <w:top w:val="nil"/>
              <w:left w:val="nil"/>
              <w:bottom w:val="nil"/>
              <w:right w:val="nil"/>
            </w:tcBorders>
            <w:shd w:val="clear" w:color="auto" w:fill="auto"/>
            <w:tcMar>
              <w:top w:w="15" w:type="dxa"/>
              <w:left w:w="15" w:type="dxa"/>
              <w:bottom w:w="0" w:type="dxa"/>
              <w:right w:w="15" w:type="dxa"/>
            </w:tcMar>
          </w:tcPr>
          <w:p w14:paraId="28A6A11F" w14:textId="77777777" w:rsidR="008F43E8" w:rsidRPr="006F2F0E" w:rsidRDefault="008F43E8" w:rsidP="00E54597">
            <w:pPr>
              <w:spacing w:before="40" w:after="120"/>
            </w:pPr>
            <w:r>
              <w:rPr>
                <w:lang w:val="fr-FR"/>
              </w:rPr>
              <w:t>10 h 50-11 h 10</w:t>
            </w:r>
          </w:p>
        </w:tc>
        <w:tc>
          <w:tcPr>
            <w:tcW w:w="7748" w:type="dxa"/>
            <w:tcBorders>
              <w:top w:val="nil"/>
              <w:left w:val="nil"/>
              <w:bottom w:val="nil"/>
              <w:right w:val="nil"/>
            </w:tcBorders>
            <w:shd w:val="clear" w:color="auto" w:fill="auto"/>
            <w:tcMar>
              <w:top w:w="15" w:type="dxa"/>
              <w:left w:w="15" w:type="dxa"/>
              <w:bottom w:w="0" w:type="dxa"/>
              <w:right w:w="15" w:type="dxa"/>
            </w:tcMar>
          </w:tcPr>
          <w:p w14:paraId="1B7FE9BF" w14:textId="0B50CAFB" w:rsidR="008F43E8" w:rsidRPr="006F2F0E" w:rsidRDefault="008F43E8" w:rsidP="00E54597">
            <w:pPr>
              <w:spacing w:before="40" w:after="120"/>
              <w:rPr>
                <w:b/>
              </w:rPr>
            </w:pPr>
            <w:r>
              <w:rPr>
                <w:b/>
                <w:bCs/>
                <w:lang w:val="fr-FR"/>
              </w:rPr>
              <w:t>Discours d</w:t>
            </w:r>
            <w:r w:rsidR="00E54597">
              <w:rPr>
                <w:b/>
                <w:bCs/>
                <w:lang w:val="fr-FR"/>
              </w:rPr>
              <w:t>’</w:t>
            </w:r>
            <w:r>
              <w:rPr>
                <w:b/>
                <w:bCs/>
                <w:lang w:val="fr-FR"/>
              </w:rPr>
              <w:t>orientation 2</w:t>
            </w:r>
          </w:p>
        </w:tc>
      </w:tr>
      <w:tr w:rsidR="008F43E8" w:rsidRPr="006F2F0E" w14:paraId="3A917899" w14:textId="77777777" w:rsidTr="00C8563A">
        <w:trPr>
          <w:gridAfter w:val="1"/>
          <w:wAfter w:w="15" w:type="dxa"/>
          <w:trHeight w:val="454"/>
        </w:trPr>
        <w:tc>
          <w:tcPr>
            <w:tcW w:w="1876" w:type="dxa"/>
            <w:gridSpan w:val="2"/>
            <w:tcBorders>
              <w:top w:val="nil"/>
              <w:left w:val="nil"/>
              <w:bottom w:val="nil"/>
              <w:right w:val="nil"/>
            </w:tcBorders>
            <w:shd w:val="clear" w:color="auto" w:fill="auto"/>
            <w:tcMar>
              <w:top w:w="15" w:type="dxa"/>
              <w:left w:w="15" w:type="dxa"/>
              <w:bottom w:w="0" w:type="dxa"/>
              <w:right w:w="15" w:type="dxa"/>
            </w:tcMar>
          </w:tcPr>
          <w:p w14:paraId="7A735812" w14:textId="02190EE5" w:rsidR="008F43E8" w:rsidRPr="006F2F0E" w:rsidRDefault="008F43E8" w:rsidP="00E54597">
            <w:pPr>
              <w:spacing w:before="40" w:after="120"/>
            </w:pPr>
            <w:r>
              <w:rPr>
                <w:lang w:val="fr-FR"/>
              </w:rPr>
              <w:t>11 h 10-11 h 40</w:t>
            </w:r>
          </w:p>
        </w:tc>
        <w:tc>
          <w:tcPr>
            <w:tcW w:w="7748" w:type="dxa"/>
            <w:tcBorders>
              <w:top w:val="nil"/>
              <w:left w:val="nil"/>
              <w:bottom w:val="nil"/>
              <w:right w:val="nil"/>
            </w:tcBorders>
            <w:shd w:val="clear" w:color="auto" w:fill="auto"/>
            <w:tcMar>
              <w:top w:w="15" w:type="dxa"/>
              <w:left w:w="15" w:type="dxa"/>
              <w:bottom w:w="0" w:type="dxa"/>
              <w:right w:w="15" w:type="dxa"/>
            </w:tcMar>
          </w:tcPr>
          <w:p w14:paraId="3606B66E" w14:textId="483340CB" w:rsidR="008F43E8" w:rsidRPr="006F2F0E" w:rsidRDefault="008F43E8" w:rsidP="00E54597">
            <w:pPr>
              <w:spacing w:before="40" w:after="120"/>
              <w:rPr>
                <w:b/>
              </w:rPr>
            </w:pPr>
            <w:r>
              <w:rPr>
                <w:b/>
                <w:bCs/>
                <w:i/>
                <w:iCs/>
                <w:lang w:val="fr-FR"/>
              </w:rPr>
              <w:t>Pause</w:t>
            </w:r>
            <w:r w:rsidR="006664AE">
              <w:rPr>
                <w:b/>
                <w:bCs/>
                <w:i/>
                <w:iCs/>
                <w:lang w:val="fr-FR"/>
              </w:rPr>
              <w:t>-</w:t>
            </w:r>
            <w:r>
              <w:rPr>
                <w:b/>
                <w:bCs/>
                <w:i/>
                <w:iCs/>
                <w:lang w:val="fr-FR"/>
              </w:rPr>
              <w:t>café</w:t>
            </w:r>
          </w:p>
        </w:tc>
      </w:tr>
      <w:tr w:rsidR="008F43E8" w:rsidRPr="002C74AA" w14:paraId="313BD9B2" w14:textId="77777777" w:rsidTr="00C8563A">
        <w:trPr>
          <w:gridAfter w:val="1"/>
          <w:wAfter w:w="15" w:type="dxa"/>
          <w:trHeight w:val="454"/>
        </w:trPr>
        <w:tc>
          <w:tcPr>
            <w:tcW w:w="1876" w:type="dxa"/>
            <w:gridSpan w:val="2"/>
            <w:tcBorders>
              <w:top w:val="nil"/>
              <w:left w:val="nil"/>
              <w:bottom w:val="nil"/>
              <w:right w:val="nil"/>
            </w:tcBorders>
            <w:shd w:val="clear" w:color="auto" w:fill="auto"/>
            <w:tcMar>
              <w:top w:w="15" w:type="dxa"/>
              <w:left w:w="15" w:type="dxa"/>
              <w:bottom w:w="0" w:type="dxa"/>
              <w:right w:w="15" w:type="dxa"/>
            </w:tcMar>
            <w:hideMark/>
          </w:tcPr>
          <w:p w14:paraId="79CC48DD" w14:textId="0ADAFA8F" w:rsidR="008F43E8" w:rsidRPr="006F2F0E" w:rsidRDefault="008F43E8" w:rsidP="00E54597">
            <w:pPr>
              <w:spacing w:before="40" w:after="120"/>
            </w:pPr>
            <w:r>
              <w:rPr>
                <w:lang w:val="fr-FR"/>
              </w:rPr>
              <w:t>11 h 40-13 heures</w:t>
            </w:r>
          </w:p>
        </w:tc>
        <w:tc>
          <w:tcPr>
            <w:tcW w:w="7748" w:type="dxa"/>
            <w:tcBorders>
              <w:top w:val="nil"/>
              <w:left w:val="nil"/>
              <w:bottom w:val="nil"/>
              <w:right w:val="nil"/>
            </w:tcBorders>
            <w:shd w:val="clear" w:color="auto" w:fill="auto"/>
            <w:tcMar>
              <w:top w:w="15" w:type="dxa"/>
              <w:left w:w="15" w:type="dxa"/>
              <w:bottom w:w="0" w:type="dxa"/>
              <w:right w:w="15" w:type="dxa"/>
            </w:tcMar>
            <w:hideMark/>
          </w:tcPr>
          <w:p w14:paraId="7E87B3A7" w14:textId="5D6538E8" w:rsidR="008F43E8" w:rsidRPr="008338A6" w:rsidRDefault="008F43E8" w:rsidP="00E54597">
            <w:pPr>
              <w:spacing w:before="40" w:after="120"/>
              <w:rPr>
                <w:iCs/>
              </w:rPr>
            </w:pPr>
            <w:r>
              <w:rPr>
                <w:b/>
                <w:bCs/>
                <w:lang w:val="fr-FR"/>
              </w:rPr>
              <w:t>Table ronde I :</w:t>
            </w:r>
            <w:r w:rsidR="00DD19BC">
              <w:rPr>
                <w:b/>
                <w:bCs/>
                <w:lang w:val="fr-FR"/>
              </w:rPr>
              <w:br/>
            </w:r>
            <w:r w:rsidRPr="008338A6">
              <w:rPr>
                <w:lang w:val="fr-FR"/>
              </w:rPr>
              <w:t xml:space="preserve">Ne laisser personne de côté dans la bataille du climat : défis planétaires et formules gagnantes </w:t>
            </w:r>
            <w:r w:rsidR="006664AE">
              <w:rPr>
                <w:lang w:val="fr-FR"/>
              </w:rPr>
              <w:br/>
            </w:r>
            <w:r w:rsidRPr="008338A6">
              <w:rPr>
                <w:lang w:val="fr-FR"/>
              </w:rPr>
              <w:t>pour les chefs de file du « zéro émission nette »</w:t>
            </w:r>
          </w:p>
          <w:p w14:paraId="37040B8C" w14:textId="77777777" w:rsidR="008F43E8" w:rsidRPr="008338A6" w:rsidRDefault="008F43E8" w:rsidP="00E54597">
            <w:pPr>
              <w:spacing w:before="40" w:after="120"/>
            </w:pPr>
            <w:r>
              <w:rPr>
                <w:i/>
                <w:iCs/>
                <w:lang w:val="fr-FR"/>
              </w:rPr>
              <w:t>Débat et interventions programmées (3 minutes chacune au maximum)</w:t>
            </w:r>
          </w:p>
        </w:tc>
      </w:tr>
      <w:tr w:rsidR="008F43E8" w:rsidRPr="002C74AA" w14:paraId="721E4651" w14:textId="77777777" w:rsidTr="00C8563A">
        <w:trPr>
          <w:gridAfter w:val="1"/>
          <w:wAfter w:w="15" w:type="dxa"/>
          <w:trHeight w:val="454"/>
        </w:trPr>
        <w:tc>
          <w:tcPr>
            <w:tcW w:w="1876" w:type="dxa"/>
            <w:gridSpan w:val="2"/>
            <w:tcBorders>
              <w:top w:val="nil"/>
              <w:left w:val="nil"/>
              <w:right w:val="nil"/>
            </w:tcBorders>
            <w:shd w:val="clear" w:color="auto" w:fill="auto"/>
            <w:tcMar>
              <w:top w:w="15" w:type="dxa"/>
              <w:left w:w="15" w:type="dxa"/>
              <w:bottom w:w="0" w:type="dxa"/>
              <w:right w:w="15" w:type="dxa"/>
            </w:tcMar>
          </w:tcPr>
          <w:p w14:paraId="601B415A" w14:textId="77777777" w:rsidR="008F43E8" w:rsidRPr="006F2F0E" w:rsidRDefault="008F43E8" w:rsidP="00E54597">
            <w:pPr>
              <w:spacing w:before="40" w:after="120"/>
              <w:rPr>
                <w:iCs/>
              </w:rPr>
            </w:pPr>
            <w:r>
              <w:rPr>
                <w:lang w:val="fr-FR"/>
              </w:rPr>
              <w:t>13 heures-15 heures</w:t>
            </w:r>
          </w:p>
        </w:tc>
        <w:tc>
          <w:tcPr>
            <w:tcW w:w="7748" w:type="dxa"/>
            <w:tcBorders>
              <w:top w:val="nil"/>
              <w:left w:val="nil"/>
              <w:right w:val="nil"/>
            </w:tcBorders>
            <w:shd w:val="clear" w:color="auto" w:fill="auto"/>
            <w:tcMar>
              <w:top w:w="15" w:type="dxa"/>
              <w:left w:w="15" w:type="dxa"/>
              <w:bottom w:w="0" w:type="dxa"/>
              <w:right w:w="15" w:type="dxa"/>
            </w:tcMar>
          </w:tcPr>
          <w:p w14:paraId="10A702AC" w14:textId="2ABC5281" w:rsidR="008F43E8" w:rsidRPr="008338A6" w:rsidRDefault="008F43E8" w:rsidP="00E54597">
            <w:pPr>
              <w:spacing w:before="40" w:after="120"/>
              <w:rPr>
                <w:b/>
                <w:iCs/>
              </w:rPr>
            </w:pPr>
            <w:r>
              <w:rPr>
                <w:b/>
                <w:bCs/>
                <w:i/>
                <w:iCs/>
                <w:lang w:val="fr-FR"/>
              </w:rPr>
              <w:t>Pause</w:t>
            </w:r>
            <w:r w:rsidR="006664AE">
              <w:rPr>
                <w:b/>
                <w:bCs/>
                <w:i/>
                <w:iCs/>
                <w:lang w:val="fr-FR"/>
              </w:rPr>
              <w:t>-</w:t>
            </w:r>
            <w:r>
              <w:rPr>
                <w:b/>
                <w:bCs/>
                <w:i/>
                <w:iCs/>
                <w:lang w:val="fr-FR"/>
              </w:rPr>
              <w:t>déjeuner et manifestation parallèle de haut niveau sur le Forum de la sécurité routière du CTI</w:t>
            </w:r>
          </w:p>
        </w:tc>
      </w:tr>
      <w:tr w:rsidR="008F43E8" w:rsidRPr="002C74AA" w14:paraId="45D91007" w14:textId="77777777" w:rsidTr="00C8563A">
        <w:trPr>
          <w:gridAfter w:val="1"/>
          <w:wAfter w:w="15" w:type="dxa"/>
          <w:trHeight w:val="454"/>
        </w:trPr>
        <w:tc>
          <w:tcPr>
            <w:tcW w:w="1876" w:type="dxa"/>
            <w:gridSpan w:val="2"/>
            <w:tcBorders>
              <w:top w:val="nil"/>
              <w:left w:val="nil"/>
              <w:bottom w:val="nil"/>
              <w:right w:val="nil"/>
            </w:tcBorders>
            <w:shd w:val="clear" w:color="auto" w:fill="auto"/>
            <w:tcMar>
              <w:top w:w="15" w:type="dxa"/>
              <w:left w:w="15" w:type="dxa"/>
              <w:bottom w:w="0" w:type="dxa"/>
              <w:right w:w="15" w:type="dxa"/>
            </w:tcMar>
            <w:hideMark/>
          </w:tcPr>
          <w:p w14:paraId="0E7C765C" w14:textId="77777777" w:rsidR="008F43E8" w:rsidRPr="006F2F0E" w:rsidRDefault="008F43E8" w:rsidP="00E54597">
            <w:pPr>
              <w:spacing w:before="40" w:after="120"/>
            </w:pPr>
            <w:r>
              <w:rPr>
                <w:lang w:val="fr-FR"/>
              </w:rPr>
              <w:t>15 heures-16 h 15</w:t>
            </w:r>
          </w:p>
        </w:tc>
        <w:tc>
          <w:tcPr>
            <w:tcW w:w="7748" w:type="dxa"/>
            <w:tcBorders>
              <w:top w:val="nil"/>
              <w:left w:val="nil"/>
              <w:bottom w:val="nil"/>
              <w:right w:val="nil"/>
            </w:tcBorders>
            <w:shd w:val="clear" w:color="auto" w:fill="auto"/>
            <w:tcMar>
              <w:top w:w="15" w:type="dxa"/>
              <w:left w:w="15" w:type="dxa"/>
              <w:bottom w:w="0" w:type="dxa"/>
              <w:right w:w="15" w:type="dxa"/>
            </w:tcMar>
            <w:hideMark/>
          </w:tcPr>
          <w:p w14:paraId="2D2A10F4" w14:textId="4BF1A233" w:rsidR="008F43E8" w:rsidRPr="006664AE" w:rsidRDefault="008F43E8" w:rsidP="00E54597">
            <w:pPr>
              <w:spacing w:before="40" w:after="120"/>
              <w:rPr>
                <w:bCs/>
                <w:iCs/>
              </w:rPr>
            </w:pPr>
            <w:r>
              <w:rPr>
                <w:b/>
                <w:bCs/>
                <w:lang w:val="fr-FR"/>
              </w:rPr>
              <w:t>Table ronde II :</w:t>
            </w:r>
            <w:r w:rsidR="00DD19BC">
              <w:rPr>
                <w:b/>
                <w:bCs/>
                <w:lang w:val="fr-FR"/>
              </w:rPr>
              <w:br/>
            </w:r>
            <w:r>
              <w:rPr>
                <w:lang w:val="fr-FR"/>
              </w:rPr>
              <w:t>Réunir les organismes de réglementation et les innovateurs afin de transposer à plus grande échelle les technologies essentielles pour appuyer les efforts d</w:t>
            </w:r>
            <w:r w:rsidR="00E54597">
              <w:rPr>
                <w:lang w:val="fr-FR"/>
              </w:rPr>
              <w:t>’</w:t>
            </w:r>
            <w:r>
              <w:rPr>
                <w:lang w:val="fr-FR"/>
              </w:rPr>
              <w:t>atténuation des changements climatiques</w:t>
            </w:r>
          </w:p>
          <w:p w14:paraId="41D93BD4" w14:textId="77777777" w:rsidR="008F43E8" w:rsidRPr="008338A6" w:rsidRDefault="008F43E8" w:rsidP="00E54597">
            <w:pPr>
              <w:spacing w:before="40" w:after="120"/>
              <w:rPr>
                <w:u w:val="single"/>
              </w:rPr>
            </w:pPr>
            <w:r>
              <w:rPr>
                <w:i/>
                <w:iCs/>
                <w:lang w:val="fr-FR"/>
              </w:rPr>
              <w:t>Débat et interventions programmées (3 minutes chacune au maximum)</w:t>
            </w:r>
          </w:p>
        </w:tc>
      </w:tr>
      <w:tr w:rsidR="008F43E8" w:rsidRPr="006F2F0E" w14:paraId="5563AEC2" w14:textId="77777777" w:rsidTr="00C8563A">
        <w:trPr>
          <w:gridAfter w:val="1"/>
          <w:wAfter w:w="15" w:type="dxa"/>
          <w:trHeight w:val="454"/>
        </w:trPr>
        <w:tc>
          <w:tcPr>
            <w:tcW w:w="1876" w:type="dxa"/>
            <w:gridSpan w:val="2"/>
            <w:tcBorders>
              <w:top w:val="nil"/>
              <w:left w:val="nil"/>
              <w:bottom w:val="nil"/>
              <w:right w:val="nil"/>
            </w:tcBorders>
            <w:shd w:val="clear" w:color="auto" w:fill="auto"/>
            <w:tcMar>
              <w:top w:w="15" w:type="dxa"/>
              <w:left w:w="15" w:type="dxa"/>
              <w:bottom w:w="0" w:type="dxa"/>
              <w:right w:w="15" w:type="dxa"/>
            </w:tcMar>
          </w:tcPr>
          <w:p w14:paraId="3348B87B" w14:textId="627AE30E" w:rsidR="008F43E8" w:rsidRDefault="008F43E8" w:rsidP="00E54597">
            <w:pPr>
              <w:spacing w:before="40" w:after="120"/>
            </w:pPr>
            <w:r>
              <w:rPr>
                <w:lang w:val="fr-FR"/>
              </w:rPr>
              <w:t>16 h 15-16 h 45</w:t>
            </w:r>
          </w:p>
        </w:tc>
        <w:tc>
          <w:tcPr>
            <w:tcW w:w="7748" w:type="dxa"/>
            <w:tcBorders>
              <w:top w:val="nil"/>
              <w:left w:val="nil"/>
              <w:bottom w:val="nil"/>
              <w:right w:val="nil"/>
            </w:tcBorders>
            <w:shd w:val="clear" w:color="auto" w:fill="auto"/>
            <w:tcMar>
              <w:top w:w="15" w:type="dxa"/>
              <w:left w:w="15" w:type="dxa"/>
              <w:bottom w:w="0" w:type="dxa"/>
              <w:right w:w="15" w:type="dxa"/>
            </w:tcMar>
          </w:tcPr>
          <w:p w14:paraId="07DA1BA8" w14:textId="716E1ED4" w:rsidR="008F43E8" w:rsidRPr="006F2F0E" w:rsidRDefault="008F43E8" w:rsidP="00E54597">
            <w:pPr>
              <w:spacing w:before="40" w:after="120"/>
              <w:rPr>
                <w:b/>
                <w:iCs/>
              </w:rPr>
            </w:pPr>
            <w:r>
              <w:rPr>
                <w:b/>
                <w:bCs/>
                <w:i/>
                <w:iCs/>
                <w:lang w:val="fr-FR"/>
              </w:rPr>
              <w:t>Pause</w:t>
            </w:r>
            <w:r w:rsidR="006664AE">
              <w:rPr>
                <w:b/>
                <w:bCs/>
                <w:i/>
                <w:iCs/>
                <w:lang w:val="fr-FR"/>
              </w:rPr>
              <w:t>-</w:t>
            </w:r>
            <w:r>
              <w:rPr>
                <w:b/>
                <w:bCs/>
                <w:i/>
                <w:iCs/>
                <w:lang w:val="fr-FR"/>
              </w:rPr>
              <w:t>café</w:t>
            </w:r>
            <w:r>
              <w:rPr>
                <w:lang w:val="fr-FR"/>
              </w:rPr>
              <w:t xml:space="preserve"> </w:t>
            </w:r>
          </w:p>
        </w:tc>
      </w:tr>
      <w:tr w:rsidR="008F43E8" w:rsidRPr="002C74AA" w14:paraId="062CB530" w14:textId="77777777" w:rsidTr="00C8563A">
        <w:trPr>
          <w:gridAfter w:val="1"/>
          <w:wAfter w:w="15" w:type="dxa"/>
          <w:trHeight w:val="454"/>
        </w:trPr>
        <w:tc>
          <w:tcPr>
            <w:tcW w:w="1876" w:type="dxa"/>
            <w:gridSpan w:val="2"/>
            <w:tcBorders>
              <w:top w:val="nil"/>
              <w:left w:val="nil"/>
              <w:right w:val="nil"/>
            </w:tcBorders>
            <w:shd w:val="clear" w:color="auto" w:fill="auto"/>
            <w:tcMar>
              <w:top w:w="15" w:type="dxa"/>
              <w:left w:w="15" w:type="dxa"/>
              <w:bottom w:w="0" w:type="dxa"/>
              <w:right w:w="15" w:type="dxa"/>
            </w:tcMar>
          </w:tcPr>
          <w:p w14:paraId="6C342130" w14:textId="1F656C06" w:rsidR="008F43E8" w:rsidRPr="006F2F0E" w:rsidRDefault="008F43E8" w:rsidP="00E54597">
            <w:pPr>
              <w:spacing w:before="40" w:after="120"/>
            </w:pPr>
            <w:r>
              <w:rPr>
                <w:lang w:val="fr-FR"/>
              </w:rPr>
              <w:t>16 h 45-17 h 50</w:t>
            </w:r>
          </w:p>
        </w:tc>
        <w:tc>
          <w:tcPr>
            <w:tcW w:w="7748" w:type="dxa"/>
            <w:tcBorders>
              <w:top w:val="nil"/>
              <w:left w:val="nil"/>
              <w:right w:val="nil"/>
            </w:tcBorders>
            <w:shd w:val="clear" w:color="auto" w:fill="auto"/>
            <w:tcMar>
              <w:top w:w="15" w:type="dxa"/>
              <w:left w:w="15" w:type="dxa"/>
              <w:bottom w:w="0" w:type="dxa"/>
              <w:right w:w="15" w:type="dxa"/>
            </w:tcMar>
          </w:tcPr>
          <w:p w14:paraId="01681731" w14:textId="6810AA8C" w:rsidR="008F43E8" w:rsidRPr="006664AE" w:rsidRDefault="008F43E8" w:rsidP="00E54597">
            <w:pPr>
              <w:spacing w:before="40" w:after="120"/>
              <w:rPr>
                <w:bCs/>
                <w:iCs/>
              </w:rPr>
            </w:pPr>
            <w:r>
              <w:rPr>
                <w:b/>
                <w:bCs/>
                <w:lang w:val="fr-FR"/>
              </w:rPr>
              <w:t>Table ronde III :</w:t>
            </w:r>
            <w:r w:rsidR="00DD19BC">
              <w:rPr>
                <w:b/>
                <w:bCs/>
                <w:lang w:val="fr-FR"/>
              </w:rPr>
              <w:br/>
            </w:r>
            <w:r>
              <w:rPr>
                <w:lang w:val="fr-FR"/>
              </w:rPr>
              <w:t>Un pari qu</w:t>
            </w:r>
            <w:r w:rsidR="00E54597">
              <w:rPr>
                <w:lang w:val="fr-FR"/>
              </w:rPr>
              <w:t>’</w:t>
            </w:r>
            <w:r>
              <w:rPr>
                <w:lang w:val="fr-FR"/>
              </w:rPr>
              <w:t>on ne peut pas se permettre de perdre : défis et opportunités dans le domaine de</w:t>
            </w:r>
            <w:r w:rsidR="00C8563A">
              <w:rPr>
                <w:lang w:val="fr-FR"/>
              </w:rPr>
              <w:t> </w:t>
            </w:r>
            <w:r>
              <w:rPr>
                <w:lang w:val="fr-FR"/>
              </w:rPr>
              <w:t>l</w:t>
            </w:r>
            <w:r w:rsidR="00E54597">
              <w:rPr>
                <w:lang w:val="fr-FR"/>
              </w:rPr>
              <w:t>’</w:t>
            </w:r>
            <w:r>
              <w:rPr>
                <w:lang w:val="fr-FR"/>
              </w:rPr>
              <w:t>appui financier et réglementaire international à l</w:t>
            </w:r>
            <w:r w:rsidR="00E54597">
              <w:rPr>
                <w:lang w:val="fr-FR"/>
              </w:rPr>
              <w:t>’</w:t>
            </w:r>
            <w:r>
              <w:rPr>
                <w:lang w:val="fr-FR"/>
              </w:rPr>
              <w:t>action pour le climat</w:t>
            </w:r>
          </w:p>
          <w:p w14:paraId="114E5C04" w14:textId="77777777" w:rsidR="008F43E8" w:rsidRPr="008338A6" w:rsidRDefault="008F43E8" w:rsidP="00E54597">
            <w:pPr>
              <w:spacing w:before="40" w:after="120"/>
            </w:pPr>
            <w:r>
              <w:rPr>
                <w:i/>
                <w:iCs/>
                <w:lang w:val="fr-FR"/>
              </w:rPr>
              <w:t>Débat et interventions programmées (3 minutes chacune au maximum)</w:t>
            </w:r>
          </w:p>
        </w:tc>
      </w:tr>
      <w:tr w:rsidR="008F43E8" w:rsidRPr="002C74AA" w14:paraId="74019C70" w14:textId="77777777" w:rsidTr="00C8563A">
        <w:trPr>
          <w:gridAfter w:val="1"/>
          <w:wAfter w:w="15" w:type="dxa"/>
          <w:trHeight w:val="454"/>
        </w:trPr>
        <w:tc>
          <w:tcPr>
            <w:tcW w:w="1876" w:type="dxa"/>
            <w:gridSpan w:val="2"/>
            <w:tcBorders>
              <w:top w:val="nil"/>
              <w:left w:val="nil"/>
              <w:bottom w:val="single" w:sz="12" w:space="0" w:color="auto"/>
              <w:right w:val="nil"/>
            </w:tcBorders>
            <w:shd w:val="clear" w:color="auto" w:fill="auto"/>
            <w:tcMar>
              <w:top w:w="15" w:type="dxa"/>
              <w:left w:w="15" w:type="dxa"/>
              <w:bottom w:w="0" w:type="dxa"/>
              <w:right w:w="15" w:type="dxa"/>
            </w:tcMar>
          </w:tcPr>
          <w:p w14:paraId="7C2FA619" w14:textId="0DCB0663" w:rsidR="008F43E8" w:rsidRPr="006F2F0E" w:rsidRDefault="008F43E8" w:rsidP="00E54597">
            <w:pPr>
              <w:spacing w:before="40" w:after="120"/>
            </w:pPr>
            <w:r>
              <w:rPr>
                <w:lang w:val="fr-FR"/>
              </w:rPr>
              <w:t>17 h 50-18 heures</w:t>
            </w:r>
          </w:p>
        </w:tc>
        <w:tc>
          <w:tcPr>
            <w:tcW w:w="7748" w:type="dxa"/>
            <w:tcBorders>
              <w:top w:val="nil"/>
              <w:left w:val="nil"/>
              <w:bottom w:val="single" w:sz="12" w:space="0" w:color="auto"/>
              <w:right w:val="nil"/>
            </w:tcBorders>
            <w:shd w:val="clear" w:color="auto" w:fill="auto"/>
            <w:tcMar>
              <w:top w:w="15" w:type="dxa"/>
              <w:left w:w="15" w:type="dxa"/>
              <w:bottom w:w="0" w:type="dxa"/>
              <w:right w:w="15" w:type="dxa"/>
            </w:tcMar>
          </w:tcPr>
          <w:p w14:paraId="4B04035B" w14:textId="142F45E6" w:rsidR="008F43E8" w:rsidRPr="008338A6" w:rsidRDefault="008F43E8" w:rsidP="00E54597">
            <w:pPr>
              <w:spacing w:before="40" w:after="120"/>
            </w:pPr>
            <w:r>
              <w:rPr>
                <w:b/>
                <w:bCs/>
                <w:lang w:val="fr-FR"/>
              </w:rPr>
              <w:t>Annonce de la déclaration du CTI et déclarations de clôture</w:t>
            </w:r>
          </w:p>
        </w:tc>
      </w:tr>
    </w:tbl>
    <w:p w14:paraId="6A286880" w14:textId="6A7CF1B8" w:rsidR="008F43E8" w:rsidRPr="00E54597" w:rsidRDefault="00E54597" w:rsidP="00E54597">
      <w:pPr>
        <w:pStyle w:val="SingleTxtG"/>
        <w:spacing w:before="240" w:after="0"/>
        <w:jc w:val="center"/>
        <w:rPr>
          <w:u w:val="single"/>
        </w:rPr>
      </w:pPr>
      <w:r>
        <w:rPr>
          <w:u w:val="single"/>
        </w:rPr>
        <w:tab/>
      </w:r>
      <w:r>
        <w:rPr>
          <w:u w:val="single"/>
        </w:rPr>
        <w:tab/>
      </w:r>
      <w:r>
        <w:rPr>
          <w:u w:val="single"/>
        </w:rPr>
        <w:tab/>
      </w:r>
      <w:r>
        <w:rPr>
          <w:u w:val="single"/>
        </w:rPr>
        <w:tab/>
      </w:r>
    </w:p>
    <w:sectPr w:rsidR="008F43E8" w:rsidRPr="00E54597" w:rsidSect="000F01DB">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6FB9C" w14:textId="77777777" w:rsidR="00B83182" w:rsidRDefault="00B83182" w:rsidP="00F95C08">
      <w:pPr>
        <w:spacing w:line="240" w:lineRule="auto"/>
      </w:pPr>
    </w:p>
  </w:endnote>
  <w:endnote w:type="continuationSeparator" w:id="0">
    <w:p w14:paraId="422CB424" w14:textId="77777777" w:rsidR="00B83182" w:rsidRPr="00AC3823" w:rsidRDefault="00B83182" w:rsidP="00AC3823">
      <w:pPr>
        <w:pStyle w:val="Pieddepage"/>
      </w:pPr>
    </w:p>
  </w:endnote>
  <w:endnote w:type="continuationNotice" w:id="1">
    <w:p w14:paraId="666C9547" w14:textId="77777777" w:rsidR="00B83182" w:rsidRDefault="00B831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3AED" w14:textId="22AA55A1" w:rsidR="000F01DB" w:rsidRPr="000F01DB" w:rsidRDefault="000F01DB" w:rsidP="000F01DB">
    <w:pPr>
      <w:pStyle w:val="Pieddepage"/>
      <w:tabs>
        <w:tab w:val="right" w:pos="9638"/>
      </w:tabs>
    </w:pPr>
    <w:r w:rsidRPr="000F01DB">
      <w:rPr>
        <w:b/>
        <w:sz w:val="18"/>
      </w:rPr>
      <w:fldChar w:fldCharType="begin"/>
    </w:r>
    <w:r w:rsidRPr="000F01DB">
      <w:rPr>
        <w:b/>
        <w:sz w:val="18"/>
      </w:rPr>
      <w:instrText xml:space="preserve"> PAGE  \* MERGEFORMAT </w:instrText>
    </w:r>
    <w:r w:rsidRPr="000F01DB">
      <w:rPr>
        <w:b/>
        <w:sz w:val="18"/>
      </w:rPr>
      <w:fldChar w:fldCharType="separate"/>
    </w:r>
    <w:r w:rsidRPr="000F01DB">
      <w:rPr>
        <w:b/>
        <w:noProof/>
        <w:sz w:val="18"/>
      </w:rPr>
      <w:t>2</w:t>
    </w:r>
    <w:r w:rsidRPr="000F01DB">
      <w:rPr>
        <w:b/>
        <w:sz w:val="18"/>
      </w:rPr>
      <w:fldChar w:fldCharType="end"/>
    </w:r>
    <w:r>
      <w:rPr>
        <w:b/>
        <w:sz w:val="18"/>
      </w:rPr>
      <w:tab/>
    </w:r>
    <w:r>
      <w:t>GE.22-27884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735A5" w14:textId="5AF8692A" w:rsidR="000F01DB" w:rsidRPr="000F01DB" w:rsidRDefault="000F01DB" w:rsidP="000F01DB">
    <w:pPr>
      <w:pStyle w:val="Pieddepage"/>
      <w:tabs>
        <w:tab w:val="right" w:pos="9638"/>
      </w:tabs>
      <w:rPr>
        <w:b/>
        <w:sz w:val="18"/>
      </w:rPr>
    </w:pPr>
    <w:r>
      <w:t>GE.22-27884</w:t>
    </w:r>
    <w:r>
      <w:tab/>
    </w:r>
    <w:r w:rsidRPr="000F01DB">
      <w:rPr>
        <w:b/>
        <w:sz w:val="18"/>
      </w:rPr>
      <w:fldChar w:fldCharType="begin"/>
    </w:r>
    <w:r w:rsidRPr="000F01DB">
      <w:rPr>
        <w:b/>
        <w:sz w:val="18"/>
      </w:rPr>
      <w:instrText xml:space="preserve"> PAGE  \* MERGEFORMAT </w:instrText>
    </w:r>
    <w:r w:rsidRPr="000F01DB">
      <w:rPr>
        <w:b/>
        <w:sz w:val="18"/>
      </w:rPr>
      <w:fldChar w:fldCharType="separate"/>
    </w:r>
    <w:r w:rsidRPr="000F01DB">
      <w:rPr>
        <w:b/>
        <w:noProof/>
        <w:sz w:val="18"/>
      </w:rPr>
      <w:t>3</w:t>
    </w:r>
    <w:r w:rsidRPr="000F01D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D59A" w14:textId="23EA979B" w:rsidR="007F20FA" w:rsidRPr="000F01DB" w:rsidRDefault="000F01DB" w:rsidP="000F01DB">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4E0754E" wp14:editId="60CAB2A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22-27884  (F)</w:t>
    </w:r>
    <w:r>
      <w:rPr>
        <w:noProof/>
        <w:sz w:val="20"/>
      </w:rPr>
      <w:drawing>
        <wp:anchor distT="0" distB="0" distL="114300" distR="114300" simplePos="0" relativeHeight="251660288" behindDoc="0" locked="0" layoutInCell="1" allowOverlap="1" wp14:anchorId="1C1EF787" wp14:editId="66208093">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040123    040123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3DA96" w14:textId="77777777" w:rsidR="00B83182" w:rsidRPr="00AC3823" w:rsidRDefault="00B83182" w:rsidP="00AC3823">
      <w:pPr>
        <w:pStyle w:val="Pieddepage"/>
        <w:tabs>
          <w:tab w:val="right" w:pos="2155"/>
        </w:tabs>
        <w:spacing w:after="80" w:line="240" w:lineRule="atLeast"/>
        <w:ind w:left="680"/>
        <w:rPr>
          <w:u w:val="single"/>
        </w:rPr>
      </w:pPr>
      <w:r>
        <w:rPr>
          <w:u w:val="single"/>
        </w:rPr>
        <w:tab/>
      </w:r>
    </w:p>
  </w:footnote>
  <w:footnote w:type="continuationSeparator" w:id="0">
    <w:p w14:paraId="57470483" w14:textId="77777777" w:rsidR="00B83182" w:rsidRPr="00AC3823" w:rsidRDefault="00B83182" w:rsidP="00AC3823">
      <w:pPr>
        <w:pStyle w:val="Pieddepage"/>
        <w:tabs>
          <w:tab w:val="right" w:pos="2155"/>
        </w:tabs>
        <w:spacing w:after="80" w:line="240" w:lineRule="atLeast"/>
        <w:ind w:left="680"/>
        <w:rPr>
          <w:u w:val="single"/>
        </w:rPr>
      </w:pPr>
      <w:r>
        <w:rPr>
          <w:u w:val="single"/>
        </w:rPr>
        <w:tab/>
      </w:r>
    </w:p>
  </w:footnote>
  <w:footnote w:type="continuationNotice" w:id="1">
    <w:p w14:paraId="39ED749B" w14:textId="77777777" w:rsidR="00B83182" w:rsidRPr="00AC3823" w:rsidRDefault="00B83182">
      <w:pPr>
        <w:spacing w:line="240" w:lineRule="auto"/>
        <w:rPr>
          <w:sz w:val="2"/>
          <w:szCs w:val="2"/>
        </w:rPr>
      </w:pPr>
    </w:p>
  </w:footnote>
  <w:footnote w:id="2">
    <w:p w14:paraId="34403022" w14:textId="00B0189A" w:rsidR="008F43E8" w:rsidRPr="008338A6" w:rsidRDefault="008F43E8" w:rsidP="008F43E8">
      <w:pPr>
        <w:pStyle w:val="Notedebasdepage"/>
      </w:pPr>
      <w:r>
        <w:rPr>
          <w:lang w:val="fr-FR"/>
        </w:rPr>
        <w:tab/>
      </w:r>
      <w:r w:rsidRPr="008F43E8">
        <w:rPr>
          <w:rStyle w:val="Appelnotedebasdep"/>
        </w:rPr>
        <w:footnoteRef/>
      </w:r>
      <w:r>
        <w:rPr>
          <w:lang w:val="fr-FR"/>
        </w:rPr>
        <w:tab/>
        <w:t xml:space="preserve">Objectif 13, </w:t>
      </w:r>
      <w:r w:rsidR="00C926FD">
        <w:rPr>
          <w:lang w:val="fr-FR"/>
        </w:rPr>
        <w:t>r</w:t>
      </w:r>
      <w:r>
        <w:rPr>
          <w:lang w:val="fr-FR"/>
        </w:rPr>
        <w:t>ésolution 70/1 de l</w:t>
      </w:r>
      <w:r w:rsidR="00C926FD">
        <w:rPr>
          <w:lang w:val="fr-FR"/>
        </w:rPr>
        <w:t>’</w:t>
      </w:r>
      <w:r>
        <w:rPr>
          <w:lang w:val="fr-FR"/>
        </w:rPr>
        <w:t>Assemblée générale des Nations Unies intitulée « Transformer notre monde : le Programme de développement durable à l</w:t>
      </w:r>
      <w:r w:rsidR="00C926FD">
        <w:rPr>
          <w:lang w:val="fr-FR"/>
        </w:rPr>
        <w:t>’</w:t>
      </w:r>
      <w:r>
        <w:rPr>
          <w:lang w:val="fr-FR"/>
        </w:rPr>
        <w:t>horizon 2030 », 2015.</w:t>
      </w:r>
    </w:p>
  </w:footnote>
  <w:footnote w:id="3">
    <w:p w14:paraId="1D834CC3" w14:textId="3664B260" w:rsidR="008F43E8" w:rsidRPr="008338A6" w:rsidRDefault="008F43E8" w:rsidP="008F43E8">
      <w:pPr>
        <w:pStyle w:val="Notedebasdepage"/>
      </w:pPr>
      <w:r>
        <w:rPr>
          <w:lang w:val="fr-FR"/>
        </w:rPr>
        <w:tab/>
      </w:r>
      <w:r w:rsidRPr="008F43E8">
        <w:rPr>
          <w:rStyle w:val="Appelnotedebasdep"/>
        </w:rPr>
        <w:footnoteRef/>
      </w:r>
      <w:r>
        <w:rPr>
          <w:lang w:val="fr-FR"/>
        </w:rPr>
        <w:tab/>
        <w:t>2022, « </w:t>
      </w:r>
      <w:proofErr w:type="spellStart"/>
      <w:r>
        <w:rPr>
          <w:lang w:val="fr-FR"/>
        </w:rPr>
        <w:t>Climate</w:t>
      </w:r>
      <w:proofErr w:type="spellEnd"/>
      <w:r>
        <w:rPr>
          <w:lang w:val="fr-FR"/>
        </w:rPr>
        <w:t xml:space="preserve"> Change 2022 </w:t>
      </w:r>
      <w:r>
        <w:rPr>
          <w:lang w:val="fr-FR"/>
        </w:rPr>
        <w:t>−</w:t>
      </w:r>
      <w:r>
        <w:rPr>
          <w:lang w:val="fr-FR"/>
        </w:rPr>
        <w:t xml:space="preserve"> Mitigation of </w:t>
      </w:r>
      <w:proofErr w:type="spellStart"/>
      <w:r>
        <w:rPr>
          <w:lang w:val="fr-FR"/>
        </w:rPr>
        <w:t>Climate</w:t>
      </w:r>
      <w:proofErr w:type="spellEnd"/>
      <w:r>
        <w:rPr>
          <w:lang w:val="fr-FR"/>
        </w:rPr>
        <w:t xml:space="preserve"> Change » Sixième rapport d</w:t>
      </w:r>
      <w:r w:rsidR="00C926FD">
        <w:rPr>
          <w:lang w:val="fr-FR"/>
        </w:rPr>
        <w:t>’</w:t>
      </w:r>
      <w:r>
        <w:rPr>
          <w:lang w:val="fr-FR"/>
        </w:rPr>
        <w:t>évaluation du Groupe d</w:t>
      </w:r>
      <w:r w:rsidR="00C926FD">
        <w:rPr>
          <w:lang w:val="fr-FR"/>
        </w:rPr>
        <w:t>’</w:t>
      </w:r>
      <w:r>
        <w:rPr>
          <w:lang w:val="fr-FR"/>
        </w:rPr>
        <w:t xml:space="preserve">experts </w:t>
      </w:r>
      <w:proofErr w:type="spellStart"/>
      <w:r>
        <w:rPr>
          <w:lang w:val="fr-FR"/>
        </w:rPr>
        <w:t>intergouvernemental</w:t>
      </w:r>
      <w:proofErr w:type="spellEnd"/>
      <w:r>
        <w:rPr>
          <w:lang w:val="fr-FR"/>
        </w:rPr>
        <w:t xml:space="preserve"> sur l</w:t>
      </w:r>
      <w:r w:rsidR="00C926FD">
        <w:rPr>
          <w:lang w:val="fr-FR"/>
        </w:rPr>
        <w:t>’</w:t>
      </w:r>
      <w:r>
        <w:rPr>
          <w:lang w:val="fr-FR"/>
        </w:rPr>
        <w:t>évolution du climat, contribution du groupe de travail III, disponible en anglais à l</w:t>
      </w:r>
      <w:r w:rsidR="00C926FD">
        <w:rPr>
          <w:lang w:val="fr-FR"/>
        </w:rPr>
        <w:t>’</w:t>
      </w:r>
      <w:r>
        <w:rPr>
          <w:lang w:val="fr-FR"/>
        </w:rPr>
        <w:t xml:space="preserve">adresse </w:t>
      </w:r>
      <w:hyperlink r:id="rId1" w:history="1">
        <w:r w:rsidRPr="008F43E8">
          <w:rPr>
            <w:rStyle w:val="Lienhypertexte"/>
            <w:lang w:val="fr-FR"/>
          </w:rPr>
          <w:t>https://report.ipcc.ch/ar6/wg3/IPCC_AR6_WGI</w:t>
        </w:r>
        <w:r w:rsidRPr="008F43E8">
          <w:rPr>
            <w:rStyle w:val="Lienhypertexte"/>
            <w:lang w:val="fr-FR"/>
          </w:rPr>
          <w:t>I</w:t>
        </w:r>
        <w:r w:rsidRPr="008F43E8">
          <w:rPr>
            <w:rStyle w:val="Lienhypertexte"/>
            <w:lang w:val="fr-FR"/>
          </w:rPr>
          <w:t>I_Full_Report.pdf</w:t>
        </w:r>
      </w:hyperlink>
      <w:r>
        <w:rPr>
          <w:lang w:val="fr-FR"/>
        </w:rPr>
        <w:t>.</w:t>
      </w:r>
    </w:p>
  </w:footnote>
  <w:footnote w:id="4">
    <w:p w14:paraId="5124A876" w14:textId="5BCD058D" w:rsidR="008F43E8" w:rsidRPr="008338A6" w:rsidRDefault="008F43E8" w:rsidP="008F43E8">
      <w:pPr>
        <w:pStyle w:val="Notedebasdepage"/>
      </w:pPr>
      <w:r>
        <w:rPr>
          <w:lang w:val="fr-FR"/>
        </w:rPr>
        <w:tab/>
      </w:r>
      <w:r w:rsidRPr="008F43E8">
        <w:rPr>
          <w:rStyle w:val="Appelnotedebasdep"/>
        </w:rPr>
        <w:footnoteRef/>
      </w:r>
      <w:r>
        <w:rPr>
          <w:lang w:val="fr-FR"/>
        </w:rPr>
        <w:tab/>
        <w:t>Ibid.</w:t>
      </w:r>
    </w:p>
  </w:footnote>
  <w:footnote w:id="5">
    <w:p w14:paraId="065F859F" w14:textId="635AC983" w:rsidR="008F43E8" w:rsidRPr="008338A6" w:rsidRDefault="008F43E8" w:rsidP="008F43E8">
      <w:pPr>
        <w:pStyle w:val="Notedebasdepage"/>
      </w:pPr>
      <w:r>
        <w:rPr>
          <w:lang w:val="fr-FR"/>
        </w:rPr>
        <w:tab/>
      </w:r>
      <w:r w:rsidRPr="008F43E8">
        <w:rPr>
          <w:rStyle w:val="Appelnotedebasdep"/>
        </w:rPr>
        <w:footnoteRef/>
      </w:r>
      <w:r>
        <w:rPr>
          <w:lang w:val="fr-FR"/>
        </w:rPr>
        <w:tab/>
        <w:t>Forum international des transports (FIT), Perspectives des transports 2021, 2021.</w:t>
      </w:r>
    </w:p>
  </w:footnote>
  <w:footnote w:id="6">
    <w:p w14:paraId="1995D492" w14:textId="1A037F6C" w:rsidR="008F43E8" w:rsidRPr="008F43E8" w:rsidRDefault="008F43E8" w:rsidP="008F43E8">
      <w:pPr>
        <w:pStyle w:val="Notedebasdepage"/>
      </w:pPr>
      <w:r>
        <w:rPr>
          <w:lang w:val="fr-FR"/>
        </w:rPr>
        <w:tab/>
      </w:r>
      <w:r w:rsidRPr="008F43E8">
        <w:rPr>
          <w:rStyle w:val="Appelnotedebasdep"/>
        </w:rPr>
        <w:footnoteRef/>
      </w:r>
      <w:r>
        <w:rPr>
          <w:lang w:val="fr-FR"/>
        </w:rPr>
        <w:tab/>
        <w:t xml:space="preserve">Règlement ONU </w:t>
      </w:r>
      <w:r w:rsidR="00823F0B" w:rsidRPr="00823F0B">
        <w:rPr>
          <w:rFonts w:eastAsia="MS Mincho"/>
          <w:szCs w:val="22"/>
          <w:lang w:val="fr-FR"/>
        </w:rPr>
        <w:t>n</w:t>
      </w:r>
      <w:r w:rsidR="00823F0B" w:rsidRPr="00823F0B">
        <w:rPr>
          <w:rFonts w:eastAsia="MS Mincho"/>
          <w:szCs w:val="22"/>
          <w:vertAlign w:val="superscript"/>
          <w:lang w:val="fr-FR"/>
        </w:rPr>
        <w:t>o</w:t>
      </w:r>
      <w:r w:rsidR="00823F0B">
        <w:rPr>
          <w:lang w:val="fr-FR"/>
        </w:rPr>
        <w:t> </w:t>
      </w:r>
      <w:r>
        <w:rPr>
          <w:lang w:val="fr-FR"/>
        </w:rPr>
        <w:t>101 sur les émissions de CO</w:t>
      </w:r>
      <w:r>
        <w:rPr>
          <w:vertAlign w:val="subscript"/>
          <w:lang w:val="fr-FR"/>
        </w:rPr>
        <w:t>2</w:t>
      </w:r>
      <w:r>
        <w:rPr>
          <w:lang w:val="fr-FR"/>
        </w:rPr>
        <w:t xml:space="preserve"> et la consommation de carburant, Règlement ONU</w:t>
      </w:r>
      <w:r>
        <w:rPr>
          <w:lang w:val="fr-FR"/>
        </w:rPr>
        <w:t> </w:t>
      </w:r>
      <w:r w:rsidRPr="008F43E8">
        <w:rPr>
          <w:rFonts w:eastAsia="MS Mincho"/>
          <w:szCs w:val="22"/>
          <w:lang w:val="fr-FR"/>
        </w:rPr>
        <w:t>n</w:t>
      </w:r>
      <w:r w:rsidRPr="008F43E8">
        <w:rPr>
          <w:rFonts w:eastAsia="MS Mincho"/>
          <w:szCs w:val="22"/>
          <w:vertAlign w:val="superscript"/>
          <w:lang w:val="fr-FR"/>
        </w:rPr>
        <w:t>o</w:t>
      </w:r>
      <w:r>
        <w:rPr>
          <w:lang w:val="fr-FR"/>
        </w:rPr>
        <w:t> </w:t>
      </w:r>
      <w:r>
        <w:rPr>
          <w:lang w:val="fr-FR"/>
        </w:rPr>
        <w:t xml:space="preserve">154 (Procédure WLTP) et RTM ONU </w:t>
      </w:r>
      <w:r w:rsidRPr="008F43E8">
        <w:rPr>
          <w:rFonts w:eastAsia="MS Mincho"/>
          <w:szCs w:val="22"/>
          <w:lang w:val="fr-FR"/>
        </w:rPr>
        <w:t>n</w:t>
      </w:r>
      <w:r w:rsidRPr="008F43E8">
        <w:rPr>
          <w:rFonts w:eastAsia="MS Mincho"/>
          <w:szCs w:val="22"/>
          <w:vertAlign w:val="superscript"/>
          <w:lang w:val="fr-FR"/>
        </w:rPr>
        <w:t>o</w:t>
      </w:r>
      <w:r>
        <w:rPr>
          <w:lang w:val="fr-FR"/>
        </w:rPr>
        <w:t> </w:t>
      </w:r>
      <w:r>
        <w:rPr>
          <w:lang w:val="fr-FR"/>
        </w:rPr>
        <w:t>15 sur la WLTP.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05B3" w14:textId="19963E7C" w:rsidR="000F01DB" w:rsidRPr="000F01DB" w:rsidRDefault="000F01DB">
    <w:pPr>
      <w:pStyle w:val="En-tte"/>
    </w:pPr>
    <w:fldSimple w:instr=" TITLE  \* MERGEFORMAT ">
      <w:r w:rsidR="00B64EF6">
        <w:t>ECE/TRANS/2023/1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AA1A" w14:textId="5EDF3CDE" w:rsidR="000F01DB" w:rsidRPr="000F01DB" w:rsidRDefault="000F01DB" w:rsidP="000F01DB">
    <w:pPr>
      <w:pStyle w:val="En-tte"/>
      <w:jc w:val="right"/>
    </w:pPr>
    <w:fldSimple w:instr=" TITLE  \* MERGEFORMAT ">
      <w:r w:rsidR="00B64EF6">
        <w:t>ECE/TRANS/2023/1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2BE2C872"/>
    <w:lvl w:ilvl="0" w:tplc="3B3E3DB8">
      <w:start w:val="1"/>
      <w:numFmt w:val="lowerLetter"/>
      <w:lvlText w:val="(%1)"/>
      <w:lvlJc w:val="left"/>
      <w:pPr>
        <w:tabs>
          <w:tab w:val="num" w:pos="1701"/>
        </w:tabs>
        <w:ind w:left="1701" w:hanging="170"/>
      </w:pPr>
      <w:rPr>
        <w:rFonts w:ascii="Times New Roman" w:eastAsia="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86270467">
    <w:abstractNumId w:val="14"/>
  </w:num>
  <w:num w:numId="2" w16cid:durableId="1811168705">
    <w:abstractNumId w:val="12"/>
  </w:num>
  <w:num w:numId="3" w16cid:durableId="1718317550">
    <w:abstractNumId w:val="11"/>
  </w:num>
  <w:num w:numId="4" w16cid:durableId="771366652">
    <w:abstractNumId w:val="8"/>
  </w:num>
  <w:num w:numId="5" w16cid:durableId="505218633">
    <w:abstractNumId w:val="3"/>
  </w:num>
  <w:num w:numId="6" w16cid:durableId="722213989">
    <w:abstractNumId w:val="2"/>
  </w:num>
  <w:num w:numId="7" w16cid:durableId="1392584199">
    <w:abstractNumId w:val="1"/>
  </w:num>
  <w:num w:numId="8" w16cid:durableId="1464889247">
    <w:abstractNumId w:val="0"/>
  </w:num>
  <w:num w:numId="9" w16cid:durableId="51582108">
    <w:abstractNumId w:val="9"/>
  </w:num>
  <w:num w:numId="10" w16cid:durableId="1461729128">
    <w:abstractNumId w:val="7"/>
  </w:num>
  <w:num w:numId="11" w16cid:durableId="1375501481">
    <w:abstractNumId w:val="6"/>
  </w:num>
  <w:num w:numId="12" w16cid:durableId="281811361">
    <w:abstractNumId w:val="5"/>
  </w:num>
  <w:num w:numId="13" w16cid:durableId="304045331">
    <w:abstractNumId w:val="4"/>
  </w:num>
  <w:num w:numId="14" w16cid:durableId="78060891">
    <w:abstractNumId w:val="14"/>
  </w:num>
  <w:num w:numId="15" w16cid:durableId="322856987">
    <w:abstractNumId w:val="12"/>
  </w:num>
  <w:num w:numId="16" w16cid:durableId="1223445323">
    <w:abstractNumId w:val="11"/>
  </w:num>
  <w:num w:numId="17" w16cid:durableId="996886038">
    <w:abstractNumId w:val="13"/>
  </w:num>
  <w:num w:numId="18" w16cid:durableId="21296212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82"/>
    <w:rsid w:val="00017F94"/>
    <w:rsid w:val="00023842"/>
    <w:rsid w:val="000334F9"/>
    <w:rsid w:val="00045FEB"/>
    <w:rsid w:val="0007796D"/>
    <w:rsid w:val="000B7790"/>
    <w:rsid w:val="000F01DB"/>
    <w:rsid w:val="00111F2F"/>
    <w:rsid w:val="0014365E"/>
    <w:rsid w:val="00143C66"/>
    <w:rsid w:val="00176178"/>
    <w:rsid w:val="001F525A"/>
    <w:rsid w:val="00201148"/>
    <w:rsid w:val="00223272"/>
    <w:rsid w:val="0024779E"/>
    <w:rsid w:val="00257168"/>
    <w:rsid w:val="002744B8"/>
    <w:rsid w:val="002832AC"/>
    <w:rsid w:val="0028618F"/>
    <w:rsid w:val="002D7C93"/>
    <w:rsid w:val="00305801"/>
    <w:rsid w:val="003916DE"/>
    <w:rsid w:val="003B5B1D"/>
    <w:rsid w:val="003E2A3A"/>
    <w:rsid w:val="00421996"/>
    <w:rsid w:val="00441C3B"/>
    <w:rsid w:val="00446FE5"/>
    <w:rsid w:val="00452396"/>
    <w:rsid w:val="00454107"/>
    <w:rsid w:val="004618B3"/>
    <w:rsid w:val="00477EB2"/>
    <w:rsid w:val="004837D8"/>
    <w:rsid w:val="004E2EED"/>
    <w:rsid w:val="004E468C"/>
    <w:rsid w:val="005505B7"/>
    <w:rsid w:val="00573BE5"/>
    <w:rsid w:val="00586ED3"/>
    <w:rsid w:val="00596AA9"/>
    <w:rsid w:val="006664AE"/>
    <w:rsid w:val="006702A8"/>
    <w:rsid w:val="0071601D"/>
    <w:rsid w:val="00790BFD"/>
    <w:rsid w:val="007A62E6"/>
    <w:rsid w:val="007F20FA"/>
    <w:rsid w:val="0080471F"/>
    <w:rsid w:val="0080684C"/>
    <w:rsid w:val="00823F0B"/>
    <w:rsid w:val="00824F07"/>
    <w:rsid w:val="00871C75"/>
    <w:rsid w:val="008776DC"/>
    <w:rsid w:val="008A641A"/>
    <w:rsid w:val="008D5EF9"/>
    <w:rsid w:val="008F43E8"/>
    <w:rsid w:val="009446C0"/>
    <w:rsid w:val="009705C8"/>
    <w:rsid w:val="009C1CF4"/>
    <w:rsid w:val="009F6B74"/>
    <w:rsid w:val="00A15AC5"/>
    <w:rsid w:val="00A3029F"/>
    <w:rsid w:val="00A30353"/>
    <w:rsid w:val="00A641E7"/>
    <w:rsid w:val="00AC07AF"/>
    <w:rsid w:val="00AC3823"/>
    <w:rsid w:val="00AE323C"/>
    <w:rsid w:val="00AF0CB5"/>
    <w:rsid w:val="00B00181"/>
    <w:rsid w:val="00B00B0D"/>
    <w:rsid w:val="00B45F2E"/>
    <w:rsid w:val="00B64EF6"/>
    <w:rsid w:val="00B765F7"/>
    <w:rsid w:val="00B77993"/>
    <w:rsid w:val="00B83182"/>
    <w:rsid w:val="00BA0CA9"/>
    <w:rsid w:val="00C02897"/>
    <w:rsid w:val="00C8563A"/>
    <w:rsid w:val="00C926FD"/>
    <w:rsid w:val="00C97039"/>
    <w:rsid w:val="00D3439C"/>
    <w:rsid w:val="00D7622E"/>
    <w:rsid w:val="00DB1831"/>
    <w:rsid w:val="00DD19BC"/>
    <w:rsid w:val="00DD3BFD"/>
    <w:rsid w:val="00DF6678"/>
    <w:rsid w:val="00E0299A"/>
    <w:rsid w:val="00E52C9E"/>
    <w:rsid w:val="00E54597"/>
    <w:rsid w:val="00E85C74"/>
    <w:rsid w:val="00EA6547"/>
    <w:rsid w:val="00ED7237"/>
    <w:rsid w:val="00EE3DB0"/>
    <w:rsid w:val="00EF2E22"/>
    <w:rsid w:val="00F35BAF"/>
    <w:rsid w:val="00F369E7"/>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40D4B"/>
  <w15:docId w15:val="{2A6DF47F-74AB-4429-8372-94D0BB3E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8F43E8"/>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43E8"/>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8F4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o.int/environmental-protection/pages/climate-change.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mo.org/fr/MediaCentre/HotTopics/Pages/Reducing-greenhouse-gas-emissions-from-ships.aspx"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report.ipcc.ch/ar6/wg3/IPCC_AR6_WGIII_Full_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6</TotalTime>
  <Pages>7</Pages>
  <Words>2210</Words>
  <Characters>15473</Characters>
  <Application>Microsoft Office Word</Application>
  <DocSecurity>0</DocSecurity>
  <Lines>1289</Lines>
  <Paragraphs>707</Paragraphs>
  <ScaleCrop>false</ScaleCrop>
  <HeadingPairs>
    <vt:vector size="2" baseType="variant">
      <vt:variant>
        <vt:lpstr>Titre</vt:lpstr>
      </vt:variant>
      <vt:variant>
        <vt:i4>1</vt:i4>
      </vt:variant>
    </vt:vector>
  </HeadingPairs>
  <TitlesOfParts>
    <vt:vector size="1" baseType="lpstr">
      <vt:lpstr>ECE/TRANS/2023/1</vt:lpstr>
    </vt:vector>
  </TitlesOfParts>
  <Company>DCM</Company>
  <LinksUpToDate>false</LinksUpToDate>
  <CharactersWithSpaces>16976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ECE/TRANS/2023/1</dc:title>
  <dc:subject/>
  <dc:creator>Corinne ROBERT</dc:creator>
  <cp:keywords/>
  <cp:lastModifiedBy>Corinne Robert</cp:lastModifiedBy>
  <cp:revision>3</cp:revision>
  <cp:lastPrinted>2023-01-04T10:37:00Z</cp:lastPrinted>
  <dcterms:created xsi:type="dcterms:W3CDTF">2023-01-04T10:37:00Z</dcterms:created>
  <dcterms:modified xsi:type="dcterms:W3CDTF">2023-01-04T10:43:00Z</dcterms:modified>
</cp:coreProperties>
</file>