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5A5EC2" w14:paraId="7241F4D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BFDAC7" w14:textId="77777777" w:rsidR="00F35BAF" w:rsidRPr="00DB58B5" w:rsidRDefault="00F35BAF" w:rsidP="005A5EC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738CE2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4A4B92" w14:textId="00BE3BF3" w:rsidR="00F35BAF" w:rsidRPr="005A5EC2" w:rsidRDefault="005A5EC2" w:rsidP="005A5EC2">
            <w:pPr>
              <w:jc w:val="right"/>
              <w:rPr>
                <w:lang w:val="en-US"/>
              </w:rPr>
            </w:pPr>
            <w:r w:rsidRPr="005A5EC2">
              <w:rPr>
                <w:sz w:val="40"/>
                <w:lang w:val="en-US"/>
              </w:rPr>
              <w:t>ECE</w:t>
            </w:r>
            <w:r w:rsidRPr="005A5EC2">
              <w:rPr>
                <w:lang w:val="en-US"/>
              </w:rPr>
              <w:t>/TRANS/WP.15/AC.1/167/Add.1</w:t>
            </w:r>
          </w:p>
        </w:tc>
      </w:tr>
      <w:tr w:rsidR="00F35BAF" w:rsidRPr="00DB58B5" w14:paraId="6A88E28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75B671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5C5EA1" wp14:editId="4BA7189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8E24E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74F681" w14:textId="77777777" w:rsidR="00F35BAF" w:rsidRDefault="005A5EC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5EE4A6BB" w14:textId="77777777" w:rsidR="005A5EC2" w:rsidRDefault="005A5EC2" w:rsidP="005A5EC2">
            <w:pPr>
              <w:spacing w:line="240" w:lineRule="exact"/>
            </w:pPr>
            <w:r>
              <w:t>5 janvier 2023</w:t>
            </w:r>
          </w:p>
          <w:p w14:paraId="3FEF04F1" w14:textId="77777777" w:rsidR="005A5EC2" w:rsidRDefault="005A5EC2" w:rsidP="005A5EC2">
            <w:pPr>
              <w:spacing w:line="240" w:lineRule="exact"/>
            </w:pPr>
            <w:r>
              <w:t>Français</w:t>
            </w:r>
          </w:p>
          <w:p w14:paraId="402BC748" w14:textId="6755942B" w:rsidR="005A5EC2" w:rsidRPr="00DB58B5" w:rsidRDefault="005A5EC2" w:rsidP="005A5EC2">
            <w:pPr>
              <w:spacing w:line="240" w:lineRule="exact"/>
            </w:pPr>
            <w:r>
              <w:t>Original : anglais</w:t>
            </w:r>
          </w:p>
        </w:tc>
      </w:tr>
    </w:tbl>
    <w:p w14:paraId="206853C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D62CC3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E511411" w14:textId="77777777" w:rsidR="005A5EC2" w:rsidRPr="009E01B8" w:rsidRDefault="005A5EC2" w:rsidP="005A5EC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77B7F3B" w14:textId="106B766B" w:rsidR="005A5EC2" w:rsidRPr="00992778" w:rsidRDefault="005A5EC2" w:rsidP="005A5EC2">
      <w:pPr>
        <w:spacing w:before="120"/>
        <w:rPr>
          <w:b/>
        </w:rPr>
      </w:pPr>
      <w:r w:rsidRPr="00D56A8F"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 w:rsidRPr="00D56A8F">
        <w:rPr>
          <w:b/>
          <w:bCs/>
          <w:lang w:val="fr-FR"/>
        </w:rPr>
        <w:t xml:space="preserve">experts du RID et du Groupe </w:t>
      </w:r>
      <w:r>
        <w:rPr>
          <w:b/>
          <w:bCs/>
          <w:lang w:val="fr-FR"/>
        </w:rPr>
        <w:br/>
      </w:r>
      <w:r w:rsidRPr="00D56A8F">
        <w:rPr>
          <w:b/>
          <w:bCs/>
          <w:lang w:val="fr-FR"/>
        </w:rPr>
        <w:t>de travail des transports de marchandises dangereuses</w:t>
      </w:r>
    </w:p>
    <w:p w14:paraId="37CCD6F9" w14:textId="77777777" w:rsidR="005A5EC2" w:rsidRDefault="005A5EC2" w:rsidP="005A5EC2">
      <w:r>
        <w:t>Berne, 20-24 mars 2023</w:t>
      </w:r>
    </w:p>
    <w:p w14:paraId="485FCE72" w14:textId="77777777" w:rsidR="005A5EC2" w:rsidRDefault="005A5EC2" w:rsidP="005A5EC2">
      <w:r w:rsidRPr="00B93E72">
        <w:t>Point</w:t>
      </w:r>
      <w:r>
        <w:t> 1</w:t>
      </w:r>
      <w:r w:rsidRPr="00B93E72">
        <w:t xml:space="preserve"> de l’ordre du jour provisoire</w:t>
      </w:r>
    </w:p>
    <w:p w14:paraId="1E7FC9E7" w14:textId="77777777" w:rsidR="005A5EC2" w:rsidRPr="00D56A8F" w:rsidRDefault="005A5EC2" w:rsidP="005A5EC2">
      <w:pPr>
        <w:rPr>
          <w:lang w:val="fr-FR"/>
        </w:rPr>
      </w:pPr>
      <w:r w:rsidRPr="00D56A8F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D56A8F">
        <w:rPr>
          <w:b/>
          <w:bCs/>
          <w:lang w:val="fr-FR"/>
        </w:rPr>
        <w:t>ordre du jour</w:t>
      </w:r>
    </w:p>
    <w:p w14:paraId="27715845" w14:textId="77777777" w:rsidR="005A5EC2" w:rsidRPr="00D56A8F" w:rsidRDefault="005A5EC2" w:rsidP="005A5EC2">
      <w:pPr>
        <w:pStyle w:val="HChG"/>
        <w:rPr>
          <w:lang w:val="fr-FR"/>
        </w:rPr>
      </w:pPr>
      <w:r w:rsidRPr="00D56A8F">
        <w:rPr>
          <w:lang w:val="fr-FR"/>
        </w:rPr>
        <w:tab/>
      </w:r>
      <w:r w:rsidRPr="00D56A8F">
        <w:rPr>
          <w:lang w:val="fr-FR"/>
        </w:rPr>
        <w:tab/>
        <w:t xml:space="preserve">Ordre du jour provisoire de la session </w:t>
      </w:r>
      <w:r>
        <w:rPr>
          <w:lang w:val="fr-FR"/>
        </w:rPr>
        <w:t>du printemps 2023</w:t>
      </w:r>
    </w:p>
    <w:p w14:paraId="42540F21" w14:textId="77777777" w:rsidR="005A5EC2" w:rsidRPr="00D56A8F" w:rsidRDefault="005A5EC2" w:rsidP="005A5EC2">
      <w:pPr>
        <w:pStyle w:val="H23G"/>
        <w:rPr>
          <w:lang w:val="fr-FR"/>
        </w:rPr>
      </w:pPr>
      <w:r w:rsidRPr="00D56A8F">
        <w:rPr>
          <w:lang w:val="fr-FR"/>
        </w:rPr>
        <w:tab/>
      </w:r>
      <w:r w:rsidRPr="00D56A8F">
        <w:rPr>
          <w:lang w:val="fr-FR"/>
        </w:rPr>
        <w:tab/>
      </w:r>
      <w:r w:rsidRPr="005A5EC2">
        <w:t>Additif</w:t>
      </w:r>
    </w:p>
    <w:p w14:paraId="2DD54A71" w14:textId="77777777" w:rsidR="005A5EC2" w:rsidRPr="00D56A8F" w:rsidRDefault="005A5EC2" w:rsidP="005A5EC2">
      <w:pPr>
        <w:pStyle w:val="H1G"/>
        <w:rPr>
          <w:lang w:val="fr-FR"/>
        </w:rPr>
      </w:pPr>
      <w:r w:rsidRPr="00D56A8F">
        <w:rPr>
          <w:lang w:val="fr-FR"/>
        </w:rPr>
        <w:tab/>
      </w:r>
      <w:r w:rsidRPr="00D56A8F">
        <w:rPr>
          <w:lang w:val="fr-FR"/>
        </w:rPr>
        <w:tab/>
        <w:t>Annotations et liste des documents</w:t>
      </w:r>
    </w:p>
    <w:p w14:paraId="6A95A8A4" w14:textId="77777777" w:rsidR="005A5EC2" w:rsidRPr="00D56A8F" w:rsidRDefault="005A5EC2" w:rsidP="005A5EC2">
      <w:pPr>
        <w:pStyle w:val="HChG"/>
        <w:rPr>
          <w:lang w:val="fr-FR"/>
        </w:rPr>
      </w:pPr>
      <w:r w:rsidRPr="00D56A8F">
        <w:rPr>
          <w:lang w:val="fr-FR"/>
        </w:rPr>
        <w:tab/>
        <w:t>1.</w:t>
      </w:r>
      <w:r w:rsidRPr="00D56A8F">
        <w:rPr>
          <w:lang w:val="fr-FR"/>
        </w:rPr>
        <w:tab/>
        <w:t>Adoption de l</w:t>
      </w:r>
      <w:r>
        <w:rPr>
          <w:lang w:val="fr-FR"/>
        </w:rPr>
        <w:t>’</w:t>
      </w:r>
      <w:r w:rsidRPr="00D56A8F">
        <w:rPr>
          <w:lang w:val="fr-FR"/>
        </w:rPr>
        <w:t>ordre du jour</w:t>
      </w:r>
    </w:p>
    <w:p w14:paraId="0A738262" w14:textId="3944E4DA" w:rsidR="005A5EC2" w:rsidRPr="00D56A8F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Le premier point de l</w:t>
      </w:r>
      <w:r>
        <w:rPr>
          <w:lang w:val="fr-FR"/>
        </w:rPr>
        <w:t>’</w:t>
      </w:r>
      <w:r w:rsidRPr="00D56A8F">
        <w:rPr>
          <w:lang w:val="fr-FR"/>
        </w:rPr>
        <w:t xml:space="preserve">ordre du jour concerne son adoption. La Réunion commune sera en outre saisie du rapport sur sa session de </w:t>
      </w:r>
      <w:r>
        <w:rPr>
          <w:lang w:val="fr-FR"/>
        </w:rPr>
        <w:t>l’automne</w:t>
      </w:r>
      <w:r w:rsidRPr="00D56A8F">
        <w:rPr>
          <w:lang w:val="fr-FR"/>
        </w:rPr>
        <w:t xml:space="preserve"> 2022, tenue à </w:t>
      </w:r>
      <w:r>
        <w:rPr>
          <w:lang w:val="fr-FR"/>
        </w:rPr>
        <w:t>Genève</w:t>
      </w:r>
      <w:r w:rsidRPr="00D56A8F">
        <w:rPr>
          <w:lang w:val="fr-FR"/>
        </w:rPr>
        <w:t xml:space="preserve"> du 1</w:t>
      </w:r>
      <w:r>
        <w:rPr>
          <w:lang w:val="fr-FR"/>
        </w:rPr>
        <w:t>2</w:t>
      </w:r>
      <w:r w:rsidRPr="00D56A8F">
        <w:rPr>
          <w:lang w:val="fr-FR"/>
        </w:rPr>
        <w:t xml:space="preserve"> au </w:t>
      </w:r>
      <w:r>
        <w:rPr>
          <w:lang w:val="fr-FR"/>
        </w:rPr>
        <w:t>16 septembre</w:t>
      </w:r>
      <w:r w:rsidRPr="00D56A8F">
        <w:rPr>
          <w:lang w:val="fr-FR"/>
        </w:rPr>
        <w:t xml:space="preserve"> 2022 (ECE/TRANS/WP.15/AC.1/16</w:t>
      </w:r>
      <w:r>
        <w:rPr>
          <w:lang w:val="fr-FR"/>
        </w:rPr>
        <w:t>6</w:t>
      </w:r>
      <w:r w:rsidRPr="00D56A8F">
        <w:rPr>
          <w:lang w:val="fr-FR"/>
        </w:rPr>
        <w:t>).</w:t>
      </w:r>
    </w:p>
    <w:p w14:paraId="0C5DA52C" w14:textId="77777777" w:rsidR="005A5EC2" w:rsidRPr="00D56A8F" w:rsidRDefault="005A5EC2" w:rsidP="005A5EC2">
      <w:pPr>
        <w:pStyle w:val="SingleTxtG"/>
        <w:keepNext/>
        <w:ind w:firstLine="567"/>
        <w:rPr>
          <w:lang w:val="fr-FR"/>
        </w:rPr>
      </w:pPr>
      <w:r w:rsidRPr="00D56A8F">
        <w:rPr>
          <w:lang w:val="fr-FR"/>
        </w:rPr>
        <w:tab/>
        <w:t>Il convient de rappeler les points suivants :</w:t>
      </w:r>
    </w:p>
    <w:p w14:paraId="7F964BF7" w14:textId="77777777" w:rsidR="005A5EC2" w:rsidRPr="00D56A8F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a)</w:t>
      </w:r>
      <w:r w:rsidRPr="00D56A8F">
        <w:rPr>
          <w:lang w:val="fr-FR"/>
        </w:rPr>
        <w:tab/>
        <w:t>À sa session d</w:t>
      </w:r>
      <w:r>
        <w:rPr>
          <w:lang w:val="fr-FR"/>
        </w:rPr>
        <w:t>’</w:t>
      </w:r>
      <w:r w:rsidRPr="00D56A8F">
        <w:rPr>
          <w:lang w:val="fr-FR"/>
        </w:rPr>
        <w:t>automne 202</w:t>
      </w:r>
      <w:r>
        <w:rPr>
          <w:lang w:val="fr-FR"/>
        </w:rPr>
        <w:t>2</w:t>
      </w:r>
      <w:r w:rsidRPr="00D56A8F">
        <w:rPr>
          <w:lang w:val="fr-FR"/>
        </w:rPr>
        <w:t>, la Réunion commune a élu M.</w:t>
      </w:r>
      <w:r>
        <w:rPr>
          <w:lang w:val="fr-FR"/>
        </w:rPr>
        <w:t> </w:t>
      </w:r>
      <w:r w:rsidRPr="00D56A8F">
        <w:rPr>
          <w:lang w:val="fr-FR"/>
        </w:rPr>
        <w:t>C.</w:t>
      </w:r>
      <w:r>
        <w:rPr>
          <w:lang w:val="fr-FR"/>
        </w:rPr>
        <w:t> </w:t>
      </w:r>
      <w:proofErr w:type="spellStart"/>
      <w:r w:rsidRPr="00D56A8F">
        <w:rPr>
          <w:lang w:val="fr-FR"/>
        </w:rPr>
        <w:t>Pfauvadel</w:t>
      </w:r>
      <w:proofErr w:type="spellEnd"/>
      <w:r w:rsidRPr="00D56A8F">
        <w:rPr>
          <w:lang w:val="fr-FR"/>
        </w:rPr>
        <w:t xml:space="preserve"> (France) Président et M</w:t>
      </w:r>
      <w:r w:rsidRPr="007674AE">
        <w:rPr>
          <w:vertAlign w:val="superscript"/>
          <w:lang w:val="fr-FR"/>
        </w:rPr>
        <w:t>me</w:t>
      </w:r>
      <w:r>
        <w:rPr>
          <w:lang w:val="fr-FR"/>
        </w:rPr>
        <w:t> </w:t>
      </w:r>
      <w:r w:rsidRPr="00D56A8F">
        <w:rPr>
          <w:lang w:val="fr-FR"/>
        </w:rPr>
        <w:t>S.</w:t>
      </w:r>
      <w:r>
        <w:rPr>
          <w:lang w:val="fr-FR"/>
        </w:rPr>
        <w:t> </w:t>
      </w:r>
      <w:r w:rsidRPr="00D56A8F">
        <w:rPr>
          <w:lang w:val="fr-FR"/>
        </w:rPr>
        <w:t>García Wolfrum (Espagne) Vice-Présidente</w:t>
      </w:r>
      <w:r>
        <w:rPr>
          <w:lang w:val="fr-FR"/>
        </w:rPr>
        <w:t> </w:t>
      </w:r>
      <w:r w:rsidRPr="00D56A8F">
        <w:rPr>
          <w:lang w:val="fr-FR"/>
        </w:rPr>
        <w:t>;</w:t>
      </w:r>
    </w:p>
    <w:p w14:paraId="43ED51C5" w14:textId="77777777" w:rsidR="005A5EC2" w:rsidRPr="00D56A8F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b)</w:t>
      </w:r>
      <w:r w:rsidRPr="00D56A8F">
        <w:rPr>
          <w:lang w:val="fr-FR"/>
        </w:rPr>
        <w:tab/>
        <w:t>Les documents de la CEE (autres que les ordres du jour ou les rapports) portant la cote ECE/TRANS/WP.15/AC.1/ sont diffusés par l</w:t>
      </w:r>
      <w:r>
        <w:rPr>
          <w:lang w:val="fr-FR"/>
        </w:rPr>
        <w:t>’</w:t>
      </w:r>
      <w:r w:rsidRPr="00D56A8F">
        <w:rPr>
          <w:lang w:val="fr-FR"/>
        </w:rPr>
        <w:t>Organisation intergouvernementale pour les transports internationaux ferroviaires (OTIF) en allemand sous la cote OTIF/RID/RC/ complétée par le même numéro de document. Par souci d</w:t>
      </w:r>
      <w:r>
        <w:rPr>
          <w:lang w:val="fr-FR"/>
        </w:rPr>
        <w:t>’</w:t>
      </w:r>
      <w:r w:rsidRPr="00D56A8F">
        <w:rPr>
          <w:lang w:val="fr-FR"/>
        </w:rPr>
        <w:t>économie, aucun document ne sera distribué en salle de réunion. Les représentants sont donc priés de se rendre à la session munis de leurs propres exemplaires ;</w:t>
      </w:r>
    </w:p>
    <w:p w14:paraId="0266C2F8" w14:textId="77777777" w:rsidR="005A5EC2" w:rsidRPr="00D56A8F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c)</w:t>
      </w:r>
      <w:r w:rsidRPr="00D56A8F">
        <w:rPr>
          <w:lang w:val="fr-FR"/>
        </w:rPr>
        <w:tab/>
        <w:t>On pourra consulter les documents pertinents sur le site Web de la CEE (unece.org/transport/</w:t>
      </w:r>
      <w:proofErr w:type="spellStart"/>
      <w:r w:rsidRPr="00D56A8F">
        <w:rPr>
          <w:lang w:val="fr-FR"/>
        </w:rPr>
        <w:t>dangerous-goods</w:t>
      </w:r>
      <w:proofErr w:type="spellEnd"/>
      <w:r w:rsidRPr="00D56A8F">
        <w:rPr>
          <w:lang w:val="fr-FR"/>
        </w:rPr>
        <w:t>) en anglais, en français et en russe</w:t>
      </w:r>
      <w:r>
        <w:rPr>
          <w:lang w:val="fr-FR"/>
        </w:rPr>
        <w:t> </w:t>
      </w:r>
      <w:r w:rsidRPr="00D56A8F">
        <w:rPr>
          <w:lang w:val="fr-FR"/>
        </w:rPr>
        <w:t>;</w:t>
      </w:r>
    </w:p>
    <w:p w14:paraId="3B5253C0" w14:textId="77777777" w:rsidR="005A5EC2" w:rsidRPr="00D56A8F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d)</w:t>
      </w:r>
      <w:r w:rsidRPr="00D56A8F">
        <w:rPr>
          <w:lang w:val="fr-FR"/>
        </w:rPr>
        <w:tab/>
        <w:t>La Réunion commune souhaitera éventuellement, si nécessaire, qu</w:t>
      </w:r>
      <w:r>
        <w:rPr>
          <w:lang w:val="fr-FR"/>
        </w:rPr>
        <w:t>’</w:t>
      </w:r>
      <w:r w:rsidRPr="00D56A8F">
        <w:rPr>
          <w:lang w:val="fr-FR"/>
        </w:rPr>
        <w:t>un groupe de travail spécial se réunisse en dehors des heures de séance plénière pour examiner les documents relatifs aux normes (point</w:t>
      </w:r>
      <w:r>
        <w:rPr>
          <w:lang w:val="fr-FR"/>
        </w:rPr>
        <w:t> </w:t>
      </w:r>
      <w:r w:rsidRPr="00D56A8F">
        <w:rPr>
          <w:lang w:val="fr-FR"/>
        </w:rPr>
        <w:t>3), conformément au mandat qu</w:t>
      </w:r>
      <w:r>
        <w:rPr>
          <w:lang w:val="fr-FR"/>
        </w:rPr>
        <w:t>’</w:t>
      </w:r>
      <w:r w:rsidRPr="00D56A8F">
        <w:rPr>
          <w:lang w:val="fr-FR"/>
        </w:rPr>
        <w:t>elle établira ;</w:t>
      </w:r>
    </w:p>
    <w:p w14:paraId="6063B44F" w14:textId="77777777" w:rsidR="005A5EC2" w:rsidRPr="00D56A8F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e)</w:t>
      </w:r>
      <w:r w:rsidRPr="00D56A8F">
        <w:rPr>
          <w:lang w:val="fr-FR"/>
        </w:rPr>
        <w:tab/>
        <w:t>La Réunion commune souhaitera éventuellement, si nécessaire, qu</w:t>
      </w:r>
      <w:r>
        <w:rPr>
          <w:lang w:val="fr-FR"/>
        </w:rPr>
        <w:t>’</w:t>
      </w:r>
      <w:r w:rsidRPr="00D56A8F">
        <w:rPr>
          <w:lang w:val="fr-FR"/>
        </w:rPr>
        <w:t>un groupe de travail spécial se réunisse en parallèle de sa session pour examiner les documents relatifs aux citernes (point</w:t>
      </w:r>
      <w:r>
        <w:rPr>
          <w:lang w:val="fr-FR"/>
        </w:rPr>
        <w:t> </w:t>
      </w:r>
      <w:r w:rsidRPr="00D56A8F">
        <w:rPr>
          <w:lang w:val="fr-FR"/>
        </w:rPr>
        <w:t>2) après examen de ce point en séance plénière</w:t>
      </w:r>
      <w:r>
        <w:rPr>
          <w:lang w:val="fr-FR"/>
        </w:rPr>
        <w:t> </w:t>
      </w:r>
      <w:r w:rsidRPr="00D56A8F">
        <w:rPr>
          <w:lang w:val="fr-FR"/>
        </w:rPr>
        <w:t>;</w:t>
      </w:r>
    </w:p>
    <w:p w14:paraId="6C091715" w14:textId="045EDCD9" w:rsidR="005A5EC2" w:rsidRDefault="005A5EC2" w:rsidP="005A5EC2">
      <w:pPr>
        <w:pStyle w:val="SingleTxtG"/>
        <w:keepLines/>
        <w:ind w:firstLine="567"/>
        <w:rPr>
          <w:lang w:val="fr-FR"/>
        </w:rPr>
      </w:pPr>
      <w:r>
        <w:rPr>
          <w:lang w:val="fr-FR"/>
        </w:rPr>
        <w:lastRenderedPageBreak/>
        <w:t>f</w:t>
      </w:r>
      <w:r w:rsidRPr="00D56A8F">
        <w:rPr>
          <w:lang w:val="fr-FR"/>
        </w:rPr>
        <w:t>)</w:t>
      </w:r>
      <w:r w:rsidRPr="00D56A8F">
        <w:rPr>
          <w:lang w:val="fr-FR"/>
        </w:rPr>
        <w:tab/>
        <w:t>Afin de réduire autant que possible l</w:t>
      </w:r>
      <w:r>
        <w:rPr>
          <w:lang w:val="fr-FR"/>
        </w:rPr>
        <w:t>’</w:t>
      </w:r>
      <w:r w:rsidRPr="00D56A8F">
        <w:rPr>
          <w:lang w:val="fr-FR"/>
        </w:rPr>
        <w:t>incidence de la pandémie de COVID-19 sur les travaux de la Réunion commune, la CEE prévoit de revenir à une activité normale, c</w:t>
      </w:r>
      <w:r>
        <w:rPr>
          <w:lang w:val="fr-FR"/>
        </w:rPr>
        <w:t>’</w:t>
      </w:r>
      <w:r w:rsidRPr="00D56A8F">
        <w:rPr>
          <w:lang w:val="fr-FR"/>
        </w:rPr>
        <w:t>est-à-dire d</w:t>
      </w:r>
      <w:r>
        <w:rPr>
          <w:lang w:val="fr-FR"/>
        </w:rPr>
        <w:t>’</w:t>
      </w:r>
      <w:r w:rsidRPr="00D56A8F">
        <w:rPr>
          <w:lang w:val="fr-FR"/>
        </w:rPr>
        <w:t>organiser des sessions en présentiel uniquement, au début de 2023 si l</w:t>
      </w:r>
      <w:r>
        <w:rPr>
          <w:lang w:val="fr-FR"/>
        </w:rPr>
        <w:t>’</w:t>
      </w:r>
      <w:r w:rsidRPr="00D56A8F">
        <w:rPr>
          <w:lang w:val="fr-FR"/>
        </w:rPr>
        <w:t xml:space="preserve">assouplissement des restrictions sanitaires se poursuit. Étant donné </w:t>
      </w:r>
      <w:r>
        <w:rPr>
          <w:lang w:val="fr-FR"/>
        </w:rPr>
        <w:t>que l’OTIF est convenue</w:t>
      </w:r>
      <w:r w:rsidRPr="00D56A8F">
        <w:rPr>
          <w:lang w:val="fr-FR"/>
        </w:rPr>
        <w:t xml:space="preserve"> de </w:t>
      </w:r>
      <w:r>
        <w:rPr>
          <w:lang w:val="fr-FR"/>
        </w:rPr>
        <w:t>maintenir</w:t>
      </w:r>
      <w:r w:rsidRPr="00D56A8F">
        <w:rPr>
          <w:lang w:val="fr-FR"/>
        </w:rPr>
        <w:t xml:space="preserve"> les dispositions qui avaient été proposées pour les sessions de 2022, la session </w:t>
      </w:r>
      <w:r>
        <w:rPr>
          <w:lang w:val="fr-FR"/>
        </w:rPr>
        <w:t>de printemps</w:t>
      </w:r>
      <w:r w:rsidRPr="00D56A8F">
        <w:rPr>
          <w:lang w:val="fr-FR"/>
        </w:rPr>
        <w:t xml:space="preserve"> se tiendra, comme les </w:t>
      </w:r>
      <w:r>
        <w:rPr>
          <w:lang w:val="fr-FR"/>
        </w:rPr>
        <w:t xml:space="preserve">sessions </w:t>
      </w:r>
      <w:r w:rsidRPr="00D56A8F">
        <w:rPr>
          <w:lang w:val="fr-FR"/>
        </w:rPr>
        <w:t>précédentes, selon des modalités hybrides, de sorte que les représentants auront la possibilité d</w:t>
      </w:r>
      <w:r>
        <w:rPr>
          <w:lang w:val="fr-FR"/>
        </w:rPr>
        <w:t>’</w:t>
      </w:r>
      <w:r w:rsidRPr="00D56A8F">
        <w:rPr>
          <w:lang w:val="fr-FR"/>
        </w:rPr>
        <w:t>y participer en présentiel ou à distance. Des</w:t>
      </w:r>
      <w:r>
        <w:rPr>
          <w:lang w:val="fr-FR"/>
        </w:rPr>
        <w:t xml:space="preserve"> </w:t>
      </w:r>
      <w:r w:rsidRPr="00D56A8F">
        <w:rPr>
          <w:lang w:val="fr-FR"/>
        </w:rPr>
        <w:t>informations plus détaillées seront diffusées ultérieurement</w:t>
      </w:r>
      <w:r>
        <w:rPr>
          <w:lang w:val="fr-FR"/>
        </w:rPr>
        <w:t> </w:t>
      </w:r>
      <w:r w:rsidRPr="00D56A8F">
        <w:rPr>
          <w:lang w:val="fr-FR"/>
        </w:rPr>
        <w:t>;</w:t>
      </w:r>
    </w:p>
    <w:p w14:paraId="33C77F69" w14:textId="498395FA" w:rsidR="005A5EC2" w:rsidRPr="00D56A8F" w:rsidRDefault="005A5EC2" w:rsidP="005A5EC2">
      <w:pPr>
        <w:pStyle w:val="SingleTxtG"/>
        <w:ind w:firstLine="567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>g</w:t>
      </w:r>
      <w:r w:rsidRPr="001E6001">
        <w:rPr>
          <w:rFonts w:asciiTheme="majorBidi" w:hAnsiTheme="majorBidi" w:cstheme="majorBidi"/>
          <w:lang w:val="fr-FR"/>
        </w:rPr>
        <w:t>)</w:t>
      </w:r>
      <w:r w:rsidRPr="001E6001">
        <w:rPr>
          <w:rFonts w:asciiTheme="majorBidi" w:hAnsiTheme="majorBidi" w:cstheme="majorBidi"/>
          <w:lang w:val="fr-FR"/>
        </w:rPr>
        <w:tab/>
      </w:r>
      <w:r>
        <w:rPr>
          <w:rFonts w:asciiTheme="majorBidi" w:hAnsiTheme="majorBidi" w:cstheme="majorBidi"/>
          <w:lang w:val="fr-FR"/>
        </w:rPr>
        <w:t>Pour rester informés des faits nouveaux relatifs à la Réunion commune, l</w:t>
      </w:r>
      <w:r w:rsidRPr="001E6001">
        <w:rPr>
          <w:rFonts w:asciiTheme="majorBidi" w:hAnsiTheme="majorBidi" w:cstheme="majorBidi"/>
          <w:lang w:val="fr-FR"/>
        </w:rPr>
        <w:t xml:space="preserve">es représentants </w:t>
      </w:r>
      <w:r>
        <w:rPr>
          <w:rFonts w:asciiTheme="majorBidi" w:hAnsiTheme="majorBidi" w:cstheme="majorBidi"/>
          <w:lang w:val="fr-FR"/>
        </w:rPr>
        <w:t>sont invités à</w:t>
      </w:r>
      <w:r w:rsidRPr="001E6001">
        <w:rPr>
          <w:rFonts w:asciiTheme="majorBidi" w:hAnsiTheme="majorBidi" w:cstheme="majorBidi"/>
          <w:lang w:val="fr-FR"/>
        </w:rPr>
        <w:t xml:space="preserve"> </w:t>
      </w:r>
      <w:r>
        <w:rPr>
          <w:rFonts w:asciiTheme="majorBidi" w:hAnsiTheme="majorBidi" w:cstheme="majorBidi"/>
          <w:lang w:val="fr-FR"/>
        </w:rPr>
        <w:t xml:space="preserve">remplir la fiche d’inscription </w:t>
      </w:r>
      <w:r w:rsidRPr="001E6001">
        <w:rPr>
          <w:rFonts w:asciiTheme="majorBidi" w:hAnsiTheme="majorBidi" w:cstheme="majorBidi"/>
          <w:lang w:val="fr-FR"/>
        </w:rPr>
        <w:t xml:space="preserve">en </w:t>
      </w:r>
      <w:r>
        <w:rPr>
          <w:rFonts w:asciiTheme="majorBidi" w:hAnsiTheme="majorBidi" w:cstheme="majorBidi"/>
          <w:lang w:val="fr-FR"/>
        </w:rPr>
        <w:t>ligne</w:t>
      </w:r>
      <w:r>
        <w:rPr>
          <w:rStyle w:val="FootnoteReference"/>
          <w:rFonts w:cstheme="majorBidi"/>
        </w:rPr>
        <w:footnoteReference w:id="2"/>
      </w:r>
      <w:r>
        <w:rPr>
          <w:rFonts w:asciiTheme="majorBidi" w:hAnsiTheme="majorBidi" w:cstheme="majorBidi"/>
          <w:lang w:val="fr-FR"/>
        </w:rPr>
        <w:t xml:space="preserve"> </w:t>
      </w:r>
      <w:r w:rsidRPr="001E3B26">
        <w:rPr>
          <w:rFonts w:asciiTheme="majorBidi" w:hAnsiTheme="majorBidi" w:cstheme="majorBidi"/>
          <w:b/>
          <w:bCs/>
          <w:lang w:val="fr-FR"/>
        </w:rPr>
        <w:t>au plus tard le 10 mars 2023</w:t>
      </w:r>
      <w:r>
        <w:rPr>
          <w:rFonts w:asciiTheme="majorBidi" w:hAnsiTheme="majorBidi" w:cstheme="majorBidi"/>
          <w:lang w:val="fr-FR"/>
        </w:rPr>
        <w:t> </w:t>
      </w:r>
      <w:r w:rsidRPr="001E6001">
        <w:rPr>
          <w:rFonts w:asciiTheme="majorBidi" w:hAnsiTheme="majorBidi" w:cstheme="majorBidi"/>
          <w:lang w:val="fr-FR"/>
        </w:rPr>
        <w:t>;</w:t>
      </w:r>
    </w:p>
    <w:p w14:paraId="076F9F83" w14:textId="77777777" w:rsidR="005A5EC2" w:rsidRPr="00D56A8F" w:rsidRDefault="005A5EC2" w:rsidP="005A5EC2">
      <w:pPr>
        <w:pStyle w:val="SingleTxtG"/>
        <w:ind w:firstLine="567"/>
        <w:rPr>
          <w:rFonts w:asciiTheme="majorBidi" w:hAnsiTheme="majorBidi" w:cstheme="majorBidi"/>
          <w:lang w:val="fr-FR"/>
        </w:rPr>
      </w:pPr>
      <w:r w:rsidRPr="00D56A8F">
        <w:rPr>
          <w:lang w:val="fr-FR"/>
        </w:rPr>
        <w:t>h)</w:t>
      </w:r>
      <w:r w:rsidRPr="00D56A8F">
        <w:rPr>
          <w:lang w:val="fr-FR"/>
        </w:rPr>
        <w:tab/>
        <w:t>La lecture du rapport (point</w:t>
      </w:r>
      <w:r>
        <w:rPr>
          <w:lang w:val="fr-FR"/>
        </w:rPr>
        <w:t> </w:t>
      </w:r>
      <w:r w:rsidRPr="00D56A8F">
        <w:rPr>
          <w:lang w:val="fr-FR"/>
        </w:rPr>
        <w:t>1</w:t>
      </w:r>
      <w:r>
        <w:rPr>
          <w:lang w:val="fr-FR"/>
        </w:rPr>
        <w:t>0</w:t>
      </w:r>
      <w:r w:rsidRPr="00D56A8F">
        <w:rPr>
          <w:lang w:val="fr-FR"/>
        </w:rPr>
        <w:t>) est prévue le vendredi matin (</w:t>
      </w:r>
      <w:r>
        <w:rPr>
          <w:lang w:val="fr-FR"/>
        </w:rPr>
        <w:t>24 mars 2023</w:t>
      </w:r>
      <w:r w:rsidRPr="00D56A8F">
        <w:rPr>
          <w:lang w:val="fr-FR"/>
        </w:rPr>
        <w:t>), sans interprétation.</w:t>
      </w:r>
    </w:p>
    <w:p w14:paraId="60471930" w14:textId="77777777" w:rsidR="005A5EC2" w:rsidRPr="00D56A8F" w:rsidRDefault="005A5EC2" w:rsidP="005A5EC2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2.</w:t>
      </w:r>
      <w:r w:rsidRPr="00D56A8F">
        <w:rPr>
          <w:lang w:val="fr-FR"/>
        </w:rPr>
        <w:tab/>
        <w:t>Citernes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4767"/>
      </w:tblGrid>
      <w:tr w:rsidR="005A5EC2" w:rsidRPr="007674AE" w14:paraId="15D9AEFA" w14:textId="77777777" w:rsidTr="0023581A">
        <w:tc>
          <w:tcPr>
            <w:tcW w:w="3738" w:type="dxa"/>
          </w:tcPr>
          <w:p w14:paraId="229E33E9" w14:textId="77777777" w:rsidR="005A5EC2" w:rsidRPr="007674AE" w:rsidRDefault="005A5EC2" w:rsidP="005A5EC2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t>ECE/TRANS/WP.15/AC.1/2023/3 (Secrétariat de l’OTIF)</w:t>
            </w:r>
          </w:p>
        </w:tc>
        <w:tc>
          <w:tcPr>
            <w:tcW w:w="4767" w:type="dxa"/>
          </w:tcPr>
          <w:p w14:paraId="2A3A3395" w14:textId="2F7BD63B" w:rsidR="005A5EC2" w:rsidRPr="007674AE" w:rsidRDefault="005A5EC2" w:rsidP="005A5EC2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1E6001">
              <w:t xml:space="preserve">Approche rationalisée pour affecter les codes-citerne </w:t>
            </w:r>
            <w:r>
              <w:br/>
            </w:r>
            <w:r w:rsidRPr="001E6001">
              <w:t>à des groupes de matières au 4.3.4.1.2</w:t>
            </w:r>
          </w:p>
        </w:tc>
      </w:tr>
      <w:tr w:rsidR="005A5EC2" w:rsidRPr="00D56A8F" w14:paraId="195E743A" w14:textId="77777777" w:rsidTr="0023581A">
        <w:tc>
          <w:tcPr>
            <w:tcW w:w="3738" w:type="dxa"/>
          </w:tcPr>
          <w:p w14:paraId="5B1A6A1C" w14:textId="77777777" w:rsidR="005A5EC2" w:rsidRPr="001E3B26" w:rsidRDefault="005A5EC2" w:rsidP="005A5EC2">
            <w:pPr>
              <w:pStyle w:val="SingleTxtG"/>
              <w:ind w:left="0" w:right="0"/>
              <w:jc w:val="left"/>
            </w:pPr>
            <w:r w:rsidRPr="00FB47C1">
              <w:t>ECE/TRANS/WP.15/AC.1/2023/16 (Pol</w:t>
            </w:r>
            <w:r>
              <w:t>ogne</w:t>
            </w:r>
            <w:r w:rsidRPr="00FB47C1">
              <w:t>)</w:t>
            </w:r>
          </w:p>
        </w:tc>
        <w:tc>
          <w:tcPr>
            <w:tcW w:w="4767" w:type="dxa"/>
          </w:tcPr>
          <w:p w14:paraId="1F65A458" w14:textId="2539A501" w:rsidR="005A5EC2" w:rsidRPr="00D56A8F" w:rsidRDefault="005A5EC2" w:rsidP="005A5EC2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1E6001">
              <w:t>Modification des définitions des termes «</w:t>
            </w:r>
            <w:r>
              <w:t> </w:t>
            </w:r>
            <w:r w:rsidRPr="001E6001">
              <w:t>citerne en PRF</w:t>
            </w:r>
            <w:r>
              <w:t> </w:t>
            </w:r>
            <w:r w:rsidRPr="001E6001">
              <w:t>» et «</w:t>
            </w:r>
            <w:r>
              <w:t> </w:t>
            </w:r>
            <w:r w:rsidRPr="001E6001">
              <w:t>réservoir en PRF</w:t>
            </w:r>
            <w:r>
              <w:t> </w:t>
            </w:r>
            <w:r w:rsidRPr="001E6001">
              <w:t>» au chapitre 6.9 du RID et de l’ADR 2023</w:t>
            </w:r>
          </w:p>
        </w:tc>
      </w:tr>
    </w:tbl>
    <w:p w14:paraId="579D87A5" w14:textId="77777777" w:rsidR="005A5EC2" w:rsidRPr="00D56A8F" w:rsidRDefault="005A5EC2" w:rsidP="005A5EC2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3.</w:t>
      </w:r>
      <w:r w:rsidRPr="00D56A8F">
        <w:rPr>
          <w:lang w:val="fr-FR"/>
        </w:rPr>
        <w:tab/>
        <w:t>Normes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4767"/>
      </w:tblGrid>
      <w:tr w:rsidR="005A5EC2" w:rsidRPr="00D56A8F" w14:paraId="12BE83E8" w14:textId="77777777" w:rsidTr="0023581A">
        <w:tc>
          <w:tcPr>
            <w:tcW w:w="3738" w:type="dxa"/>
          </w:tcPr>
          <w:p w14:paraId="5169B615" w14:textId="77777777" w:rsidR="005A5EC2" w:rsidRPr="00903ADC" w:rsidRDefault="005A5EC2" w:rsidP="005A5EC2">
            <w:pPr>
              <w:pStyle w:val="SingleTxtG"/>
              <w:spacing w:before="120"/>
              <w:ind w:left="0" w:right="0"/>
              <w:jc w:val="left"/>
              <w:rPr>
                <w:lang w:val="en-US"/>
              </w:rPr>
            </w:pPr>
            <w:r w:rsidRPr="00903ADC">
              <w:rPr>
                <w:lang w:val="en-US"/>
              </w:rPr>
              <w:t>ECE/TRANS/WP.15/AC.1/202</w:t>
            </w:r>
            <w:r>
              <w:rPr>
                <w:lang w:val="en-US"/>
              </w:rPr>
              <w:t>3</w:t>
            </w:r>
            <w:r w:rsidRPr="00903ADC">
              <w:rPr>
                <w:lang w:val="en-US"/>
              </w:rPr>
              <w:t>/</w:t>
            </w:r>
            <w:r>
              <w:rPr>
                <w:lang w:val="en-US"/>
              </w:rPr>
              <w:t>12</w:t>
            </w:r>
            <w:r w:rsidRPr="00903ADC">
              <w:rPr>
                <w:lang w:val="en-US"/>
              </w:rPr>
              <w:t xml:space="preserve"> (CEN)</w:t>
            </w:r>
          </w:p>
        </w:tc>
        <w:tc>
          <w:tcPr>
            <w:tcW w:w="4767" w:type="dxa"/>
          </w:tcPr>
          <w:p w14:paraId="5F7B281B" w14:textId="77777777" w:rsidR="005A5EC2" w:rsidRPr="00D56A8F" w:rsidRDefault="005A5EC2" w:rsidP="005A5EC2">
            <w:pPr>
              <w:pStyle w:val="SingleTxtG"/>
              <w:spacing w:before="120"/>
              <w:ind w:left="0" w:right="0"/>
              <w:jc w:val="left"/>
              <w:rPr>
                <w:lang w:val="fr-FR"/>
              </w:rPr>
            </w:pPr>
            <w:r w:rsidRPr="00D56A8F">
              <w:rPr>
                <w:lang w:val="fr-FR"/>
              </w:rPr>
              <w:t>Informations sur les activités du Groupe de travail des</w:t>
            </w:r>
            <w:r>
              <w:rPr>
                <w:lang w:val="fr-FR"/>
              </w:rPr>
              <w:t> </w:t>
            </w:r>
            <w:r w:rsidRPr="00D56A8F">
              <w:rPr>
                <w:lang w:val="fr-FR"/>
              </w:rPr>
              <w:t xml:space="preserve">normes </w:t>
            </w:r>
          </w:p>
        </w:tc>
      </w:tr>
    </w:tbl>
    <w:p w14:paraId="31D70491" w14:textId="77777777" w:rsidR="005A5EC2" w:rsidRPr="00D56A8F" w:rsidRDefault="005A5EC2" w:rsidP="005A5EC2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4.</w:t>
      </w:r>
      <w:r w:rsidRPr="00D56A8F">
        <w:rPr>
          <w:lang w:val="fr-FR"/>
        </w:rPr>
        <w:tab/>
      </w:r>
      <w:r w:rsidRPr="001E6001">
        <w:rPr>
          <w:lang w:val="fr-FR"/>
        </w:rPr>
        <w:t>Interprétation du RID, de l’ADR et de l’ADN</w:t>
      </w:r>
    </w:p>
    <w:p w14:paraId="20D70BBD" w14:textId="77777777" w:rsidR="005A5EC2" w:rsidRPr="00D56A8F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Aucun document n</w:t>
      </w:r>
      <w:r>
        <w:rPr>
          <w:lang w:val="fr-FR"/>
        </w:rPr>
        <w:t>’</w:t>
      </w:r>
      <w:r w:rsidRPr="00D56A8F">
        <w:rPr>
          <w:lang w:val="fr-FR"/>
        </w:rPr>
        <w:t>a été soumis au titre de ce point de l</w:t>
      </w:r>
      <w:r>
        <w:rPr>
          <w:lang w:val="fr-FR"/>
        </w:rPr>
        <w:t>’</w:t>
      </w:r>
      <w:r w:rsidRPr="00D56A8F">
        <w:rPr>
          <w:lang w:val="fr-FR"/>
        </w:rPr>
        <w:t>ordre du jour.</w:t>
      </w:r>
    </w:p>
    <w:p w14:paraId="74EA1C10" w14:textId="77777777" w:rsidR="005A5EC2" w:rsidRPr="007674AE" w:rsidRDefault="005A5EC2" w:rsidP="005A5EC2">
      <w:pPr>
        <w:pStyle w:val="HChG"/>
        <w:rPr>
          <w:lang w:val="fr-FR"/>
        </w:rPr>
      </w:pPr>
      <w:r w:rsidRPr="007674AE">
        <w:rPr>
          <w:lang w:val="fr-FR"/>
        </w:rPr>
        <w:tab/>
        <w:t>5.</w:t>
      </w:r>
      <w:r w:rsidRPr="007674AE">
        <w:rPr>
          <w:lang w:val="fr-FR"/>
        </w:rPr>
        <w:tab/>
      </w:r>
      <w:r w:rsidRPr="005A5EC2">
        <w:t>Propositions</w:t>
      </w:r>
      <w:r w:rsidRPr="007674AE">
        <w:rPr>
          <w:lang w:val="fr-FR"/>
        </w:rPr>
        <w:t xml:space="preserve"> d’amendements au RID, à l’ADR et à l’ADN</w:t>
      </w:r>
    </w:p>
    <w:p w14:paraId="544379D0" w14:textId="77777777" w:rsidR="005A5EC2" w:rsidRPr="00D56A8F" w:rsidRDefault="005A5EC2" w:rsidP="005A5EC2">
      <w:pPr>
        <w:pStyle w:val="H1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a)</w:t>
      </w:r>
      <w:r w:rsidRPr="00D56A8F">
        <w:rPr>
          <w:lang w:val="fr-FR"/>
        </w:rPr>
        <w:tab/>
      </w:r>
      <w:r w:rsidRPr="005A5EC2">
        <w:t>Questions</w:t>
      </w:r>
      <w:r w:rsidRPr="00D56A8F">
        <w:rPr>
          <w:lang w:val="fr-FR"/>
        </w:rPr>
        <w:t xml:space="preserve"> en suspens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5A5EC2" w:rsidRPr="00D56A8F" w14:paraId="25950430" w14:textId="77777777" w:rsidTr="0023581A">
        <w:tc>
          <w:tcPr>
            <w:tcW w:w="3654" w:type="dxa"/>
          </w:tcPr>
          <w:p w14:paraId="3BA4FEE6" w14:textId="77777777" w:rsidR="005A5EC2" w:rsidRPr="00D56A8F" w:rsidRDefault="005A5EC2" w:rsidP="005A5EC2">
            <w:pPr>
              <w:pStyle w:val="SingleTxtG"/>
              <w:ind w:left="0" w:right="0"/>
              <w:jc w:val="left"/>
              <w:rPr>
                <w:lang w:val="fr-FR"/>
              </w:rPr>
            </w:pPr>
            <w:r>
              <w:t>ECE/TRANS/WP.15/AC.1/2023/1 (Secrétariat)</w:t>
            </w:r>
          </w:p>
        </w:tc>
        <w:tc>
          <w:tcPr>
            <w:tcW w:w="4851" w:type="dxa"/>
          </w:tcPr>
          <w:p w14:paraId="43D38B55" w14:textId="3C590827" w:rsidR="005A5EC2" w:rsidRPr="00D56A8F" w:rsidRDefault="005A5EC2" w:rsidP="005A5EC2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BE2E6E">
              <w:t xml:space="preserve">Dispositions spéciales 532 et 543 dans le RID, l’ADR </w:t>
            </w:r>
            <w:r>
              <w:br/>
            </w:r>
            <w:r w:rsidRPr="00BE2E6E">
              <w:t>et l’ADN</w:t>
            </w:r>
          </w:p>
        </w:tc>
      </w:tr>
      <w:tr w:rsidR="005A5EC2" w:rsidRPr="00D56A8F" w14:paraId="0DF518C0" w14:textId="77777777" w:rsidTr="0023581A">
        <w:tc>
          <w:tcPr>
            <w:tcW w:w="3654" w:type="dxa"/>
          </w:tcPr>
          <w:p w14:paraId="60CE63C7" w14:textId="77777777" w:rsidR="005A5EC2" w:rsidRPr="001E3B26" w:rsidRDefault="005A5EC2" w:rsidP="005A5EC2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1E3B26">
              <w:rPr>
                <w:lang w:val="en-US"/>
              </w:rPr>
              <w:t>ECE/TRANS/WP.15/AC.1/2023/4 (IASA)</w:t>
            </w:r>
          </w:p>
        </w:tc>
        <w:tc>
          <w:tcPr>
            <w:tcW w:w="4851" w:type="dxa"/>
          </w:tcPr>
          <w:p w14:paraId="68D6A7ED" w14:textId="77777777" w:rsidR="005A5EC2" w:rsidRPr="00D56A8F" w:rsidRDefault="005A5EC2" w:rsidP="005A5EC2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BE2E6E">
              <w:t>Amendement à la disposition spéciale 668</w:t>
            </w:r>
          </w:p>
        </w:tc>
      </w:tr>
      <w:tr w:rsidR="005A5EC2" w:rsidRPr="00D56A8F" w14:paraId="60A80312" w14:textId="77777777" w:rsidTr="0023581A">
        <w:tc>
          <w:tcPr>
            <w:tcW w:w="3654" w:type="dxa"/>
          </w:tcPr>
          <w:p w14:paraId="0EC33593" w14:textId="77777777" w:rsidR="005A5EC2" w:rsidRPr="001E3B26" w:rsidRDefault="005A5EC2" w:rsidP="005A5EC2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1E3B26">
              <w:rPr>
                <w:lang w:val="en-US"/>
              </w:rPr>
              <w:t>ECE/TRANS/WP.15/AC.1/2023/22 (COSTHA)</w:t>
            </w:r>
          </w:p>
        </w:tc>
        <w:tc>
          <w:tcPr>
            <w:tcW w:w="4851" w:type="dxa"/>
          </w:tcPr>
          <w:p w14:paraId="71EB083D" w14:textId="77777777" w:rsidR="005A5EC2" w:rsidRPr="00D56A8F" w:rsidRDefault="005A5EC2" w:rsidP="005A5EC2">
            <w:pPr>
              <w:pStyle w:val="SingleTxtG"/>
              <w:ind w:left="0" w:right="0"/>
              <w:jc w:val="left"/>
              <w:rPr>
                <w:lang w:val="fr-FR"/>
              </w:rPr>
            </w:pPr>
            <w:r w:rsidRPr="001E3B26">
              <w:t>Services en ligne de livraison de produits de consommation courante</w:t>
            </w:r>
          </w:p>
        </w:tc>
      </w:tr>
    </w:tbl>
    <w:p w14:paraId="288AAD92" w14:textId="77777777" w:rsidR="005A5EC2" w:rsidRPr="00D56A8F" w:rsidRDefault="005A5EC2" w:rsidP="005A5EC2">
      <w:pPr>
        <w:pStyle w:val="H1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b)</w:t>
      </w:r>
      <w:r w:rsidRPr="00D56A8F">
        <w:rPr>
          <w:lang w:val="fr-FR"/>
        </w:rPr>
        <w:tab/>
        <w:t>Nouvelles propositions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5A5EC2" w:rsidRPr="00BE2E6E" w14:paraId="6603D025" w14:textId="77777777" w:rsidTr="0023581A">
        <w:tc>
          <w:tcPr>
            <w:tcW w:w="3654" w:type="dxa"/>
          </w:tcPr>
          <w:p w14:paraId="6B318052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BE2E6E">
              <w:rPr>
                <w:rFonts w:eastAsia="Times New Roman"/>
                <w:lang w:val="fr-FR" w:eastAsia="fr-FR"/>
              </w:rPr>
              <w:t>ECE/TRANS/WP.15/AC.1/2023/2 (</w:t>
            </w:r>
            <w:r w:rsidRPr="00566D40">
              <w:rPr>
                <w:rFonts w:eastAsia="Times New Roman"/>
                <w:lang w:val="fr-FR" w:eastAsia="fr-FR"/>
              </w:rPr>
              <w:t>Allemagne</w:t>
            </w:r>
            <w:r w:rsidRPr="00BE2E6E">
              <w:rPr>
                <w:rFonts w:eastAsia="Times New Roman"/>
                <w:lang w:val="fr-FR" w:eastAsia="fr-FR"/>
              </w:rPr>
              <w:t>)</w:t>
            </w:r>
          </w:p>
        </w:tc>
        <w:tc>
          <w:tcPr>
            <w:tcW w:w="4851" w:type="dxa"/>
          </w:tcPr>
          <w:p w14:paraId="6514B22A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>Tableau A du RID et de l’ADR : No ONU 3550, code manquant pour l’emballage en commun dans la colonne (9b)</w:t>
            </w:r>
          </w:p>
        </w:tc>
      </w:tr>
      <w:tr w:rsidR="005A5EC2" w:rsidRPr="00BE2E6E" w14:paraId="59D331ED" w14:textId="77777777" w:rsidTr="0023581A">
        <w:tc>
          <w:tcPr>
            <w:tcW w:w="3654" w:type="dxa"/>
          </w:tcPr>
          <w:p w14:paraId="3B5501F2" w14:textId="77777777" w:rsidR="005A5EC2" w:rsidRPr="001E3B26" w:rsidRDefault="005A5EC2" w:rsidP="005A5EC2">
            <w:pPr>
              <w:keepNext/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en-US" w:eastAsia="fr-FR"/>
              </w:rPr>
            </w:pPr>
            <w:r w:rsidRPr="001E3B26">
              <w:rPr>
                <w:rFonts w:eastAsia="Times New Roman"/>
                <w:lang w:val="en-US" w:eastAsia="fr-FR"/>
              </w:rPr>
              <w:t>ECE/TRANS/WP.15/AC.1/2023/5 (IASA)</w:t>
            </w:r>
          </w:p>
        </w:tc>
        <w:tc>
          <w:tcPr>
            <w:tcW w:w="4851" w:type="dxa"/>
          </w:tcPr>
          <w:p w14:paraId="473866F9" w14:textId="77777777" w:rsidR="005A5EC2" w:rsidRPr="00BE2E6E" w:rsidRDefault="005A5EC2" w:rsidP="005A5EC2">
            <w:pPr>
              <w:keepNext/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>Indication de l’année sur les consignes écrites</w:t>
            </w:r>
          </w:p>
        </w:tc>
      </w:tr>
      <w:tr w:rsidR="005A5EC2" w:rsidRPr="00BE2E6E" w14:paraId="799613D9" w14:textId="77777777" w:rsidTr="0023581A">
        <w:tc>
          <w:tcPr>
            <w:tcW w:w="3654" w:type="dxa"/>
          </w:tcPr>
          <w:p w14:paraId="162F3847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en-US" w:eastAsia="fr-FR"/>
              </w:rPr>
            </w:pPr>
            <w:r w:rsidRPr="001E3B26">
              <w:rPr>
                <w:rFonts w:eastAsia="Times New Roman"/>
                <w:lang w:val="en-US" w:eastAsia="fr-FR"/>
              </w:rPr>
              <w:t>ECE/TRANS/WP.15/AC.1/2023/6 (IASA)</w:t>
            </w:r>
          </w:p>
        </w:tc>
        <w:tc>
          <w:tcPr>
            <w:tcW w:w="4851" w:type="dxa"/>
          </w:tcPr>
          <w:p w14:paraId="2C8EB3D7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>Prescriptions de l’ADR et de l’ADN concernant la langue du document de transport</w:t>
            </w:r>
          </w:p>
        </w:tc>
      </w:tr>
      <w:tr w:rsidR="005A5EC2" w:rsidRPr="00BE2E6E" w14:paraId="00CF3A49" w14:textId="77777777" w:rsidTr="0023581A">
        <w:tc>
          <w:tcPr>
            <w:tcW w:w="3654" w:type="dxa"/>
          </w:tcPr>
          <w:p w14:paraId="0D845662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en-US" w:eastAsia="fr-FR"/>
              </w:rPr>
            </w:pPr>
            <w:r w:rsidRPr="001E3B26">
              <w:rPr>
                <w:rFonts w:eastAsia="Times New Roman"/>
                <w:lang w:val="en-US" w:eastAsia="fr-FR"/>
              </w:rPr>
              <w:t>ECE/TRANS/WP.15/AC.1/2023/7 (IASA)</w:t>
            </w:r>
          </w:p>
        </w:tc>
        <w:tc>
          <w:tcPr>
            <w:tcW w:w="4851" w:type="dxa"/>
          </w:tcPr>
          <w:p w14:paraId="28F2AC78" w14:textId="5CC8083C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>Harmonisation des définitions de «</w:t>
            </w:r>
            <w:r>
              <w:rPr>
                <w:rFonts w:eastAsia="Times New Roman"/>
                <w:lang w:val="fr-FR" w:eastAsia="fr-FR"/>
              </w:rPr>
              <w:t> </w:t>
            </w:r>
            <w:r w:rsidRPr="00566D40">
              <w:rPr>
                <w:rFonts w:eastAsia="Times New Roman"/>
                <w:lang w:val="fr-FR" w:eastAsia="fr-FR"/>
              </w:rPr>
              <w:t>wagon couvert</w:t>
            </w:r>
            <w:r>
              <w:rPr>
                <w:rFonts w:eastAsia="Times New Roman"/>
                <w:lang w:val="fr-FR" w:eastAsia="fr-FR"/>
              </w:rPr>
              <w:t> </w:t>
            </w:r>
            <w:r w:rsidRPr="00566D40">
              <w:rPr>
                <w:rFonts w:eastAsia="Times New Roman"/>
                <w:lang w:val="fr-FR" w:eastAsia="fr-FR"/>
              </w:rPr>
              <w:t>», «</w:t>
            </w:r>
            <w:r>
              <w:rPr>
                <w:rFonts w:eastAsia="Times New Roman"/>
                <w:lang w:val="fr-FR" w:eastAsia="fr-FR"/>
              </w:rPr>
              <w:t> </w:t>
            </w:r>
            <w:r w:rsidRPr="00566D40">
              <w:rPr>
                <w:rFonts w:eastAsia="Times New Roman"/>
                <w:lang w:val="fr-FR" w:eastAsia="fr-FR"/>
              </w:rPr>
              <w:t>véhicule couvert</w:t>
            </w:r>
            <w:r>
              <w:rPr>
                <w:rFonts w:eastAsia="Times New Roman"/>
                <w:lang w:val="fr-FR" w:eastAsia="fr-FR"/>
              </w:rPr>
              <w:t> </w:t>
            </w:r>
            <w:r w:rsidRPr="00566D40">
              <w:rPr>
                <w:rFonts w:eastAsia="Times New Roman"/>
                <w:lang w:val="fr-FR" w:eastAsia="fr-FR"/>
              </w:rPr>
              <w:t>» et «</w:t>
            </w:r>
            <w:r>
              <w:rPr>
                <w:rFonts w:eastAsia="Times New Roman"/>
                <w:lang w:val="fr-FR" w:eastAsia="fr-FR"/>
              </w:rPr>
              <w:t> </w:t>
            </w:r>
            <w:r w:rsidRPr="00566D40">
              <w:rPr>
                <w:rFonts w:eastAsia="Times New Roman"/>
                <w:lang w:val="fr-FR" w:eastAsia="fr-FR"/>
              </w:rPr>
              <w:t>conteneur fermé</w:t>
            </w:r>
            <w:r>
              <w:rPr>
                <w:rFonts w:eastAsia="Times New Roman"/>
                <w:lang w:val="fr-FR" w:eastAsia="fr-FR"/>
              </w:rPr>
              <w:t> </w:t>
            </w:r>
            <w:r w:rsidRPr="00566D40">
              <w:rPr>
                <w:rFonts w:eastAsia="Times New Roman"/>
                <w:lang w:val="fr-FR" w:eastAsia="fr-FR"/>
              </w:rPr>
              <w:t>»</w:t>
            </w:r>
          </w:p>
        </w:tc>
      </w:tr>
      <w:tr w:rsidR="005A5EC2" w:rsidRPr="00BE2E6E" w14:paraId="2938C79E" w14:textId="77777777" w:rsidTr="0023581A">
        <w:tc>
          <w:tcPr>
            <w:tcW w:w="3654" w:type="dxa"/>
          </w:tcPr>
          <w:p w14:paraId="28FBA8F6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en-US" w:eastAsia="fr-FR"/>
              </w:rPr>
            </w:pPr>
            <w:r w:rsidRPr="001E3B26">
              <w:rPr>
                <w:rFonts w:eastAsia="Times New Roman"/>
                <w:lang w:val="en-US" w:eastAsia="fr-FR"/>
              </w:rPr>
              <w:t>ECE/TRANS/WP.15/AC.1/2023/8 (IASA)</w:t>
            </w:r>
          </w:p>
        </w:tc>
        <w:tc>
          <w:tcPr>
            <w:tcW w:w="4851" w:type="dxa"/>
          </w:tcPr>
          <w:p w14:paraId="598D9FD0" w14:textId="30AC851B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 xml:space="preserve">Conseiller à la sécurité pour le transport de certains types de marchandises dangereuses </w:t>
            </w:r>
            <w:r>
              <w:rPr>
                <w:rFonts w:eastAsia="Times New Roman"/>
                <w:lang w:val="fr-FR" w:eastAsia="fr-FR"/>
              </w:rPr>
              <w:t>−</w:t>
            </w:r>
            <w:r w:rsidRPr="00566D40">
              <w:rPr>
                <w:rFonts w:eastAsia="Times New Roman"/>
                <w:lang w:val="fr-FR" w:eastAsia="fr-FR"/>
              </w:rPr>
              <w:t xml:space="preserve"> paragraphe</w:t>
            </w:r>
            <w:r>
              <w:rPr>
                <w:rFonts w:eastAsia="Times New Roman"/>
                <w:lang w:val="fr-FR" w:eastAsia="fr-FR"/>
              </w:rPr>
              <w:t> </w:t>
            </w:r>
            <w:r w:rsidRPr="00566D40">
              <w:rPr>
                <w:rFonts w:eastAsia="Times New Roman"/>
                <w:lang w:val="fr-FR" w:eastAsia="fr-FR"/>
              </w:rPr>
              <w:t>1.8.3.13 du RID et de l’ADR</w:t>
            </w:r>
          </w:p>
        </w:tc>
      </w:tr>
      <w:tr w:rsidR="005A5EC2" w:rsidRPr="00BE2E6E" w14:paraId="5640886E" w14:textId="77777777" w:rsidTr="0023581A">
        <w:tc>
          <w:tcPr>
            <w:tcW w:w="3654" w:type="dxa"/>
          </w:tcPr>
          <w:p w14:paraId="024EBA7D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fr-FR" w:eastAsia="fr-FR"/>
              </w:rPr>
            </w:pPr>
            <w:r w:rsidRPr="00BE2E6E">
              <w:rPr>
                <w:rFonts w:eastAsia="Times New Roman"/>
                <w:lang w:val="fr-FR" w:eastAsia="fr-FR"/>
              </w:rPr>
              <w:t>ECE/TRANS/WP.15/AC.1/2023/9 (</w:t>
            </w:r>
            <w:r w:rsidRPr="00566D40">
              <w:rPr>
                <w:rFonts w:eastAsia="Times New Roman"/>
                <w:lang w:val="fr-FR" w:eastAsia="fr-FR"/>
              </w:rPr>
              <w:t>Secrétariats de l’</w:t>
            </w:r>
            <w:r w:rsidRPr="00BE2E6E">
              <w:rPr>
                <w:rFonts w:eastAsia="Times New Roman"/>
                <w:lang w:val="fr-FR" w:eastAsia="fr-FR"/>
              </w:rPr>
              <w:t xml:space="preserve">OTIF </w:t>
            </w:r>
            <w:r w:rsidRPr="00566D40">
              <w:rPr>
                <w:rFonts w:eastAsia="Times New Roman"/>
                <w:lang w:val="fr-FR" w:eastAsia="fr-FR"/>
              </w:rPr>
              <w:t>et de la</w:t>
            </w:r>
            <w:r w:rsidRPr="00BE2E6E">
              <w:rPr>
                <w:rFonts w:eastAsia="Times New Roman"/>
                <w:lang w:val="fr-FR" w:eastAsia="fr-FR"/>
              </w:rPr>
              <w:t xml:space="preserve"> CCNR)</w:t>
            </w:r>
          </w:p>
        </w:tc>
        <w:tc>
          <w:tcPr>
            <w:tcW w:w="4851" w:type="dxa"/>
          </w:tcPr>
          <w:p w14:paraId="215508D5" w14:textId="3EFE48BE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>Harmonisation du</w:t>
            </w:r>
            <w:r w:rsidRPr="00BE2E6E">
              <w:rPr>
                <w:rFonts w:eastAsia="Times New Roman"/>
                <w:lang w:val="fr-FR" w:eastAsia="fr-FR"/>
              </w:rPr>
              <w:t xml:space="preserve"> 1.4.2.1.1</w:t>
            </w:r>
            <w:r>
              <w:rPr>
                <w:rFonts w:eastAsia="Times New Roman"/>
                <w:lang w:val="fr-FR" w:eastAsia="fr-FR"/>
              </w:rPr>
              <w:t> </w:t>
            </w:r>
            <w:r w:rsidRPr="00BE2E6E">
              <w:rPr>
                <w:rFonts w:eastAsia="Times New Roman"/>
                <w:lang w:val="fr-FR" w:eastAsia="fr-FR"/>
              </w:rPr>
              <w:t xml:space="preserve">e) </w:t>
            </w:r>
            <w:r w:rsidRPr="00566D40">
              <w:rPr>
                <w:rFonts w:eastAsia="Times New Roman"/>
                <w:lang w:val="fr-FR" w:eastAsia="fr-FR"/>
              </w:rPr>
              <w:t>dans les différentes versions linguistiques du</w:t>
            </w:r>
            <w:r w:rsidRPr="00BE2E6E">
              <w:rPr>
                <w:rFonts w:eastAsia="Times New Roman"/>
                <w:lang w:val="fr-FR" w:eastAsia="fr-FR"/>
              </w:rPr>
              <w:t xml:space="preserve"> RID, </w:t>
            </w:r>
            <w:r w:rsidRPr="00566D40">
              <w:rPr>
                <w:rFonts w:eastAsia="Times New Roman"/>
                <w:lang w:val="fr-FR" w:eastAsia="fr-FR"/>
              </w:rPr>
              <w:t>de l’</w:t>
            </w:r>
            <w:r w:rsidRPr="00BE2E6E">
              <w:rPr>
                <w:rFonts w:eastAsia="Times New Roman"/>
                <w:lang w:val="fr-FR" w:eastAsia="fr-FR"/>
              </w:rPr>
              <w:t xml:space="preserve">ADR </w:t>
            </w:r>
            <w:r w:rsidRPr="00566D40">
              <w:rPr>
                <w:rFonts w:eastAsia="Times New Roman"/>
                <w:lang w:val="fr-FR" w:eastAsia="fr-FR"/>
              </w:rPr>
              <w:t>et de l’</w:t>
            </w:r>
            <w:r w:rsidRPr="00BE2E6E">
              <w:rPr>
                <w:rFonts w:eastAsia="Times New Roman"/>
                <w:lang w:val="fr-FR" w:eastAsia="fr-FR"/>
              </w:rPr>
              <w:t>ADN</w:t>
            </w:r>
          </w:p>
        </w:tc>
      </w:tr>
      <w:tr w:rsidR="005A5EC2" w:rsidRPr="00BE2E6E" w14:paraId="5CFF8691" w14:textId="77777777" w:rsidTr="0023581A">
        <w:tc>
          <w:tcPr>
            <w:tcW w:w="3654" w:type="dxa"/>
          </w:tcPr>
          <w:p w14:paraId="04BEC586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fr-FR" w:eastAsia="fr-FR"/>
              </w:rPr>
            </w:pPr>
            <w:r w:rsidRPr="00BE2E6E">
              <w:rPr>
                <w:rFonts w:eastAsia="Times New Roman"/>
                <w:lang w:val="fr-FR" w:eastAsia="fr-FR"/>
              </w:rPr>
              <w:t>ECE/TRANS/WP.15/AC.1/2023/10 (</w:t>
            </w:r>
            <w:r w:rsidRPr="00566D40">
              <w:rPr>
                <w:rFonts w:eastAsia="Times New Roman"/>
                <w:lang w:val="fr-FR" w:eastAsia="fr-FR"/>
              </w:rPr>
              <w:t>Allemagne</w:t>
            </w:r>
            <w:r w:rsidRPr="00BE2E6E">
              <w:rPr>
                <w:rFonts w:eastAsia="Times New Roman"/>
                <w:lang w:val="fr-FR" w:eastAsia="fr-FR"/>
              </w:rPr>
              <w:t>)</w:t>
            </w:r>
          </w:p>
        </w:tc>
        <w:tc>
          <w:tcPr>
            <w:tcW w:w="4851" w:type="dxa"/>
          </w:tcPr>
          <w:p w14:paraId="25AC45D3" w14:textId="03FA6429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 xml:space="preserve">Paragraphe 6.2.3 du RID et de l'ADR </w:t>
            </w:r>
            <w:r>
              <w:rPr>
                <w:rFonts w:eastAsia="Times New Roman"/>
                <w:lang w:val="fr-FR" w:eastAsia="fr-FR"/>
              </w:rPr>
              <w:t>−</w:t>
            </w:r>
            <w:r w:rsidRPr="00566D40">
              <w:rPr>
                <w:rFonts w:eastAsia="Times New Roman"/>
                <w:lang w:val="fr-FR" w:eastAsia="fr-FR"/>
              </w:rPr>
              <w:t xml:space="preserve"> Prescriptions applicables aux dispositifs de décompression pour récipients à pression « non UN » qui se déclenchent en fonction de la pression</w:t>
            </w:r>
          </w:p>
        </w:tc>
      </w:tr>
      <w:tr w:rsidR="005A5EC2" w:rsidRPr="00BE2E6E" w14:paraId="04CF2328" w14:textId="77777777" w:rsidTr="0023581A">
        <w:tc>
          <w:tcPr>
            <w:tcW w:w="3654" w:type="dxa"/>
          </w:tcPr>
          <w:p w14:paraId="51DA5D7D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fr-FR" w:eastAsia="fr-FR"/>
              </w:rPr>
            </w:pPr>
            <w:r w:rsidRPr="00BE2E6E">
              <w:rPr>
                <w:rFonts w:eastAsia="Times New Roman"/>
                <w:lang w:val="fr-FR" w:eastAsia="fr-FR"/>
              </w:rPr>
              <w:t>ECE/TRANS/WP.15/AC.1/2023/11 (</w:t>
            </w:r>
            <w:r w:rsidRPr="00566D40">
              <w:rPr>
                <w:rFonts w:eastAsia="Times New Roman"/>
                <w:lang w:val="fr-FR" w:eastAsia="fr-FR"/>
              </w:rPr>
              <w:t>Allemagne</w:t>
            </w:r>
            <w:r w:rsidRPr="00BE2E6E">
              <w:rPr>
                <w:rFonts w:eastAsia="Times New Roman"/>
                <w:lang w:val="fr-FR" w:eastAsia="fr-FR"/>
              </w:rPr>
              <w:t>)</w:t>
            </w:r>
          </w:p>
        </w:tc>
        <w:tc>
          <w:tcPr>
            <w:tcW w:w="4851" w:type="dxa"/>
          </w:tcPr>
          <w:p w14:paraId="41416511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>Modification de l’instruction d’emballage</w:t>
            </w:r>
            <w:r w:rsidRPr="00BE2E6E">
              <w:rPr>
                <w:rFonts w:eastAsia="Times New Roman"/>
                <w:lang w:val="fr-FR" w:eastAsia="fr-FR"/>
              </w:rPr>
              <w:t xml:space="preserve"> P200 </w:t>
            </w:r>
            <w:r w:rsidRPr="00566D40">
              <w:rPr>
                <w:rFonts w:eastAsia="Times New Roman"/>
                <w:lang w:val="fr-FR" w:eastAsia="fr-FR"/>
              </w:rPr>
              <w:t>au</w:t>
            </w:r>
            <w:r w:rsidRPr="00BE2E6E">
              <w:rPr>
                <w:rFonts w:eastAsia="Times New Roman"/>
                <w:lang w:val="fr-FR" w:eastAsia="fr-FR"/>
              </w:rPr>
              <w:t xml:space="preserve"> 4.1.4.1</w:t>
            </w:r>
            <w:r w:rsidRPr="00566D40">
              <w:rPr>
                <w:rFonts w:eastAsia="Times New Roman"/>
                <w:lang w:val="fr-FR" w:eastAsia="fr-FR"/>
              </w:rPr>
              <w:t> </w:t>
            </w:r>
            <w:r w:rsidRPr="00BE2E6E">
              <w:rPr>
                <w:rFonts w:eastAsia="Times New Roman"/>
                <w:lang w:val="fr-FR" w:eastAsia="fr-FR"/>
              </w:rPr>
              <w:t xml:space="preserve">: </w:t>
            </w:r>
            <w:r w:rsidRPr="00566D40">
              <w:rPr>
                <w:rFonts w:eastAsia="Times New Roman"/>
                <w:lang w:val="fr-FR" w:eastAsia="fr-FR"/>
              </w:rPr>
              <w:t>dispositifs de d</w:t>
            </w:r>
            <w:r>
              <w:rPr>
                <w:rFonts w:eastAsia="Times New Roman"/>
                <w:lang w:val="fr-FR" w:eastAsia="fr-FR"/>
              </w:rPr>
              <w:t>é</w:t>
            </w:r>
            <w:r w:rsidRPr="00566D40">
              <w:rPr>
                <w:rFonts w:eastAsia="Times New Roman"/>
                <w:lang w:val="fr-FR" w:eastAsia="fr-FR"/>
              </w:rPr>
              <w:t xml:space="preserve">compression </w:t>
            </w:r>
            <w:r>
              <w:rPr>
                <w:rFonts w:eastAsia="Times New Roman"/>
                <w:lang w:val="fr-FR" w:eastAsia="fr-FR"/>
              </w:rPr>
              <w:t xml:space="preserve">interdits </w:t>
            </w:r>
            <w:r w:rsidRPr="00566D40">
              <w:rPr>
                <w:rFonts w:eastAsia="Times New Roman"/>
                <w:lang w:val="fr-FR" w:eastAsia="fr-FR"/>
              </w:rPr>
              <w:t xml:space="preserve">pour les bouteilles d’acétylène </w:t>
            </w:r>
            <w:r>
              <w:rPr>
                <w:rFonts w:eastAsia="Times New Roman"/>
                <w:lang w:val="fr-FR" w:eastAsia="fr-FR"/>
              </w:rPr>
              <w:t>« </w:t>
            </w:r>
            <w:r w:rsidRPr="00566D40">
              <w:rPr>
                <w:rFonts w:eastAsia="Times New Roman"/>
                <w:lang w:val="fr-FR" w:eastAsia="fr-FR"/>
              </w:rPr>
              <w:t>non UN</w:t>
            </w:r>
            <w:r>
              <w:rPr>
                <w:rFonts w:eastAsia="Times New Roman"/>
                <w:lang w:val="fr-FR" w:eastAsia="fr-FR"/>
              </w:rPr>
              <w:t> »</w:t>
            </w:r>
          </w:p>
        </w:tc>
      </w:tr>
      <w:tr w:rsidR="005A5EC2" w:rsidRPr="00BE2E6E" w14:paraId="76CA8F86" w14:textId="77777777" w:rsidTr="0023581A">
        <w:tc>
          <w:tcPr>
            <w:tcW w:w="3654" w:type="dxa"/>
          </w:tcPr>
          <w:p w14:paraId="1984712D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fr-FR" w:eastAsia="fr-FR"/>
              </w:rPr>
            </w:pPr>
            <w:r w:rsidRPr="00BE2E6E">
              <w:rPr>
                <w:rFonts w:eastAsia="Times New Roman"/>
                <w:lang w:val="fr-FR" w:eastAsia="fr-FR"/>
              </w:rPr>
              <w:t>ECE/TRANS/WP.15/AC.1/2023/13 (</w:t>
            </w:r>
            <w:r w:rsidRPr="00566D40">
              <w:rPr>
                <w:rFonts w:eastAsia="Times New Roman"/>
                <w:lang w:val="fr-FR" w:eastAsia="fr-FR"/>
              </w:rPr>
              <w:t>Espagne</w:t>
            </w:r>
            <w:r w:rsidRPr="00BE2E6E">
              <w:rPr>
                <w:rFonts w:eastAsia="Times New Roman"/>
                <w:lang w:val="fr-FR" w:eastAsia="fr-FR"/>
              </w:rPr>
              <w:t>)</w:t>
            </w:r>
          </w:p>
        </w:tc>
        <w:tc>
          <w:tcPr>
            <w:tcW w:w="4851" w:type="dxa"/>
          </w:tcPr>
          <w:p w14:paraId="08F6954E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lang w:val="fr-FR" w:eastAsia="fr-FR"/>
              </w:rPr>
              <w:t>Tirets ou cases vides dans la colonne (15) du tableau A</w:t>
            </w:r>
          </w:p>
        </w:tc>
      </w:tr>
      <w:tr w:rsidR="005A5EC2" w:rsidRPr="00BE2E6E" w14:paraId="6EF80087" w14:textId="77777777" w:rsidTr="0023581A">
        <w:tc>
          <w:tcPr>
            <w:tcW w:w="3654" w:type="dxa"/>
          </w:tcPr>
          <w:p w14:paraId="53F0FEBD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fr-FR" w:eastAsia="fr-FR"/>
              </w:rPr>
            </w:pPr>
            <w:r w:rsidRPr="00BE2E6E">
              <w:rPr>
                <w:rFonts w:eastAsia="Times New Roman"/>
                <w:lang w:val="fr-FR" w:eastAsia="fr-FR"/>
              </w:rPr>
              <w:t>ECE/TRANS/WP.15/AC.1/2023/15 (France)</w:t>
            </w:r>
          </w:p>
        </w:tc>
        <w:tc>
          <w:tcPr>
            <w:tcW w:w="4851" w:type="dxa"/>
          </w:tcPr>
          <w:p w14:paraId="5F698AA0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566D40">
              <w:rPr>
                <w:rFonts w:eastAsia="Times New Roman"/>
                <w:szCs w:val="28"/>
                <w:lang w:val="fr-FR" w:eastAsia="fr-FR"/>
              </w:rPr>
              <w:t>Mention au chapitre 5.4 des prescriptions, concernant la documentation, définies par des dispositions spéciales du chapitre 3.3</w:t>
            </w:r>
          </w:p>
        </w:tc>
      </w:tr>
      <w:tr w:rsidR="005A5EC2" w:rsidRPr="00BE2E6E" w14:paraId="58CE0DE2" w14:textId="77777777" w:rsidTr="0023581A">
        <w:tc>
          <w:tcPr>
            <w:tcW w:w="3654" w:type="dxa"/>
          </w:tcPr>
          <w:p w14:paraId="3B39242B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fr-FR" w:eastAsia="fr-FR"/>
              </w:rPr>
            </w:pPr>
            <w:r w:rsidRPr="00BE2E6E">
              <w:rPr>
                <w:rFonts w:eastAsia="Times New Roman"/>
                <w:lang w:val="fr-FR" w:eastAsia="fr-FR"/>
              </w:rPr>
              <w:t>ECE/TRANS/WP.15/AC.1/2023/18 (</w:t>
            </w:r>
            <w:r w:rsidRPr="00566D40">
              <w:rPr>
                <w:rFonts w:eastAsia="Times New Roman"/>
                <w:lang w:val="fr-FR" w:eastAsia="fr-FR"/>
              </w:rPr>
              <w:t>Royaume-Uni</w:t>
            </w:r>
            <w:r w:rsidRPr="00BE2E6E">
              <w:rPr>
                <w:rFonts w:eastAsia="Times New Roman"/>
                <w:lang w:val="fr-FR" w:eastAsia="fr-FR"/>
              </w:rPr>
              <w:t>)</w:t>
            </w:r>
          </w:p>
        </w:tc>
        <w:tc>
          <w:tcPr>
            <w:tcW w:w="4851" w:type="dxa"/>
          </w:tcPr>
          <w:p w14:paraId="1A2D5978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szCs w:val="28"/>
                <w:lang w:val="fr-FR" w:eastAsia="fr-FR"/>
              </w:rPr>
            </w:pPr>
            <w:r w:rsidRPr="00BE2E6E">
              <w:rPr>
                <w:rFonts w:eastAsia="Times New Roman"/>
                <w:lang w:val="fr-FR" w:eastAsia="fr-FR"/>
              </w:rPr>
              <w:t>U</w:t>
            </w:r>
            <w:r>
              <w:rPr>
                <w:rFonts w:eastAsia="Times New Roman"/>
                <w:lang w:val="fr-FR" w:eastAsia="fr-FR"/>
              </w:rPr>
              <w:t>tilisation des grands récipients pour vrac</w:t>
            </w:r>
            <w:r w:rsidRPr="00BE2E6E">
              <w:rPr>
                <w:rFonts w:eastAsia="Times New Roman"/>
                <w:lang w:val="fr-FR" w:eastAsia="fr-FR"/>
              </w:rPr>
              <w:t xml:space="preserve"> </w:t>
            </w:r>
            <w:r>
              <w:rPr>
                <w:rFonts w:eastAsia="Times New Roman"/>
                <w:lang w:val="fr-FR" w:eastAsia="fr-FR"/>
              </w:rPr>
              <w:t>pour l’ammoniac en solution (No ONU 2672) à des concentrations plus élevées</w:t>
            </w:r>
          </w:p>
        </w:tc>
      </w:tr>
      <w:tr w:rsidR="005A5EC2" w:rsidRPr="00BE2E6E" w14:paraId="68446A83" w14:textId="77777777" w:rsidTr="0023581A">
        <w:tc>
          <w:tcPr>
            <w:tcW w:w="3654" w:type="dxa"/>
          </w:tcPr>
          <w:p w14:paraId="73F78744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en-US" w:eastAsia="fr-FR"/>
              </w:rPr>
            </w:pPr>
            <w:r w:rsidRPr="001E3B26">
              <w:rPr>
                <w:rFonts w:eastAsia="Times New Roman"/>
                <w:lang w:val="en-US" w:eastAsia="fr-FR"/>
              </w:rPr>
              <w:t>ECE/TRANS/WP.15/AC.1/2023/19 (FEAD)</w:t>
            </w:r>
          </w:p>
        </w:tc>
        <w:tc>
          <w:tcPr>
            <w:tcW w:w="4851" w:type="dxa"/>
          </w:tcPr>
          <w:p w14:paraId="7A0D38AE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A02AB4">
              <w:rPr>
                <w:rFonts w:eastAsia="Times New Roman"/>
                <w:lang w:val="fr-FR" w:eastAsia="fr-FR"/>
              </w:rPr>
              <w:t>Compatibilité chimique des emballages en matières plastiques contenant des déchets liquides</w:t>
            </w:r>
          </w:p>
        </w:tc>
      </w:tr>
      <w:tr w:rsidR="005A5EC2" w:rsidRPr="00BE2E6E" w14:paraId="1A7ECC21" w14:textId="77777777" w:rsidTr="0023581A">
        <w:tc>
          <w:tcPr>
            <w:tcW w:w="3654" w:type="dxa"/>
          </w:tcPr>
          <w:p w14:paraId="23B714CF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en-US" w:eastAsia="fr-FR"/>
              </w:rPr>
            </w:pPr>
            <w:r w:rsidRPr="001E3B26">
              <w:rPr>
                <w:rFonts w:eastAsia="Times New Roman"/>
                <w:lang w:val="en-US" w:eastAsia="fr-FR"/>
              </w:rPr>
              <w:t>ECE/TRANS/WP.15/AC.1/2023/20 (FEAD)</w:t>
            </w:r>
          </w:p>
        </w:tc>
        <w:tc>
          <w:tcPr>
            <w:tcW w:w="4851" w:type="dxa"/>
          </w:tcPr>
          <w:p w14:paraId="41A60E49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A02AB4">
              <w:rPr>
                <w:rFonts w:eastAsia="Times New Roman"/>
                <w:lang w:val="fr-FR" w:eastAsia="fr-FR"/>
              </w:rPr>
              <w:t>Transport de déchets dans un emballage combiné</w:t>
            </w:r>
          </w:p>
        </w:tc>
      </w:tr>
      <w:tr w:rsidR="005A5EC2" w:rsidRPr="00BE2E6E" w14:paraId="3B46E6A7" w14:textId="77777777" w:rsidTr="0023581A">
        <w:tc>
          <w:tcPr>
            <w:tcW w:w="3654" w:type="dxa"/>
          </w:tcPr>
          <w:p w14:paraId="0D69DE04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val="en-US" w:eastAsia="fr-FR"/>
              </w:rPr>
            </w:pPr>
            <w:r w:rsidRPr="001E3B26">
              <w:rPr>
                <w:rFonts w:eastAsia="Times New Roman"/>
                <w:lang w:val="en-US" w:eastAsia="fr-FR"/>
              </w:rPr>
              <w:t>ECE/TRANS/WP.15/AC.1/2023/21 (FEAD)</w:t>
            </w:r>
          </w:p>
        </w:tc>
        <w:tc>
          <w:tcPr>
            <w:tcW w:w="4851" w:type="dxa"/>
          </w:tcPr>
          <w:p w14:paraId="3176F2A1" w14:textId="77777777" w:rsidR="005A5EC2" w:rsidRPr="00BE2E6E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val="fr-FR" w:eastAsia="fr-FR"/>
              </w:rPr>
            </w:pPr>
            <w:r w:rsidRPr="0076164F">
              <w:rPr>
                <w:rFonts w:eastAsia="Times New Roman"/>
                <w:lang w:val="fr-FR" w:eastAsia="fr-FR"/>
              </w:rPr>
              <w:t>Transport par des particuliers de marchandises dangereuses en tant que déchets</w:t>
            </w:r>
          </w:p>
        </w:tc>
      </w:tr>
    </w:tbl>
    <w:p w14:paraId="2A0B582E" w14:textId="77777777" w:rsidR="005A5EC2" w:rsidRPr="00D56A8F" w:rsidRDefault="005A5EC2" w:rsidP="005A5EC2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6.</w:t>
      </w:r>
      <w:r w:rsidRPr="00D56A8F">
        <w:rPr>
          <w:lang w:val="fr-FR"/>
        </w:rPr>
        <w:tab/>
        <w:t>Rapports des groupes de travail informels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5A5EC2" w:rsidRPr="0076164F" w14:paraId="6D0C97B6" w14:textId="77777777" w:rsidTr="0023581A">
        <w:tc>
          <w:tcPr>
            <w:tcW w:w="3654" w:type="dxa"/>
          </w:tcPr>
          <w:p w14:paraId="1042A971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eastAsia="fr-FR"/>
              </w:rPr>
            </w:pPr>
            <w:r w:rsidRPr="001E3B26">
              <w:rPr>
                <w:rFonts w:eastAsia="Times New Roman"/>
                <w:lang w:eastAsia="fr-FR"/>
              </w:rPr>
              <w:t>ECE/TRANS/WP.15/AC.1/2023/14 (Allemagne)</w:t>
            </w:r>
          </w:p>
        </w:tc>
        <w:tc>
          <w:tcPr>
            <w:tcW w:w="4851" w:type="dxa"/>
          </w:tcPr>
          <w:p w14:paraId="686B0786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jc w:val="both"/>
              <w:rPr>
                <w:rFonts w:eastAsia="Times New Roman"/>
                <w:lang w:eastAsia="fr-FR"/>
              </w:rPr>
            </w:pPr>
            <w:r w:rsidRPr="001E3B26">
              <w:rPr>
                <w:rFonts w:eastAsia="Times New Roman"/>
                <w:lang w:eastAsia="fr-FR"/>
              </w:rPr>
              <w:t>Ajout de dispositions relatives au transport d’aluminium fondu sous le No ONU 3257</w:t>
            </w:r>
          </w:p>
        </w:tc>
      </w:tr>
    </w:tbl>
    <w:p w14:paraId="172520DF" w14:textId="77777777" w:rsidR="005A5EC2" w:rsidRPr="00D56A8F" w:rsidRDefault="005A5EC2" w:rsidP="005A5EC2">
      <w:pPr>
        <w:pStyle w:val="HChG"/>
        <w:rPr>
          <w:lang w:val="fr-FR"/>
        </w:rPr>
      </w:pPr>
      <w:r>
        <w:rPr>
          <w:lang w:val="fr-FR"/>
        </w:rPr>
        <w:tab/>
        <w:t>7</w:t>
      </w:r>
      <w:r w:rsidRPr="00D56A8F">
        <w:rPr>
          <w:lang w:val="fr-FR"/>
        </w:rPr>
        <w:t>.</w:t>
      </w:r>
      <w:r w:rsidRPr="00D56A8F">
        <w:rPr>
          <w:lang w:val="fr-FR"/>
        </w:rPr>
        <w:tab/>
        <w:t>Accidents et gestion des risques</w:t>
      </w:r>
    </w:p>
    <w:p w14:paraId="066AD951" w14:textId="77777777" w:rsidR="005A5EC2" w:rsidRPr="00D56A8F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Aucun document n</w:t>
      </w:r>
      <w:r>
        <w:rPr>
          <w:lang w:val="fr-FR"/>
        </w:rPr>
        <w:t>’</w:t>
      </w:r>
      <w:r w:rsidRPr="00D56A8F">
        <w:rPr>
          <w:lang w:val="fr-FR"/>
        </w:rPr>
        <w:t>a été soumis au titre de ce point de l</w:t>
      </w:r>
      <w:r>
        <w:rPr>
          <w:lang w:val="fr-FR"/>
        </w:rPr>
        <w:t>’</w:t>
      </w:r>
      <w:r w:rsidRPr="00D56A8F">
        <w:rPr>
          <w:lang w:val="fr-FR"/>
        </w:rPr>
        <w:t>ordre du jour.</w:t>
      </w:r>
    </w:p>
    <w:p w14:paraId="4C1FA4C8" w14:textId="77777777" w:rsidR="005A5EC2" w:rsidRPr="00D56A8F" w:rsidRDefault="005A5EC2" w:rsidP="005A5EC2">
      <w:pPr>
        <w:pStyle w:val="HChG"/>
        <w:rPr>
          <w:lang w:val="fr-FR"/>
        </w:rPr>
      </w:pPr>
      <w:r>
        <w:rPr>
          <w:lang w:val="fr-FR"/>
        </w:rPr>
        <w:tab/>
        <w:t>8</w:t>
      </w:r>
      <w:r w:rsidRPr="00D56A8F">
        <w:rPr>
          <w:lang w:val="fr-FR"/>
        </w:rPr>
        <w:t>.</w:t>
      </w:r>
      <w:r w:rsidRPr="00D56A8F">
        <w:rPr>
          <w:lang w:val="fr-FR"/>
        </w:rPr>
        <w:tab/>
        <w:t>Travaux futurs</w:t>
      </w:r>
    </w:p>
    <w:p w14:paraId="75017ADF" w14:textId="77777777" w:rsidR="005A5EC2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La Réunion commune souhaitera sans doute réfléchir à l</w:t>
      </w:r>
      <w:r>
        <w:rPr>
          <w:lang w:val="fr-FR"/>
        </w:rPr>
        <w:t>’</w:t>
      </w:r>
      <w:r w:rsidRPr="00D56A8F">
        <w:rPr>
          <w:lang w:val="fr-FR"/>
        </w:rPr>
        <w:t xml:space="preserve">ordre du jour de sa session de </w:t>
      </w:r>
      <w:r>
        <w:rPr>
          <w:lang w:val="fr-FR"/>
        </w:rPr>
        <w:t>l’automne</w:t>
      </w:r>
      <w:r w:rsidRPr="00D56A8F">
        <w:rPr>
          <w:lang w:val="fr-FR"/>
        </w:rPr>
        <w:t xml:space="preserve"> 2023 (</w:t>
      </w:r>
      <w:r>
        <w:rPr>
          <w:lang w:val="fr-FR"/>
        </w:rPr>
        <w:t>Genève</w:t>
      </w:r>
      <w:r w:rsidRPr="00D56A8F">
        <w:rPr>
          <w:lang w:val="fr-FR"/>
        </w:rPr>
        <w:t xml:space="preserve">, </w:t>
      </w:r>
      <w:r>
        <w:rPr>
          <w:lang w:val="fr-FR"/>
        </w:rPr>
        <w:t>19-29 septembre</w:t>
      </w:r>
      <w:r w:rsidRPr="00D56A8F">
        <w:rPr>
          <w:lang w:val="fr-FR"/>
        </w:rPr>
        <w:t xml:space="preserve"> 2023).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5A5EC2" w:rsidRPr="0076164F" w14:paraId="270F6AFA" w14:textId="77777777" w:rsidTr="0023581A">
        <w:tc>
          <w:tcPr>
            <w:tcW w:w="3654" w:type="dxa"/>
          </w:tcPr>
          <w:p w14:paraId="54D3C4A2" w14:textId="77777777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eastAsia="fr-FR"/>
              </w:rPr>
            </w:pPr>
            <w:r w:rsidRPr="001E3B26">
              <w:rPr>
                <w:rFonts w:eastAsia="Times New Roman"/>
                <w:lang w:eastAsia="fr-FR"/>
              </w:rPr>
              <w:t>ECE/TRANS/WP.15/AC.1/2023/17 et document informel INF.3 (Suisse)</w:t>
            </w:r>
          </w:p>
        </w:tc>
        <w:tc>
          <w:tcPr>
            <w:tcW w:w="4851" w:type="dxa"/>
          </w:tcPr>
          <w:p w14:paraId="5B2B4BFF" w14:textId="07406302" w:rsidR="005A5EC2" w:rsidRPr="001E3B26" w:rsidRDefault="005A5EC2" w:rsidP="005A5EC2">
            <w:pPr>
              <w:kinsoku/>
              <w:overflowPunct/>
              <w:autoSpaceDE/>
              <w:autoSpaceDN/>
              <w:adjustRightInd/>
              <w:snapToGrid/>
              <w:spacing w:after="120"/>
              <w:ind w:right="176"/>
              <w:rPr>
                <w:rFonts w:eastAsia="Times New Roman"/>
                <w:lang w:eastAsia="fr-FR"/>
              </w:rPr>
            </w:pPr>
            <w:r w:rsidRPr="001E3B26">
              <w:rPr>
                <w:rFonts w:eastAsia="Times New Roman"/>
                <w:lang w:eastAsia="fr-FR"/>
              </w:rPr>
              <w:t>Références à l’autorité compétente dans le RID/ADR/ADN</w:t>
            </w:r>
            <w:r>
              <w:rPr>
                <w:rFonts w:eastAsia="Times New Roman"/>
                <w:lang w:eastAsia="fr-FR"/>
              </w:rPr>
              <w:t> </w:t>
            </w:r>
            <w:r w:rsidRPr="001E3B26">
              <w:rPr>
                <w:rFonts w:eastAsia="Times New Roman"/>
                <w:lang w:eastAsia="fr-FR"/>
              </w:rPr>
              <w:t>: proposition de mandat d’un groupe de</w:t>
            </w:r>
            <w:r>
              <w:rPr>
                <w:rFonts w:eastAsia="Times New Roman"/>
                <w:lang w:eastAsia="fr-FR"/>
              </w:rPr>
              <w:t> </w:t>
            </w:r>
            <w:r w:rsidRPr="001E3B26">
              <w:rPr>
                <w:rFonts w:eastAsia="Times New Roman"/>
                <w:lang w:eastAsia="fr-FR"/>
              </w:rPr>
              <w:t>travail informel</w:t>
            </w:r>
          </w:p>
        </w:tc>
      </w:tr>
    </w:tbl>
    <w:p w14:paraId="137ED38A" w14:textId="77777777" w:rsidR="005A5EC2" w:rsidRDefault="005A5EC2" w:rsidP="005A5EC2">
      <w:pPr>
        <w:pStyle w:val="HChG"/>
        <w:rPr>
          <w:lang w:val="fr-FR"/>
        </w:rPr>
      </w:pPr>
      <w:r>
        <w:rPr>
          <w:lang w:val="fr-FR"/>
        </w:rPr>
        <w:tab/>
        <w:t>9</w:t>
      </w:r>
      <w:r w:rsidRPr="00D56A8F">
        <w:rPr>
          <w:lang w:val="fr-FR"/>
        </w:rPr>
        <w:t>.</w:t>
      </w:r>
      <w:r w:rsidRPr="00D56A8F">
        <w:rPr>
          <w:lang w:val="fr-FR"/>
        </w:rPr>
        <w:tab/>
        <w:t>Questions diverses</w:t>
      </w:r>
    </w:p>
    <w:p w14:paraId="03861367" w14:textId="77777777" w:rsidR="005A5EC2" w:rsidRDefault="005A5EC2" w:rsidP="005A5EC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E3B26">
        <w:rPr>
          <w:lang w:eastAsia="fr-FR"/>
        </w:rPr>
        <w:t>a)</w:t>
      </w:r>
      <w:r w:rsidRPr="001E3B26">
        <w:rPr>
          <w:lang w:eastAsia="fr-FR"/>
        </w:rPr>
        <w:tab/>
        <w:t>Directives pour l’utilisation du 5.4.0.2 dans le RID, l’ADR et l’ADN</w:t>
      </w:r>
    </w:p>
    <w:p w14:paraId="49A307B8" w14:textId="77777777" w:rsidR="005A5EC2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ab/>
        <w:t>Aucun document n</w:t>
      </w:r>
      <w:r>
        <w:rPr>
          <w:lang w:val="fr-FR"/>
        </w:rPr>
        <w:t>’</w:t>
      </w:r>
      <w:r w:rsidRPr="00D56A8F">
        <w:rPr>
          <w:lang w:val="fr-FR"/>
        </w:rPr>
        <w:t>a été soumis au titre de ce point de l</w:t>
      </w:r>
      <w:r>
        <w:rPr>
          <w:lang w:val="fr-FR"/>
        </w:rPr>
        <w:t>’</w:t>
      </w:r>
      <w:r w:rsidRPr="00D56A8F">
        <w:rPr>
          <w:lang w:val="fr-FR"/>
        </w:rPr>
        <w:t>ordre du jour.</w:t>
      </w:r>
    </w:p>
    <w:p w14:paraId="620663D8" w14:textId="77777777" w:rsidR="005A5EC2" w:rsidRPr="001E3B26" w:rsidRDefault="005A5EC2" w:rsidP="005A5EC2">
      <w:pPr>
        <w:pStyle w:val="H1G"/>
        <w:rPr>
          <w:lang w:eastAsia="fr-FR"/>
        </w:rPr>
      </w:pPr>
      <w:r w:rsidRPr="001E3B26">
        <w:rPr>
          <w:lang w:eastAsia="fr-FR"/>
        </w:rPr>
        <w:tab/>
      </w:r>
      <w:r w:rsidRPr="001E3B26">
        <w:rPr>
          <w:lang w:eastAsia="fr-FR"/>
        </w:rPr>
        <w:tab/>
        <w:t>b)</w:t>
      </w:r>
      <w:r w:rsidRPr="001E3B26">
        <w:rPr>
          <w:lang w:eastAsia="fr-FR"/>
        </w:rPr>
        <w:tab/>
        <w:t>Économie circulaire et objectifs de développement durable</w:t>
      </w:r>
    </w:p>
    <w:p w14:paraId="2A313F32" w14:textId="20F3F6D2" w:rsidR="005A5EC2" w:rsidRPr="001E3B26" w:rsidRDefault="005A5EC2" w:rsidP="005A5EC2">
      <w:pPr>
        <w:pStyle w:val="SingleTxtG"/>
        <w:ind w:firstLine="567"/>
        <w:rPr>
          <w:lang w:eastAsia="fr-FR"/>
        </w:rPr>
      </w:pPr>
      <w:r w:rsidRPr="001E3B26">
        <w:rPr>
          <w:lang w:eastAsia="fr-FR"/>
        </w:rPr>
        <w:tab/>
        <w:t>Aucun document n’a été soumis au titre de ce point de l’ordre du jour.</w:t>
      </w:r>
    </w:p>
    <w:p w14:paraId="3E521FF4" w14:textId="77777777" w:rsidR="005A5EC2" w:rsidRPr="00D56A8F" w:rsidRDefault="005A5EC2" w:rsidP="005A5EC2">
      <w:pPr>
        <w:pStyle w:val="HChG"/>
        <w:rPr>
          <w:lang w:val="fr-FR"/>
        </w:rPr>
      </w:pPr>
      <w:r>
        <w:rPr>
          <w:lang w:val="fr-FR"/>
        </w:rPr>
        <w:tab/>
      </w:r>
      <w:r w:rsidRPr="00D56A8F">
        <w:rPr>
          <w:lang w:val="fr-FR"/>
        </w:rPr>
        <w:t>1</w:t>
      </w:r>
      <w:r>
        <w:rPr>
          <w:lang w:val="fr-FR"/>
        </w:rPr>
        <w:t>0</w:t>
      </w:r>
      <w:r w:rsidRPr="00D56A8F">
        <w:rPr>
          <w:lang w:val="fr-FR"/>
        </w:rPr>
        <w:t>.</w:t>
      </w:r>
      <w:r w:rsidRPr="00D56A8F">
        <w:rPr>
          <w:lang w:val="fr-FR"/>
        </w:rPr>
        <w:tab/>
        <w:t>Adoption du rapport</w:t>
      </w:r>
    </w:p>
    <w:p w14:paraId="6FA0B5B8" w14:textId="524BC655" w:rsidR="005A5EC2" w:rsidRDefault="005A5EC2" w:rsidP="005A5EC2">
      <w:pPr>
        <w:pStyle w:val="SingleTxtG"/>
        <w:ind w:firstLine="567"/>
        <w:rPr>
          <w:lang w:val="fr-FR"/>
        </w:rPr>
      </w:pPr>
      <w:r w:rsidRPr="00D56A8F">
        <w:rPr>
          <w:lang w:val="fr-FR"/>
        </w:rPr>
        <w:t>Conformément à l</w:t>
      </w:r>
      <w:r>
        <w:rPr>
          <w:lang w:val="fr-FR"/>
        </w:rPr>
        <w:t>’</w:t>
      </w:r>
      <w:r w:rsidRPr="00D56A8F">
        <w:rPr>
          <w:lang w:val="fr-FR"/>
        </w:rPr>
        <w:t>usage, la Réunion commune adoptera le rapport de sa session sur la base d</w:t>
      </w:r>
      <w:r>
        <w:rPr>
          <w:lang w:val="fr-FR"/>
        </w:rPr>
        <w:t>’</w:t>
      </w:r>
      <w:r w:rsidRPr="00D56A8F">
        <w:rPr>
          <w:lang w:val="fr-FR"/>
        </w:rPr>
        <w:t>un projet établi par le secrétariat.</w:t>
      </w:r>
    </w:p>
    <w:p w14:paraId="4004913B" w14:textId="7C93AD14" w:rsidR="005A5EC2" w:rsidRPr="005A5EC2" w:rsidRDefault="005A5EC2" w:rsidP="005A5EC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A5EC2" w:rsidRPr="005A5EC2" w:rsidSect="005A5E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476D" w14:textId="77777777" w:rsidR="005E514A" w:rsidRDefault="005E514A" w:rsidP="00F95C08">
      <w:pPr>
        <w:spacing w:line="240" w:lineRule="auto"/>
      </w:pPr>
    </w:p>
  </w:endnote>
  <w:endnote w:type="continuationSeparator" w:id="0">
    <w:p w14:paraId="33E9EFFB" w14:textId="77777777" w:rsidR="005E514A" w:rsidRPr="00AC3823" w:rsidRDefault="005E514A" w:rsidP="00AC3823">
      <w:pPr>
        <w:pStyle w:val="Footer"/>
      </w:pPr>
    </w:p>
  </w:endnote>
  <w:endnote w:type="continuationNotice" w:id="1">
    <w:p w14:paraId="432C99DA" w14:textId="77777777" w:rsidR="005E514A" w:rsidRDefault="005E51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C27B" w14:textId="32689BF0" w:rsidR="005A5EC2" w:rsidRPr="005A5EC2" w:rsidRDefault="005A5EC2" w:rsidP="005A5EC2">
    <w:pPr>
      <w:pStyle w:val="Footer"/>
      <w:tabs>
        <w:tab w:val="right" w:pos="9638"/>
      </w:tabs>
    </w:pPr>
    <w:r w:rsidRPr="005A5EC2">
      <w:rPr>
        <w:b/>
        <w:sz w:val="18"/>
      </w:rPr>
      <w:fldChar w:fldCharType="begin"/>
    </w:r>
    <w:r w:rsidRPr="005A5EC2">
      <w:rPr>
        <w:b/>
        <w:sz w:val="18"/>
      </w:rPr>
      <w:instrText xml:space="preserve"> PAGE  \* MERGEFORMAT </w:instrText>
    </w:r>
    <w:r w:rsidRPr="005A5EC2">
      <w:rPr>
        <w:b/>
        <w:sz w:val="18"/>
      </w:rPr>
      <w:fldChar w:fldCharType="separate"/>
    </w:r>
    <w:r w:rsidRPr="005A5EC2">
      <w:rPr>
        <w:b/>
        <w:noProof/>
        <w:sz w:val="18"/>
      </w:rPr>
      <w:t>2</w:t>
    </w:r>
    <w:r w:rsidRPr="005A5EC2">
      <w:rPr>
        <w:b/>
        <w:sz w:val="18"/>
      </w:rPr>
      <w:fldChar w:fldCharType="end"/>
    </w:r>
    <w:r>
      <w:rPr>
        <w:b/>
        <w:sz w:val="18"/>
      </w:rPr>
      <w:tab/>
    </w:r>
    <w:r>
      <w:t>GE.22-29208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B530" w14:textId="0C607990" w:rsidR="005A5EC2" w:rsidRPr="005A5EC2" w:rsidRDefault="005A5EC2" w:rsidP="005A5EC2">
    <w:pPr>
      <w:pStyle w:val="Footer"/>
      <w:tabs>
        <w:tab w:val="right" w:pos="9638"/>
      </w:tabs>
      <w:rPr>
        <w:b/>
        <w:sz w:val="18"/>
      </w:rPr>
    </w:pPr>
    <w:r>
      <w:t>GE.22-29208</w:t>
    </w:r>
    <w:r>
      <w:tab/>
    </w:r>
    <w:r w:rsidRPr="005A5EC2">
      <w:rPr>
        <w:b/>
        <w:sz w:val="18"/>
      </w:rPr>
      <w:fldChar w:fldCharType="begin"/>
    </w:r>
    <w:r w:rsidRPr="005A5EC2">
      <w:rPr>
        <w:b/>
        <w:sz w:val="18"/>
      </w:rPr>
      <w:instrText xml:space="preserve"> PAGE  \* MERGEFORMAT </w:instrText>
    </w:r>
    <w:r w:rsidRPr="005A5EC2">
      <w:rPr>
        <w:b/>
        <w:sz w:val="18"/>
      </w:rPr>
      <w:fldChar w:fldCharType="separate"/>
    </w:r>
    <w:r w:rsidRPr="005A5EC2">
      <w:rPr>
        <w:b/>
        <w:noProof/>
        <w:sz w:val="18"/>
      </w:rPr>
      <w:t>3</w:t>
    </w:r>
    <w:r w:rsidRPr="005A5E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5E4E" w14:textId="788DD283" w:rsidR="007F20FA" w:rsidRPr="005A5EC2" w:rsidRDefault="005A5EC2" w:rsidP="005A5EC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0BCDEF0" wp14:editId="6780CD0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29208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847F472" wp14:editId="7A35227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300123    300123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D397" w14:textId="77777777" w:rsidR="005E514A" w:rsidRPr="00AC3823" w:rsidRDefault="005E51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6FF6AF" w14:textId="77777777" w:rsidR="005E514A" w:rsidRPr="00AC3823" w:rsidRDefault="005E514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993B61" w14:textId="77777777" w:rsidR="005E514A" w:rsidRPr="00AC3823" w:rsidRDefault="005E514A">
      <w:pPr>
        <w:spacing w:line="240" w:lineRule="auto"/>
        <w:rPr>
          <w:sz w:val="2"/>
          <w:szCs w:val="2"/>
        </w:rPr>
      </w:pPr>
    </w:p>
  </w:footnote>
  <w:footnote w:id="2">
    <w:p w14:paraId="5317116C" w14:textId="07899DB3" w:rsidR="005A5EC2" w:rsidRPr="001E3B26" w:rsidRDefault="005A5EC2" w:rsidP="005A5EC2">
      <w:pPr>
        <w:pStyle w:val="FootnoteText"/>
        <w:rPr>
          <w:lang w:val="fr-FR"/>
        </w:rPr>
      </w:pPr>
      <w:r>
        <w:tab/>
      </w:r>
      <w:r>
        <w:rPr>
          <w:rStyle w:val="FootnoteReference"/>
        </w:rPr>
        <w:footnoteRef/>
      </w:r>
      <w:r>
        <w:tab/>
        <w:t xml:space="preserve">Disponible à l’adresse </w:t>
      </w:r>
      <w:hyperlink r:id="rId1" w:history="1">
        <w:r w:rsidRPr="005A5EC2">
          <w:rPr>
            <w:rStyle w:val="Hyperlink"/>
          </w:rPr>
          <w:t>http://otif.org/fr/?page_id=214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DD21" w14:textId="215E0ACE" w:rsidR="005A5EC2" w:rsidRPr="005A5EC2" w:rsidRDefault="005E514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03AB1">
      <w:t>ECE/TRANS/WP.15/AC.1/167/Add.1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7286" w14:textId="0C965BC6" w:rsidR="005A5EC2" w:rsidRPr="005A5EC2" w:rsidRDefault="005E514A" w:rsidP="005A5EC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03AB1">
      <w:t>ECE/TRANS/WP.15/AC.1/167/Add.1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E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A0D5D"/>
    <w:rsid w:val="004E2EED"/>
    <w:rsid w:val="004E468C"/>
    <w:rsid w:val="005505B7"/>
    <w:rsid w:val="00573BE5"/>
    <w:rsid w:val="00586ED3"/>
    <w:rsid w:val="00596AA9"/>
    <w:rsid w:val="005A5EC2"/>
    <w:rsid w:val="005E514A"/>
    <w:rsid w:val="0071601D"/>
    <w:rsid w:val="007A62E6"/>
    <w:rsid w:val="007F20FA"/>
    <w:rsid w:val="00804689"/>
    <w:rsid w:val="0080684C"/>
    <w:rsid w:val="00820AE7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A6480"/>
    <w:rsid w:val="00D14B4B"/>
    <w:rsid w:val="00D3439C"/>
    <w:rsid w:val="00D7622E"/>
    <w:rsid w:val="00DB1831"/>
    <w:rsid w:val="00DD3BFD"/>
    <w:rsid w:val="00DF6678"/>
    <w:rsid w:val="00E0299A"/>
    <w:rsid w:val="00E03AB1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E93EC"/>
  <w15:docId w15:val="{70ECB874-97FA-486E-86ED-5523ED5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locked/>
    <w:rsid w:val="005A5EC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5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fr/?page_id=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3AD321C-7F5B-44B9-8A35-95DE2AB33930}"/>
</file>

<file path=customXml/itemProps2.xml><?xml version="1.0" encoding="utf-8"?>
<ds:datastoreItem xmlns:ds="http://schemas.openxmlformats.org/officeDocument/2006/customXml" ds:itemID="{2A07A56C-801A-40F3-B009-2FED5C4FA9A8}"/>
</file>

<file path=customXml/itemProps3.xml><?xml version="1.0" encoding="utf-8"?>
<ds:datastoreItem xmlns:ds="http://schemas.openxmlformats.org/officeDocument/2006/customXml" ds:itemID="{B754628C-C16A-4AC6-B940-FCEB45BAB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ECE/TRANS/WP.15/AC.1/167/Add.1</vt:lpstr>
    </vt:vector>
  </TitlesOfParts>
  <Company>DCM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ECE/TRANS/WP.15/AC.1/167/Add.1</dc:title>
  <dc:subject/>
  <dc:creator>Christine CHAUTAGNAT</dc:creator>
  <cp:keywords/>
  <cp:lastModifiedBy>Laurence Berthet</cp:lastModifiedBy>
  <cp:revision>3</cp:revision>
  <cp:lastPrinted>2023-01-30T13:27:00Z</cp:lastPrinted>
  <dcterms:created xsi:type="dcterms:W3CDTF">2023-01-30T13:26:00Z</dcterms:created>
  <dcterms:modified xsi:type="dcterms:W3CDTF">2023-01-30T13:27:00Z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