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D2AEF01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0DDC0F8" w14:textId="77777777" w:rsidR="002D5AAC" w:rsidRDefault="002D5AAC" w:rsidP="003670A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640B745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BC3AF5A" w14:textId="148B298A" w:rsidR="002D5AAC" w:rsidRDefault="003670AF" w:rsidP="003670AF">
            <w:pPr>
              <w:jc w:val="right"/>
            </w:pPr>
            <w:r w:rsidRPr="003670AF">
              <w:rPr>
                <w:sz w:val="40"/>
              </w:rPr>
              <w:t>ECE</w:t>
            </w:r>
            <w:r>
              <w:t>/TRANS/WP.29/GRPE/2023/11</w:t>
            </w:r>
          </w:p>
        </w:tc>
      </w:tr>
      <w:tr w:rsidR="002D5AAC" w14:paraId="25D0807C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31FD500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97EEC08" wp14:editId="7531C2D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73B4076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7D7652F" w14:textId="77777777" w:rsidR="002D5AAC" w:rsidRDefault="003670AF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550802B" w14:textId="77777777" w:rsidR="003670AF" w:rsidRDefault="003670AF" w:rsidP="003670A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27 October 2022</w:t>
            </w:r>
          </w:p>
          <w:p w14:paraId="31F61460" w14:textId="77777777" w:rsidR="003670AF" w:rsidRDefault="003670AF" w:rsidP="003670A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724B215" w14:textId="4E038B49" w:rsidR="003670AF" w:rsidRPr="008D53B6" w:rsidRDefault="003670AF" w:rsidP="003670A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ADDD902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D6BFFCF" w14:textId="77777777" w:rsidR="003670AF" w:rsidRPr="003670AF" w:rsidRDefault="003670AF" w:rsidP="003670AF">
      <w:pPr>
        <w:tabs>
          <w:tab w:val="left" w:pos="567"/>
          <w:tab w:val="left" w:pos="1134"/>
        </w:tabs>
        <w:spacing w:before="120"/>
        <w:rPr>
          <w:rFonts w:eastAsia="MS Mincho"/>
          <w:sz w:val="32"/>
          <w:szCs w:val="32"/>
        </w:rPr>
      </w:pPr>
      <w:r w:rsidRPr="003670AF">
        <w:rPr>
          <w:sz w:val="28"/>
          <w:szCs w:val="32"/>
        </w:rPr>
        <w:t xml:space="preserve">Комитет по внутреннему транспорту </w:t>
      </w:r>
    </w:p>
    <w:p w14:paraId="334198F8" w14:textId="22FA4BDA" w:rsidR="003670AF" w:rsidRPr="003670AF" w:rsidRDefault="003670AF" w:rsidP="003670AF">
      <w:pPr>
        <w:tabs>
          <w:tab w:val="left" w:pos="567"/>
          <w:tab w:val="left" w:pos="1134"/>
        </w:tabs>
        <w:spacing w:before="120"/>
        <w:rPr>
          <w:rFonts w:eastAsia="MS Mincho"/>
          <w:sz w:val="28"/>
          <w:szCs w:val="28"/>
        </w:rPr>
      </w:pPr>
      <w:r w:rsidRPr="003670AF">
        <w:rPr>
          <w:b/>
          <w:bCs/>
          <w:sz w:val="24"/>
          <w:szCs w:val="28"/>
        </w:rPr>
        <w:t xml:space="preserve">Всемирный форум для согласования правил </w:t>
      </w:r>
      <w:r>
        <w:rPr>
          <w:b/>
          <w:bCs/>
          <w:sz w:val="24"/>
          <w:szCs w:val="28"/>
        </w:rPr>
        <w:br/>
      </w:r>
      <w:r w:rsidRPr="003670AF">
        <w:rPr>
          <w:b/>
          <w:bCs/>
          <w:sz w:val="24"/>
          <w:szCs w:val="28"/>
        </w:rPr>
        <w:t>в области транспортных средств</w:t>
      </w:r>
      <w:r w:rsidRPr="003670AF">
        <w:rPr>
          <w:sz w:val="24"/>
          <w:szCs w:val="28"/>
        </w:rPr>
        <w:t xml:space="preserve"> </w:t>
      </w:r>
    </w:p>
    <w:p w14:paraId="769623CE" w14:textId="773CB8CB" w:rsidR="003670AF" w:rsidRPr="005252F6" w:rsidRDefault="003670AF" w:rsidP="003670AF">
      <w:pPr>
        <w:tabs>
          <w:tab w:val="left" w:pos="567"/>
          <w:tab w:val="left" w:pos="1134"/>
        </w:tabs>
        <w:spacing w:before="120" w:after="120"/>
        <w:rPr>
          <w:rFonts w:eastAsia="MS Mincho"/>
          <w:b/>
          <w:bCs/>
        </w:rPr>
      </w:pPr>
      <w:r>
        <w:rPr>
          <w:b/>
          <w:bCs/>
        </w:rPr>
        <w:t xml:space="preserve">Рабочая группа по проблемам энергии </w:t>
      </w:r>
      <w:r>
        <w:rPr>
          <w:b/>
          <w:bCs/>
        </w:rPr>
        <w:br/>
      </w:r>
      <w:r>
        <w:rPr>
          <w:b/>
          <w:bCs/>
        </w:rPr>
        <w:t>и загрязнения окружающей среды</w:t>
      </w:r>
    </w:p>
    <w:p w14:paraId="78E87B23" w14:textId="77777777" w:rsidR="003670AF" w:rsidRPr="00232183" w:rsidRDefault="003670AF" w:rsidP="003670AF">
      <w:pPr>
        <w:rPr>
          <w:rFonts w:eastAsia="MS Mincho"/>
          <w:b/>
        </w:rPr>
      </w:pPr>
      <w:r>
        <w:rPr>
          <w:b/>
          <w:bCs/>
        </w:rPr>
        <w:t>Восемьдесят седьмая сессия</w:t>
      </w:r>
    </w:p>
    <w:p w14:paraId="09C8DDBC" w14:textId="77777777" w:rsidR="003670AF" w:rsidRPr="00232183" w:rsidRDefault="003670AF" w:rsidP="003670AF">
      <w:bookmarkStart w:id="0" w:name="_Hlk80714809"/>
      <w:r>
        <w:t>Женева, 10</w:t>
      </w:r>
      <w:r w:rsidRPr="00232183">
        <w:t>–</w:t>
      </w:r>
      <w:r>
        <w:t>13 января 2023 года</w:t>
      </w:r>
    </w:p>
    <w:p w14:paraId="79EF3E0D" w14:textId="77777777" w:rsidR="003670AF" w:rsidRPr="005252F6" w:rsidRDefault="003670AF" w:rsidP="003670AF">
      <w:pPr>
        <w:rPr>
          <w:b/>
        </w:rPr>
      </w:pPr>
      <w:r>
        <w:t xml:space="preserve">Пункт 3 a) предварительной повестки дня </w:t>
      </w:r>
      <w:bookmarkEnd w:id="0"/>
    </w:p>
    <w:p w14:paraId="6A2C60DF" w14:textId="635C8E0C" w:rsidR="003670AF" w:rsidRPr="005252F6" w:rsidRDefault="003670AF" w:rsidP="003670AF">
      <w:pPr>
        <w:rPr>
          <w:b/>
          <w:bCs/>
        </w:rPr>
      </w:pPr>
      <w:r>
        <w:rPr>
          <w:b/>
          <w:bCs/>
        </w:rPr>
        <w:t xml:space="preserve">Транспортные средства малой грузоподъемности: </w:t>
      </w:r>
      <w:r>
        <w:rPr>
          <w:b/>
          <w:bCs/>
        </w:rPr>
        <w:br/>
      </w:r>
      <w:r>
        <w:rPr>
          <w:b/>
          <w:bCs/>
        </w:rPr>
        <w:t xml:space="preserve">правила ООН № 68 (измерение максимальной скорости, </w:t>
      </w:r>
      <w:r>
        <w:rPr>
          <w:b/>
          <w:bCs/>
        </w:rPr>
        <w:br/>
      </w:r>
      <w:r>
        <w:rPr>
          <w:b/>
          <w:bCs/>
        </w:rPr>
        <w:t xml:space="preserve">включая электромобили), № 83 (выбросы загрязняющих </w:t>
      </w:r>
      <w:r>
        <w:rPr>
          <w:b/>
          <w:bCs/>
        </w:rPr>
        <w:br/>
      </w:r>
      <w:r>
        <w:rPr>
          <w:b/>
          <w:bCs/>
        </w:rPr>
        <w:t>веществ транспортными средствами категорий M</w:t>
      </w:r>
      <w:r>
        <w:rPr>
          <w:b/>
          <w:bCs/>
          <w:vertAlign w:val="subscript"/>
        </w:rPr>
        <w:t>1</w:t>
      </w:r>
      <w:r>
        <w:rPr>
          <w:b/>
          <w:bCs/>
        </w:rPr>
        <w:t xml:space="preserve"> и N</w:t>
      </w:r>
      <w:r>
        <w:rPr>
          <w:b/>
          <w:bCs/>
          <w:vertAlign w:val="subscript"/>
        </w:rPr>
        <w:t>1</w:t>
      </w:r>
      <w:r>
        <w:rPr>
          <w:b/>
          <w:bCs/>
        </w:rPr>
        <w:t xml:space="preserve">), </w:t>
      </w:r>
      <w:r>
        <w:rPr>
          <w:b/>
          <w:bCs/>
        </w:rPr>
        <w:br/>
      </w:r>
      <w:r>
        <w:rPr>
          <w:b/>
          <w:bCs/>
        </w:rPr>
        <w:t>№ 101 (выбросы СО</w:t>
      </w:r>
      <w:r>
        <w:rPr>
          <w:b/>
          <w:bCs/>
          <w:vertAlign w:val="subscript"/>
        </w:rPr>
        <w:t>2</w:t>
      </w:r>
      <w:r>
        <w:rPr>
          <w:b/>
          <w:bCs/>
        </w:rPr>
        <w:t xml:space="preserve">/расход топлива), № 103 (сменные </w:t>
      </w:r>
      <w:r>
        <w:rPr>
          <w:b/>
          <w:bCs/>
        </w:rPr>
        <w:br/>
      </w:r>
      <w:r>
        <w:rPr>
          <w:b/>
          <w:bCs/>
        </w:rPr>
        <w:t xml:space="preserve">устройства для предотвращения загрязнения) </w:t>
      </w:r>
      <w:r>
        <w:rPr>
          <w:b/>
          <w:bCs/>
        </w:rPr>
        <w:br/>
      </w:r>
      <w:r>
        <w:rPr>
          <w:b/>
          <w:bCs/>
        </w:rPr>
        <w:t xml:space="preserve">и № 154 (всемирные согласованные процедуры испытания </w:t>
      </w:r>
      <w:r>
        <w:rPr>
          <w:b/>
          <w:bCs/>
        </w:rPr>
        <w:br/>
      </w:r>
      <w:r>
        <w:rPr>
          <w:b/>
          <w:bCs/>
        </w:rPr>
        <w:t>транспортных средств малой грузоподъемности (ВПИМ))</w:t>
      </w:r>
    </w:p>
    <w:p w14:paraId="438D376F" w14:textId="2155D8F2" w:rsidR="003670AF" w:rsidRPr="005252F6" w:rsidRDefault="003670AF" w:rsidP="003670AF">
      <w:pPr>
        <w:pStyle w:val="HChG"/>
      </w:pPr>
      <w:r>
        <w:tab/>
      </w:r>
      <w:r>
        <w:tab/>
      </w:r>
      <w:r>
        <w:t xml:space="preserve">Предложение по новому </w:t>
      </w:r>
      <w:r w:rsidRPr="003670AF">
        <w:t>дополнению</w:t>
      </w:r>
      <w:r>
        <w:t xml:space="preserve"> к поправкам</w:t>
      </w:r>
      <w:r>
        <w:br/>
        <w:t>серии 01 к Правилам № 101 ООН (выбросы СО</w:t>
      </w:r>
      <w:r>
        <w:rPr>
          <w:vertAlign w:val="subscript"/>
        </w:rPr>
        <w:t>2</w:t>
      </w:r>
      <w:r>
        <w:t>/расход топлива)</w:t>
      </w:r>
    </w:p>
    <w:p w14:paraId="1B9470CC" w14:textId="77777777" w:rsidR="003670AF" w:rsidRPr="005252F6" w:rsidRDefault="003670AF" w:rsidP="003670AF">
      <w:pPr>
        <w:pStyle w:val="H1G"/>
      </w:pPr>
      <w:r>
        <w:tab/>
      </w:r>
      <w:r>
        <w:tab/>
      </w:r>
      <w:r>
        <w:rPr>
          <w:bCs/>
        </w:rPr>
        <w:t>Представлено экспертом от Международной организации предприятий автомобильной промышленности</w:t>
      </w:r>
      <w:r w:rsidRPr="003670AF">
        <w:rPr>
          <w:rStyle w:val="H1GChar"/>
          <w:sz w:val="20"/>
          <w:szCs w:val="16"/>
        </w:rPr>
        <w:footnoteReference w:customMarkFollows="1" w:id="1"/>
        <w:t>*</w:t>
      </w:r>
    </w:p>
    <w:p w14:paraId="28B802ED" w14:textId="58DBD0C3" w:rsidR="003670AF" w:rsidRPr="005252F6" w:rsidRDefault="003670AF" w:rsidP="003670AF">
      <w:pPr>
        <w:pStyle w:val="SingleTxtG"/>
        <w:rPr>
          <w:bCs/>
        </w:rPr>
      </w:pPr>
      <w:bookmarkStart w:id="1" w:name="_Hlk80714824"/>
      <w:r>
        <w:tab/>
      </w:r>
      <w:r>
        <w:t>Воспроизведенный ниже текст был подготовлен экспертом от Международной организации предприятий автомобильной промышленности (МОПАП). Настоящий документ направлен на обеспечение большей согласованности — с введением поправок серии 08 к Правилам № 48 ООН — условий испытания на официальное утверждение типа. Изменения к нынешнему тексту Правил выделены жирным шрифтом в случае новых элементов или зачеркиванием в случае исключенных элементов.</w:t>
      </w:r>
    </w:p>
    <w:bookmarkEnd w:id="1"/>
    <w:p w14:paraId="7473BE2F" w14:textId="27274344" w:rsidR="003670AF" w:rsidRPr="005252F6" w:rsidRDefault="003670AF" w:rsidP="003670AF">
      <w:pPr>
        <w:pStyle w:val="SingleTxtG"/>
        <w:rPr>
          <w:b/>
          <w:bCs/>
          <w:lang w:eastAsia="en-GB"/>
        </w:rPr>
      </w:pPr>
      <w:r>
        <w:tab/>
      </w:r>
      <w:r>
        <w:t xml:space="preserve">МОПАП хотела бы продолжить обсуждение </w:t>
      </w:r>
      <w:r w:rsidRPr="003670AF">
        <w:t>содержания</w:t>
      </w:r>
      <w:r>
        <w:t xml:space="preserve"> предложения в январе 2023</w:t>
      </w:r>
      <w:r>
        <w:rPr>
          <w:lang w:val="en-US"/>
        </w:rPr>
        <w:t> </w:t>
      </w:r>
      <w:r>
        <w:t>года, так чтобы подойти к принятию документа, которое запланировано на восемьдесят восьмую сессию GRPE в июне 2023 года.</w:t>
      </w:r>
      <w:r w:rsidRPr="005252F6">
        <w:br w:type="page"/>
      </w:r>
    </w:p>
    <w:p w14:paraId="1753FBA0" w14:textId="77777777" w:rsidR="003670AF" w:rsidRPr="005252F6" w:rsidRDefault="003670AF" w:rsidP="003670AF">
      <w:pPr>
        <w:pStyle w:val="HChG"/>
      </w:pPr>
      <w:r>
        <w:rPr>
          <w:bCs/>
        </w:rPr>
        <w:lastRenderedPageBreak/>
        <w:tab/>
        <w:t>I.</w:t>
      </w:r>
      <w:r>
        <w:tab/>
      </w:r>
      <w:r>
        <w:rPr>
          <w:bCs/>
        </w:rPr>
        <w:t>Предложение</w:t>
      </w:r>
    </w:p>
    <w:p w14:paraId="0BE8E7FE" w14:textId="77777777" w:rsidR="003670AF" w:rsidRPr="005252F6" w:rsidRDefault="003670AF" w:rsidP="003670AF">
      <w:pPr>
        <w:pStyle w:val="SingleTxtG"/>
        <w:rPr>
          <w:i/>
          <w:iCs/>
        </w:rPr>
      </w:pPr>
      <w:r>
        <w:rPr>
          <w:i/>
          <w:iCs/>
        </w:rPr>
        <w:t>Пункт 5.1.2</w:t>
      </w:r>
      <w:r>
        <w:t xml:space="preserve"> изменить следующим образом:</w:t>
      </w:r>
    </w:p>
    <w:p w14:paraId="0118BDF7" w14:textId="573C3B96" w:rsidR="003670AF" w:rsidRPr="009E4CD3" w:rsidRDefault="003670AF" w:rsidP="003670AF">
      <w:pPr>
        <w:pStyle w:val="SingleTxtG"/>
        <w:ind w:left="2268" w:hanging="1134"/>
        <w:rPr>
          <w:rFonts w:eastAsia="MS Mincho"/>
        </w:rPr>
      </w:pPr>
      <w:r>
        <w:t>«</w:t>
      </w:r>
      <w:r>
        <w:t>5.1.2</w:t>
      </w:r>
      <w:r>
        <w:tab/>
      </w:r>
      <w:r>
        <w:t xml:space="preserve"> </w:t>
      </w:r>
      <w:r>
        <w:tab/>
      </w:r>
      <w:r>
        <w:rPr>
          <w:strike/>
        </w:rPr>
        <w:t>Если транспортное средство должно быть оснащено дневными ходовыми огнями, как указано в пункте 5.22 Правил № 48, то во время проведения цикла испытания дневные ходовые огни транспортного средства, определение которых содержится в пункте 2 Правил № 48, должны быть включены.</w:t>
      </w:r>
      <w:r>
        <w:t xml:space="preserve"> </w:t>
      </w:r>
      <w:r>
        <w:rPr>
          <w:strike/>
        </w:rPr>
        <w:t>Испытываемое транспортное средство должно быть оснащено системой дневных ходовых огней с наибольшим потреблением электроэнергии по сравнению с другими системами дневных ходовых огней, устанавливаемыми изготовителем на транспортные средства, относящиеся к группе, представляемой транспортным средством, в отношении которого предоставлено официальное утверждение типа.</w:t>
      </w:r>
      <w:r>
        <w:t xml:space="preserve"> </w:t>
      </w:r>
      <w:r>
        <w:rPr>
          <w:strike/>
        </w:rPr>
        <w:t>Изготовитель передает органам по официальному утверждению типа надлежащую техническую документацию в данном отношении.</w:t>
      </w:r>
    </w:p>
    <w:p w14:paraId="2D3C532C" w14:textId="77777777" w:rsidR="003670AF" w:rsidRPr="005252F6" w:rsidRDefault="003670AF" w:rsidP="003670AF">
      <w:pPr>
        <w:pStyle w:val="SingleTxtG"/>
        <w:ind w:left="2268"/>
        <w:rPr>
          <w:rFonts w:eastAsia="MS Mincho"/>
          <w:b/>
          <w:bCs/>
        </w:rPr>
      </w:pPr>
      <w:r>
        <w:rPr>
          <w:b/>
          <w:bCs/>
        </w:rPr>
        <w:t>Подлежащее испытанию транспортное средство должно быть оснащено системой дневных ходовых огней с наибольшим потреблением электроэнергии по сравнению с другими системами дневных ходовых огней, устанавливаемыми изготовителем на транспортные средства, относящиеся к группе, представленной транспортным средством официально утвержденного типа.</w:t>
      </w:r>
      <w:r>
        <w:t xml:space="preserve"> </w:t>
      </w:r>
      <w:r>
        <w:rPr>
          <w:b/>
          <w:bCs/>
        </w:rPr>
        <w:t>Изготовитель передает органам по официальному утверждению типа надлежащую техническую документацию в данном отношении.</w:t>
      </w:r>
    </w:p>
    <w:p w14:paraId="7E4F796D" w14:textId="77777777" w:rsidR="003670AF" w:rsidRPr="005252F6" w:rsidRDefault="003670AF" w:rsidP="003670AF">
      <w:pPr>
        <w:pStyle w:val="SingleTxtG"/>
        <w:ind w:left="2268"/>
        <w:rPr>
          <w:rFonts w:eastAsia="MS Mincho"/>
        </w:rPr>
      </w:pPr>
      <w:r w:rsidRPr="00561B42">
        <w:rPr>
          <w:b/>
          <w:bCs/>
        </w:rPr>
        <w:t>Дневные ходовые огни, определение которых содержится в пункте 2 Правил № 48, во время проведения цикла испытания должны быть ВКЛЮЧЕНЫ</w:t>
      </w:r>
      <w:r>
        <w:t>».</w:t>
      </w:r>
    </w:p>
    <w:p w14:paraId="49F24A03" w14:textId="77777777" w:rsidR="003670AF" w:rsidRPr="005252F6" w:rsidRDefault="003670AF" w:rsidP="003670AF">
      <w:pPr>
        <w:spacing w:after="120"/>
        <w:ind w:left="1134" w:right="1134"/>
      </w:pPr>
      <w:r w:rsidRPr="001459A5">
        <w:t>Включить новый пункт 5.1.2.1</w:t>
      </w:r>
      <w:r>
        <w:t xml:space="preserve"> следующего содержания:</w:t>
      </w:r>
    </w:p>
    <w:p w14:paraId="6F0E3D9D" w14:textId="095E3175" w:rsidR="003670AF" w:rsidRPr="009E4CD3" w:rsidRDefault="003670AF" w:rsidP="003670AF">
      <w:pPr>
        <w:spacing w:after="120"/>
        <w:ind w:left="2268" w:right="1134" w:hanging="1134"/>
        <w:jc w:val="both"/>
        <w:rPr>
          <w:b/>
          <w:bCs/>
        </w:rPr>
      </w:pPr>
      <w:r>
        <w:t>«</w:t>
      </w:r>
      <w:r>
        <w:rPr>
          <w:b/>
          <w:bCs/>
        </w:rPr>
        <w:t>5.1.2.1</w:t>
      </w:r>
      <w:r>
        <w:tab/>
      </w:r>
      <w:r>
        <w:rPr>
          <w:b/>
          <w:bCs/>
        </w:rPr>
        <w:t>Для испытаний в соответствии с настоящими Правилами, проводимых после вступления в силу дополнения [X] к настоящим Правилам, задние габаритные огни устанавливают в рабочий режим, который применяется, когда показатель окружающих условий освещенности превышает 7000 люкс (например, при переходе в режим работы транспортного средства на динамометрическом стенде)</w:t>
      </w:r>
      <w:r w:rsidRPr="003670AF">
        <w:t>»</w:t>
      </w:r>
      <w:r w:rsidRPr="003670AF">
        <w:t>.</w:t>
      </w:r>
    </w:p>
    <w:p w14:paraId="105E98CA" w14:textId="77777777" w:rsidR="003670AF" w:rsidRPr="009D7834" w:rsidRDefault="003670AF" w:rsidP="003670AF">
      <w:pPr>
        <w:pStyle w:val="HChG"/>
        <w:rPr>
          <w:rFonts w:eastAsia="MS Mincho"/>
        </w:rPr>
      </w:pPr>
      <w:r>
        <w:rPr>
          <w:bCs/>
        </w:rPr>
        <w:tab/>
        <w:t>II.</w:t>
      </w:r>
      <w:r>
        <w:tab/>
      </w:r>
      <w:r>
        <w:rPr>
          <w:bCs/>
        </w:rPr>
        <w:t>Обоснование</w:t>
      </w:r>
    </w:p>
    <w:p w14:paraId="18182E77" w14:textId="77777777" w:rsidR="003670AF" w:rsidRPr="009E4CD3" w:rsidRDefault="003670AF" w:rsidP="003670AF">
      <w:pPr>
        <w:pStyle w:val="SingleTxtG"/>
      </w:pPr>
      <w:r>
        <w:t>1.</w:t>
      </w:r>
      <w:r>
        <w:tab/>
        <w:t>По итогам предшествующих обсуждений настоящий рабочий документ представляется на восемьдесят седьмой сессии GRPE в целях доработки и согласования существа, а также формулировок предложения. Принятие планируется на восемьдесят восьмой сессии GRPE в июне 2023 года.</w:t>
      </w:r>
    </w:p>
    <w:p w14:paraId="72BB3DBB" w14:textId="77777777" w:rsidR="003670AF" w:rsidRPr="009E4CD3" w:rsidRDefault="003670AF" w:rsidP="003670AF">
      <w:pPr>
        <w:pStyle w:val="SingleTxtG"/>
      </w:pPr>
      <w:r>
        <w:t>2.</w:t>
      </w:r>
      <w:r>
        <w:tab/>
        <w:t>Цель поправок новой серии 08 к Правилам № 48 ООН состоит в том, чтобы ‒‒ во избежание излишнего расхода топлива ‒‒ предусмотреть возможность ВЫКЛЮЧЕНИЯ задних габаритных огней и других огней, когда показатель окружающих условий освещенности за пределами транспортного средства превышает 7000 люкс.</w:t>
      </w:r>
    </w:p>
    <w:p w14:paraId="143C191C" w14:textId="77777777" w:rsidR="003670AF" w:rsidRPr="005252F6" w:rsidRDefault="003670AF" w:rsidP="003670AF">
      <w:pPr>
        <w:pStyle w:val="SingleTxtG"/>
      </w:pPr>
      <w:r>
        <w:t>3.</w:t>
      </w:r>
      <w:r>
        <w:tab/>
        <w:t xml:space="preserve">Регулировочные настройки транспортного средства для целей работы на динамометрическом стенде не должны зависеть от условий освещенности на станции. Поэтому предлагается осуществлять прогон с воспроизведением показателя окружающих условий освещенности, превышающего 7000 люкс. </w:t>
      </w:r>
    </w:p>
    <w:p w14:paraId="609C097B" w14:textId="77777777" w:rsidR="003670AF" w:rsidRPr="005252F6" w:rsidRDefault="003670AF" w:rsidP="003670AF">
      <w:pPr>
        <w:pStyle w:val="SingleTxtG"/>
      </w:pPr>
      <w:r>
        <w:t>4.</w:t>
      </w:r>
      <w:r>
        <w:tab/>
        <w:t>Текст пункта 5.1.2 приведен в соответствие с учетом изменений, внесенных в пункт 3.2.7 приложения 4А — Испытание типа I к Правилам № 83 ООН.</w:t>
      </w:r>
    </w:p>
    <w:p w14:paraId="6C08FE08" w14:textId="10A5960A" w:rsidR="00E12C5F" w:rsidRPr="008D53B6" w:rsidRDefault="003670AF" w:rsidP="003670AF">
      <w:pPr>
        <w:spacing w:before="240"/>
        <w:jc w:val="center"/>
      </w:pPr>
      <w:r w:rsidRPr="005252F6">
        <w:rPr>
          <w:u w:val="single"/>
        </w:rPr>
        <w:tab/>
      </w:r>
      <w:r w:rsidRPr="005252F6">
        <w:rPr>
          <w:u w:val="single"/>
        </w:rPr>
        <w:tab/>
      </w:r>
      <w:r w:rsidRPr="005252F6">
        <w:rPr>
          <w:u w:val="single"/>
        </w:rPr>
        <w:tab/>
      </w:r>
    </w:p>
    <w:sectPr w:rsidR="00E12C5F" w:rsidRPr="008D53B6" w:rsidSect="003670A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EBC6D" w14:textId="77777777" w:rsidR="00877F0F" w:rsidRPr="00A312BC" w:rsidRDefault="00877F0F" w:rsidP="00A312BC"/>
  </w:endnote>
  <w:endnote w:type="continuationSeparator" w:id="0">
    <w:p w14:paraId="69087C0E" w14:textId="77777777" w:rsidR="00877F0F" w:rsidRPr="00A312BC" w:rsidRDefault="00877F0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82691" w14:textId="479A3958" w:rsidR="003670AF" w:rsidRPr="003670AF" w:rsidRDefault="003670AF">
    <w:pPr>
      <w:pStyle w:val="a8"/>
    </w:pPr>
    <w:r w:rsidRPr="003670AF">
      <w:rPr>
        <w:b/>
        <w:sz w:val="18"/>
      </w:rPr>
      <w:fldChar w:fldCharType="begin"/>
    </w:r>
    <w:r w:rsidRPr="003670AF">
      <w:rPr>
        <w:b/>
        <w:sz w:val="18"/>
      </w:rPr>
      <w:instrText xml:space="preserve"> PAGE  \* MERGEFORMAT </w:instrText>
    </w:r>
    <w:r w:rsidRPr="003670AF">
      <w:rPr>
        <w:b/>
        <w:sz w:val="18"/>
      </w:rPr>
      <w:fldChar w:fldCharType="separate"/>
    </w:r>
    <w:r w:rsidRPr="003670AF">
      <w:rPr>
        <w:b/>
        <w:noProof/>
        <w:sz w:val="18"/>
      </w:rPr>
      <w:t>2</w:t>
    </w:r>
    <w:r w:rsidRPr="003670AF">
      <w:rPr>
        <w:b/>
        <w:sz w:val="18"/>
      </w:rPr>
      <w:fldChar w:fldCharType="end"/>
    </w:r>
    <w:r>
      <w:rPr>
        <w:b/>
        <w:sz w:val="18"/>
      </w:rPr>
      <w:tab/>
    </w:r>
    <w:r>
      <w:t>GE.22-17588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017F8" w14:textId="29FF25CB" w:rsidR="003670AF" w:rsidRPr="003670AF" w:rsidRDefault="003670AF" w:rsidP="003670AF">
    <w:pPr>
      <w:pStyle w:val="a8"/>
      <w:tabs>
        <w:tab w:val="clear" w:pos="9639"/>
        <w:tab w:val="right" w:pos="9638"/>
      </w:tabs>
      <w:rPr>
        <w:b/>
        <w:sz w:val="18"/>
      </w:rPr>
    </w:pPr>
    <w:r>
      <w:t>GE.22-17588</w:t>
    </w:r>
    <w:r>
      <w:tab/>
    </w:r>
    <w:r w:rsidRPr="003670AF">
      <w:rPr>
        <w:b/>
        <w:sz w:val="18"/>
      </w:rPr>
      <w:fldChar w:fldCharType="begin"/>
    </w:r>
    <w:r w:rsidRPr="003670AF">
      <w:rPr>
        <w:b/>
        <w:sz w:val="18"/>
      </w:rPr>
      <w:instrText xml:space="preserve"> PAGE  \* MERGEFORMAT </w:instrText>
    </w:r>
    <w:r w:rsidRPr="003670AF">
      <w:rPr>
        <w:b/>
        <w:sz w:val="18"/>
      </w:rPr>
      <w:fldChar w:fldCharType="separate"/>
    </w:r>
    <w:r w:rsidRPr="003670AF">
      <w:rPr>
        <w:b/>
        <w:noProof/>
        <w:sz w:val="18"/>
      </w:rPr>
      <w:t>3</w:t>
    </w:r>
    <w:r w:rsidRPr="003670A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F554D" w14:textId="7070BE28" w:rsidR="00042B72" w:rsidRPr="003670AF" w:rsidRDefault="003670AF" w:rsidP="003670AF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2BAD9A3" wp14:editId="1F2EDE4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22-17588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9A7AE09" wp14:editId="3CB15A38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161122  171122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C0347" w14:textId="77777777" w:rsidR="00877F0F" w:rsidRPr="001075E9" w:rsidRDefault="00877F0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9DE7F2E" w14:textId="77777777" w:rsidR="00877F0F" w:rsidRDefault="00877F0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2A8CD8F" w14:textId="44CCF148" w:rsidR="003670AF" w:rsidRPr="007E5C8F" w:rsidRDefault="003670AF" w:rsidP="003670AF">
      <w:pPr>
        <w:pStyle w:val="ad"/>
      </w:pPr>
      <w:r>
        <w:tab/>
      </w:r>
      <w:r w:rsidRPr="003670AF">
        <w:t>*</w:t>
      </w:r>
      <w:r>
        <w:tab/>
        <w:t>В соответствии с программой работы Комитета по внутреннему транспорту на 2023 год, изложенной в предлагаемом бюджете по программам на 2023 год (A/77/6 (разд. 20), таблица</w:t>
      </w:r>
      <w:r>
        <w:rPr>
          <w:lang w:val="en-US"/>
        </w:rPr>
        <w:t> </w:t>
      </w:r>
      <w:r>
        <w:t>20.6),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F548F" w14:textId="16A78FBE" w:rsidR="003670AF" w:rsidRPr="003670AF" w:rsidRDefault="003670AF">
    <w:pPr>
      <w:pStyle w:val="a5"/>
    </w:pPr>
    <w:fldSimple w:instr=" TITLE  \* MERGEFORMAT ">
      <w:r w:rsidR="007F73EC">
        <w:t>ECE/TRANS/WP.29/GRPE/2023/11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EF2E6" w14:textId="47C1A083" w:rsidR="003670AF" w:rsidRPr="003670AF" w:rsidRDefault="003670AF" w:rsidP="003670AF">
    <w:pPr>
      <w:pStyle w:val="a5"/>
      <w:jc w:val="right"/>
    </w:pPr>
    <w:fldSimple w:instr=" TITLE  \* MERGEFORMAT ">
      <w:r w:rsidR="007F73EC">
        <w:t>ECE/TRANS/WP.29/GRPE/2023/11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135FCE"/>
    <w:multiLevelType w:val="hybridMultilevel"/>
    <w:tmpl w:val="36BAF6DE"/>
    <w:lvl w:ilvl="0" w:tplc="040C000F">
      <w:start w:val="1"/>
      <w:numFmt w:val="decimal"/>
      <w:lvlText w:val="%1."/>
      <w:lvlJc w:val="left"/>
      <w:pPr>
        <w:ind w:left="1494" w:hanging="360"/>
      </w:p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5"/>
  </w:num>
  <w:num w:numId="19">
    <w:abstractNumId w:val="16"/>
  </w:num>
  <w:num w:numId="20">
    <w:abstractNumId w:val="12"/>
  </w:num>
  <w:num w:numId="21">
    <w:abstractNumId w:val="15"/>
  </w:num>
  <w:num w:numId="22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F0F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670AF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1B42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F73EC"/>
    <w:rsid w:val="00806737"/>
    <w:rsid w:val="00825F8D"/>
    <w:rsid w:val="00834B71"/>
    <w:rsid w:val="0086445C"/>
    <w:rsid w:val="00877F0F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86D7F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A70001"/>
  <w15:docId w15:val="{0538A007-33F9-48B8-A971-520A0089C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3670AF"/>
    <w:rPr>
      <w:lang w:val="ru-RU" w:eastAsia="en-US"/>
    </w:rPr>
  </w:style>
  <w:style w:type="character" w:customStyle="1" w:styleId="HChGChar">
    <w:name w:val="_ H _Ch_G Char"/>
    <w:link w:val="HChG"/>
    <w:rsid w:val="003670AF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3670AF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569</Words>
  <Characters>3967</Characters>
  <Application>Microsoft Office Word</Application>
  <DocSecurity>0</DocSecurity>
  <Lines>92</Lines>
  <Paragraphs>31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ECE/TRANS/WP.29/GRPE/2023/11</vt:lpstr>
      <vt:lpstr>A/</vt:lpstr>
      <vt:lpstr>A/</vt:lpstr>
    </vt:vector>
  </TitlesOfParts>
  <Company>DCM</Company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ECE/TRANS/WP.29/GRPE/2023/11</dc:title>
  <dc:subject/>
  <dc:creator>Anna BLAGODATSKIKH</dc:creator>
  <cp:keywords/>
  <cp:lastModifiedBy>Anna Blagodatskikh</cp:lastModifiedBy>
  <cp:revision>3</cp:revision>
  <cp:lastPrinted>2022-11-17T09:10:00Z</cp:lastPrinted>
  <dcterms:created xsi:type="dcterms:W3CDTF">2022-11-17T09:10:00Z</dcterms:created>
  <dcterms:modified xsi:type="dcterms:W3CDTF">2022-11-17T09:11:00Z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