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312EBD4" w14:textId="77777777" w:rsidTr="00C97039">
        <w:trPr>
          <w:trHeight w:hRule="exact" w:val="851"/>
        </w:trPr>
        <w:tc>
          <w:tcPr>
            <w:tcW w:w="1276" w:type="dxa"/>
            <w:tcBorders>
              <w:bottom w:val="single" w:sz="4" w:space="0" w:color="auto"/>
            </w:tcBorders>
          </w:tcPr>
          <w:p w14:paraId="4562E250" w14:textId="77777777" w:rsidR="00F35BAF" w:rsidRPr="00DB58B5" w:rsidRDefault="00F35BAF" w:rsidP="00D3138C"/>
        </w:tc>
        <w:tc>
          <w:tcPr>
            <w:tcW w:w="2268" w:type="dxa"/>
            <w:tcBorders>
              <w:bottom w:val="single" w:sz="4" w:space="0" w:color="auto"/>
            </w:tcBorders>
            <w:vAlign w:val="bottom"/>
          </w:tcPr>
          <w:p w14:paraId="7D90E42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A8DF593" w14:textId="7A851C75" w:rsidR="00F35BAF" w:rsidRPr="00DB58B5" w:rsidRDefault="00D3138C" w:rsidP="00D3138C">
            <w:pPr>
              <w:jc w:val="right"/>
            </w:pPr>
            <w:r w:rsidRPr="00D3138C">
              <w:rPr>
                <w:sz w:val="40"/>
              </w:rPr>
              <w:t>ECE</w:t>
            </w:r>
            <w:r>
              <w:t>/TRANS/WP.15/AC.1/2023/7</w:t>
            </w:r>
          </w:p>
        </w:tc>
      </w:tr>
      <w:tr w:rsidR="00F35BAF" w:rsidRPr="00DB58B5" w14:paraId="0F7E7855" w14:textId="77777777" w:rsidTr="00C97039">
        <w:trPr>
          <w:trHeight w:hRule="exact" w:val="2835"/>
        </w:trPr>
        <w:tc>
          <w:tcPr>
            <w:tcW w:w="1276" w:type="dxa"/>
            <w:tcBorders>
              <w:top w:val="single" w:sz="4" w:space="0" w:color="auto"/>
              <w:bottom w:val="single" w:sz="12" w:space="0" w:color="auto"/>
            </w:tcBorders>
          </w:tcPr>
          <w:p w14:paraId="37EE25A4" w14:textId="77777777" w:rsidR="00F35BAF" w:rsidRPr="00DB58B5" w:rsidRDefault="00F35BAF" w:rsidP="00C97039">
            <w:pPr>
              <w:spacing w:before="120"/>
              <w:jc w:val="center"/>
            </w:pPr>
            <w:r>
              <w:rPr>
                <w:noProof/>
                <w:lang w:eastAsia="fr-CH"/>
              </w:rPr>
              <w:drawing>
                <wp:inline distT="0" distB="0" distL="0" distR="0" wp14:anchorId="09F9DADB" wp14:editId="514DAB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26E7B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6DF974" w14:textId="77777777" w:rsidR="00F35BAF" w:rsidRDefault="00D3138C" w:rsidP="00C97039">
            <w:pPr>
              <w:spacing w:before="240"/>
            </w:pPr>
            <w:proofErr w:type="spellStart"/>
            <w:r>
              <w:t>Distr</w:t>
            </w:r>
            <w:proofErr w:type="spellEnd"/>
            <w:r>
              <w:t xml:space="preserve">. </w:t>
            </w:r>
            <w:proofErr w:type="gramStart"/>
            <w:r>
              <w:t>générale</w:t>
            </w:r>
            <w:proofErr w:type="gramEnd"/>
          </w:p>
          <w:p w14:paraId="68D9EBD2" w14:textId="77777777" w:rsidR="00D3138C" w:rsidRDefault="00D3138C" w:rsidP="00D3138C">
            <w:pPr>
              <w:spacing w:line="240" w:lineRule="exact"/>
            </w:pPr>
            <w:r>
              <w:t>21 novembre 2022</w:t>
            </w:r>
          </w:p>
          <w:p w14:paraId="640B21FA" w14:textId="77777777" w:rsidR="00D3138C" w:rsidRDefault="00D3138C" w:rsidP="00D3138C">
            <w:pPr>
              <w:spacing w:line="240" w:lineRule="exact"/>
            </w:pPr>
            <w:r>
              <w:t>Français</w:t>
            </w:r>
          </w:p>
          <w:p w14:paraId="5D93F081" w14:textId="5991E51B" w:rsidR="00D3138C" w:rsidRPr="00DB58B5" w:rsidRDefault="00D3138C" w:rsidP="00D3138C">
            <w:pPr>
              <w:spacing w:line="240" w:lineRule="exact"/>
            </w:pPr>
            <w:r>
              <w:t>Original : anglais</w:t>
            </w:r>
          </w:p>
        </w:tc>
      </w:tr>
    </w:tbl>
    <w:p w14:paraId="01DB04D6" w14:textId="77777777" w:rsidR="007F20FA" w:rsidRPr="000312C0" w:rsidRDefault="007F20FA" w:rsidP="007F20FA">
      <w:pPr>
        <w:spacing w:before="120"/>
        <w:rPr>
          <w:b/>
          <w:sz w:val="28"/>
          <w:szCs w:val="28"/>
        </w:rPr>
      </w:pPr>
      <w:r w:rsidRPr="000312C0">
        <w:rPr>
          <w:b/>
          <w:sz w:val="28"/>
          <w:szCs w:val="28"/>
        </w:rPr>
        <w:t>Commission économique pour l’Europe</w:t>
      </w:r>
    </w:p>
    <w:p w14:paraId="4A5542CF" w14:textId="77777777" w:rsidR="007F20FA" w:rsidRDefault="007F20FA" w:rsidP="007F20FA">
      <w:pPr>
        <w:spacing w:before="120"/>
        <w:rPr>
          <w:sz w:val="28"/>
          <w:szCs w:val="28"/>
        </w:rPr>
      </w:pPr>
      <w:r w:rsidRPr="00685843">
        <w:rPr>
          <w:sz w:val="28"/>
          <w:szCs w:val="28"/>
        </w:rPr>
        <w:t>Comité des transports intérieurs</w:t>
      </w:r>
    </w:p>
    <w:p w14:paraId="0B224CD3" w14:textId="73AC7ED5" w:rsidR="005C6D1A" w:rsidRPr="005C6D1A" w:rsidRDefault="005C6D1A" w:rsidP="005C6D1A">
      <w:pPr>
        <w:spacing w:before="120"/>
        <w:rPr>
          <w:b/>
          <w:sz w:val="24"/>
          <w:szCs w:val="24"/>
          <w:lang w:val="fr-FR"/>
        </w:rPr>
      </w:pPr>
      <w:r w:rsidRPr="005C6D1A">
        <w:rPr>
          <w:b/>
          <w:bCs/>
          <w:sz w:val="24"/>
          <w:szCs w:val="24"/>
          <w:lang w:val="fr-FR"/>
        </w:rPr>
        <w:t xml:space="preserve">Groupe de travail des transports </w:t>
      </w:r>
      <w:r>
        <w:rPr>
          <w:b/>
          <w:bCs/>
          <w:sz w:val="24"/>
          <w:szCs w:val="24"/>
          <w:lang w:val="fr-FR"/>
        </w:rPr>
        <w:br/>
      </w:r>
      <w:r w:rsidRPr="005C6D1A">
        <w:rPr>
          <w:b/>
          <w:bCs/>
          <w:sz w:val="24"/>
          <w:szCs w:val="24"/>
          <w:lang w:val="fr-FR"/>
        </w:rPr>
        <w:t>de marchandises dangereuses</w:t>
      </w:r>
    </w:p>
    <w:p w14:paraId="53894C57" w14:textId="412E760F" w:rsidR="005C6D1A" w:rsidRPr="006E1450" w:rsidRDefault="005C6D1A" w:rsidP="005C6D1A">
      <w:pPr>
        <w:spacing w:before="120" w:after="120"/>
        <w:rPr>
          <w:b/>
          <w:lang w:val="fr-FR"/>
        </w:rPr>
      </w:pPr>
      <w:r w:rsidRPr="006E1450">
        <w:rPr>
          <w:b/>
          <w:bCs/>
          <w:lang w:val="fr-FR"/>
        </w:rPr>
        <w:t>Réunion commune de la Commission d</w:t>
      </w:r>
      <w:r>
        <w:rPr>
          <w:b/>
          <w:bCs/>
          <w:lang w:val="fr-FR"/>
        </w:rPr>
        <w:t>’</w:t>
      </w:r>
      <w:r w:rsidRPr="006E1450">
        <w:rPr>
          <w:b/>
          <w:bCs/>
          <w:lang w:val="fr-FR"/>
        </w:rPr>
        <w:t xml:space="preserve">experts du RID et du Groupe </w:t>
      </w:r>
      <w:r>
        <w:rPr>
          <w:b/>
          <w:bCs/>
          <w:lang w:val="fr-FR"/>
        </w:rPr>
        <w:br/>
      </w:r>
      <w:r w:rsidRPr="006E1450">
        <w:rPr>
          <w:b/>
          <w:bCs/>
          <w:lang w:val="fr-FR"/>
        </w:rPr>
        <w:t>de travail des transports de marchandises dangereuses</w:t>
      </w:r>
    </w:p>
    <w:p w14:paraId="55427C85" w14:textId="77777777" w:rsidR="005C6D1A" w:rsidRPr="006E1450" w:rsidRDefault="005C6D1A" w:rsidP="005C6D1A">
      <w:pPr>
        <w:rPr>
          <w:lang w:val="fr-FR"/>
        </w:rPr>
      </w:pPr>
      <w:r w:rsidRPr="006E1450">
        <w:rPr>
          <w:lang w:val="fr-FR"/>
        </w:rPr>
        <w:t xml:space="preserve">Berne, 20-24 mars 2023 </w:t>
      </w:r>
    </w:p>
    <w:p w14:paraId="72AFEF20" w14:textId="77777777" w:rsidR="005C6D1A" w:rsidRPr="006E1450" w:rsidRDefault="005C6D1A" w:rsidP="005C6D1A">
      <w:pPr>
        <w:rPr>
          <w:lang w:val="fr-FR"/>
        </w:rPr>
      </w:pPr>
      <w:r w:rsidRPr="006E1450">
        <w:rPr>
          <w:lang w:val="fr-FR"/>
        </w:rPr>
        <w:t>Point 5 b) de l</w:t>
      </w:r>
      <w:r>
        <w:rPr>
          <w:lang w:val="fr-FR"/>
        </w:rPr>
        <w:t>’</w:t>
      </w:r>
      <w:r w:rsidRPr="006E1450">
        <w:rPr>
          <w:lang w:val="fr-FR"/>
        </w:rPr>
        <w:t>ordre du jour provisoire</w:t>
      </w:r>
    </w:p>
    <w:p w14:paraId="6275A5A5" w14:textId="77777777" w:rsidR="005C6D1A" w:rsidRPr="006E1450" w:rsidRDefault="005C6D1A" w:rsidP="005C6D1A">
      <w:pPr>
        <w:rPr>
          <w:b/>
          <w:lang w:val="fr-FR"/>
        </w:rPr>
      </w:pPr>
      <w:r w:rsidRPr="006E1450">
        <w:rPr>
          <w:b/>
          <w:bCs/>
          <w:lang w:val="fr-FR"/>
        </w:rPr>
        <w:t>Propositions d</w:t>
      </w:r>
      <w:r>
        <w:rPr>
          <w:b/>
          <w:bCs/>
          <w:lang w:val="fr-FR"/>
        </w:rPr>
        <w:t>’</w:t>
      </w:r>
      <w:r w:rsidRPr="006E1450">
        <w:rPr>
          <w:b/>
          <w:bCs/>
          <w:lang w:val="fr-FR"/>
        </w:rPr>
        <w:t xml:space="preserve">amendements </w:t>
      </w:r>
      <w:r w:rsidRPr="00A301F4">
        <w:rPr>
          <w:b/>
          <w:bCs/>
          <w:lang w:val="fr-FR"/>
        </w:rPr>
        <w:t>au RID, à l</w:t>
      </w:r>
      <w:r>
        <w:rPr>
          <w:b/>
          <w:bCs/>
          <w:lang w:val="fr-FR"/>
        </w:rPr>
        <w:t>’</w:t>
      </w:r>
      <w:r w:rsidRPr="00A301F4">
        <w:rPr>
          <w:b/>
          <w:bCs/>
          <w:lang w:val="fr-FR"/>
        </w:rPr>
        <w:t>ADR et à l</w:t>
      </w:r>
      <w:r>
        <w:rPr>
          <w:b/>
          <w:bCs/>
          <w:lang w:val="fr-FR"/>
        </w:rPr>
        <w:t>’</w:t>
      </w:r>
      <w:r w:rsidRPr="00A301F4">
        <w:rPr>
          <w:b/>
          <w:bCs/>
          <w:lang w:val="fr-FR"/>
        </w:rPr>
        <w:t>ADN</w:t>
      </w:r>
      <w:r>
        <w:rPr>
          <w:b/>
          <w:bCs/>
          <w:lang w:val="fr-FR"/>
        </w:rPr>
        <w:t xml:space="preserve"> </w:t>
      </w:r>
      <w:r w:rsidRPr="006E1450">
        <w:rPr>
          <w:b/>
          <w:bCs/>
          <w:lang w:val="fr-FR"/>
        </w:rPr>
        <w:t>:</w:t>
      </w:r>
    </w:p>
    <w:p w14:paraId="56609111" w14:textId="77777777" w:rsidR="005C6D1A" w:rsidRPr="006E1450" w:rsidRDefault="005C6D1A" w:rsidP="005C6D1A">
      <w:pPr>
        <w:rPr>
          <w:lang w:val="fr-FR"/>
        </w:rPr>
      </w:pPr>
      <w:r>
        <w:rPr>
          <w:b/>
          <w:bCs/>
          <w:lang w:val="fr-FR"/>
        </w:rPr>
        <w:t>N</w:t>
      </w:r>
      <w:r w:rsidRPr="006E1450">
        <w:rPr>
          <w:b/>
          <w:bCs/>
          <w:lang w:val="fr-FR"/>
        </w:rPr>
        <w:t>ouvelles propositions</w:t>
      </w:r>
    </w:p>
    <w:p w14:paraId="51AA291E" w14:textId="77777777" w:rsidR="005C6D1A" w:rsidRPr="006E1450" w:rsidRDefault="005C6D1A" w:rsidP="005C6D1A">
      <w:pPr>
        <w:pStyle w:val="HChG"/>
        <w:rPr>
          <w:lang w:val="fr-FR"/>
        </w:rPr>
      </w:pPr>
      <w:r w:rsidRPr="006E1450">
        <w:rPr>
          <w:lang w:val="fr-FR"/>
        </w:rPr>
        <w:tab/>
      </w:r>
      <w:r w:rsidRPr="006E1450">
        <w:rPr>
          <w:lang w:val="fr-FR"/>
        </w:rPr>
        <w:tab/>
        <w:t>Harmonisation des définitions de « wagon couvert », « véhicule couvert » et « conteneur fermé »</w:t>
      </w:r>
    </w:p>
    <w:p w14:paraId="07F84BFA" w14:textId="7D683D2B" w:rsidR="005C6D1A" w:rsidRDefault="005C6D1A" w:rsidP="005C6D1A">
      <w:pPr>
        <w:pStyle w:val="H1G"/>
        <w:rPr>
          <w:b w:val="0"/>
          <w:bCs/>
          <w:sz w:val="20"/>
          <w:lang w:val="en-US"/>
        </w:rPr>
      </w:pPr>
      <w:r w:rsidRPr="006E1450">
        <w:rPr>
          <w:lang w:val="fr-FR"/>
        </w:rPr>
        <w:tab/>
      </w:r>
      <w:r w:rsidRPr="006E1450">
        <w:rPr>
          <w:lang w:val="fr-FR"/>
        </w:rPr>
        <w:tab/>
      </w:r>
      <w:r w:rsidRPr="00971719">
        <w:rPr>
          <w:lang w:val="en-US"/>
        </w:rPr>
        <w:t xml:space="preserve">Communication de </w:t>
      </w:r>
      <w:proofErr w:type="spellStart"/>
      <w:r w:rsidRPr="00971719">
        <w:rPr>
          <w:lang w:val="en-US"/>
        </w:rPr>
        <w:t>l</w:t>
      </w:r>
      <w:r>
        <w:rPr>
          <w:lang w:val="en-US"/>
        </w:rPr>
        <w:t>’</w:t>
      </w:r>
      <w:r w:rsidRPr="00971719">
        <w:rPr>
          <w:lang w:val="en-US"/>
        </w:rPr>
        <w:t>International</w:t>
      </w:r>
      <w:proofErr w:type="spellEnd"/>
      <w:r w:rsidRPr="00971719">
        <w:rPr>
          <w:lang w:val="en-US"/>
        </w:rPr>
        <w:t xml:space="preserve"> Association of Dangerous </w:t>
      </w:r>
      <w:r>
        <w:rPr>
          <w:lang w:val="en-US"/>
        </w:rPr>
        <w:br/>
      </w:r>
      <w:r w:rsidRPr="00971719">
        <w:rPr>
          <w:lang w:val="en-US"/>
        </w:rPr>
        <w:t>Goods Safety Advisers (IASA)</w:t>
      </w:r>
      <w:r w:rsidRPr="005C6D1A">
        <w:rPr>
          <w:rStyle w:val="FootnoteReference"/>
          <w:b w:val="0"/>
          <w:bCs/>
          <w:sz w:val="20"/>
          <w:vertAlign w:val="baseline"/>
          <w:lang w:val="en-US"/>
        </w:rPr>
        <w:footnoteReference w:customMarkFollows="1" w:id="2"/>
        <w:t>*</w:t>
      </w:r>
      <w:r w:rsidRPr="005C6D1A">
        <w:rPr>
          <w:b w:val="0"/>
          <w:bCs/>
          <w:sz w:val="20"/>
          <w:vertAlign w:val="superscript"/>
          <w:lang w:val="en-US"/>
        </w:rPr>
        <w:t xml:space="preserve">, </w:t>
      </w:r>
      <w:r w:rsidRPr="005C6D1A">
        <w:rPr>
          <w:rStyle w:val="FootnoteReference"/>
          <w:b w:val="0"/>
          <w:bCs/>
          <w:sz w:val="20"/>
          <w:vertAlign w:val="baseline"/>
          <w:lang w:val="en-US"/>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C6D1A" w14:paraId="4E1E8875" w14:textId="77777777">
        <w:trPr>
          <w:jc w:val="center"/>
        </w:trPr>
        <w:tc>
          <w:tcPr>
            <w:tcW w:w="9637" w:type="dxa"/>
            <w:shd w:val="clear" w:color="auto" w:fill="auto"/>
          </w:tcPr>
          <w:p w14:paraId="1B6A0A6C" w14:textId="77777777" w:rsidR="005C6D1A" w:rsidRDefault="005C6D1A">
            <w:pPr>
              <w:spacing w:before="240" w:after="120"/>
              <w:ind w:left="255"/>
              <w:rPr>
                <w:i/>
                <w:sz w:val="24"/>
              </w:rPr>
            </w:pPr>
            <w:r>
              <w:rPr>
                <w:i/>
                <w:sz w:val="24"/>
              </w:rPr>
              <w:t>Résumé</w:t>
            </w:r>
          </w:p>
        </w:tc>
      </w:tr>
      <w:tr w:rsidR="005C6D1A" w14:paraId="4F4FCC4E" w14:textId="77777777">
        <w:trPr>
          <w:jc w:val="center"/>
        </w:trPr>
        <w:tc>
          <w:tcPr>
            <w:tcW w:w="9637" w:type="dxa"/>
            <w:shd w:val="clear" w:color="auto" w:fill="auto"/>
          </w:tcPr>
          <w:p w14:paraId="0465C554" w14:textId="4494F19E" w:rsidR="005C6D1A" w:rsidRDefault="005C6D1A" w:rsidP="005C6D1A">
            <w:pPr>
              <w:pStyle w:val="SingleTxtG"/>
              <w:ind w:left="3402" w:hanging="2268"/>
            </w:pPr>
            <w:r w:rsidRPr="006E1450">
              <w:rPr>
                <w:b/>
                <w:bCs/>
                <w:lang w:val="fr-FR"/>
              </w:rPr>
              <w:t>Résumé analytique :</w:t>
            </w:r>
            <w:r w:rsidRPr="006E1450">
              <w:rPr>
                <w:lang w:val="fr-FR"/>
              </w:rPr>
              <w:tab/>
              <w:t>Les sections 1.2.1 du RID et de l</w:t>
            </w:r>
            <w:r>
              <w:rPr>
                <w:lang w:val="fr-FR"/>
              </w:rPr>
              <w:t>’</w:t>
            </w:r>
            <w:r w:rsidRPr="006E1450">
              <w:rPr>
                <w:lang w:val="fr-FR"/>
              </w:rPr>
              <w:t>ADR contiennent les définitions de « wagon couvert », « véhicule couvert » et « conteneur fermé ». Ces définitions sont très différentes. La définition de « véhicule couvert » n</w:t>
            </w:r>
            <w:r>
              <w:rPr>
                <w:lang w:val="fr-FR"/>
              </w:rPr>
              <w:t>’</w:t>
            </w:r>
            <w:r w:rsidRPr="006E1450">
              <w:rPr>
                <w:lang w:val="fr-FR"/>
              </w:rPr>
              <w:t>est pas suffisamment explicite.</w:t>
            </w:r>
          </w:p>
        </w:tc>
      </w:tr>
      <w:tr w:rsidR="005C6D1A" w14:paraId="5775007D" w14:textId="77777777">
        <w:trPr>
          <w:jc w:val="center"/>
        </w:trPr>
        <w:tc>
          <w:tcPr>
            <w:tcW w:w="9637" w:type="dxa"/>
            <w:shd w:val="clear" w:color="auto" w:fill="auto"/>
          </w:tcPr>
          <w:p w14:paraId="1D3D65BF" w14:textId="414A8805" w:rsidR="005C6D1A" w:rsidRDefault="005C6D1A" w:rsidP="005C6D1A">
            <w:pPr>
              <w:pStyle w:val="SingleTxtG"/>
              <w:ind w:left="3402" w:hanging="2268"/>
            </w:pPr>
            <w:r w:rsidRPr="006E1450">
              <w:rPr>
                <w:b/>
                <w:bCs/>
                <w:lang w:val="fr-FR"/>
              </w:rPr>
              <w:t>Mesure à prendre :</w:t>
            </w:r>
            <w:r w:rsidRPr="006E1450">
              <w:rPr>
                <w:lang w:val="fr-FR"/>
              </w:rPr>
              <w:tab/>
              <w:t>Modifier les définitions de « wagon couvert » et de « véhicule couvert » de manière à les harmoniser avec la définition de « conteneur fermé ».</w:t>
            </w:r>
          </w:p>
        </w:tc>
      </w:tr>
      <w:tr w:rsidR="005C6D1A" w14:paraId="7BCDF1BB" w14:textId="77777777">
        <w:trPr>
          <w:jc w:val="center"/>
        </w:trPr>
        <w:tc>
          <w:tcPr>
            <w:tcW w:w="9637" w:type="dxa"/>
            <w:shd w:val="clear" w:color="auto" w:fill="auto"/>
          </w:tcPr>
          <w:p w14:paraId="435DAD4B" w14:textId="77777777" w:rsidR="005C6D1A" w:rsidRDefault="005C6D1A"/>
        </w:tc>
      </w:tr>
    </w:tbl>
    <w:p w14:paraId="7C1588B4" w14:textId="77777777" w:rsidR="005C6D1A" w:rsidRPr="006E1450" w:rsidRDefault="005C6D1A" w:rsidP="005C6D1A">
      <w:pPr>
        <w:pStyle w:val="HChG"/>
        <w:rPr>
          <w:lang w:val="fr-FR"/>
        </w:rPr>
      </w:pPr>
      <w:bookmarkStart w:id="0" w:name="_Hlk118301131"/>
      <w:r w:rsidRPr="006E1450">
        <w:rPr>
          <w:lang w:val="fr-FR"/>
        </w:rPr>
        <w:tab/>
      </w:r>
      <w:r w:rsidRPr="006E1450">
        <w:rPr>
          <w:lang w:val="fr-FR"/>
        </w:rPr>
        <w:tab/>
        <w:t>Introduction</w:t>
      </w:r>
    </w:p>
    <w:p w14:paraId="612A4C9C" w14:textId="77777777" w:rsidR="005C6D1A" w:rsidRPr="006E1450" w:rsidRDefault="005C6D1A" w:rsidP="005C6D1A">
      <w:pPr>
        <w:pStyle w:val="SingleTxtG"/>
        <w:rPr>
          <w:lang w:val="fr-FR"/>
        </w:rPr>
      </w:pPr>
      <w:r w:rsidRPr="006E1450">
        <w:rPr>
          <w:lang w:val="fr-FR"/>
        </w:rPr>
        <w:t>1.</w:t>
      </w:r>
      <w:r w:rsidRPr="006E1450">
        <w:rPr>
          <w:lang w:val="fr-FR"/>
        </w:rPr>
        <w:tab/>
        <w:t>Les sections 1.2.1 du RID et de l</w:t>
      </w:r>
      <w:r>
        <w:rPr>
          <w:lang w:val="fr-FR"/>
        </w:rPr>
        <w:t>’</w:t>
      </w:r>
      <w:r w:rsidRPr="006E1450">
        <w:rPr>
          <w:lang w:val="fr-FR"/>
        </w:rPr>
        <w:t>ADR contiennent les définitions suivantes :</w:t>
      </w:r>
    </w:p>
    <w:p w14:paraId="2EC9FA2E" w14:textId="4B94AB76" w:rsidR="005C6D1A" w:rsidRPr="006E1450" w:rsidRDefault="005C6D1A" w:rsidP="005C6D1A">
      <w:pPr>
        <w:pStyle w:val="Bullet1G"/>
        <w:rPr>
          <w:lang w:val="fr-FR"/>
        </w:rPr>
      </w:pPr>
      <w:r w:rsidRPr="006E1450">
        <w:rPr>
          <w:b/>
          <w:bCs/>
          <w:lang w:val="fr-FR"/>
        </w:rPr>
        <w:t>Wagon couvert</w:t>
      </w:r>
      <w:r w:rsidRPr="006E1450">
        <w:rPr>
          <w:lang w:val="fr-FR"/>
        </w:rPr>
        <w:t>, un wagon à parois et toit fixes ou amovibles</w:t>
      </w:r>
      <w:r>
        <w:rPr>
          <w:lang w:val="fr-FR"/>
        </w:rPr>
        <w:t> ;</w:t>
      </w:r>
    </w:p>
    <w:p w14:paraId="158F73B5" w14:textId="75477DDD" w:rsidR="005C6D1A" w:rsidRPr="006E1450" w:rsidRDefault="005C6D1A" w:rsidP="005C6D1A">
      <w:pPr>
        <w:pStyle w:val="Bullet1G"/>
        <w:rPr>
          <w:lang w:val="fr-FR"/>
        </w:rPr>
      </w:pPr>
      <w:r w:rsidRPr="006E1450">
        <w:rPr>
          <w:b/>
          <w:bCs/>
          <w:lang w:val="fr-FR"/>
        </w:rPr>
        <w:lastRenderedPageBreak/>
        <w:t>« Véhicule couvert »</w:t>
      </w:r>
      <w:r w:rsidRPr="006E1450">
        <w:rPr>
          <w:lang w:val="fr-FR"/>
        </w:rPr>
        <w:t>, un véhicule dont la carrosserie est constituée par une caisse qui peut être fermée</w:t>
      </w:r>
      <w:r>
        <w:rPr>
          <w:lang w:val="fr-FR"/>
        </w:rPr>
        <w:t> ;</w:t>
      </w:r>
    </w:p>
    <w:p w14:paraId="3B5694B0" w14:textId="77777777" w:rsidR="005C6D1A" w:rsidRPr="006E1450" w:rsidRDefault="005C6D1A" w:rsidP="005C6D1A">
      <w:pPr>
        <w:pStyle w:val="Bullet1G"/>
        <w:rPr>
          <w:lang w:val="fr-FR"/>
        </w:rPr>
      </w:pPr>
      <w:r w:rsidRPr="006E1450">
        <w:rPr>
          <w:b/>
          <w:bCs/>
          <w:lang w:val="fr-FR"/>
        </w:rPr>
        <w:t>« Conteneur fermé »</w:t>
      </w:r>
      <w:r w:rsidRPr="006E1450">
        <w:rPr>
          <w:lang w:val="fr-FR"/>
        </w:rPr>
        <w:t>, un conteneur totalement fermé, ayant un toit rigide, des parois latérales rigides, des parois d</w:t>
      </w:r>
      <w:r>
        <w:rPr>
          <w:lang w:val="fr-FR"/>
        </w:rPr>
        <w:t>’</w:t>
      </w:r>
      <w:r w:rsidRPr="006E1450">
        <w:rPr>
          <w:lang w:val="fr-FR"/>
        </w:rPr>
        <w:t>extrémité rigides et un plancher. Le terme englobe les conteneurs à toit ouvrant pour autant que le toit soit fermé pendant le transport.</w:t>
      </w:r>
    </w:p>
    <w:p w14:paraId="0392E4AE" w14:textId="77777777" w:rsidR="005C6D1A" w:rsidRPr="006E1450" w:rsidRDefault="005C6D1A" w:rsidP="005C6D1A">
      <w:pPr>
        <w:pStyle w:val="SingleTxtG"/>
        <w:rPr>
          <w:lang w:val="fr-FR"/>
        </w:rPr>
      </w:pPr>
      <w:r w:rsidRPr="006E1450">
        <w:rPr>
          <w:lang w:val="fr-FR"/>
        </w:rPr>
        <w:t>2.</w:t>
      </w:r>
      <w:r w:rsidRPr="006E1450">
        <w:rPr>
          <w:lang w:val="fr-FR"/>
        </w:rPr>
        <w:tab/>
        <w:t>La définition de « véhicule couvert » ne définit en fait rien. Que signifie dans celle-ci le segment « qui peut être fermée » ? Le scellement douanier placé sur les véhicules bâchés constitue aussi un exemple de fermeture.</w:t>
      </w:r>
    </w:p>
    <w:p w14:paraId="355B984A" w14:textId="77777777" w:rsidR="005C6D1A" w:rsidRPr="006E1450" w:rsidRDefault="005C6D1A" w:rsidP="005C6D1A">
      <w:pPr>
        <w:pStyle w:val="SingleTxtG"/>
        <w:rPr>
          <w:lang w:val="fr-FR"/>
        </w:rPr>
      </w:pPr>
      <w:r w:rsidRPr="006E1450">
        <w:rPr>
          <w:lang w:val="fr-FR"/>
        </w:rPr>
        <w:t>3.</w:t>
      </w:r>
      <w:r w:rsidRPr="006E1450">
        <w:rPr>
          <w:lang w:val="fr-FR"/>
        </w:rPr>
        <w:tab/>
        <w:t>Lorsqu</w:t>
      </w:r>
      <w:r>
        <w:rPr>
          <w:lang w:val="fr-FR"/>
        </w:rPr>
        <w:t>’</w:t>
      </w:r>
      <w:r w:rsidRPr="006E1450">
        <w:rPr>
          <w:lang w:val="fr-FR"/>
        </w:rPr>
        <w:t>il s</w:t>
      </w:r>
      <w:r>
        <w:rPr>
          <w:lang w:val="fr-FR"/>
        </w:rPr>
        <w:t>’</w:t>
      </w:r>
      <w:r w:rsidRPr="006E1450">
        <w:rPr>
          <w:lang w:val="fr-FR"/>
        </w:rPr>
        <w:t>agit de préciser le type de compartiment de transport, le RID et l</w:t>
      </w:r>
      <w:r>
        <w:rPr>
          <w:lang w:val="fr-FR"/>
        </w:rPr>
        <w:t>’</w:t>
      </w:r>
      <w:r w:rsidRPr="006E1450">
        <w:rPr>
          <w:lang w:val="fr-FR"/>
        </w:rPr>
        <w:t>ADR mentionnent fréquemment à la fois « wagon/véhicule couvert » et « conteneur fermé ». Par exemple :</w:t>
      </w:r>
    </w:p>
    <w:p w14:paraId="15EE27C0" w14:textId="29F90A14" w:rsidR="005C6D1A" w:rsidRPr="006E1450" w:rsidRDefault="005C6D1A" w:rsidP="005C6D1A">
      <w:pPr>
        <w:pStyle w:val="Bullet1G"/>
        <w:rPr>
          <w:lang w:val="fr-FR"/>
        </w:rPr>
      </w:pPr>
      <w:r w:rsidRPr="006E1450">
        <w:rPr>
          <w:lang w:val="fr-FR"/>
        </w:rPr>
        <w:tab/>
      </w:r>
      <w:r w:rsidRPr="006E1450">
        <w:rPr>
          <w:b/>
          <w:bCs/>
          <w:lang w:val="fr-FR"/>
        </w:rPr>
        <w:t xml:space="preserve">PP7 </w:t>
      </w:r>
      <w:r w:rsidRPr="006E1450">
        <w:rPr>
          <w:lang w:val="fr-FR"/>
        </w:rPr>
        <w:t>Pour le No ONU 2000, le celluloïd peut aussi être transporté sans emballage sur des palettes, enveloppé dans une housse en plastique et fixé par des moyens appropriés, tels que des bandes d</w:t>
      </w:r>
      <w:r>
        <w:rPr>
          <w:lang w:val="fr-FR"/>
        </w:rPr>
        <w:t>’</w:t>
      </w:r>
      <w:r w:rsidRPr="006E1450">
        <w:rPr>
          <w:lang w:val="fr-FR"/>
        </w:rPr>
        <w:t xml:space="preserve">acier, en tant que chargement complet dans </w:t>
      </w:r>
      <w:r w:rsidRPr="006E1450">
        <w:rPr>
          <w:b/>
          <w:bCs/>
          <w:lang w:val="fr-FR"/>
        </w:rPr>
        <w:t xml:space="preserve">des wagons/véhicules couverts ou dans des conteneurs fermés </w:t>
      </w:r>
      <w:r w:rsidRPr="006E1450">
        <w:rPr>
          <w:lang w:val="fr-FR"/>
        </w:rPr>
        <w:t>(...)</w:t>
      </w:r>
      <w:r>
        <w:rPr>
          <w:lang w:val="fr-FR"/>
        </w:rPr>
        <w:t> ;</w:t>
      </w:r>
    </w:p>
    <w:p w14:paraId="6C77B48F" w14:textId="0C47C249" w:rsidR="005C6D1A" w:rsidRPr="006E1450" w:rsidRDefault="005C6D1A" w:rsidP="005C6D1A">
      <w:pPr>
        <w:pStyle w:val="Bullet1G"/>
        <w:rPr>
          <w:b/>
          <w:lang w:val="fr-FR"/>
        </w:rPr>
      </w:pPr>
      <w:r w:rsidRPr="006E1450">
        <w:rPr>
          <w:b/>
          <w:bCs/>
          <w:lang w:val="fr-FR"/>
        </w:rPr>
        <w:t xml:space="preserve">PP12 </w:t>
      </w:r>
      <w:r w:rsidRPr="006E1450">
        <w:rPr>
          <w:lang w:val="fr-FR"/>
        </w:rPr>
        <w:t>Pour les Nos ONU 1361, 2213 et 3077, les sacs 5H1, 5L1 et 5M1 sont autorisés s</w:t>
      </w:r>
      <w:r>
        <w:rPr>
          <w:lang w:val="fr-FR"/>
        </w:rPr>
        <w:t>’</w:t>
      </w:r>
      <w:r w:rsidRPr="006E1450">
        <w:rPr>
          <w:lang w:val="fr-FR"/>
        </w:rPr>
        <w:t xml:space="preserve">ils sont transportés dans </w:t>
      </w:r>
      <w:r w:rsidRPr="006E1450">
        <w:rPr>
          <w:b/>
          <w:bCs/>
          <w:lang w:val="fr-FR"/>
        </w:rPr>
        <w:t>des wagons/véhicules couverts ou dans des conteneurs fermés</w:t>
      </w:r>
      <w:r>
        <w:rPr>
          <w:b/>
          <w:bCs/>
          <w:lang w:val="fr-FR"/>
        </w:rPr>
        <w:t> </w:t>
      </w:r>
      <w:r w:rsidRPr="005C6D1A">
        <w:rPr>
          <w:lang w:val="fr-FR"/>
        </w:rPr>
        <w:t>;</w:t>
      </w:r>
    </w:p>
    <w:p w14:paraId="4756BA8D" w14:textId="1706B33E" w:rsidR="005C6D1A" w:rsidRPr="006E1450" w:rsidRDefault="005C6D1A" w:rsidP="005C6D1A">
      <w:pPr>
        <w:pStyle w:val="Bullet1G"/>
        <w:rPr>
          <w:lang w:val="fr-FR"/>
        </w:rPr>
      </w:pPr>
      <w:r w:rsidRPr="006E1450">
        <w:rPr>
          <w:b/>
          <w:bCs/>
          <w:lang w:val="fr-FR"/>
        </w:rPr>
        <w:t>PP37</w:t>
      </w:r>
      <w:r w:rsidRPr="006E1450">
        <w:rPr>
          <w:lang w:val="fr-FR"/>
        </w:rPr>
        <w:t xml:space="preserve"> Pour les Nos ONU 2590 et 2212, les sacs 5M1 sont autorisés. Tous les sacs de quelque type que ce soit doivent être transportés dans </w:t>
      </w:r>
      <w:r w:rsidRPr="006E1450">
        <w:rPr>
          <w:b/>
          <w:bCs/>
          <w:lang w:val="fr-FR"/>
        </w:rPr>
        <w:t xml:space="preserve">des wagons/véhicules ou conteneurs fermés </w:t>
      </w:r>
      <w:r w:rsidRPr="006E1450">
        <w:rPr>
          <w:lang w:val="fr-FR"/>
        </w:rPr>
        <w:t>ou être placés dans des suremballages rigides fermés</w:t>
      </w:r>
      <w:r>
        <w:rPr>
          <w:lang w:val="fr-FR"/>
        </w:rPr>
        <w:t> ;</w:t>
      </w:r>
    </w:p>
    <w:p w14:paraId="653F7C93" w14:textId="4997BDA1" w:rsidR="005C6D1A" w:rsidRPr="006E1450" w:rsidRDefault="005C6D1A" w:rsidP="005C6D1A">
      <w:pPr>
        <w:pStyle w:val="Bullet1G"/>
        <w:rPr>
          <w:b/>
          <w:lang w:val="fr-FR"/>
        </w:rPr>
      </w:pPr>
      <w:r w:rsidRPr="006E1450">
        <w:rPr>
          <w:b/>
          <w:bCs/>
          <w:lang w:val="fr-FR"/>
        </w:rPr>
        <w:t xml:space="preserve">PP38 </w:t>
      </w:r>
      <w:r w:rsidRPr="006E1450">
        <w:rPr>
          <w:lang w:val="fr-FR"/>
        </w:rPr>
        <w:t>Pour le No ONU 1309, groupe d</w:t>
      </w:r>
      <w:r>
        <w:rPr>
          <w:lang w:val="fr-FR"/>
        </w:rPr>
        <w:t>’</w:t>
      </w:r>
      <w:r w:rsidRPr="006E1450">
        <w:rPr>
          <w:lang w:val="fr-FR"/>
        </w:rPr>
        <w:t xml:space="preserve">emballage II, les sacs ne sont autorisés que dans </w:t>
      </w:r>
      <w:r w:rsidRPr="006E1450">
        <w:rPr>
          <w:b/>
          <w:bCs/>
          <w:lang w:val="fr-FR"/>
        </w:rPr>
        <w:t>des wagons/véhicules couverts ou dans des conteneurs fermés</w:t>
      </w:r>
      <w:r>
        <w:rPr>
          <w:b/>
          <w:bCs/>
          <w:lang w:val="fr-FR"/>
        </w:rPr>
        <w:t> </w:t>
      </w:r>
      <w:r>
        <w:rPr>
          <w:lang w:val="fr-FR"/>
        </w:rPr>
        <w:t>;</w:t>
      </w:r>
    </w:p>
    <w:p w14:paraId="4F9B0CEF" w14:textId="452B6C61" w:rsidR="005C6D1A" w:rsidRPr="006E1450" w:rsidRDefault="005C6D1A" w:rsidP="005C6D1A">
      <w:pPr>
        <w:pStyle w:val="Bullet1G"/>
        <w:rPr>
          <w:rFonts w:eastAsia="TimesNewRoman"/>
          <w:lang w:val="fr-FR"/>
        </w:rPr>
      </w:pPr>
      <w:r w:rsidRPr="006E1450">
        <w:rPr>
          <w:b/>
          <w:bCs/>
          <w:lang w:val="fr-FR"/>
        </w:rPr>
        <w:t>P801 2) g) ii)</w:t>
      </w:r>
      <w:r w:rsidRPr="006E1450">
        <w:rPr>
          <w:lang w:val="fr-FR"/>
        </w:rPr>
        <w:t xml:space="preserve"> soit transportés dans des véhicules couverts ou bâchés ou dans des conteneurs fermés ou bâchés</w:t>
      </w:r>
      <w:r>
        <w:rPr>
          <w:lang w:val="fr-FR"/>
        </w:rPr>
        <w:t> ;</w:t>
      </w:r>
    </w:p>
    <w:p w14:paraId="0A4C1E7E" w14:textId="7638178E" w:rsidR="005C6D1A" w:rsidRPr="006E1450" w:rsidRDefault="005C6D1A" w:rsidP="005C6D1A">
      <w:pPr>
        <w:pStyle w:val="Bullet1G"/>
        <w:rPr>
          <w:lang w:val="fr-FR"/>
        </w:rPr>
      </w:pPr>
      <w:r w:rsidRPr="006E1450">
        <w:rPr>
          <w:b/>
          <w:bCs/>
          <w:lang w:val="fr-FR"/>
        </w:rPr>
        <w:t xml:space="preserve">7.1.7.4.8 </w:t>
      </w:r>
      <w:r w:rsidRPr="006E1450">
        <w:rPr>
          <w:lang w:val="fr-FR"/>
        </w:rPr>
        <w:t xml:space="preserve">Si les matières sont contenues dans des emballages protecteurs remplis avec un agent frigorigène, elles doivent être chargées dans </w:t>
      </w:r>
      <w:r w:rsidRPr="006E1450">
        <w:rPr>
          <w:b/>
          <w:bCs/>
          <w:lang w:val="fr-FR"/>
        </w:rPr>
        <w:t>des véhicules couverts ou bâchés ou conteneurs fermés ou bâchés</w:t>
      </w:r>
      <w:r w:rsidRPr="006E1450">
        <w:rPr>
          <w:lang w:val="fr-FR"/>
        </w:rPr>
        <w:t>. Lorsque les véhicules ou conteneurs utilisés sont couverts ou fermés respectivement, l</w:t>
      </w:r>
      <w:r>
        <w:rPr>
          <w:lang w:val="fr-FR"/>
        </w:rPr>
        <w:t>’</w:t>
      </w:r>
      <w:r w:rsidRPr="006E1450">
        <w:rPr>
          <w:lang w:val="fr-FR"/>
        </w:rPr>
        <w:t>aération doit être assurée de façon adéquate (...)</w:t>
      </w:r>
      <w:r>
        <w:rPr>
          <w:lang w:val="fr-FR"/>
        </w:rPr>
        <w:t> ;</w:t>
      </w:r>
    </w:p>
    <w:p w14:paraId="253A904E" w14:textId="2DFB8B91" w:rsidR="005C6D1A" w:rsidRPr="006E1450" w:rsidRDefault="005C6D1A" w:rsidP="005C6D1A">
      <w:pPr>
        <w:pStyle w:val="Bullet1G"/>
        <w:rPr>
          <w:rFonts w:eastAsia="TimesNewRoman"/>
          <w:lang w:val="fr-FR"/>
        </w:rPr>
      </w:pPr>
      <w:r w:rsidRPr="006E1450">
        <w:rPr>
          <w:b/>
          <w:bCs/>
          <w:lang w:val="fr-FR"/>
        </w:rPr>
        <w:t xml:space="preserve">7.2.4, W1/V1 : </w:t>
      </w:r>
      <w:r w:rsidRPr="006E1450">
        <w:rPr>
          <w:lang w:val="fr-FR"/>
        </w:rPr>
        <w:t xml:space="preserve">Les colis doivent être chargés dans </w:t>
      </w:r>
      <w:r w:rsidRPr="006E1450">
        <w:rPr>
          <w:b/>
          <w:bCs/>
          <w:lang w:val="fr-FR"/>
        </w:rPr>
        <w:t>des wagons/véhicules couverts ou bâchés ou conteneurs fermés ou bâchés</w:t>
      </w:r>
      <w:r>
        <w:rPr>
          <w:b/>
          <w:bCs/>
          <w:lang w:val="fr-FR"/>
        </w:rPr>
        <w:t> </w:t>
      </w:r>
      <w:r>
        <w:rPr>
          <w:lang w:val="fr-FR"/>
        </w:rPr>
        <w:t>;</w:t>
      </w:r>
    </w:p>
    <w:p w14:paraId="52BED395" w14:textId="2D88DCD8" w:rsidR="005C6D1A" w:rsidRPr="006E1450" w:rsidRDefault="005C6D1A" w:rsidP="005C6D1A">
      <w:pPr>
        <w:pStyle w:val="Bullet1G"/>
        <w:rPr>
          <w:lang w:val="fr-FR"/>
        </w:rPr>
      </w:pPr>
      <w:r w:rsidRPr="006E1450">
        <w:rPr>
          <w:b/>
          <w:bCs/>
          <w:lang w:val="fr-FR"/>
        </w:rPr>
        <w:t xml:space="preserve">7.3.3.2.3 AP4 Les véhicules couverts et les conteneurs fermés </w:t>
      </w:r>
      <w:r w:rsidRPr="006E1450">
        <w:rPr>
          <w:lang w:val="fr-FR"/>
        </w:rPr>
        <w:t>doivent être équipés d</w:t>
      </w:r>
      <w:r>
        <w:rPr>
          <w:lang w:val="fr-FR"/>
        </w:rPr>
        <w:t>’</w:t>
      </w:r>
      <w:r w:rsidRPr="006E1450">
        <w:rPr>
          <w:lang w:val="fr-FR"/>
        </w:rPr>
        <w:t>ouvertures servant au remplissage et au déchargement pouvant être fermées de manière hermétique, afin d</w:t>
      </w:r>
      <w:r>
        <w:rPr>
          <w:lang w:val="fr-FR"/>
        </w:rPr>
        <w:t>’</w:t>
      </w:r>
      <w:r w:rsidRPr="006E1450">
        <w:rPr>
          <w:lang w:val="fr-FR"/>
        </w:rPr>
        <w:t>empêcher toute fuite de gaz et d</w:t>
      </w:r>
      <w:r>
        <w:rPr>
          <w:lang w:val="fr-FR"/>
        </w:rPr>
        <w:t>’</w:t>
      </w:r>
      <w:r w:rsidRPr="006E1450">
        <w:rPr>
          <w:lang w:val="fr-FR"/>
        </w:rPr>
        <w:t>éviter que de l</w:t>
      </w:r>
      <w:r>
        <w:rPr>
          <w:lang w:val="fr-FR"/>
        </w:rPr>
        <w:t>’</w:t>
      </w:r>
      <w:r w:rsidRPr="006E1450">
        <w:rPr>
          <w:lang w:val="fr-FR"/>
        </w:rPr>
        <w:t>humidité ne pénètre à l</w:t>
      </w:r>
      <w:r>
        <w:rPr>
          <w:lang w:val="fr-FR"/>
        </w:rPr>
        <w:t>’</w:t>
      </w:r>
      <w:r w:rsidRPr="006E1450">
        <w:rPr>
          <w:lang w:val="fr-FR"/>
        </w:rPr>
        <w:t>intérieur.</w:t>
      </w:r>
    </w:p>
    <w:p w14:paraId="7DC7CD66" w14:textId="77777777" w:rsidR="005C6D1A" w:rsidRPr="006E1450" w:rsidRDefault="005C6D1A" w:rsidP="005C6D1A">
      <w:pPr>
        <w:pStyle w:val="SingleTxtG"/>
        <w:rPr>
          <w:lang w:val="fr-FR"/>
        </w:rPr>
      </w:pPr>
      <w:r w:rsidRPr="006E1450">
        <w:rPr>
          <w:lang w:val="fr-FR"/>
        </w:rPr>
        <w:t>4.</w:t>
      </w:r>
      <w:r w:rsidRPr="006E1450">
        <w:rPr>
          <w:lang w:val="fr-FR"/>
        </w:rPr>
        <w:tab/>
        <w:t>Cette combinaison des expressions « wagon couvert », « véhicule couvert » et « conteneur fermé » peut donner à penser que la structure du compartiment de charge est la même pour le wagon/véhicule et pour le conteneur.</w:t>
      </w:r>
    </w:p>
    <w:p w14:paraId="751FACD3" w14:textId="77777777" w:rsidR="005C6D1A" w:rsidRPr="006E1450" w:rsidRDefault="005C6D1A" w:rsidP="005C6D1A">
      <w:pPr>
        <w:pStyle w:val="SingleTxtG"/>
        <w:rPr>
          <w:lang w:val="fr-FR"/>
        </w:rPr>
      </w:pPr>
      <w:r w:rsidRPr="006E1450">
        <w:rPr>
          <w:lang w:val="fr-FR"/>
        </w:rPr>
        <w:t>5.</w:t>
      </w:r>
      <w:r w:rsidRPr="006E1450">
        <w:rPr>
          <w:lang w:val="fr-FR"/>
        </w:rPr>
        <w:tab/>
        <w:t>Il convient de modifier les définitions de « wagon couvert » et de « véhicule couvert » pour les harmoniser avec la définition de « conteneur fermé ».</w:t>
      </w:r>
    </w:p>
    <w:p w14:paraId="5B3614B6" w14:textId="77777777" w:rsidR="005C6D1A" w:rsidRPr="006E1450" w:rsidRDefault="005C6D1A" w:rsidP="005C6D1A">
      <w:pPr>
        <w:pStyle w:val="HChG"/>
        <w:rPr>
          <w:lang w:val="fr-FR"/>
        </w:rPr>
      </w:pPr>
      <w:r w:rsidRPr="006E1450">
        <w:rPr>
          <w:lang w:val="fr-FR"/>
        </w:rPr>
        <w:tab/>
      </w:r>
      <w:r w:rsidRPr="006E1450">
        <w:rPr>
          <w:lang w:val="fr-FR"/>
        </w:rPr>
        <w:tab/>
      </w:r>
      <w:r w:rsidRPr="006E1450">
        <w:rPr>
          <w:lang w:val="fr-FR"/>
        </w:rPr>
        <w:tab/>
        <w:t>Proposition</w:t>
      </w:r>
    </w:p>
    <w:p w14:paraId="44C55FE9" w14:textId="77777777" w:rsidR="005C6D1A" w:rsidRPr="006E1450" w:rsidRDefault="005C6D1A" w:rsidP="005C6D1A">
      <w:pPr>
        <w:pStyle w:val="SingleTxtG"/>
        <w:rPr>
          <w:lang w:val="fr-FR"/>
        </w:rPr>
      </w:pPr>
      <w:r w:rsidRPr="006E1450">
        <w:rPr>
          <w:lang w:val="fr-FR"/>
        </w:rPr>
        <w:t>6.</w:t>
      </w:r>
      <w:r w:rsidRPr="006E1450">
        <w:rPr>
          <w:lang w:val="fr-FR"/>
        </w:rPr>
        <w:tab/>
        <w:t>Dans la section 1.2.1, remplacer les définitions de « wagon couvert » et de « véhicule couvert » par ce qui suit :</w:t>
      </w:r>
    </w:p>
    <w:p w14:paraId="62FD46A8" w14:textId="26F892F2" w:rsidR="005C6D1A" w:rsidRPr="006E1450" w:rsidRDefault="005C6D1A" w:rsidP="005C6D1A">
      <w:pPr>
        <w:pStyle w:val="SingleTxtG"/>
        <w:ind w:left="1701"/>
        <w:rPr>
          <w:u w:val="single"/>
          <w:lang w:val="fr-FR"/>
        </w:rPr>
      </w:pPr>
      <w:r>
        <w:rPr>
          <w:b/>
          <w:bCs/>
          <w:u w:val="single"/>
          <w:lang w:val="fr-FR"/>
        </w:rPr>
        <w:t>« </w:t>
      </w:r>
      <w:r w:rsidRPr="005C6D1A">
        <w:rPr>
          <w:u w:val="single"/>
        </w:rPr>
        <w:t>“</w:t>
      </w:r>
      <w:r w:rsidRPr="006E1450">
        <w:rPr>
          <w:b/>
          <w:bCs/>
          <w:u w:val="single"/>
          <w:lang w:val="fr-FR"/>
        </w:rPr>
        <w:t>Wagon couvert</w:t>
      </w:r>
      <w:r w:rsidRPr="005C6D1A">
        <w:rPr>
          <w:u w:val="single"/>
        </w:rPr>
        <w:t>”</w:t>
      </w:r>
      <w:r w:rsidRPr="006E1450">
        <w:rPr>
          <w:u w:val="single"/>
          <w:lang w:val="fr-FR"/>
        </w:rPr>
        <w:t>, un wagon comprenant un compartiment de charge totalement fermé, ayant un toit rigide, des parois latérales rigides, des parois d</w:t>
      </w:r>
      <w:r>
        <w:rPr>
          <w:u w:val="single"/>
          <w:lang w:val="fr-FR"/>
        </w:rPr>
        <w:t>’</w:t>
      </w:r>
      <w:r w:rsidRPr="006E1450">
        <w:rPr>
          <w:u w:val="single"/>
          <w:lang w:val="fr-FR"/>
        </w:rPr>
        <w:t>extrémité rigides et un plancher.</w:t>
      </w:r>
      <w:r w:rsidRPr="006E1450">
        <w:rPr>
          <w:lang w:val="fr-FR"/>
        </w:rPr>
        <w:t xml:space="preserve"> </w:t>
      </w:r>
      <w:r w:rsidRPr="006E1450">
        <w:rPr>
          <w:u w:val="single"/>
          <w:lang w:val="fr-FR"/>
        </w:rPr>
        <w:t>Le terme englobe les wagons à toit ouvrant pour autant que le toit soit fermé pendant le transport.</w:t>
      </w:r>
    </w:p>
    <w:p w14:paraId="298C9325" w14:textId="39AFD51D" w:rsidR="005C6D1A" w:rsidRPr="006E1450" w:rsidRDefault="005C6D1A" w:rsidP="005C6D1A">
      <w:pPr>
        <w:pStyle w:val="SingleTxtG"/>
        <w:keepNext/>
        <w:keepLines/>
        <w:ind w:left="1701"/>
        <w:rPr>
          <w:lang w:val="fr-FR"/>
        </w:rPr>
      </w:pPr>
      <w:r w:rsidRPr="005C6D1A">
        <w:rPr>
          <w:u w:val="single"/>
        </w:rPr>
        <w:lastRenderedPageBreak/>
        <w:t>“</w:t>
      </w:r>
      <w:r w:rsidRPr="006E1450">
        <w:rPr>
          <w:b/>
          <w:bCs/>
          <w:u w:val="single"/>
          <w:lang w:val="fr-FR"/>
        </w:rPr>
        <w:t>Véhicule couvert</w:t>
      </w:r>
      <w:r w:rsidRPr="005C6D1A">
        <w:rPr>
          <w:u w:val="single"/>
        </w:rPr>
        <w:t>”</w:t>
      </w:r>
      <w:r w:rsidRPr="006E1450">
        <w:rPr>
          <w:u w:val="single"/>
          <w:lang w:val="fr-FR"/>
        </w:rPr>
        <w:t>, un véhicule comprenant un compartiment de charge totalement fermé, ayant un toit rigide, des parois latérales rigides, des parois d</w:t>
      </w:r>
      <w:r>
        <w:rPr>
          <w:u w:val="single"/>
          <w:lang w:val="fr-FR"/>
        </w:rPr>
        <w:t>’</w:t>
      </w:r>
      <w:r w:rsidRPr="006E1450">
        <w:rPr>
          <w:u w:val="single"/>
          <w:lang w:val="fr-FR"/>
        </w:rPr>
        <w:t>extrémité rigides et un plancher.</w:t>
      </w:r>
      <w:r w:rsidRPr="005C6D1A">
        <w:rPr>
          <w:u w:val="single"/>
          <w:lang w:val="fr-FR"/>
        </w:rPr>
        <w:t xml:space="preserve"> </w:t>
      </w:r>
      <w:r w:rsidRPr="006E1450">
        <w:rPr>
          <w:u w:val="single"/>
          <w:lang w:val="fr-FR"/>
        </w:rPr>
        <w:t>Le terme englobe les véhicules à toit ouvrant pour autant que le toit soit fermé pendant le transport. </w:t>
      </w:r>
      <w:r w:rsidRPr="005C6D1A">
        <w:rPr>
          <w:lang w:val="fr-FR"/>
        </w:rPr>
        <w:t>».</w:t>
      </w:r>
    </w:p>
    <w:p w14:paraId="10F5AC70" w14:textId="77777777" w:rsidR="005C6D1A" w:rsidRPr="006E1450" w:rsidRDefault="005C6D1A" w:rsidP="005C6D1A">
      <w:pPr>
        <w:pStyle w:val="HChG"/>
        <w:ind w:right="567"/>
        <w:jc w:val="both"/>
        <w:rPr>
          <w:lang w:val="fr-FR"/>
        </w:rPr>
      </w:pPr>
      <w:r w:rsidRPr="006E1450">
        <w:rPr>
          <w:lang w:val="fr-FR"/>
        </w:rPr>
        <w:tab/>
      </w:r>
      <w:r w:rsidRPr="006E1450">
        <w:rPr>
          <w:lang w:val="fr-FR"/>
        </w:rPr>
        <w:tab/>
      </w:r>
      <w:r w:rsidRPr="006E1450">
        <w:rPr>
          <w:lang w:val="fr-FR"/>
        </w:rPr>
        <w:tab/>
      </w:r>
      <w:r w:rsidRPr="006E1450">
        <w:rPr>
          <w:bCs/>
          <w:lang w:val="fr-FR"/>
        </w:rPr>
        <w:t>Justification</w:t>
      </w:r>
    </w:p>
    <w:p w14:paraId="3BE50ECB" w14:textId="77777777" w:rsidR="005C6D1A" w:rsidRPr="006E1450" w:rsidRDefault="005C6D1A" w:rsidP="005C6D1A">
      <w:pPr>
        <w:pStyle w:val="SingleTxtG"/>
        <w:rPr>
          <w:rStyle w:val="SingleTxtGChar"/>
          <w:sz w:val="22"/>
          <w:szCs w:val="22"/>
          <w:lang w:val="fr-FR"/>
        </w:rPr>
      </w:pPr>
      <w:r w:rsidRPr="006E1450">
        <w:rPr>
          <w:lang w:val="fr-FR"/>
        </w:rPr>
        <w:t>7.</w:t>
      </w:r>
      <w:r w:rsidRPr="006E1450">
        <w:rPr>
          <w:lang w:val="fr-FR"/>
        </w:rPr>
        <w:tab/>
        <w:t>L</w:t>
      </w:r>
      <w:r>
        <w:rPr>
          <w:lang w:val="fr-FR"/>
        </w:rPr>
        <w:t>’</w:t>
      </w:r>
      <w:r w:rsidRPr="006E1450">
        <w:rPr>
          <w:lang w:val="fr-FR"/>
        </w:rPr>
        <w:t>amendement proposé permet une compréhension claire et cohérente des termes « </w:t>
      </w:r>
      <w:proofErr w:type="gramStart"/>
      <w:r w:rsidRPr="006E1450">
        <w:rPr>
          <w:lang w:val="fr-FR"/>
        </w:rPr>
        <w:t>couvert</w:t>
      </w:r>
      <w:proofErr w:type="gramEnd"/>
      <w:r w:rsidRPr="006E1450">
        <w:rPr>
          <w:lang w:val="fr-FR"/>
        </w:rPr>
        <w:t> » et « fermé » s</w:t>
      </w:r>
      <w:r>
        <w:rPr>
          <w:lang w:val="fr-FR"/>
        </w:rPr>
        <w:t>’</w:t>
      </w:r>
      <w:r w:rsidRPr="006E1450">
        <w:rPr>
          <w:lang w:val="fr-FR"/>
        </w:rPr>
        <w:t>appliquant aux wagons, aux véhicules et aux conteneurs.</w:t>
      </w:r>
    </w:p>
    <w:p w14:paraId="6F1987CA" w14:textId="050710B0" w:rsidR="00F9573C" w:rsidRDefault="005C6D1A" w:rsidP="005C6D1A">
      <w:pPr>
        <w:pStyle w:val="SingleTxtG"/>
        <w:rPr>
          <w:lang w:val="fr-FR"/>
        </w:rPr>
      </w:pPr>
      <w:r>
        <w:rPr>
          <w:lang w:val="fr-FR"/>
        </w:rPr>
        <w:tab/>
      </w:r>
      <w:r>
        <w:rPr>
          <w:lang w:val="fr-FR"/>
        </w:rPr>
        <w:tab/>
      </w:r>
      <w:r w:rsidRPr="006E1450">
        <w:rPr>
          <w:lang w:val="fr-FR"/>
        </w:rPr>
        <w:t>Les nouvelles définitions décrivent la conception du compartiment de charge.</w:t>
      </w:r>
      <w:bookmarkEnd w:id="0"/>
    </w:p>
    <w:p w14:paraId="3109AE75" w14:textId="5ACBE0EA" w:rsidR="005C6D1A" w:rsidRPr="005C6D1A" w:rsidRDefault="005C6D1A" w:rsidP="005C6D1A">
      <w:pPr>
        <w:pStyle w:val="SingleTxtG"/>
        <w:spacing w:before="240" w:after="0"/>
        <w:jc w:val="center"/>
        <w:rPr>
          <w:u w:val="single"/>
        </w:rPr>
      </w:pPr>
      <w:r>
        <w:tab/>
      </w:r>
      <w:r>
        <w:rPr>
          <w:u w:val="single"/>
        </w:rPr>
        <w:tab/>
      </w:r>
      <w:r>
        <w:rPr>
          <w:u w:val="single"/>
        </w:rPr>
        <w:tab/>
      </w:r>
      <w:r>
        <w:rPr>
          <w:u w:val="single"/>
        </w:rPr>
        <w:tab/>
      </w:r>
    </w:p>
    <w:sectPr w:rsidR="005C6D1A" w:rsidRPr="005C6D1A" w:rsidSect="00D3138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FF87" w14:textId="77777777" w:rsidR="0057557B" w:rsidRDefault="0057557B" w:rsidP="00F95C08">
      <w:pPr>
        <w:spacing w:line="240" w:lineRule="auto"/>
      </w:pPr>
    </w:p>
  </w:endnote>
  <w:endnote w:type="continuationSeparator" w:id="0">
    <w:p w14:paraId="6FCED5B5" w14:textId="77777777" w:rsidR="0057557B" w:rsidRPr="00AC3823" w:rsidRDefault="0057557B" w:rsidP="00AC3823">
      <w:pPr>
        <w:pStyle w:val="Footer"/>
      </w:pPr>
    </w:p>
  </w:endnote>
  <w:endnote w:type="continuationNotice" w:id="1">
    <w:p w14:paraId="53055FC5" w14:textId="77777777" w:rsidR="0057557B" w:rsidRDefault="005755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7493" w14:textId="5549A3B9" w:rsidR="00D3138C" w:rsidRPr="00D3138C" w:rsidRDefault="00D3138C" w:rsidP="00D3138C">
    <w:pPr>
      <w:pStyle w:val="Footer"/>
      <w:tabs>
        <w:tab w:val="right" w:pos="9638"/>
      </w:tabs>
    </w:pPr>
    <w:r w:rsidRPr="00D3138C">
      <w:rPr>
        <w:b/>
        <w:sz w:val="18"/>
      </w:rPr>
      <w:fldChar w:fldCharType="begin"/>
    </w:r>
    <w:r w:rsidRPr="00D3138C">
      <w:rPr>
        <w:b/>
        <w:sz w:val="18"/>
      </w:rPr>
      <w:instrText xml:space="preserve"> PAGE  \* MERGEFORMAT </w:instrText>
    </w:r>
    <w:r w:rsidRPr="00D3138C">
      <w:rPr>
        <w:b/>
        <w:sz w:val="18"/>
      </w:rPr>
      <w:fldChar w:fldCharType="separate"/>
    </w:r>
    <w:r w:rsidRPr="00D3138C">
      <w:rPr>
        <w:b/>
        <w:noProof/>
        <w:sz w:val="18"/>
      </w:rPr>
      <w:t>2</w:t>
    </w:r>
    <w:r w:rsidRPr="00D3138C">
      <w:rPr>
        <w:b/>
        <w:sz w:val="18"/>
      </w:rPr>
      <w:fldChar w:fldCharType="end"/>
    </w:r>
    <w:r>
      <w:rPr>
        <w:b/>
        <w:sz w:val="18"/>
      </w:rPr>
      <w:tab/>
    </w:r>
    <w:r>
      <w:t>GE.22-26302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3F8" w14:textId="6863C4C0" w:rsidR="00D3138C" w:rsidRPr="00D3138C" w:rsidRDefault="00D3138C" w:rsidP="00D3138C">
    <w:pPr>
      <w:pStyle w:val="Footer"/>
      <w:tabs>
        <w:tab w:val="right" w:pos="9638"/>
      </w:tabs>
      <w:rPr>
        <w:b/>
        <w:sz w:val="18"/>
      </w:rPr>
    </w:pPr>
    <w:r>
      <w:t>GE.22-26302</w:t>
    </w:r>
    <w:r>
      <w:tab/>
    </w:r>
    <w:r w:rsidRPr="00D3138C">
      <w:rPr>
        <w:b/>
        <w:sz w:val="18"/>
      </w:rPr>
      <w:fldChar w:fldCharType="begin"/>
    </w:r>
    <w:r w:rsidRPr="00D3138C">
      <w:rPr>
        <w:b/>
        <w:sz w:val="18"/>
      </w:rPr>
      <w:instrText xml:space="preserve"> PAGE  \* MERGEFORMAT </w:instrText>
    </w:r>
    <w:r w:rsidRPr="00D3138C">
      <w:rPr>
        <w:b/>
        <w:sz w:val="18"/>
      </w:rPr>
      <w:fldChar w:fldCharType="separate"/>
    </w:r>
    <w:r w:rsidRPr="00D3138C">
      <w:rPr>
        <w:b/>
        <w:noProof/>
        <w:sz w:val="18"/>
      </w:rPr>
      <w:t>3</w:t>
    </w:r>
    <w:r w:rsidRPr="00D313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AE0E" w14:textId="4F1412C0" w:rsidR="007F20FA" w:rsidRPr="00D3138C" w:rsidRDefault="00D3138C" w:rsidP="00D3138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D4A2EF3" wp14:editId="7963E2E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26302  (</w:t>
    </w:r>
    <w:proofErr w:type="gramEnd"/>
    <w:r>
      <w:rPr>
        <w:sz w:val="20"/>
      </w:rPr>
      <w:t>F)</w:t>
    </w:r>
    <w:r>
      <w:rPr>
        <w:noProof/>
        <w:sz w:val="20"/>
      </w:rPr>
      <w:drawing>
        <wp:anchor distT="0" distB="0" distL="114300" distR="114300" simplePos="0" relativeHeight="251660288" behindDoc="0" locked="0" layoutInCell="1" allowOverlap="1" wp14:anchorId="3431D41D" wp14:editId="18E6A93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130123    130123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3915" w14:textId="77777777" w:rsidR="0057557B" w:rsidRPr="00AC3823" w:rsidRDefault="0057557B" w:rsidP="00AC3823">
      <w:pPr>
        <w:pStyle w:val="Footer"/>
        <w:tabs>
          <w:tab w:val="right" w:pos="2155"/>
        </w:tabs>
        <w:spacing w:after="80" w:line="240" w:lineRule="atLeast"/>
        <w:ind w:left="680"/>
        <w:rPr>
          <w:u w:val="single"/>
        </w:rPr>
      </w:pPr>
      <w:r>
        <w:rPr>
          <w:u w:val="single"/>
        </w:rPr>
        <w:tab/>
      </w:r>
    </w:p>
  </w:footnote>
  <w:footnote w:type="continuationSeparator" w:id="0">
    <w:p w14:paraId="03FD78C5" w14:textId="77777777" w:rsidR="0057557B" w:rsidRPr="00AC3823" w:rsidRDefault="0057557B" w:rsidP="00AC3823">
      <w:pPr>
        <w:pStyle w:val="Footer"/>
        <w:tabs>
          <w:tab w:val="right" w:pos="2155"/>
        </w:tabs>
        <w:spacing w:after="80" w:line="240" w:lineRule="atLeast"/>
        <w:ind w:left="680"/>
        <w:rPr>
          <w:u w:val="single"/>
        </w:rPr>
      </w:pPr>
      <w:r>
        <w:rPr>
          <w:u w:val="single"/>
        </w:rPr>
        <w:tab/>
      </w:r>
    </w:p>
  </w:footnote>
  <w:footnote w:type="continuationNotice" w:id="1">
    <w:p w14:paraId="0AB85630" w14:textId="77777777" w:rsidR="0057557B" w:rsidRPr="00AC3823" w:rsidRDefault="0057557B">
      <w:pPr>
        <w:spacing w:line="240" w:lineRule="auto"/>
        <w:rPr>
          <w:sz w:val="2"/>
          <w:szCs w:val="2"/>
        </w:rPr>
      </w:pPr>
    </w:p>
  </w:footnote>
  <w:footnote w:id="2">
    <w:p w14:paraId="0C8DA309" w14:textId="734199D3" w:rsidR="005C6D1A" w:rsidRPr="005C6D1A" w:rsidRDefault="005C6D1A">
      <w:pPr>
        <w:pStyle w:val="FootnoteText"/>
      </w:pPr>
      <w:r>
        <w:rPr>
          <w:rStyle w:val="FootnoteReference"/>
        </w:rPr>
        <w:tab/>
      </w:r>
      <w:r w:rsidRPr="005C6D1A">
        <w:rPr>
          <w:rStyle w:val="FootnoteReference"/>
          <w:sz w:val="20"/>
          <w:vertAlign w:val="baseline"/>
        </w:rPr>
        <w:t>*</w:t>
      </w:r>
      <w:r>
        <w:rPr>
          <w:rStyle w:val="FootnoteReference"/>
          <w:sz w:val="20"/>
          <w:vertAlign w:val="baseline"/>
        </w:rPr>
        <w:tab/>
      </w:r>
      <w:r>
        <w:rPr>
          <w:lang w:val="fr-FR"/>
        </w:rPr>
        <w:t>A/76/6 (Sect. 20), par. 20.76.</w:t>
      </w:r>
    </w:p>
  </w:footnote>
  <w:footnote w:id="3">
    <w:p w14:paraId="5282FD49" w14:textId="12128DEF" w:rsidR="005C6D1A" w:rsidRDefault="005C6D1A">
      <w:pPr>
        <w:pStyle w:val="FootnoteText"/>
        <w:rPr>
          <w:lang w:val="fr-FR"/>
        </w:rPr>
      </w:pPr>
      <w:r>
        <w:rPr>
          <w:rStyle w:val="FootnoteReference"/>
        </w:rPr>
        <w:tab/>
      </w:r>
      <w:r w:rsidRPr="005C6D1A">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OTIF/RID/RC/2023/7.</w:t>
      </w:r>
    </w:p>
    <w:p w14:paraId="6CDBB61B" w14:textId="77777777" w:rsidR="005C6D1A" w:rsidRPr="005C6D1A" w:rsidRDefault="005C6D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5967" w14:textId="5B4791E8" w:rsidR="00D3138C" w:rsidRPr="00D3138C" w:rsidRDefault="008E10FA">
    <w:pPr>
      <w:pStyle w:val="Header"/>
    </w:pPr>
    <w:r>
      <w:fldChar w:fldCharType="begin"/>
    </w:r>
    <w:r>
      <w:instrText xml:space="preserve"> TITLE  \* MERGEFORMAT </w:instrText>
    </w:r>
    <w:r>
      <w:fldChar w:fldCharType="separate"/>
    </w:r>
    <w:r>
      <w:t>ECE/TRANS/WP.15/AC.1/2023/7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C1BF" w14:textId="4000D40D" w:rsidR="00D3138C" w:rsidRPr="00D3138C" w:rsidRDefault="008E10FA" w:rsidP="00D3138C">
    <w:pPr>
      <w:pStyle w:val="Header"/>
      <w:jc w:val="right"/>
    </w:pPr>
    <w:r>
      <w:fldChar w:fldCharType="begin"/>
    </w:r>
    <w:r>
      <w:instrText xml:space="preserve"> TITLE  \* MERGEFORMAT </w:instrText>
    </w:r>
    <w:r>
      <w:fldChar w:fldCharType="separate"/>
    </w:r>
    <w:r>
      <w:t>ECE/TRANS/WP.15/AC.1/2023/7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7B"/>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12EA4"/>
    <w:rsid w:val="003916DE"/>
    <w:rsid w:val="00421996"/>
    <w:rsid w:val="00441C3B"/>
    <w:rsid w:val="00444256"/>
    <w:rsid w:val="00446FE5"/>
    <w:rsid w:val="00452396"/>
    <w:rsid w:val="00477EB2"/>
    <w:rsid w:val="004837D8"/>
    <w:rsid w:val="004E2EED"/>
    <w:rsid w:val="004E468C"/>
    <w:rsid w:val="005505B7"/>
    <w:rsid w:val="00573BE5"/>
    <w:rsid w:val="0057557B"/>
    <w:rsid w:val="00586ED3"/>
    <w:rsid w:val="00596AA9"/>
    <w:rsid w:val="005C6D1A"/>
    <w:rsid w:val="0071601D"/>
    <w:rsid w:val="007A62E6"/>
    <w:rsid w:val="007F20FA"/>
    <w:rsid w:val="0080684C"/>
    <w:rsid w:val="00871C75"/>
    <w:rsid w:val="008776DC"/>
    <w:rsid w:val="008D5EF9"/>
    <w:rsid w:val="008E10FA"/>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138C"/>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2A67"/>
  <w15:docId w15:val="{590E7CB3-C215-441D-A124-548CAC41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5C6D1A"/>
    <w:rPr>
      <w:rFonts w:ascii="Times New Roman" w:eastAsiaTheme="minorHAnsi" w:hAnsi="Times New Roman" w:cs="Times New Roman"/>
      <w:sz w:val="20"/>
      <w:szCs w:val="20"/>
      <w:lang w:eastAsia="en-US"/>
    </w:rPr>
  </w:style>
  <w:style w:type="character" w:customStyle="1" w:styleId="HChGChar">
    <w:name w:val="_ H _Ch_G Char"/>
    <w:link w:val="HChG"/>
    <w:rsid w:val="005C6D1A"/>
    <w:rPr>
      <w:rFonts w:ascii="Times New Roman" w:eastAsiaTheme="minorHAnsi" w:hAnsi="Times New Roman" w:cs="Times New Roman"/>
      <w:b/>
      <w:sz w:val="28"/>
      <w:szCs w:val="20"/>
      <w:lang w:eastAsia="en-US"/>
    </w:rPr>
  </w:style>
  <w:style w:type="character" w:customStyle="1" w:styleId="H1GChar">
    <w:name w:val="_ H_1_G Char"/>
    <w:link w:val="H1G"/>
    <w:rsid w:val="005C6D1A"/>
    <w:rPr>
      <w:rFonts w:ascii="Times New Roman" w:eastAsiaTheme="minorHAnsi" w:hAnsi="Times New Roman" w:cs="Times New Roman"/>
      <w:b/>
      <w:sz w:val="24"/>
      <w:szCs w:val="20"/>
      <w:lang w:eastAsia="en-US"/>
    </w:rPr>
  </w:style>
  <w:style w:type="paragraph" w:styleId="HTMLPreformatted">
    <w:name w:val="HTML Preformatted"/>
    <w:basedOn w:val="Normal"/>
    <w:link w:val="HTMLPreformattedChar"/>
    <w:uiPriority w:val="99"/>
    <w:unhideWhenUsed/>
    <w:rsid w:val="005C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pl-PL" w:eastAsia="pl-PL"/>
    </w:rPr>
  </w:style>
  <w:style w:type="character" w:customStyle="1" w:styleId="HTMLPreformattedChar">
    <w:name w:val="HTML Preformatted Char"/>
    <w:basedOn w:val="DefaultParagraphFont"/>
    <w:link w:val="HTMLPreformatted"/>
    <w:uiPriority w:val="99"/>
    <w:rsid w:val="005C6D1A"/>
    <w:rPr>
      <w:rFonts w:ascii="Courier New"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17B612CA-1B9A-46D8-9738-87533436EF43}"/>
</file>

<file path=customXml/itemProps2.xml><?xml version="1.0" encoding="utf-8"?>
<ds:datastoreItem xmlns:ds="http://schemas.openxmlformats.org/officeDocument/2006/customXml" ds:itemID="{0A050C97-61D2-4B81-8FEB-8219CB5C6D55}"/>
</file>

<file path=customXml/itemProps3.xml><?xml version="1.0" encoding="utf-8"?>
<ds:datastoreItem xmlns:ds="http://schemas.openxmlformats.org/officeDocument/2006/customXml" ds:itemID="{9FEE1D46-B824-4139-B6D2-A9BABFF48AA5}"/>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ECE/TRANS/WP.15/AC.1/2023/7</dc:title>
  <dc:subject/>
  <dc:creator>Maud DARICHE</dc:creator>
  <cp:keywords/>
  <cp:lastModifiedBy>Laurence Berthet</cp:lastModifiedBy>
  <cp:revision>3</cp:revision>
  <cp:lastPrinted>2023-01-13T15:46:00Z</cp:lastPrinted>
  <dcterms:created xsi:type="dcterms:W3CDTF">2023-01-13T15:45:00Z</dcterms:created>
  <dcterms:modified xsi:type="dcterms:W3CDTF">2023-01-13T15:46:00Z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