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33D2B" w14:paraId="1FFE3240" w14:textId="77777777" w:rsidTr="00B20551">
        <w:trPr>
          <w:cantSplit/>
          <w:trHeight w:hRule="exact" w:val="851"/>
        </w:trPr>
        <w:tc>
          <w:tcPr>
            <w:tcW w:w="1276" w:type="dxa"/>
            <w:tcBorders>
              <w:bottom w:val="single" w:sz="4" w:space="0" w:color="auto"/>
            </w:tcBorders>
            <w:vAlign w:val="bottom"/>
          </w:tcPr>
          <w:p w14:paraId="62F6C8C5" w14:textId="77777777" w:rsidR="009E6CB7" w:rsidRDefault="009E6CB7" w:rsidP="00B20551">
            <w:pPr>
              <w:spacing w:after="80"/>
            </w:pPr>
          </w:p>
        </w:tc>
        <w:tc>
          <w:tcPr>
            <w:tcW w:w="2268" w:type="dxa"/>
            <w:tcBorders>
              <w:bottom w:val="single" w:sz="4" w:space="0" w:color="auto"/>
            </w:tcBorders>
            <w:vAlign w:val="bottom"/>
          </w:tcPr>
          <w:p w14:paraId="308120F5" w14:textId="77777777" w:rsidR="009E6CB7" w:rsidRPr="00033D2B" w:rsidRDefault="009E6CB7" w:rsidP="00B20551">
            <w:pPr>
              <w:spacing w:after="80" w:line="300" w:lineRule="exact"/>
              <w:rPr>
                <w:b/>
                <w:sz w:val="24"/>
                <w:szCs w:val="24"/>
              </w:rPr>
            </w:pPr>
            <w:r w:rsidRPr="00033D2B">
              <w:rPr>
                <w:sz w:val="28"/>
                <w:szCs w:val="28"/>
              </w:rPr>
              <w:t>United Nations</w:t>
            </w:r>
          </w:p>
        </w:tc>
        <w:tc>
          <w:tcPr>
            <w:tcW w:w="6095" w:type="dxa"/>
            <w:gridSpan w:val="2"/>
            <w:tcBorders>
              <w:bottom w:val="single" w:sz="4" w:space="0" w:color="auto"/>
            </w:tcBorders>
            <w:vAlign w:val="bottom"/>
          </w:tcPr>
          <w:p w14:paraId="64DA265A" w14:textId="6AA667DF" w:rsidR="009E6CB7" w:rsidRPr="00033D2B" w:rsidRDefault="00893F0C" w:rsidP="00893F0C">
            <w:pPr>
              <w:jc w:val="right"/>
            </w:pPr>
            <w:r w:rsidRPr="00033D2B">
              <w:rPr>
                <w:sz w:val="40"/>
              </w:rPr>
              <w:t>ECE</w:t>
            </w:r>
            <w:r w:rsidRPr="00033D2B">
              <w:t>/TRANS/WP.15/AC.1/2023/1</w:t>
            </w:r>
          </w:p>
        </w:tc>
      </w:tr>
      <w:tr w:rsidR="009E6CB7" w:rsidRPr="00033D2B" w14:paraId="6A1D3612" w14:textId="77777777" w:rsidTr="00B20551">
        <w:trPr>
          <w:cantSplit/>
          <w:trHeight w:hRule="exact" w:val="2835"/>
        </w:trPr>
        <w:tc>
          <w:tcPr>
            <w:tcW w:w="1276" w:type="dxa"/>
            <w:tcBorders>
              <w:top w:val="single" w:sz="4" w:space="0" w:color="auto"/>
              <w:bottom w:val="single" w:sz="12" w:space="0" w:color="auto"/>
            </w:tcBorders>
          </w:tcPr>
          <w:p w14:paraId="75DA75C6" w14:textId="77777777" w:rsidR="009E6CB7" w:rsidRPr="00033D2B" w:rsidRDefault="00686A48" w:rsidP="00B20551">
            <w:pPr>
              <w:spacing w:before="120"/>
            </w:pPr>
            <w:r w:rsidRPr="00033D2B">
              <w:rPr>
                <w:lang w:val="de-DE" w:eastAsia="de-DE"/>
              </w:rPr>
              <w:drawing>
                <wp:inline distT="0" distB="0" distL="0" distR="0" wp14:anchorId="6C5645E3" wp14:editId="44C4109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E5136E" w14:textId="77777777" w:rsidR="009E6CB7" w:rsidRPr="00033D2B" w:rsidRDefault="009E6CB7" w:rsidP="00B20551">
            <w:pPr>
              <w:spacing w:before="120" w:line="420" w:lineRule="exact"/>
              <w:rPr>
                <w:sz w:val="40"/>
                <w:szCs w:val="40"/>
              </w:rPr>
            </w:pPr>
            <w:r w:rsidRPr="00033D2B">
              <w:rPr>
                <w:b/>
                <w:sz w:val="40"/>
                <w:szCs w:val="40"/>
              </w:rPr>
              <w:t>Economic and Social Council</w:t>
            </w:r>
          </w:p>
        </w:tc>
        <w:tc>
          <w:tcPr>
            <w:tcW w:w="2835" w:type="dxa"/>
            <w:tcBorders>
              <w:top w:val="single" w:sz="4" w:space="0" w:color="auto"/>
              <w:bottom w:val="single" w:sz="12" w:space="0" w:color="auto"/>
            </w:tcBorders>
          </w:tcPr>
          <w:p w14:paraId="439E2847" w14:textId="77777777" w:rsidR="009E6CB7" w:rsidRPr="00033D2B" w:rsidRDefault="00893F0C" w:rsidP="00893F0C">
            <w:pPr>
              <w:spacing w:before="240" w:line="240" w:lineRule="exact"/>
            </w:pPr>
            <w:r w:rsidRPr="00033D2B">
              <w:t>Distr.: General</w:t>
            </w:r>
          </w:p>
          <w:p w14:paraId="34227722" w14:textId="35C23806" w:rsidR="00893F0C" w:rsidRPr="00033D2B" w:rsidRDefault="009B0E15" w:rsidP="00893F0C">
            <w:pPr>
              <w:spacing w:line="240" w:lineRule="exact"/>
            </w:pPr>
            <w:r>
              <w:t>6</w:t>
            </w:r>
            <w:r w:rsidR="00893F0C" w:rsidRPr="00033D2B">
              <w:t xml:space="preserve"> January 2023</w:t>
            </w:r>
          </w:p>
          <w:p w14:paraId="44B75F3D" w14:textId="77777777" w:rsidR="00893F0C" w:rsidRPr="00033D2B" w:rsidRDefault="00893F0C" w:rsidP="00893F0C">
            <w:pPr>
              <w:spacing w:line="240" w:lineRule="exact"/>
            </w:pPr>
          </w:p>
          <w:p w14:paraId="67274F61" w14:textId="49CD8C9D" w:rsidR="00893F0C" w:rsidRPr="00033D2B" w:rsidRDefault="00893F0C" w:rsidP="00893F0C">
            <w:pPr>
              <w:spacing w:line="240" w:lineRule="exact"/>
            </w:pPr>
            <w:r w:rsidRPr="00033D2B">
              <w:t>Original: English</w:t>
            </w:r>
          </w:p>
        </w:tc>
      </w:tr>
    </w:tbl>
    <w:p w14:paraId="76100C63" w14:textId="77777777" w:rsidR="00893F0C" w:rsidRPr="00033D2B" w:rsidRDefault="00893F0C" w:rsidP="00893F0C">
      <w:pPr>
        <w:spacing w:before="120"/>
        <w:rPr>
          <w:b/>
          <w:sz w:val="28"/>
          <w:szCs w:val="28"/>
        </w:rPr>
      </w:pPr>
      <w:r w:rsidRPr="00033D2B">
        <w:rPr>
          <w:b/>
          <w:sz w:val="28"/>
          <w:szCs w:val="28"/>
        </w:rPr>
        <w:t>Economic Commission for Europe</w:t>
      </w:r>
    </w:p>
    <w:p w14:paraId="60B82D98" w14:textId="77777777" w:rsidR="00893F0C" w:rsidRPr="00033D2B" w:rsidRDefault="00893F0C" w:rsidP="00893F0C">
      <w:pPr>
        <w:spacing w:before="120"/>
        <w:rPr>
          <w:sz w:val="28"/>
          <w:szCs w:val="28"/>
        </w:rPr>
      </w:pPr>
      <w:r w:rsidRPr="00033D2B">
        <w:rPr>
          <w:sz w:val="28"/>
          <w:szCs w:val="28"/>
        </w:rPr>
        <w:t>Inland Transport Committee</w:t>
      </w:r>
    </w:p>
    <w:p w14:paraId="14BA1556" w14:textId="77777777" w:rsidR="00893F0C" w:rsidRPr="00033D2B" w:rsidRDefault="00893F0C" w:rsidP="00893F0C">
      <w:pPr>
        <w:spacing w:before="120"/>
        <w:rPr>
          <w:b/>
          <w:sz w:val="24"/>
          <w:szCs w:val="24"/>
        </w:rPr>
      </w:pPr>
      <w:r w:rsidRPr="00033D2B">
        <w:rPr>
          <w:b/>
          <w:sz w:val="24"/>
          <w:szCs w:val="24"/>
        </w:rPr>
        <w:t>Working Party on the Transport of Dangerous Goods</w:t>
      </w:r>
    </w:p>
    <w:p w14:paraId="41D1340C" w14:textId="77777777" w:rsidR="00893F0C" w:rsidRPr="00033D2B" w:rsidRDefault="00893F0C" w:rsidP="00893F0C">
      <w:pPr>
        <w:spacing w:before="120"/>
        <w:rPr>
          <w:b/>
        </w:rPr>
      </w:pPr>
      <w:r w:rsidRPr="00033D2B">
        <w:rPr>
          <w:b/>
        </w:rPr>
        <w:t>Joint Meeting of the RID Committee of Experts and the</w:t>
      </w:r>
      <w:r w:rsidRPr="00033D2B">
        <w:rPr>
          <w:b/>
        </w:rPr>
        <w:br/>
        <w:t>Working Party on the Transport of Dangerous Goods</w:t>
      </w:r>
    </w:p>
    <w:p w14:paraId="11C685DB" w14:textId="77777777" w:rsidR="00893F0C" w:rsidRPr="00033D2B" w:rsidRDefault="00893F0C" w:rsidP="00893F0C">
      <w:r w:rsidRPr="00033D2B">
        <w:t>Bern, 20-24 March 2023</w:t>
      </w:r>
    </w:p>
    <w:p w14:paraId="0809DFB4" w14:textId="7D4866C7" w:rsidR="00893F0C" w:rsidRPr="00033D2B" w:rsidRDefault="00893F0C" w:rsidP="00893F0C">
      <w:r w:rsidRPr="00033D2B">
        <w:t>Item 5 (a) of the provisional agenda</w:t>
      </w:r>
    </w:p>
    <w:p w14:paraId="7DD7B841" w14:textId="0B8AD14A" w:rsidR="00893F0C" w:rsidRPr="00033D2B" w:rsidRDefault="00893F0C" w:rsidP="00893F0C">
      <w:pPr>
        <w:rPr>
          <w:b/>
          <w:bCs/>
        </w:rPr>
      </w:pPr>
      <w:r w:rsidRPr="00033D2B">
        <w:rPr>
          <w:b/>
          <w:bCs/>
        </w:rPr>
        <w:t>Proposals for amendments to RID/ADR/ADN:</w:t>
      </w:r>
      <w:r w:rsidRPr="00033D2B">
        <w:rPr>
          <w:b/>
          <w:bCs/>
        </w:rPr>
        <w:br/>
        <w:t>Pending issues</w:t>
      </w:r>
    </w:p>
    <w:p w14:paraId="75B152B3" w14:textId="77777777" w:rsidR="00893F0C" w:rsidRPr="00033D2B" w:rsidRDefault="00893F0C" w:rsidP="00893F0C">
      <w:pPr>
        <w:pStyle w:val="HChG"/>
        <w:rPr>
          <w:bCs/>
        </w:rPr>
      </w:pPr>
      <w:r w:rsidRPr="00033D2B">
        <w:tab/>
      </w:r>
      <w:r w:rsidRPr="00033D2B">
        <w:tab/>
      </w:r>
      <w:r w:rsidRPr="00033D2B">
        <w:tab/>
        <w:t>Special provisions 532 and 543 in RID/ADR/ADN</w:t>
      </w:r>
    </w:p>
    <w:p w14:paraId="2EBE82DB" w14:textId="580C5DF2" w:rsidR="00893F0C" w:rsidRPr="001B55E4" w:rsidRDefault="00893F0C" w:rsidP="00893F0C">
      <w:pPr>
        <w:pStyle w:val="H1G"/>
        <w:rPr>
          <w:vertAlign w:val="superscript"/>
        </w:rPr>
      </w:pPr>
      <w:r w:rsidRPr="00033D2B">
        <w:tab/>
      </w:r>
      <w:r w:rsidRPr="00033D2B">
        <w:tab/>
        <w:t>Note by the secretariat</w:t>
      </w:r>
      <w:r w:rsidR="00515A4E">
        <w:rPr>
          <w:rStyle w:val="FootnoteReference"/>
        </w:rPr>
        <w:footnoteReference w:id="2"/>
      </w:r>
      <w:r w:rsidR="001B55E4">
        <w:rPr>
          <w:vertAlign w:val="superscript"/>
        </w:rPr>
        <w:t xml:space="preserve">, </w:t>
      </w:r>
      <w:r w:rsidR="001B55E4">
        <w:rPr>
          <w:rStyle w:val="FootnoteReference"/>
        </w:rPr>
        <w:footnoteReference w:customMarkFollows="1" w:id="3"/>
        <w:t>**</w:t>
      </w:r>
    </w:p>
    <w:p w14:paraId="6A0C17F2" w14:textId="66DC8548" w:rsidR="00893F0C" w:rsidRPr="00033D2B" w:rsidRDefault="00893F0C" w:rsidP="00893F0C">
      <w:pPr>
        <w:pStyle w:val="HChG"/>
      </w:pPr>
      <w:r w:rsidRPr="00033D2B">
        <w:tab/>
        <w:t>I.</w:t>
      </w:r>
      <w:r w:rsidRPr="00033D2B">
        <w:tab/>
        <w:t>Background</w:t>
      </w:r>
    </w:p>
    <w:p w14:paraId="34F21BA9" w14:textId="118246EE" w:rsidR="00893F0C" w:rsidRPr="00033D2B" w:rsidRDefault="00893F0C" w:rsidP="00893F0C">
      <w:pPr>
        <w:pStyle w:val="SingleTxtG"/>
      </w:pPr>
      <w:r w:rsidRPr="00033D2B">
        <w:t>1.</w:t>
      </w:r>
      <w:r w:rsidRPr="00033D2B">
        <w:tab/>
        <w:t xml:space="preserve">In 2022, the secretariat received a query asking whether special provision (SP) 532 (currently assigned to UN 2073) and </w:t>
      </w:r>
      <w:r w:rsidR="00C54CA6" w:rsidRPr="00033D2B">
        <w:t xml:space="preserve">SP </w:t>
      </w:r>
      <w:r w:rsidRPr="00033D2B">
        <w:t xml:space="preserve">543 (currently assigned to UN 2672) might </w:t>
      </w:r>
      <w:r w:rsidR="00046BDB">
        <w:t>have been</w:t>
      </w:r>
      <w:r w:rsidRPr="00033D2B">
        <w:t xml:space="preserve"> accidentally swapped in the current text of </w:t>
      </w:r>
      <w:r w:rsidR="00046BDB">
        <w:t>RID/</w:t>
      </w:r>
      <w:r w:rsidRPr="00033D2B">
        <w:t>ADR</w:t>
      </w:r>
      <w:r w:rsidR="00046BDB">
        <w:t>/ADN</w:t>
      </w:r>
      <w:r w:rsidRPr="00033D2B">
        <w:t>. The question was whether SP 532 should be assigned to UN 2672 and SP 543 to UN 2073.</w:t>
      </w:r>
    </w:p>
    <w:p w14:paraId="441867D3" w14:textId="7FB37E32" w:rsidR="00893F0C" w:rsidRPr="00033D2B" w:rsidRDefault="008C6641" w:rsidP="00893F0C">
      <w:pPr>
        <w:pStyle w:val="SingleTxtG"/>
      </w:pPr>
      <w:r w:rsidRPr="00033D2B">
        <w:t>2</w:t>
      </w:r>
      <w:r w:rsidR="00893F0C" w:rsidRPr="00033D2B">
        <w:t>.</w:t>
      </w:r>
      <w:r w:rsidR="00893F0C" w:rsidRPr="00033D2B">
        <w:tab/>
      </w:r>
      <w:r w:rsidR="00751634">
        <w:t>After</w:t>
      </w:r>
      <w:r w:rsidR="00893F0C" w:rsidRPr="00033D2B">
        <w:t xml:space="preserve"> close reading, </w:t>
      </w:r>
      <w:r w:rsidR="00751634" w:rsidRPr="00033D2B">
        <w:t xml:space="preserve">the </w:t>
      </w:r>
      <w:r w:rsidR="00893F0C" w:rsidRPr="00033D2B">
        <w:t xml:space="preserve">secretariat was </w:t>
      </w:r>
      <w:r w:rsidR="00751634">
        <w:t xml:space="preserve">of </w:t>
      </w:r>
      <w:r w:rsidR="00893F0C" w:rsidRPr="00033D2B">
        <w:t xml:space="preserve">the opinion that there </w:t>
      </w:r>
      <w:r w:rsidRPr="00033D2B">
        <w:t>wa</w:t>
      </w:r>
      <w:r w:rsidR="00893F0C" w:rsidRPr="00033D2B">
        <w:t>s no error and that the</w:t>
      </w:r>
      <w:r w:rsidR="00A97E00">
        <w:t xml:space="preserve"> special provisions</w:t>
      </w:r>
      <w:r w:rsidR="00893F0C" w:rsidRPr="00033D2B">
        <w:t xml:space="preserve"> </w:t>
      </w:r>
      <w:r w:rsidRPr="00033D2B">
        <w:t>we</w:t>
      </w:r>
      <w:r w:rsidR="00893F0C" w:rsidRPr="00033D2B">
        <w:t>re correctly assigned. T</w:t>
      </w:r>
      <w:r w:rsidR="00893F0C" w:rsidRPr="00033D2B">
        <w:rPr>
          <w:rFonts w:hint="eastAsia"/>
        </w:rPr>
        <w:t>he</w:t>
      </w:r>
      <w:r w:rsidR="00BC0583" w:rsidRPr="00033D2B">
        <w:t xml:space="preserve"> secretariat understood that the</w:t>
      </w:r>
      <w:r w:rsidR="00893F0C" w:rsidRPr="00033D2B">
        <w:t>se</w:t>
      </w:r>
      <w:r w:rsidR="00893F0C" w:rsidRPr="00033D2B">
        <w:rPr>
          <w:rFonts w:hint="eastAsia"/>
        </w:rPr>
        <w:t xml:space="preserve"> special provisions </w:t>
      </w:r>
      <w:r w:rsidR="00BC0583" w:rsidRPr="00033D2B">
        <w:t>we</w:t>
      </w:r>
      <w:r w:rsidR="00893F0C" w:rsidRPr="00033D2B">
        <w:rPr>
          <w:rFonts w:hint="eastAsia"/>
        </w:rPr>
        <w:t>re</w:t>
      </w:r>
      <w:r w:rsidR="008D5941">
        <w:t xml:space="preserve"> simply</w:t>
      </w:r>
      <w:r w:rsidR="00893F0C" w:rsidRPr="00033D2B">
        <w:rPr>
          <w:rFonts w:hint="eastAsia"/>
        </w:rPr>
        <w:t xml:space="preserve"> notes to remind the </w:t>
      </w:r>
      <w:r w:rsidR="00893F0C" w:rsidRPr="00033D2B">
        <w:t xml:space="preserve">reader </w:t>
      </w:r>
      <w:r w:rsidR="00893F0C" w:rsidRPr="00033D2B">
        <w:rPr>
          <w:rFonts w:hint="eastAsia"/>
        </w:rPr>
        <w:t>about other UN numbers which might be applicable. Hence, for instance, the special provision for UN 2073 (SP 532) reminds the reader th</w:t>
      </w:r>
      <w:r w:rsidR="00893F0C" w:rsidRPr="00033D2B">
        <w:rPr>
          <w:rFonts w:asciiTheme="majorBidi" w:hAnsiTheme="majorBidi" w:cstheme="majorBidi" w:hint="eastAsia"/>
        </w:rPr>
        <w:t xml:space="preserve">at ammonia solution with 10 % </w:t>
      </w:r>
      <w:r w:rsidR="00893F0C" w:rsidRPr="00033D2B">
        <w:rPr>
          <w:rFonts w:asciiTheme="majorBidi" w:hAnsiTheme="majorBidi" w:cstheme="majorBidi"/>
        </w:rPr>
        <w:t>≤</w:t>
      </w:r>
      <w:r w:rsidR="00893F0C" w:rsidRPr="00033D2B">
        <w:rPr>
          <w:rFonts w:asciiTheme="majorBidi" w:hAnsiTheme="majorBidi" w:cstheme="majorBidi" w:hint="eastAsia"/>
        </w:rPr>
        <w:t xml:space="preserve"> ammonia </w:t>
      </w:r>
      <w:r w:rsidR="00893F0C" w:rsidRPr="00033D2B">
        <w:rPr>
          <w:rFonts w:asciiTheme="majorBidi" w:hAnsiTheme="majorBidi" w:cstheme="majorBidi"/>
        </w:rPr>
        <w:t>≤</w:t>
      </w:r>
      <w:r w:rsidR="00893F0C" w:rsidRPr="00033D2B">
        <w:rPr>
          <w:rFonts w:asciiTheme="majorBidi" w:hAnsiTheme="majorBidi" w:cstheme="majorBidi" w:hint="eastAsia"/>
        </w:rPr>
        <w:t xml:space="preserve"> 35 </w:t>
      </w:r>
      <w:r w:rsidR="00893F0C" w:rsidRPr="00033D2B">
        <w:rPr>
          <w:rFonts w:hint="eastAsia"/>
        </w:rPr>
        <w:t>%</w:t>
      </w:r>
      <w:r w:rsidR="00893F0C" w:rsidRPr="00033D2B">
        <w:t>,</w:t>
      </w:r>
      <w:r w:rsidR="00893F0C" w:rsidRPr="00033D2B">
        <w:rPr>
          <w:rFonts w:hint="eastAsia"/>
        </w:rPr>
        <w:t xml:space="preserve"> should </w:t>
      </w:r>
      <w:r w:rsidR="00893F0C" w:rsidRPr="00033D2B">
        <w:t>be classified</w:t>
      </w:r>
      <w:r w:rsidR="00893F0C" w:rsidRPr="00033D2B">
        <w:rPr>
          <w:rFonts w:hint="eastAsia"/>
        </w:rPr>
        <w:t xml:space="preserve"> as UN 2672 (Class 8) instead of as UN 2073 (Class 2).</w:t>
      </w:r>
    </w:p>
    <w:p w14:paraId="6EBD804D" w14:textId="367E5215" w:rsidR="008C6641" w:rsidRPr="00033D2B" w:rsidRDefault="008C6641" w:rsidP="00740C97">
      <w:pPr>
        <w:pStyle w:val="SingleTxtG"/>
      </w:pPr>
      <w:r w:rsidRPr="00033D2B">
        <w:t>3</w:t>
      </w:r>
      <w:r w:rsidR="00893F0C" w:rsidRPr="00033D2B">
        <w:t>.</w:t>
      </w:r>
      <w:r w:rsidR="00893F0C" w:rsidRPr="00033D2B">
        <w:tab/>
      </w:r>
      <w:r w:rsidRPr="00033D2B">
        <w:t>The secretariat submitted informal document INF.14 to the 2022 spring session of the Joint Meeting with an analysis of the issue. The Joint Meeting agreed with the secretariat’s interpretation and concluded that these special provisions could lead to misinterpretation. However, opinions were divided as to whether it would be best to amend these two special provisions</w:t>
      </w:r>
      <w:r w:rsidR="00972CF3" w:rsidRPr="00033D2B">
        <w:t>, and how,</w:t>
      </w:r>
      <w:r w:rsidRPr="00033D2B">
        <w:t xml:space="preserve"> or to simply remove them.</w:t>
      </w:r>
      <w:r w:rsidR="002A546A">
        <w:t xml:space="preserve"> S</w:t>
      </w:r>
      <w:r w:rsidR="00AC2458">
        <w:t>ome</w:t>
      </w:r>
      <w:r w:rsidR="000560A5">
        <w:t xml:space="preserve"> delegations</w:t>
      </w:r>
      <w:r w:rsidR="00451614">
        <w:t xml:space="preserve"> </w:t>
      </w:r>
      <w:r w:rsidR="00740C97">
        <w:t>preferred</w:t>
      </w:r>
      <w:r w:rsidR="00AC2458">
        <w:t xml:space="preserve"> to delete both </w:t>
      </w:r>
      <w:r w:rsidR="00B153D5">
        <w:t>special provision</w:t>
      </w:r>
      <w:r w:rsidR="00AC2458">
        <w:t xml:space="preserve">s, </w:t>
      </w:r>
      <w:r w:rsidR="00C9338C">
        <w:t>others</w:t>
      </w:r>
      <w:r w:rsidR="00AC2458">
        <w:t xml:space="preserve"> noted that it might be useful to </w:t>
      </w:r>
      <w:r w:rsidR="009F70E3">
        <w:t>keep the comment</w:t>
      </w:r>
      <w:r w:rsidR="00191944">
        <w:t xml:space="preserve"> </w:t>
      </w:r>
      <w:r w:rsidR="00C9338C">
        <w:t>on</w:t>
      </w:r>
      <w:r w:rsidR="00191944">
        <w:t xml:space="preserve"> solutions with ammonia </w:t>
      </w:r>
      <w:r w:rsidR="00191944" w:rsidRPr="00033D2B">
        <w:rPr>
          <w:rFonts w:asciiTheme="majorBidi" w:hAnsiTheme="majorBidi" w:cstheme="majorBidi"/>
        </w:rPr>
        <w:t>≤</w:t>
      </w:r>
      <w:r w:rsidR="000D15D7">
        <w:rPr>
          <w:rFonts w:asciiTheme="majorBidi" w:hAnsiTheme="majorBidi" w:cstheme="majorBidi"/>
        </w:rPr>
        <w:t> </w:t>
      </w:r>
      <w:r w:rsidR="00191944">
        <w:rPr>
          <w:rFonts w:asciiTheme="majorBidi" w:hAnsiTheme="majorBidi" w:cstheme="majorBidi"/>
        </w:rPr>
        <w:t>10 %</w:t>
      </w:r>
      <w:r w:rsidR="00740C97">
        <w:rPr>
          <w:rFonts w:asciiTheme="majorBidi" w:hAnsiTheme="majorBidi" w:cstheme="majorBidi"/>
        </w:rPr>
        <w:t xml:space="preserve"> and some preferred to merge all the information contained in both </w:t>
      </w:r>
      <w:r w:rsidR="00C116B1">
        <w:t>special provisions</w:t>
      </w:r>
      <w:r w:rsidR="00C116B1">
        <w:rPr>
          <w:rFonts w:asciiTheme="majorBidi" w:hAnsiTheme="majorBidi" w:cstheme="majorBidi"/>
        </w:rPr>
        <w:t xml:space="preserve"> </w:t>
      </w:r>
      <w:r w:rsidR="00740C97">
        <w:rPr>
          <w:rFonts w:asciiTheme="majorBidi" w:hAnsiTheme="majorBidi" w:cstheme="majorBidi"/>
        </w:rPr>
        <w:t xml:space="preserve">into a single </w:t>
      </w:r>
      <w:r w:rsidR="00C116B1">
        <w:t xml:space="preserve">special provision </w:t>
      </w:r>
      <w:r w:rsidR="00740C97">
        <w:rPr>
          <w:rFonts w:asciiTheme="majorBidi" w:hAnsiTheme="majorBidi" w:cstheme="majorBidi"/>
        </w:rPr>
        <w:t>and apply it to all entries</w:t>
      </w:r>
      <w:r w:rsidR="008B05F2">
        <w:rPr>
          <w:rFonts w:asciiTheme="majorBidi" w:hAnsiTheme="majorBidi" w:cstheme="majorBidi"/>
        </w:rPr>
        <w:t xml:space="preserve"> for ammonia solutions</w:t>
      </w:r>
      <w:r w:rsidR="00740C97">
        <w:rPr>
          <w:rFonts w:asciiTheme="majorBidi" w:hAnsiTheme="majorBidi" w:cstheme="majorBidi"/>
        </w:rPr>
        <w:t xml:space="preserve">. </w:t>
      </w:r>
      <w:r w:rsidR="00AC2A56" w:rsidRPr="00033D2B">
        <w:t>The Joint Meeting</w:t>
      </w:r>
      <w:r w:rsidR="007F71BC" w:rsidRPr="00033D2B">
        <w:t xml:space="preserve"> requested the </w:t>
      </w:r>
      <w:r w:rsidR="009C7EAB" w:rsidRPr="00033D2B">
        <w:t xml:space="preserve">secretariat to </w:t>
      </w:r>
      <w:r w:rsidR="00060817">
        <w:t>submit</w:t>
      </w:r>
      <w:r w:rsidR="009C7EAB" w:rsidRPr="00033D2B">
        <w:t xml:space="preserve"> an official proposal to a</w:t>
      </w:r>
      <w:r w:rsidR="002105EC" w:rsidRPr="00033D2B">
        <w:t xml:space="preserve"> future session with </w:t>
      </w:r>
      <w:r w:rsidR="000560A5">
        <w:t>several</w:t>
      </w:r>
      <w:r w:rsidR="002105EC" w:rsidRPr="00033D2B">
        <w:t xml:space="preserve"> options</w:t>
      </w:r>
      <w:r w:rsidR="00B2787C" w:rsidRPr="00033D2B">
        <w:t>,</w:t>
      </w:r>
      <w:r w:rsidR="002105EC" w:rsidRPr="00033D2B">
        <w:t xml:space="preserve"> so that a decision could be taken.</w:t>
      </w:r>
    </w:p>
    <w:p w14:paraId="6AB1A5DC" w14:textId="77777777" w:rsidR="00963982" w:rsidRDefault="00963982">
      <w:pPr>
        <w:suppressAutoHyphens w:val="0"/>
        <w:spacing w:line="240" w:lineRule="auto"/>
      </w:pPr>
      <w:r>
        <w:br w:type="page"/>
      </w:r>
    </w:p>
    <w:p w14:paraId="286D9F3B" w14:textId="786F8E43" w:rsidR="005D2BA1" w:rsidRPr="00033D2B" w:rsidRDefault="005D2BA1" w:rsidP="008C6641">
      <w:pPr>
        <w:pStyle w:val="SingleTxtG"/>
      </w:pPr>
      <w:r w:rsidRPr="00033D2B">
        <w:t>4.</w:t>
      </w:r>
      <w:r w:rsidRPr="00033D2B">
        <w:tab/>
      </w:r>
      <w:r w:rsidR="00522D56">
        <w:t>Below</w:t>
      </w:r>
      <w:r w:rsidR="00BA0D73">
        <w:t>, s</w:t>
      </w:r>
      <w:r w:rsidRPr="00033D2B">
        <w:t xml:space="preserve">ection II </w:t>
      </w:r>
      <w:r w:rsidR="0050069E" w:rsidRPr="00033D2B">
        <w:t>reproduces the analysis of the situation that was already presented in the 2022 spring session</w:t>
      </w:r>
      <w:r w:rsidR="00D671D8">
        <w:t>, with some additional comments</w:t>
      </w:r>
      <w:r w:rsidR="00DC28AC" w:rsidRPr="00033D2B">
        <w:t>,</w:t>
      </w:r>
      <w:r w:rsidR="0050069E" w:rsidRPr="00033D2B">
        <w:t xml:space="preserve"> </w:t>
      </w:r>
      <w:r w:rsidR="00DC28AC" w:rsidRPr="00033D2B">
        <w:t>s</w:t>
      </w:r>
      <w:r w:rsidR="0050069E" w:rsidRPr="00033D2B">
        <w:t>ection III</w:t>
      </w:r>
      <w:r w:rsidR="002C461E" w:rsidRPr="00033D2B">
        <w:t xml:space="preserve"> proposes several solutions</w:t>
      </w:r>
      <w:r w:rsidR="00DC28AC" w:rsidRPr="00033D2B">
        <w:t xml:space="preserve"> and</w:t>
      </w:r>
      <w:r w:rsidR="002C461E" w:rsidRPr="00033D2B">
        <w:t xml:space="preserve"> </w:t>
      </w:r>
      <w:r w:rsidR="00DC28AC" w:rsidRPr="00033D2B">
        <w:t>s</w:t>
      </w:r>
      <w:r w:rsidR="002C461E" w:rsidRPr="00033D2B">
        <w:t>ection IV</w:t>
      </w:r>
      <w:r w:rsidR="00F26D4E" w:rsidRPr="00033D2B">
        <w:t xml:space="preserve"> asks the Joint Meeting</w:t>
      </w:r>
      <w:r w:rsidR="0012669D" w:rsidRPr="00033D2B">
        <w:t xml:space="preserve"> for its opinion </w:t>
      </w:r>
      <w:r w:rsidR="003425A6" w:rsidRPr="00033D2B">
        <w:t>on further actions t</w:t>
      </w:r>
      <w:r w:rsidR="00A34A00" w:rsidRPr="00033D2B">
        <w:t>hat might be taken</w:t>
      </w:r>
      <w:r w:rsidR="0012669D" w:rsidRPr="00033D2B">
        <w:t>.</w:t>
      </w:r>
    </w:p>
    <w:p w14:paraId="5DAEDFB4" w14:textId="56519EDB" w:rsidR="00893F0C" w:rsidRPr="00033D2B" w:rsidRDefault="00893F0C" w:rsidP="00893F0C">
      <w:pPr>
        <w:pStyle w:val="HChG"/>
      </w:pPr>
      <w:r w:rsidRPr="00033D2B">
        <w:tab/>
        <w:t>II.</w:t>
      </w:r>
      <w:r w:rsidRPr="00033D2B">
        <w:tab/>
        <w:t>Introduction</w:t>
      </w:r>
    </w:p>
    <w:p w14:paraId="31D68D99" w14:textId="7FF2A081" w:rsidR="0034761F" w:rsidRPr="00033D2B" w:rsidRDefault="0034761F" w:rsidP="0034761F">
      <w:pPr>
        <w:pStyle w:val="H1G"/>
      </w:pPr>
      <w:r w:rsidRPr="00033D2B">
        <w:tab/>
        <w:t>A.</w:t>
      </w:r>
      <w:r w:rsidRPr="00033D2B">
        <w:tab/>
        <w:t>Current situation</w:t>
      </w:r>
    </w:p>
    <w:p w14:paraId="6BB58844" w14:textId="09DE343D" w:rsidR="00893F0C" w:rsidRPr="00033D2B" w:rsidRDefault="0034761F" w:rsidP="00893F0C">
      <w:pPr>
        <w:pStyle w:val="SingleTxtG"/>
      </w:pPr>
      <w:r w:rsidRPr="00033D2B">
        <w:t>5</w:t>
      </w:r>
      <w:r w:rsidR="00893F0C" w:rsidRPr="00033D2B">
        <w:t>.</w:t>
      </w:r>
      <w:r w:rsidR="00893F0C" w:rsidRPr="00033D2B">
        <w:tab/>
      </w:r>
      <w:r w:rsidR="003008F8">
        <w:t>F</w:t>
      </w:r>
      <w:r w:rsidR="00893F0C" w:rsidRPr="00033D2B">
        <w:t xml:space="preserve">or ease of reference, the concerned UN numbers and </w:t>
      </w:r>
      <w:r w:rsidR="00C116B1">
        <w:t>special provisions</w:t>
      </w:r>
      <w:r w:rsidR="00C116B1" w:rsidRPr="00033D2B">
        <w:t xml:space="preserve"> </w:t>
      </w:r>
      <w:r w:rsidR="00893F0C" w:rsidRPr="00033D2B">
        <w:t xml:space="preserve">are reproduced as contained in </w:t>
      </w:r>
      <w:r w:rsidR="00AF6EC5">
        <w:t>RID/</w:t>
      </w:r>
      <w:r w:rsidR="00893F0C" w:rsidRPr="00033D2B">
        <w:t>ADR</w:t>
      </w:r>
      <w:r w:rsidR="00AF6EC5">
        <w:t>/ADN</w:t>
      </w:r>
      <w:r w:rsidR="00893F0C" w:rsidRPr="00033D2B">
        <w:t xml:space="preserve"> 202</w:t>
      </w:r>
      <w:r w:rsidR="00775BED">
        <w:t>3</w:t>
      </w:r>
      <w:r w:rsidR="00893F0C" w:rsidRPr="00033D2B">
        <w:t xml:space="preserve">. For the UN numbers, only columns (1) to (6) are shown. For the </w:t>
      </w:r>
      <w:r w:rsidR="00C116B1">
        <w:t>special provisions</w:t>
      </w:r>
      <w:r w:rsidR="00893F0C" w:rsidRPr="00033D2B">
        <w:t>, only SPs 532 and 543 are reproduced, as SPs 23 and 379 are unrelated to the issues discussed here.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518"/>
        <w:gridCol w:w="550"/>
        <w:gridCol w:w="689"/>
        <w:gridCol w:w="557"/>
        <w:gridCol w:w="750"/>
        <w:gridCol w:w="691"/>
      </w:tblGrid>
      <w:tr w:rsidR="00893F0C" w:rsidRPr="00033D2B" w14:paraId="55B275F1" w14:textId="77777777" w:rsidTr="006D6ED5">
        <w:trPr>
          <w:trHeight w:val="20"/>
        </w:trPr>
        <w:tc>
          <w:tcPr>
            <w:tcW w:w="426" w:type="dxa"/>
            <w:shd w:val="clear" w:color="auto" w:fill="auto"/>
            <w:hideMark/>
          </w:tcPr>
          <w:p w14:paraId="2E39972F" w14:textId="77777777" w:rsidR="00893F0C" w:rsidRPr="00033D2B" w:rsidRDefault="00893F0C" w:rsidP="006D6ED5">
            <w:pPr>
              <w:jc w:val="center"/>
              <w:rPr>
                <w:rFonts w:asciiTheme="majorBidi" w:hAnsiTheme="majorBidi" w:cstheme="majorBidi"/>
                <w:b/>
                <w:bCs/>
              </w:rPr>
            </w:pPr>
            <w:r w:rsidRPr="00033D2B">
              <w:rPr>
                <w:rFonts w:asciiTheme="majorBidi" w:hAnsiTheme="majorBidi" w:cstheme="majorBidi"/>
                <w:b/>
                <w:bCs/>
              </w:rPr>
              <w:t>(1)</w:t>
            </w:r>
          </w:p>
        </w:tc>
        <w:tc>
          <w:tcPr>
            <w:tcW w:w="3711" w:type="dxa"/>
            <w:shd w:val="clear" w:color="auto" w:fill="auto"/>
            <w:hideMark/>
          </w:tcPr>
          <w:p w14:paraId="7269B0ED" w14:textId="77777777" w:rsidR="00893F0C" w:rsidRPr="00033D2B" w:rsidRDefault="00893F0C" w:rsidP="006D6ED5">
            <w:pPr>
              <w:jc w:val="center"/>
              <w:rPr>
                <w:rFonts w:asciiTheme="majorBidi" w:hAnsiTheme="majorBidi" w:cstheme="majorBidi"/>
                <w:b/>
                <w:bCs/>
              </w:rPr>
            </w:pPr>
            <w:r w:rsidRPr="00033D2B">
              <w:rPr>
                <w:rFonts w:asciiTheme="majorBidi" w:hAnsiTheme="majorBidi" w:cstheme="majorBidi"/>
                <w:b/>
                <w:bCs/>
              </w:rPr>
              <w:t>(2)</w:t>
            </w:r>
          </w:p>
        </w:tc>
        <w:tc>
          <w:tcPr>
            <w:tcW w:w="550" w:type="dxa"/>
            <w:shd w:val="clear" w:color="auto" w:fill="auto"/>
            <w:hideMark/>
          </w:tcPr>
          <w:p w14:paraId="5BB55F8B" w14:textId="77777777" w:rsidR="00893F0C" w:rsidRPr="00033D2B" w:rsidRDefault="00893F0C" w:rsidP="006D6ED5">
            <w:pPr>
              <w:jc w:val="center"/>
              <w:rPr>
                <w:rFonts w:asciiTheme="majorBidi" w:hAnsiTheme="majorBidi" w:cstheme="majorBidi"/>
                <w:b/>
                <w:bCs/>
              </w:rPr>
            </w:pPr>
            <w:r w:rsidRPr="00033D2B">
              <w:rPr>
                <w:rFonts w:asciiTheme="majorBidi" w:hAnsiTheme="majorBidi" w:cstheme="majorBidi"/>
                <w:b/>
                <w:bCs/>
              </w:rPr>
              <w:t>(3a)</w:t>
            </w:r>
          </w:p>
        </w:tc>
        <w:tc>
          <w:tcPr>
            <w:tcW w:w="700" w:type="dxa"/>
            <w:shd w:val="clear" w:color="auto" w:fill="auto"/>
            <w:hideMark/>
          </w:tcPr>
          <w:p w14:paraId="581F439E" w14:textId="77777777" w:rsidR="00893F0C" w:rsidRPr="00033D2B" w:rsidRDefault="00893F0C" w:rsidP="006D6ED5">
            <w:pPr>
              <w:jc w:val="center"/>
              <w:rPr>
                <w:rFonts w:asciiTheme="majorBidi" w:hAnsiTheme="majorBidi" w:cstheme="majorBidi"/>
                <w:b/>
                <w:bCs/>
              </w:rPr>
            </w:pPr>
            <w:r w:rsidRPr="00033D2B">
              <w:rPr>
                <w:rFonts w:asciiTheme="majorBidi" w:hAnsiTheme="majorBidi" w:cstheme="majorBidi"/>
                <w:b/>
                <w:bCs/>
              </w:rPr>
              <w:t>(3b)</w:t>
            </w:r>
          </w:p>
        </w:tc>
        <w:tc>
          <w:tcPr>
            <w:tcW w:w="567" w:type="dxa"/>
            <w:shd w:val="clear" w:color="auto" w:fill="auto"/>
            <w:hideMark/>
          </w:tcPr>
          <w:p w14:paraId="4271E25C" w14:textId="77777777" w:rsidR="00893F0C" w:rsidRPr="00033D2B" w:rsidRDefault="00893F0C" w:rsidP="006D6ED5">
            <w:pPr>
              <w:jc w:val="center"/>
              <w:rPr>
                <w:rFonts w:asciiTheme="majorBidi" w:hAnsiTheme="majorBidi" w:cstheme="majorBidi"/>
                <w:b/>
                <w:bCs/>
              </w:rPr>
            </w:pPr>
            <w:r w:rsidRPr="00033D2B">
              <w:rPr>
                <w:rFonts w:asciiTheme="majorBidi" w:hAnsiTheme="majorBidi" w:cstheme="majorBidi"/>
                <w:b/>
                <w:bCs/>
              </w:rPr>
              <w:t>(4)</w:t>
            </w:r>
          </w:p>
        </w:tc>
        <w:tc>
          <w:tcPr>
            <w:tcW w:w="709" w:type="dxa"/>
            <w:shd w:val="clear" w:color="auto" w:fill="auto"/>
            <w:hideMark/>
          </w:tcPr>
          <w:p w14:paraId="2605B4B9" w14:textId="77777777" w:rsidR="00893F0C" w:rsidRPr="00033D2B" w:rsidRDefault="00893F0C" w:rsidP="006D6ED5">
            <w:pPr>
              <w:jc w:val="center"/>
              <w:rPr>
                <w:rFonts w:asciiTheme="majorBidi" w:hAnsiTheme="majorBidi" w:cstheme="majorBidi"/>
                <w:b/>
                <w:bCs/>
              </w:rPr>
            </w:pPr>
            <w:r w:rsidRPr="00033D2B">
              <w:rPr>
                <w:rFonts w:asciiTheme="majorBidi" w:hAnsiTheme="majorBidi" w:cstheme="majorBidi"/>
                <w:b/>
                <w:bCs/>
              </w:rPr>
              <w:t>(5)</w:t>
            </w:r>
          </w:p>
        </w:tc>
        <w:tc>
          <w:tcPr>
            <w:tcW w:w="708" w:type="dxa"/>
            <w:shd w:val="clear" w:color="auto" w:fill="auto"/>
            <w:hideMark/>
          </w:tcPr>
          <w:p w14:paraId="43F2D3C1" w14:textId="77777777" w:rsidR="00893F0C" w:rsidRPr="00033D2B" w:rsidRDefault="00893F0C" w:rsidP="006D6ED5">
            <w:pPr>
              <w:jc w:val="center"/>
              <w:rPr>
                <w:rFonts w:asciiTheme="majorBidi" w:hAnsiTheme="majorBidi" w:cstheme="majorBidi"/>
                <w:b/>
                <w:bCs/>
              </w:rPr>
            </w:pPr>
            <w:r w:rsidRPr="00033D2B">
              <w:rPr>
                <w:rFonts w:asciiTheme="majorBidi" w:hAnsiTheme="majorBidi" w:cstheme="majorBidi"/>
                <w:b/>
                <w:bCs/>
              </w:rPr>
              <w:t>(6)</w:t>
            </w:r>
          </w:p>
        </w:tc>
      </w:tr>
      <w:tr w:rsidR="00893F0C" w:rsidRPr="00033D2B" w14:paraId="141BB567" w14:textId="77777777" w:rsidTr="006D6ED5">
        <w:trPr>
          <w:trHeight w:val="20"/>
        </w:trPr>
        <w:tc>
          <w:tcPr>
            <w:tcW w:w="426" w:type="dxa"/>
            <w:shd w:val="clear" w:color="auto" w:fill="auto"/>
            <w:hideMark/>
          </w:tcPr>
          <w:p w14:paraId="3A638ECB"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1005</w:t>
            </w:r>
          </w:p>
        </w:tc>
        <w:tc>
          <w:tcPr>
            <w:tcW w:w="3711" w:type="dxa"/>
            <w:shd w:val="clear" w:color="auto" w:fill="auto"/>
            <w:hideMark/>
          </w:tcPr>
          <w:p w14:paraId="1869DF56" w14:textId="77777777" w:rsidR="00893F0C" w:rsidRPr="00033D2B" w:rsidRDefault="00893F0C" w:rsidP="006D6ED5">
            <w:pPr>
              <w:rPr>
                <w:rFonts w:asciiTheme="majorBidi" w:hAnsiTheme="majorBidi" w:cstheme="majorBidi"/>
                <w:color w:val="000000"/>
              </w:rPr>
            </w:pPr>
            <w:r w:rsidRPr="00033D2B">
              <w:rPr>
                <w:rFonts w:asciiTheme="majorBidi" w:hAnsiTheme="majorBidi" w:cstheme="majorBidi"/>
                <w:color w:val="000000"/>
              </w:rPr>
              <w:t>AMMONIA, ANHYDROUS</w:t>
            </w:r>
          </w:p>
        </w:tc>
        <w:tc>
          <w:tcPr>
            <w:tcW w:w="550" w:type="dxa"/>
            <w:shd w:val="clear" w:color="auto" w:fill="auto"/>
            <w:hideMark/>
          </w:tcPr>
          <w:p w14:paraId="30A994B3"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2</w:t>
            </w:r>
          </w:p>
        </w:tc>
        <w:tc>
          <w:tcPr>
            <w:tcW w:w="700" w:type="dxa"/>
            <w:shd w:val="clear" w:color="auto" w:fill="auto"/>
            <w:hideMark/>
          </w:tcPr>
          <w:p w14:paraId="74BA622D"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2TC</w:t>
            </w:r>
          </w:p>
        </w:tc>
        <w:tc>
          <w:tcPr>
            <w:tcW w:w="567" w:type="dxa"/>
            <w:shd w:val="clear" w:color="auto" w:fill="auto"/>
            <w:hideMark/>
          </w:tcPr>
          <w:p w14:paraId="2D555FAB"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 </w:t>
            </w:r>
          </w:p>
        </w:tc>
        <w:tc>
          <w:tcPr>
            <w:tcW w:w="709" w:type="dxa"/>
            <w:shd w:val="clear" w:color="auto" w:fill="auto"/>
            <w:hideMark/>
          </w:tcPr>
          <w:p w14:paraId="3F43FEC2" w14:textId="1C5988A3"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2.3</w:t>
            </w:r>
            <w:r w:rsidRPr="00033D2B">
              <w:rPr>
                <w:rFonts w:asciiTheme="majorBidi" w:hAnsiTheme="majorBidi" w:cstheme="majorBidi"/>
                <w:color w:val="000000"/>
              </w:rPr>
              <w:br/>
              <w:t>+8</w:t>
            </w:r>
            <w:r w:rsidR="00775BED">
              <w:rPr>
                <w:rFonts w:asciiTheme="majorBidi" w:hAnsiTheme="majorBidi" w:cstheme="majorBidi"/>
                <w:color w:val="000000"/>
              </w:rPr>
              <w:t xml:space="preserve"> (RID:) +13</w:t>
            </w:r>
          </w:p>
        </w:tc>
        <w:tc>
          <w:tcPr>
            <w:tcW w:w="708" w:type="dxa"/>
            <w:shd w:val="clear" w:color="auto" w:fill="auto"/>
            <w:hideMark/>
          </w:tcPr>
          <w:p w14:paraId="2E9137F0"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23</w:t>
            </w:r>
            <w:r w:rsidRPr="00033D2B">
              <w:rPr>
                <w:rFonts w:asciiTheme="majorBidi" w:hAnsiTheme="majorBidi" w:cstheme="majorBidi"/>
                <w:color w:val="000000"/>
              </w:rPr>
              <w:br/>
              <w:t>379</w:t>
            </w:r>
          </w:p>
        </w:tc>
      </w:tr>
      <w:tr w:rsidR="00893F0C" w:rsidRPr="00033D2B" w14:paraId="1186C5C2" w14:textId="77777777" w:rsidTr="006D6ED5">
        <w:trPr>
          <w:trHeight w:val="20"/>
        </w:trPr>
        <w:tc>
          <w:tcPr>
            <w:tcW w:w="426" w:type="dxa"/>
            <w:shd w:val="clear" w:color="auto" w:fill="auto"/>
            <w:hideMark/>
          </w:tcPr>
          <w:p w14:paraId="060AE146"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2073</w:t>
            </w:r>
          </w:p>
        </w:tc>
        <w:tc>
          <w:tcPr>
            <w:tcW w:w="3711" w:type="dxa"/>
            <w:shd w:val="clear" w:color="auto" w:fill="auto"/>
            <w:hideMark/>
          </w:tcPr>
          <w:p w14:paraId="6A70FE63" w14:textId="77777777" w:rsidR="00893F0C" w:rsidRPr="00033D2B" w:rsidRDefault="00893F0C" w:rsidP="006D6ED5">
            <w:pPr>
              <w:rPr>
                <w:rFonts w:asciiTheme="majorBidi" w:hAnsiTheme="majorBidi" w:cstheme="majorBidi"/>
                <w:color w:val="000000"/>
              </w:rPr>
            </w:pPr>
            <w:r w:rsidRPr="00033D2B">
              <w:rPr>
                <w:rFonts w:asciiTheme="majorBidi" w:hAnsiTheme="majorBidi" w:cstheme="majorBidi"/>
                <w:color w:val="000000"/>
              </w:rPr>
              <w:t>AMMONIA SOLUTION, relative density less than 0.880 at 15 °C in water, with more than 35 % but not more than 50 % ammonia</w:t>
            </w:r>
          </w:p>
        </w:tc>
        <w:tc>
          <w:tcPr>
            <w:tcW w:w="550" w:type="dxa"/>
            <w:shd w:val="clear" w:color="auto" w:fill="auto"/>
            <w:hideMark/>
          </w:tcPr>
          <w:p w14:paraId="0BDC1281"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2</w:t>
            </w:r>
          </w:p>
        </w:tc>
        <w:tc>
          <w:tcPr>
            <w:tcW w:w="700" w:type="dxa"/>
            <w:shd w:val="clear" w:color="auto" w:fill="auto"/>
            <w:hideMark/>
          </w:tcPr>
          <w:p w14:paraId="14BE9FFB"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4A</w:t>
            </w:r>
          </w:p>
        </w:tc>
        <w:tc>
          <w:tcPr>
            <w:tcW w:w="567" w:type="dxa"/>
            <w:shd w:val="clear" w:color="auto" w:fill="auto"/>
            <w:hideMark/>
          </w:tcPr>
          <w:p w14:paraId="700C0DBD"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 </w:t>
            </w:r>
          </w:p>
        </w:tc>
        <w:tc>
          <w:tcPr>
            <w:tcW w:w="709" w:type="dxa"/>
            <w:shd w:val="clear" w:color="auto" w:fill="auto"/>
            <w:hideMark/>
          </w:tcPr>
          <w:p w14:paraId="1977F649" w14:textId="59FA6DCB"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2.2</w:t>
            </w:r>
            <w:r w:rsidR="00775BED">
              <w:rPr>
                <w:rFonts w:asciiTheme="majorBidi" w:hAnsiTheme="majorBidi" w:cstheme="majorBidi"/>
                <w:color w:val="000000"/>
              </w:rPr>
              <w:t xml:space="preserve"> (RID:) +13</w:t>
            </w:r>
          </w:p>
        </w:tc>
        <w:tc>
          <w:tcPr>
            <w:tcW w:w="708" w:type="dxa"/>
            <w:shd w:val="clear" w:color="auto" w:fill="auto"/>
            <w:hideMark/>
          </w:tcPr>
          <w:p w14:paraId="2A301448"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532</w:t>
            </w:r>
          </w:p>
        </w:tc>
      </w:tr>
      <w:tr w:rsidR="00893F0C" w:rsidRPr="00033D2B" w14:paraId="52729A30" w14:textId="77777777" w:rsidTr="006D6ED5">
        <w:trPr>
          <w:trHeight w:val="20"/>
        </w:trPr>
        <w:tc>
          <w:tcPr>
            <w:tcW w:w="426" w:type="dxa"/>
            <w:shd w:val="clear" w:color="auto" w:fill="auto"/>
            <w:hideMark/>
          </w:tcPr>
          <w:p w14:paraId="7A5D4E68"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2672</w:t>
            </w:r>
          </w:p>
        </w:tc>
        <w:tc>
          <w:tcPr>
            <w:tcW w:w="3711" w:type="dxa"/>
            <w:shd w:val="clear" w:color="auto" w:fill="auto"/>
            <w:hideMark/>
          </w:tcPr>
          <w:p w14:paraId="6895EF0E" w14:textId="77777777" w:rsidR="00893F0C" w:rsidRPr="00033D2B" w:rsidRDefault="00893F0C" w:rsidP="006D6ED5">
            <w:pPr>
              <w:rPr>
                <w:rFonts w:asciiTheme="majorBidi" w:hAnsiTheme="majorBidi" w:cstheme="majorBidi"/>
                <w:color w:val="000000"/>
              </w:rPr>
            </w:pPr>
            <w:r w:rsidRPr="00033D2B">
              <w:rPr>
                <w:rFonts w:asciiTheme="majorBidi" w:hAnsiTheme="majorBidi" w:cstheme="majorBidi"/>
                <w:color w:val="000000"/>
              </w:rPr>
              <w:t>AMMONIA SOLUTION, relative density between 0.880 and 0.957 at 15 °C in water, with more than 10 % but not more than 35 % ammonia</w:t>
            </w:r>
          </w:p>
        </w:tc>
        <w:tc>
          <w:tcPr>
            <w:tcW w:w="550" w:type="dxa"/>
            <w:shd w:val="clear" w:color="auto" w:fill="auto"/>
            <w:hideMark/>
          </w:tcPr>
          <w:p w14:paraId="5B00CEEA"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8</w:t>
            </w:r>
          </w:p>
        </w:tc>
        <w:tc>
          <w:tcPr>
            <w:tcW w:w="700" w:type="dxa"/>
            <w:shd w:val="clear" w:color="auto" w:fill="auto"/>
            <w:hideMark/>
          </w:tcPr>
          <w:p w14:paraId="490ED740"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C5</w:t>
            </w:r>
          </w:p>
        </w:tc>
        <w:tc>
          <w:tcPr>
            <w:tcW w:w="567" w:type="dxa"/>
            <w:shd w:val="clear" w:color="auto" w:fill="auto"/>
            <w:hideMark/>
          </w:tcPr>
          <w:p w14:paraId="59648FD6"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III</w:t>
            </w:r>
          </w:p>
        </w:tc>
        <w:tc>
          <w:tcPr>
            <w:tcW w:w="709" w:type="dxa"/>
            <w:shd w:val="clear" w:color="auto" w:fill="auto"/>
            <w:hideMark/>
          </w:tcPr>
          <w:p w14:paraId="01EED991"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8</w:t>
            </w:r>
          </w:p>
        </w:tc>
        <w:tc>
          <w:tcPr>
            <w:tcW w:w="708" w:type="dxa"/>
            <w:shd w:val="clear" w:color="auto" w:fill="auto"/>
            <w:hideMark/>
          </w:tcPr>
          <w:p w14:paraId="431D3477"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543</w:t>
            </w:r>
          </w:p>
        </w:tc>
      </w:tr>
      <w:tr w:rsidR="00893F0C" w:rsidRPr="00033D2B" w14:paraId="55046922" w14:textId="77777777" w:rsidTr="006D6ED5">
        <w:trPr>
          <w:trHeight w:val="20"/>
        </w:trPr>
        <w:tc>
          <w:tcPr>
            <w:tcW w:w="426" w:type="dxa"/>
            <w:shd w:val="clear" w:color="auto" w:fill="auto"/>
            <w:hideMark/>
          </w:tcPr>
          <w:p w14:paraId="119215EE"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3318</w:t>
            </w:r>
          </w:p>
        </w:tc>
        <w:tc>
          <w:tcPr>
            <w:tcW w:w="3711" w:type="dxa"/>
            <w:shd w:val="clear" w:color="auto" w:fill="auto"/>
            <w:hideMark/>
          </w:tcPr>
          <w:p w14:paraId="2C6013EB" w14:textId="77777777" w:rsidR="00893F0C" w:rsidRPr="00033D2B" w:rsidRDefault="00893F0C" w:rsidP="006D6ED5">
            <w:pPr>
              <w:rPr>
                <w:rFonts w:asciiTheme="majorBidi" w:hAnsiTheme="majorBidi" w:cstheme="majorBidi"/>
                <w:color w:val="000000"/>
              </w:rPr>
            </w:pPr>
            <w:r w:rsidRPr="00033D2B">
              <w:rPr>
                <w:rFonts w:asciiTheme="majorBidi" w:hAnsiTheme="majorBidi" w:cstheme="majorBidi"/>
                <w:color w:val="000000"/>
              </w:rPr>
              <w:t>AMMONIA SOLUTION, relative density less than 0.880 at 15 °C in water, with more than 50 % ammonia</w:t>
            </w:r>
          </w:p>
        </w:tc>
        <w:tc>
          <w:tcPr>
            <w:tcW w:w="550" w:type="dxa"/>
            <w:shd w:val="clear" w:color="auto" w:fill="auto"/>
            <w:hideMark/>
          </w:tcPr>
          <w:p w14:paraId="7CE8EAA5"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2</w:t>
            </w:r>
          </w:p>
        </w:tc>
        <w:tc>
          <w:tcPr>
            <w:tcW w:w="700" w:type="dxa"/>
            <w:shd w:val="clear" w:color="auto" w:fill="auto"/>
            <w:hideMark/>
          </w:tcPr>
          <w:p w14:paraId="0E7EB8B3"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4TC</w:t>
            </w:r>
          </w:p>
        </w:tc>
        <w:tc>
          <w:tcPr>
            <w:tcW w:w="567" w:type="dxa"/>
            <w:shd w:val="clear" w:color="auto" w:fill="auto"/>
            <w:hideMark/>
          </w:tcPr>
          <w:p w14:paraId="2E806F23"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 </w:t>
            </w:r>
          </w:p>
        </w:tc>
        <w:tc>
          <w:tcPr>
            <w:tcW w:w="709" w:type="dxa"/>
            <w:shd w:val="clear" w:color="auto" w:fill="auto"/>
            <w:hideMark/>
          </w:tcPr>
          <w:p w14:paraId="10346FD4" w14:textId="7DEBACF4"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2.3</w:t>
            </w:r>
            <w:r w:rsidRPr="00033D2B">
              <w:rPr>
                <w:rFonts w:asciiTheme="majorBidi" w:hAnsiTheme="majorBidi" w:cstheme="majorBidi"/>
                <w:color w:val="000000"/>
              </w:rPr>
              <w:br/>
              <w:t>+8</w:t>
            </w:r>
            <w:r w:rsidR="00775BED">
              <w:rPr>
                <w:rFonts w:asciiTheme="majorBidi" w:hAnsiTheme="majorBidi" w:cstheme="majorBidi"/>
                <w:color w:val="000000"/>
              </w:rPr>
              <w:t xml:space="preserve"> (RID:) +13</w:t>
            </w:r>
          </w:p>
        </w:tc>
        <w:tc>
          <w:tcPr>
            <w:tcW w:w="708" w:type="dxa"/>
            <w:shd w:val="clear" w:color="auto" w:fill="auto"/>
            <w:hideMark/>
          </w:tcPr>
          <w:p w14:paraId="46B2D0E3" w14:textId="77777777" w:rsidR="00893F0C" w:rsidRPr="00033D2B" w:rsidRDefault="00893F0C" w:rsidP="006D6ED5">
            <w:pPr>
              <w:jc w:val="center"/>
              <w:rPr>
                <w:rFonts w:asciiTheme="majorBidi" w:hAnsiTheme="majorBidi" w:cstheme="majorBidi"/>
                <w:color w:val="000000"/>
              </w:rPr>
            </w:pPr>
            <w:r w:rsidRPr="00033D2B">
              <w:rPr>
                <w:rFonts w:asciiTheme="majorBidi" w:hAnsiTheme="majorBidi" w:cstheme="majorBidi"/>
                <w:color w:val="000000"/>
              </w:rPr>
              <w:t>23</w:t>
            </w:r>
          </w:p>
        </w:tc>
      </w:tr>
    </w:tbl>
    <w:p w14:paraId="74F633A8" w14:textId="77777777" w:rsidR="00893F0C" w:rsidRPr="00033D2B" w:rsidRDefault="00893F0C" w:rsidP="00963982">
      <w:pPr>
        <w:pStyle w:val="SingleTxtG"/>
        <w:spacing w:before="120"/>
        <w:ind w:left="1701" w:hanging="567"/>
      </w:pPr>
      <w:r w:rsidRPr="00033D2B">
        <w:t>532</w:t>
      </w:r>
      <w:r w:rsidRPr="00033D2B">
        <w:tab/>
        <w:t>UN No. 2672 ammonia solution containing not less than 10 % but not more than 35 % ammonia is a substance of Class 8.</w:t>
      </w:r>
    </w:p>
    <w:p w14:paraId="2428B522" w14:textId="0C5EE59E" w:rsidR="00893F0C" w:rsidRPr="00033D2B" w:rsidRDefault="00893F0C" w:rsidP="00893F0C">
      <w:pPr>
        <w:pStyle w:val="SingleTxtG"/>
        <w:ind w:left="1701" w:hanging="567"/>
      </w:pPr>
      <w:r w:rsidRPr="00033D2B">
        <w:t>543</w:t>
      </w:r>
      <w:r w:rsidRPr="00033D2B">
        <w:tab/>
        <w:t xml:space="preserve">UN No. 1005 ammonia, anhydrous, UN No. 3318 ammonia solution with more than 50 % ammonia and UN No. 2073 ammonia solution, with more than 35 % but not more than 50 % ammonia, are substances of Class 2. Ammonia solutions with not more than 10 % ammonia are not subject to the requirements of </w:t>
      </w:r>
      <w:r w:rsidR="009676D5">
        <w:t>RID/</w:t>
      </w:r>
      <w:r w:rsidRPr="00033D2B">
        <w:t>ADR</w:t>
      </w:r>
      <w:r w:rsidR="009676D5">
        <w:t>/ADN</w:t>
      </w:r>
      <w:r w:rsidRPr="00033D2B">
        <w:t>.</w:t>
      </w:r>
    </w:p>
    <w:p w14:paraId="36E94C46" w14:textId="0888F265" w:rsidR="0034761F" w:rsidRPr="00033D2B" w:rsidRDefault="0034761F" w:rsidP="0034761F">
      <w:pPr>
        <w:pStyle w:val="H1G"/>
      </w:pPr>
      <w:r w:rsidRPr="00033D2B">
        <w:tab/>
        <w:t>B.</w:t>
      </w:r>
      <w:r w:rsidRPr="00033D2B">
        <w:tab/>
        <w:t>Histor</w:t>
      </w:r>
      <w:r w:rsidR="00585D3D" w:rsidRPr="00033D2B">
        <w:t>ical background</w:t>
      </w:r>
    </w:p>
    <w:p w14:paraId="3A413557" w14:textId="5F666458" w:rsidR="00D671D8" w:rsidRDefault="006D7AEB" w:rsidP="00D236AA">
      <w:pPr>
        <w:pStyle w:val="SingleTxtG"/>
      </w:pPr>
      <w:r w:rsidRPr="00033D2B">
        <w:t>6</w:t>
      </w:r>
      <w:r w:rsidR="00893F0C" w:rsidRPr="00033D2B">
        <w:t>.</w:t>
      </w:r>
      <w:r w:rsidR="00893F0C" w:rsidRPr="00033D2B">
        <w:tab/>
      </w:r>
      <w:r w:rsidR="00585D3D" w:rsidRPr="00033D2B">
        <w:t>The text currently contained in SP</w:t>
      </w:r>
      <w:r w:rsidR="006E6101" w:rsidRPr="00033D2B">
        <w:t>s 532 and 543</w:t>
      </w:r>
      <w:r w:rsidR="00893F0C" w:rsidRPr="00033D2B">
        <w:t xml:space="preserve"> was introduced in </w:t>
      </w:r>
      <w:r w:rsidR="00F943BD">
        <w:t>RID/</w:t>
      </w:r>
      <w:r w:rsidR="00893F0C" w:rsidRPr="00033D2B">
        <w:t xml:space="preserve">ADR 1993 as notes to marginals </w:t>
      </w:r>
      <w:r w:rsidR="00E954D4">
        <w:t>(</w:t>
      </w:r>
      <w:r w:rsidR="00893F0C" w:rsidRPr="00033D2B">
        <w:t>2</w:t>
      </w:r>
      <w:r w:rsidR="00E954D4">
        <w:t>)</w:t>
      </w:r>
      <w:r w:rsidR="00893F0C" w:rsidRPr="00033D2B">
        <w:t>201</w:t>
      </w:r>
      <w:r w:rsidR="00CB1109">
        <w:rPr>
          <w:rStyle w:val="FootnoteReference"/>
        </w:rPr>
        <w:footnoteReference w:id="4"/>
      </w:r>
      <w:r w:rsidR="00893F0C" w:rsidRPr="00033D2B">
        <w:t xml:space="preserve"> and </w:t>
      </w:r>
      <w:r w:rsidR="00846B6E">
        <w:t>(</w:t>
      </w:r>
      <w:r w:rsidR="00893F0C" w:rsidRPr="00033D2B">
        <w:t>2</w:t>
      </w:r>
      <w:r w:rsidR="00846B6E">
        <w:t>)</w:t>
      </w:r>
      <w:r w:rsidR="00893F0C" w:rsidRPr="00033D2B">
        <w:t xml:space="preserve">801 and after some changes it was transferred as SPs 532 and 543 when the </w:t>
      </w:r>
      <w:r w:rsidR="00F943BD">
        <w:t>RID/</w:t>
      </w:r>
      <w:r w:rsidR="00893F0C" w:rsidRPr="00033D2B">
        <w:t xml:space="preserve">ADR was restructured for </w:t>
      </w:r>
      <w:r w:rsidR="00F943BD">
        <w:t>RID/</w:t>
      </w:r>
      <w:r w:rsidR="00893F0C" w:rsidRPr="00033D2B">
        <w:t>ADR 2001.</w:t>
      </w:r>
      <w:r w:rsidR="00D671D8">
        <w:t xml:space="preserve"> To understand</w:t>
      </w:r>
      <w:r w:rsidR="00EF4BC9">
        <w:t xml:space="preserve"> the reasoning behind the wording of the notes, it is useful to recall that before the restructuring of </w:t>
      </w:r>
      <w:r w:rsidR="0025110C">
        <w:t>RID/</w:t>
      </w:r>
      <w:r w:rsidR="00EF4BC9">
        <w:t xml:space="preserve">ADR, </w:t>
      </w:r>
      <w:r w:rsidR="00B3788D">
        <w:t>these notes</w:t>
      </w:r>
      <w:r w:rsidR="00D236AA">
        <w:t xml:space="preserve"> were in chapters</w:t>
      </w:r>
      <w:r w:rsidR="00354BFA">
        <w:t xml:space="preserve"> which introduced substances and provisions by </w:t>
      </w:r>
      <w:r w:rsidR="00B3788D">
        <w:t xml:space="preserve">class. Therefore, </w:t>
      </w:r>
      <w:r w:rsidR="00DB1794">
        <w:t xml:space="preserve">the note in marginal </w:t>
      </w:r>
      <w:r w:rsidR="00846B6E">
        <w:t>(</w:t>
      </w:r>
      <w:r w:rsidR="00DB1794">
        <w:t>2</w:t>
      </w:r>
      <w:r w:rsidR="00846B6E">
        <w:t>)</w:t>
      </w:r>
      <w:r w:rsidR="00DB1794">
        <w:t>201</w:t>
      </w:r>
      <w:r w:rsidR="002F1E90">
        <w:t xml:space="preserve">, which was in a chapter for Class 2, </w:t>
      </w:r>
      <w:r w:rsidR="002E15F7">
        <w:t>had a reference to substances in Class 8 and vice versa. This</w:t>
      </w:r>
      <w:r w:rsidR="00B53B73">
        <w:t xml:space="preserve"> reasoning is out of place in </w:t>
      </w:r>
      <w:r w:rsidR="00FF4A6D">
        <w:t>the</w:t>
      </w:r>
      <w:r w:rsidR="00B53B73">
        <w:t xml:space="preserve"> </w:t>
      </w:r>
      <w:r w:rsidR="000D6EB4">
        <w:t xml:space="preserve">current </w:t>
      </w:r>
      <w:r w:rsidR="00ED3A0E">
        <w:t xml:space="preserve">version of </w:t>
      </w:r>
      <w:r w:rsidR="007A094B">
        <w:t>RID/</w:t>
      </w:r>
      <w:r w:rsidR="005C363D">
        <w:t>ADR</w:t>
      </w:r>
      <w:r w:rsidR="007A094B">
        <w:t>/ADN</w:t>
      </w:r>
      <w:r w:rsidR="005C363D">
        <w:t>, where special provisions are assigned to individual UN numbers.</w:t>
      </w:r>
    </w:p>
    <w:p w14:paraId="4B15CD18" w14:textId="785122F6" w:rsidR="00893F0C" w:rsidRPr="00033D2B" w:rsidRDefault="002C41E7" w:rsidP="00893F0C">
      <w:pPr>
        <w:pStyle w:val="SingleTxtG"/>
      </w:pPr>
      <w:r>
        <w:t>7.</w:t>
      </w:r>
      <w:r>
        <w:tab/>
      </w:r>
      <w:r w:rsidR="007014B4">
        <w:t>T</w:t>
      </w:r>
      <w:r w:rsidR="00893F0C" w:rsidRPr="00033D2B">
        <w:t>hese special provisions are identical in RID, ADR and ADN</w:t>
      </w:r>
      <w:r w:rsidR="00E9579C">
        <w:t xml:space="preserve"> and </w:t>
      </w:r>
      <w:r w:rsidR="008E6106" w:rsidRPr="00033D2B">
        <w:t>are not present in the Model Re</w:t>
      </w:r>
      <w:r w:rsidR="00073998" w:rsidRPr="00033D2B">
        <w:t>gulations.</w:t>
      </w:r>
    </w:p>
    <w:p w14:paraId="1E6A0051" w14:textId="69BB7FB7" w:rsidR="00893F0C" w:rsidRPr="00033D2B" w:rsidRDefault="00893F0C" w:rsidP="006E6101">
      <w:pPr>
        <w:pStyle w:val="H1G"/>
      </w:pPr>
      <w:r w:rsidRPr="00033D2B">
        <w:tab/>
      </w:r>
      <w:r w:rsidR="006E6101" w:rsidRPr="00033D2B">
        <w:t>C</w:t>
      </w:r>
      <w:r w:rsidRPr="00033D2B">
        <w:t>.</w:t>
      </w:r>
      <w:r w:rsidRPr="00033D2B">
        <w:tab/>
        <w:t>Issues with SPs 532 and 543</w:t>
      </w:r>
    </w:p>
    <w:p w14:paraId="639ADACC" w14:textId="09CE1EF1" w:rsidR="00893F0C" w:rsidRPr="00033D2B" w:rsidRDefault="002C41E7" w:rsidP="00893F0C">
      <w:pPr>
        <w:pStyle w:val="SingleTxtG"/>
      </w:pPr>
      <w:r>
        <w:t>8</w:t>
      </w:r>
      <w:r w:rsidR="00893F0C" w:rsidRPr="00033D2B">
        <w:t>.</w:t>
      </w:r>
      <w:r w:rsidR="00893F0C" w:rsidRPr="00033D2B">
        <w:tab/>
        <w:t>The following issues have been identified:</w:t>
      </w:r>
    </w:p>
    <w:p w14:paraId="46C8A6DD" w14:textId="77777777" w:rsidR="00893F0C" w:rsidRPr="00033D2B" w:rsidRDefault="00893F0C" w:rsidP="00963982">
      <w:pPr>
        <w:pStyle w:val="SingleTxtG"/>
        <w:ind w:left="1701"/>
      </w:pPr>
      <w:r w:rsidRPr="00033D2B">
        <w:t>(a)</w:t>
      </w:r>
      <w:r w:rsidRPr="00033D2B">
        <w:tab/>
        <w:t>The wording is confusing and can lead to misinterpretation.</w:t>
      </w:r>
    </w:p>
    <w:p w14:paraId="1AB65590" w14:textId="77777777" w:rsidR="00893F0C" w:rsidRPr="00033D2B" w:rsidRDefault="00893F0C" w:rsidP="00963982">
      <w:pPr>
        <w:pStyle w:val="SingleTxtG"/>
        <w:ind w:left="1701"/>
      </w:pPr>
      <w:r w:rsidRPr="00033D2B">
        <w:t>(b)</w:t>
      </w:r>
      <w:r w:rsidRPr="00033D2B">
        <w:tab/>
        <w:t>SP 532 contains the phrase “not less than 10 %”, whereas UN 2672 specifies “more than 10 %”. These two wordings are not equivalent.</w:t>
      </w:r>
    </w:p>
    <w:p w14:paraId="5FFD30A7" w14:textId="77777777" w:rsidR="00893F0C" w:rsidRPr="00033D2B" w:rsidRDefault="00893F0C" w:rsidP="00963982">
      <w:pPr>
        <w:pStyle w:val="SingleTxtG"/>
        <w:ind w:left="1701"/>
      </w:pPr>
      <w:r w:rsidRPr="00033D2B">
        <w:t>(c)</w:t>
      </w:r>
      <w:r w:rsidRPr="00033D2B">
        <w:tab/>
        <w:t>The SPs do not mention any limits on relative density, but the descriptions for UN Nos. 2073, 2672 and 3318 do have limits on relative densities and, furthermore, they are not the same for all three UN numbers.</w:t>
      </w:r>
    </w:p>
    <w:p w14:paraId="0F40717B" w14:textId="6AB9465D" w:rsidR="00893F0C" w:rsidRPr="00033D2B" w:rsidRDefault="00893F0C" w:rsidP="00963982">
      <w:pPr>
        <w:pStyle w:val="SingleTxtG"/>
        <w:ind w:left="1701"/>
      </w:pPr>
      <w:r w:rsidRPr="00033D2B">
        <w:t>(d)</w:t>
      </w:r>
      <w:r w:rsidRPr="00033D2B">
        <w:tab/>
        <w:t xml:space="preserve">There seems to be an inconsistency </w:t>
      </w:r>
      <w:r w:rsidR="00DA0BB1">
        <w:t>about</w:t>
      </w:r>
      <w:r w:rsidRPr="00033D2B">
        <w:t xml:space="preserve"> which UN numbers are mentioned in each </w:t>
      </w:r>
      <w:r w:rsidR="00155D68">
        <w:t>special provision</w:t>
      </w:r>
      <w:r w:rsidRPr="00033D2B">
        <w:t>:</w:t>
      </w:r>
    </w:p>
    <w:p w14:paraId="364E23FF" w14:textId="736774A5" w:rsidR="00893F0C" w:rsidRPr="00033D2B" w:rsidRDefault="00893F0C" w:rsidP="00963982">
      <w:pPr>
        <w:pStyle w:val="SingleTxtG"/>
        <w:ind w:left="2268"/>
      </w:pPr>
      <w:r w:rsidRPr="00033D2B">
        <w:t>(</w:t>
      </w:r>
      <w:proofErr w:type="spellStart"/>
      <w:r w:rsidRPr="00033D2B">
        <w:t>i</w:t>
      </w:r>
      <w:proofErr w:type="spellEnd"/>
      <w:r w:rsidRPr="00033D2B">
        <w:t>)</w:t>
      </w:r>
      <w:r w:rsidRPr="00033D2B">
        <w:tab/>
        <w:t xml:space="preserve">the </w:t>
      </w:r>
      <w:r w:rsidR="00B10F8C">
        <w:t xml:space="preserve">special provision </w:t>
      </w:r>
      <w:r w:rsidRPr="00033D2B">
        <w:t>for UN 2073 mentions only UN 2672;</w:t>
      </w:r>
    </w:p>
    <w:p w14:paraId="6EC7BCD5" w14:textId="013B266D" w:rsidR="00893F0C" w:rsidRPr="00033D2B" w:rsidRDefault="00893F0C" w:rsidP="00963982">
      <w:pPr>
        <w:pStyle w:val="SingleTxtG"/>
        <w:ind w:left="2268"/>
      </w:pPr>
      <w:r w:rsidRPr="00033D2B">
        <w:t>(ii)</w:t>
      </w:r>
      <w:r w:rsidRPr="00033D2B">
        <w:tab/>
        <w:t xml:space="preserve">the </w:t>
      </w:r>
      <w:r w:rsidR="00B10F8C">
        <w:t xml:space="preserve">special provision </w:t>
      </w:r>
      <w:r w:rsidRPr="00033D2B">
        <w:t>for UN 2672 mentions UN Nos. 1005, 2073 and 3318</w:t>
      </w:r>
      <w:r w:rsidR="00116769">
        <w:t>,</w:t>
      </w:r>
      <w:r w:rsidRPr="00033D2B">
        <w:t xml:space="preserve"> </w:t>
      </w:r>
      <w:r w:rsidR="00116769">
        <w:t>but</w:t>
      </w:r>
      <w:r w:rsidRPr="00033D2B">
        <w:t xml:space="preserve"> also mentions the case of ammonia solutions with ammonia ≤</w:t>
      </w:r>
      <w:r w:rsidR="00B10F8C">
        <w:t> </w:t>
      </w:r>
      <w:r w:rsidRPr="00033D2B">
        <w:t>10 %; and</w:t>
      </w:r>
    </w:p>
    <w:p w14:paraId="7FA4375A" w14:textId="12944187" w:rsidR="00893F0C" w:rsidRPr="00033D2B" w:rsidRDefault="00893F0C" w:rsidP="00963982">
      <w:pPr>
        <w:pStyle w:val="SingleTxtG"/>
        <w:ind w:left="2268"/>
      </w:pPr>
      <w:r w:rsidRPr="00033D2B">
        <w:t>(iii)</w:t>
      </w:r>
      <w:r w:rsidRPr="00033D2B">
        <w:tab/>
        <w:t xml:space="preserve">UN Nos. 1005 and 3318 do not have any </w:t>
      </w:r>
      <w:r w:rsidR="00B10F8C">
        <w:t xml:space="preserve">special provision </w:t>
      </w:r>
      <w:r w:rsidRPr="00033D2B">
        <w:t>mentioning other UN numbers.</w:t>
      </w:r>
    </w:p>
    <w:p w14:paraId="3920B12E" w14:textId="0E16CDC6" w:rsidR="00892DEF" w:rsidRPr="00033D2B" w:rsidRDefault="00893F0C" w:rsidP="00892DEF">
      <w:pPr>
        <w:pStyle w:val="HChG"/>
      </w:pPr>
      <w:r w:rsidRPr="00033D2B">
        <w:tab/>
        <w:t>III.</w:t>
      </w:r>
      <w:r w:rsidRPr="00033D2B">
        <w:tab/>
      </w:r>
      <w:r w:rsidR="0023277C" w:rsidRPr="00033D2B">
        <w:t>Proposals</w:t>
      </w:r>
    </w:p>
    <w:p w14:paraId="01594CBD" w14:textId="1BB41239" w:rsidR="008D789A" w:rsidRPr="00033D2B" w:rsidRDefault="002C41E7" w:rsidP="00893F0C">
      <w:pPr>
        <w:pStyle w:val="SingleTxtG"/>
      </w:pPr>
      <w:r>
        <w:t>9</w:t>
      </w:r>
      <w:r w:rsidR="00892DEF" w:rsidRPr="00033D2B">
        <w:t>.</w:t>
      </w:r>
      <w:r w:rsidR="00892DEF" w:rsidRPr="00033D2B">
        <w:tab/>
      </w:r>
      <w:r w:rsidR="008A764A" w:rsidRPr="00033D2B">
        <w:t>Below</w:t>
      </w:r>
      <w:r w:rsidR="007B3E73" w:rsidRPr="00033D2B">
        <w:t xml:space="preserve"> are </w:t>
      </w:r>
      <w:r w:rsidR="005215E4">
        <w:t>four</w:t>
      </w:r>
      <w:r w:rsidR="007B3E73" w:rsidRPr="00033D2B">
        <w:t xml:space="preserve"> alternative proposals to solve the issues identified above.</w:t>
      </w:r>
      <w:r w:rsidR="00544213" w:rsidRPr="00033D2B">
        <w:t xml:space="preserve"> They are presented </w:t>
      </w:r>
      <w:r w:rsidR="00BC3282">
        <w:t xml:space="preserve">roughly </w:t>
      </w:r>
      <w:r w:rsidR="00544213" w:rsidRPr="00033D2B">
        <w:t xml:space="preserve">in </w:t>
      </w:r>
      <w:r w:rsidR="002268A0">
        <w:t>the</w:t>
      </w:r>
      <w:r w:rsidR="00544213" w:rsidRPr="00033D2B">
        <w:t xml:space="preserve"> order of preference</w:t>
      </w:r>
      <w:r w:rsidR="00BC3282">
        <w:t xml:space="preserve">, </w:t>
      </w:r>
      <w:r w:rsidR="0022685A">
        <w:t>considering</w:t>
      </w:r>
      <w:r w:rsidR="00BC3282">
        <w:t xml:space="preserve"> the analysis and the comments received when INF.14 was initially presented</w:t>
      </w:r>
      <w:r w:rsidR="00391695" w:rsidRPr="00033D2B">
        <w:t>.</w:t>
      </w:r>
    </w:p>
    <w:p w14:paraId="796C38B9" w14:textId="076917AC" w:rsidR="004C0970" w:rsidRPr="00033D2B" w:rsidRDefault="002C41E7" w:rsidP="004C0970">
      <w:pPr>
        <w:pStyle w:val="SingleTxtG"/>
      </w:pPr>
      <w:r>
        <w:t>10</w:t>
      </w:r>
      <w:r w:rsidR="00BC0E4C" w:rsidRPr="00033D2B">
        <w:t>.</w:t>
      </w:r>
      <w:r w:rsidR="00BC0E4C" w:rsidRPr="00033D2B">
        <w:tab/>
      </w:r>
      <w:r w:rsidR="007B3E73" w:rsidRPr="00C15B7E">
        <w:rPr>
          <w:b/>
          <w:bCs/>
        </w:rPr>
        <w:t xml:space="preserve">Proposal </w:t>
      </w:r>
      <w:r w:rsidR="00D00466" w:rsidRPr="00C15B7E">
        <w:rPr>
          <w:b/>
          <w:bCs/>
        </w:rPr>
        <w:t>1</w:t>
      </w:r>
      <w:r w:rsidR="00D00466" w:rsidRPr="00033D2B">
        <w:t xml:space="preserve"> </w:t>
      </w:r>
      <w:r w:rsidR="004C0970" w:rsidRPr="00033D2B">
        <w:t xml:space="preserve">replaces the current two special provisions by a single special provision that </w:t>
      </w:r>
      <w:r w:rsidR="004C0970">
        <w:t xml:space="preserve">compiles all references and comments and </w:t>
      </w:r>
      <w:r w:rsidR="004C0970" w:rsidRPr="00033D2B">
        <w:t xml:space="preserve">would be assigned to all affected UN numbers (also including UN Nos. 1005 and 3318). </w:t>
      </w:r>
      <w:r w:rsidR="004C0970">
        <w:t>It</w:t>
      </w:r>
      <w:r w:rsidR="004C0970" w:rsidRPr="00033D2B">
        <w:t xml:space="preserve"> would avoid misunderstandings and inconsistencies.</w:t>
      </w:r>
    </w:p>
    <w:p w14:paraId="2BA7874A" w14:textId="2A0BC09C" w:rsidR="008D789A" w:rsidRPr="00033D2B" w:rsidRDefault="002C41E7" w:rsidP="00893F0C">
      <w:pPr>
        <w:pStyle w:val="SingleTxtG"/>
      </w:pPr>
      <w:r>
        <w:t>1</w:t>
      </w:r>
      <w:r w:rsidR="004C0970">
        <w:t>1</w:t>
      </w:r>
      <w:r w:rsidR="00BC0E4C" w:rsidRPr="00033D2B">
        <w:t>.</w:t>
      </w:r>
      <w:r w:rsidR="00BC0E4C" w:rsidRPr="00033D2B">
        <w:tab/>
      </w:r>
      <w:r w:rsidR="007B3E73" w:rsidRPr="00C15B7E">
        <w:rPr>
          <w:b/>
          <w:bCs/>
        </w:rPr>
        <w:t xml:space="preserve">Proposal </w:t>
      </w:r>
      <w:r w:rsidR="004C0970">
        <w:rPr>
          <w:b/>
          <w:bCs/>
        </w:rPr>
        <w:t>2</w:t>
      </w:r>
      <w:r w:rsidR="00D00466" w:rsidRPr="00033D2B">
        <w:t xml:space="preserve"> </w:t>
      </w:r>
      <w:r w:rsidR="007B3E73" w:rsidRPr="00033D2B">
        <w:t>is to simply delete</w:t>
      </w:r>
      <w:r w:rsidR="00D00466" w:rsidRPr="00033D2B">
        <w:t xml:space="preserve"> the special provisions.</w:t>
      </w:r>
      <w:r w:rsidR="00EA695C" w:rsidRPr="00033D2B">
        <w:t xml:space="preserve"> </w:t>
      </w:r>
      <w:r w:rsidR="006364CA" w:rsidRPr="00033D2B">
        <w:t xml:space="preserve">It </w:t>
      </w:r>
      <w:r w:rsidR="006364CA">
        <w:t xml:space="preserve">therefore </w:t>
      </w:r>
      <w:r w:rsidR="006364CA" w:rsidRPr="00033D2B">
        <w:t>avoids any misinterpretation and aligns RID/ADR/ADN with the Model Regulations.</w:t>
      </w:r>
      <w:r w:rsidR="006364CA">
        <w:t xml:space="preserve"> </w:t>
      </w:r>
      <w:r w:rsidR="003B52D4">
        <w:t xml:space="preserve">It must be stressed that </w:t>
      </w:r>
      <w:r w:rsidR="00E75B27">
        <w:t>deleting the special provisions</w:t>
      </w:r>
      <w:r w:rsidR="00EA695C" w:rsidRPr="00033D2B">
        <w:t xml:space="preserve"> does not change the requirements of the regulations, as these special provisions are merel</w:t>
      </w:r>
      <w:r w:rsidR="0092639A" w:rsidRPr="00033D2B">
        <w:t>y</w:t>
      </w:r>
      <w:r w:rsidR="00EA695C" w:rsidRPr="00033D2B">
        <w:t xml:space="preserve"> informative</w:t>
      </w:r>
      <w:r w:rsidR="003B52D4">
        <w:t xml:space="preserve"> and do not impos</w:t>
      </w:r>
      <w:r w:rsidR="00E75B27">
        <w:t>e</w:t>
      </w:r>
      <w:r w:rsidR="003B52D4">
        <w:t xml:space="preserve"> or remove any requirements</w:t>
      </w:r>
      <w:r w:rsidR="0092639A" w:rsidRPr="00033D2B">
        <w:t>.</w:t>
      </w:r>
    </w:p>
    <w:p w14:paraId="3E34BE76" w14:textId="3D549EC9" w:rsidR="001B1AC5" w:rsidRDefault="00BC0E4C" w:rsidP="00893F0C">
      <w:pPr>
        <w:pStyle w:val="SingleTxtG"/>
      </w:pPr>
      <w:r w:rsidRPr="00033D2B">
        <w:t>1</w:t>
      </w:r>
      <w:r w:rsidR="002C41E7">
        <w:t>2</w:t>
      </w:r>
      <w:r w:rsidRPr="00033D2B">
        <w:t>.</w:t>
      </w:r>
      <w:r w:rsidRPr="00033D2B">
        <w:tab/>
      </w:r>
      <w:r w:rsidR="00F3123E" w:rsidRPr="00C15B7E">
        <w:rPr>
          <w:b/>
          <w:bCs/>
        </w:rPr>
        <w:t>Proposal 3</w:t>
      </w:r>
      <w:r w:rsidR="00F3123E" w:rsidRPr="00033D2B">
        <w:t xml:space="preserve"> </w:t>
      </w:r>
      <w:r w:rsidR="00600810">
        <w:t>deletes SP 532 and amends SP 543</w:t>
      </w:r>
      <w:r w:rsidR="00E3524E">
        <w:t xml:space="preserve"> to</w:t>
      </w:r>
      <w:r w:rsidR="00600810">
        <w:t xml:space="preserve"> </w:t>
      </w:r>
      <w:r w:rsidR="002B3011">
        <w:t>keep</w:t>
      </w:r>
      <w:r w:rsidR="00E3524E">
        <w:t xml:space="preserve"> </w:t>
      </w:r>
      <w:r w:rsidR="00600810">
        <w:t xml:space="preserve">only the comment </w:t>
      </w:r>
      <w:r w:rsidR="00496CD3">
        <w:t>on</w:t>
      </w:r>
      <w:r w:rsidR="00600810">
        <w:t xml:space="preserve"> ammonia solutions with ammonia </w:t>
      </w:r>
      <w:r w:rsidR="00600810" w:rsidRPr="00033D2B">
        <w:rPr>
          <w:rFonts w:asciiTheme="majorBidi" w:hAnsiTheme="majorBidi" w:cstheme="majorBidi"/>
        </w:rPr>
        <w:t>≤</w:t>
      </w:r>
      <w:r w:rsidR="00600810">
        <w:rPr>
          <w:rFonts w:asciiTheme="majorBidi" w:hAnsiTheme="majorBidi" w:cstheme="majorBidi"/>
        </w:rPr>
        <w:t xml:space="preserve"> 10 %.</w:t>
      </w:r>
    </w:p>
    <w:p w14:paraId="6FC613F9" w14:textId="611120B6" w:rsidR="00821A00" w:rsidRDefault="001B1AC5" w:rsidP="00893F0C">
      <w:pPr>
        <w:pStyle w:val="SingleTxtG"/>
      </w:pPr>
      <w:r>
        <w:t>13.</w:t>
      </w:r>
      <w:r>
        <w:tab/>
      </w:r>
      <w:r w:rsidRPr="00C15B7E">
        <w:rPr>
          <w:b/>
          <w:bCs/>
        </w:rPr>
        <w:t>Proposal 4</w:t>
      </w:r>
      <w:r>
        <w:t xml:space="preserve"> </w:t>
      </w:r>
      <w:r w:rsidR="00F3123E" w:rsidRPr="00033D2B">
        <w:t xml:space="preserve">maintains the existing special provisions </w:t>
      </w:r>
      <w:r w:rsidR="00016D19" w:rsidRPr="00033D2B">
        <w:t xml:space="preserve">with some </w:t>
      </w:r>
      <w:r w:rsidR="00F3123E" w:rsidRPr="00033D2B">
        <w:t>adjustments</w:t>
      </w:r>
      <w:r w:rsidR="00821A00">
        <w:t>:</w:t>
      </w:r>
    </w:p>
    <w:p w14:paraId="308C7708" w14:textId="7C490CC1" w:rsidR="0006106B" w:rsidRDefault="0006106B" w:rsidP="009C295B">
      <w:pPr>
        <w:pStyle w:val="SingleTxtG"/>
        <w:ind w:left="2268" w:hanging="567"/>
      </w:pPr>
      <w:r>
        <w:t>(a)</w:t>
      </w:r>
      <w:r>
        <w:tab/>
      </w:r>
      <w:r w:rsidR="00342731" w:rsidRPr="00033D2B">
        <w:t xml:space="preserve">The wording is adjusted to </w:t>
      </w:r>
      <w:r w:rsidR="005F7779" w:rsidRPr="00033D2B">
        <w:t>correct</w:t>
      </w:r>
      <w:r w:rsidR="005F7779">
        <w:t xml:space="preserve"> the texts</w:t>
      </w:r>
      <w:r w:rsidR="005F7779" w:rsidRPr="00033D2B">
        <w:t xml:space="preserve"> </w:t>
      </w:r>
      <w:r w:rsidR="005F7779">
        <w:t xml:space="preserve">and </w:t>
      </w:r>
      <w:r w:rsidR="00342731" w:rsidRPr="00033D2B">
        <w:t>avoid misunderstandings</w:t>
      </w:r>
      <w:r w:rsidR="0074307C" w:rsidRPr="00033D2B">
        <w:t>.</w:t>
      </w:r>
    </w:p>
    <w:p w14:paraId="43DEA2BB" w14:textId="3BA25510" w:rsidR="0006106B" w:rsidRDefault="0006106B" w:rsidP="00963982">
      <w:pPr>
        <w:pStyle w:val="SingleTxtG"/>
        <w:ind w:left="1701"/>
      </w:pPr>
      <w:r>
        <w:t>(b)</w:t>
      </w:r>
      <w:r>
        <w:tab/>
      </w:r>
      <w:r w:rsidR="00342731" w:rsidRPr="00033D2B">
        <w:t xml:space="preserve">For UN 2073 (SP 532), </w:t>
      </w:r>
      <w:r w:rsidR="00C45D95" w:rsidRPr="00033D2B">
        <w:t>additionally to the current reference to</w:t>
      </w:r>
      <w:r w:rsidR="0074307C" w:rsidRPr="00033D2B">
        <w:t xml:space="preserve"> UN 2672</w:t>
      </w:r>
      <w:r w:rsidR="00AB1480" w:rsidRPr="00033D2B">
        <w:t>, a reference to UN</w:t>
      </w:r>
      <w:r w:rsidR="00A14F47" w:rsidRPr="00033D2B">
        <w:t xml:space="preserve"> 3318</w:t>
      </w:r>
      <w:r w:rsidR="00AB1480" w:rsidRPr="00033D2B">
        <w:t xml:space="preserve"> is added</w:t>
      </w:r>
      <w:r w:rsidR="00A14F47" w:rsidRPr="00033D2B">
        <w:t xml:space="preserve">, as </w:t>
      </w:r>
      <w:r w:rsidR="00AB1480" w:rsidRPr="00033D2B">
        <w:t>its</w:t>
      </w:r>
      <w:r w:rsidR="00A14F47" w:rsidRPr="00033D2B">
        <w:t xml:space="preserve"> ammonia content is immediately above the ammonia content in</w:t>
      </w:r>
      <w:r w:rsidR="00396A36">
        <w:t xml:space="preserve"> this entry</w:t>
      </w:r>
      <w:r w:rsidR="00A14F47" w:rsidRPr="00033D2B">
        <w:t>.</w:t>
      </w:r>
    </w:p>
    <w:p w14:paraId="284F6021" w14:textId="5C31604D" w:rsidR="002C4BA9" w:rsidRDefault="0006106B" w:rsidP="00963982">
      <w:pPr>
        <w:pStyle w:val="SingleTxtG"/>
        <w:ind w:left="1701"/>
      </w:pPr>
      <w:r>
        <w:t>(c)</w:t>
      </w:r>
      <w:r>
        <w:tab/>
      </w:r>
      <w:r w:rsidR="00A14F47" w:rsidRPr="00033D2B">
        <w:t>For UN</w:t>
      </w:r>
      <w:r w:rsidR="002D6C44" w:rsidRPr="00033D2B">
        <w:t xml:space="preserve"> </w:t>
      </w:r>
      <w:r w:rsidR="00737FE4" w:rsidRPr="00033D2B">
        <w:t xml:space="preserve">2672 (SP 543), reference is made only to </w:t>
      </w:r>
      <w:r w:rsidR="00B9714C" w:rsidRPr="00033D2B">
        <w:t>UN 2073</w:t>
      </w:r>
      <w:r w:rsidR="002D7654">
        <w:t>, as it</w:t>
      </w:r>
      <w:r w:rsidR="004B558A">
        <w:t xml:space="preserve">s </w:t>
      </w:r>
      <w:r w:rsidR="003E1F3B">
        <w:t>ammonia content is directly above the ammonia content in</w:t>
      </w:r>
      <w:r w:rsidR="00396A36">
        <w:t xml:space="preserve"> this entry</w:t>
      </w:r>
      <w:r w:rsidR="00D22867">
        <w:t>,</w:t>
      </w:r>
      <w:r w:rsidR="00737CF2">
        <w:t xml:space="preserve"> and</w:t>
      </w:r>
      <w:r w:rsidR="00B9714C" w:rsidRPr="00033D2B">
        <w:t xml:space="preserve"> </w:t>
      </w:r>
      <w:r w:rsidR="00737CF2">
        <w:t>t</w:t>
      </w:r>
      <w:r w:rsidR="00023121">
        <w:t xml:space="preserve">he comment </w:t>
      </w:r>
      <w:r w:rsidR="00E04A4A">
        <w:t>on</w:t>
      </w:r>
      <w:r w:rsidR="00023121">
        <w:t xml:space="preserve"> ammonia solutions with ammonia </w:t>
      </w:r>
      <w:r w:rsidR="00BC3C8D" w:rsidRPr="00033D2B">
        <w:rPr>
          <w:rFonts w:asciiTheme="majorBidi" w:hAnsiTheme="majorBidi" w:cstheme="majorBidi"/>
        </w:rPr>
        <w:t>≤</w:t>
      </w:r>
      <w:r w:rsidR="00023121">
        <w:t xml:space="preserve"> 10 % is maintained. </w:t>
      </w:r>
      <w:r w:rsidR="00B9714C" w:rsidRPr="00033D2B">
        <w:t xml:space="preserve">The reference to </w:t>
      </w:r>
      <w:r w:rsidR="00966365" w:rsidRPr="00033D2B">
        <w:t>UN 3318 is deleted, as its ammonia content is not close to the ammonia content of this entry</w:t>
      </w:r>
      <w:r w:rsidR="00391A19">
        <w:t xml:space="preserve"> and</w:t>
      </w:r>
      <w:r w:rsidR="004326C3" w:rsidRPr="00033D2B">
        <w:t xml:space="preserve"> </w:t>
      </w:r>
      <w:r w:rsidR="003E7F24">
        <w:t>t</w:t>
      </w:r>
      <w:r w:rsidR="004326C3" w:rsidRPr="00033D2B">
        <w:t>he reference to anhydrous ammonia (UN 1005) is also removed.</w:t>
      </w:r>
    </w:p>
    <w:p w14:paraId="1E8700AD" w14:textId="413216D2" w:rsidR="00892DEF" w:rsidRPr="00033D2B" w:rsidRDefault="002C4BA9" w:rsidP="00963982">
      <w:pPr>
        <w:pStyle w:val="SingleTxtG"/>
        <w:ind w:left="1701"/>
      </w:pPr>
      <w:r>
        <w:t>(d)</w:t>
      </w:r>
      <w:r>
        <w:tab/>
      </w:r>
      <w:r w:rsidR="004326C3" w:rsidRPr="00033D2B">
        <w:t xml:space="preserve">No </w:t>
      </w:r>
      <w:r w:rsidR="003C0513">
        <w:t xml:space="preserve">special provision </w:t>
      </w:r>
      <w:r w:rsidR="004326C3" w:rsidRPr="00033D2B">
        <w:t>is added to UN Nos.</w:t>
      </w:r>
      <w:r w:rsidR="00D27849" w:rsidRPr="00033D2B">
        <w:t xml:space="preserve"> 1005 or 3318, as the intent of this proposal is to keep </w:t>
      </w:r>
      <w:r w:rsidR="00C91013" w:rsidRPr="00033D2B">
        <w:t>changes to a minimum</w:t>
      </w:r>
      <w:r w:rsidR="008E4100">
        <w:t>.</w:t>
      </w:r>
      <w:r w:rsidR="00C91013" w:rsidRPr="00033D2B">
        <w:t xml:space="preserve"> </w:t>
      </w:r>
      <w:r w:rsidR="009C295B">
        <w:t>H</w:t>
      </w:r>
      <w:r w:rsidR="00C91013" w:rsidRPr="00033D2B">
        <w:t>owever,</w:t>
      </w:r>
      <w:r w:rsidR="003B55D0" w:rsidRPr="00033D2B">
        <w:t xml:space="preserve"> for consistency, </w:t>
      </w:r>
      <w:r w:rsidR="00C91013" w:rsidRPr="00033D2B">
        <w:t xml:space="preserve">the </w:t>
      </w:r>
      <w:r w:rsidR="00E43F92">
        <w:t>Joint Meeting</w:t>
      </w:r>
      <w:r w:rsidR="00C91013" w:rsidRPr="00033D2B">
        <w:t xml:space="preserve"> may consider assigning a new</w:t>
      </w:r>
      <w:r w:rsidR="00141D20" w:rsidRPr="00033D2B">
        <w:t xml:space="preserve"> </w:t>
      </w:r>
      <w:r w:rsidR="004D54AC">
        <w:t xml:space="preserve">special provision </w:t>
      </w:r>
      <w:r w:rsidR="00141D20" w:rsidRPr="00033D2B">
        <w:t>at least to UN 3318</w:t>
      </w:r>
      <w:r w:rsidR="00B9043F">
        <w:t xml:space="preserve"> </w:t>
      </w:r>
      <w:r w:rsidR="00141D20" w:rsidRPr="00033D2B">
        <w:t>with a reference to UN 2672.</w:t>
      </w:r>
    </w:p>
    <w:p w14:paraId="6C6723EA" w14:textId="1970594D" w:rsidR="00D10362" w:rsidRPr="00033D2B" w:rsidRDefault="00EB27D6" w:rsidP="00D10362">
      <w:pPr>
        <w:pStyle w:val="H1G"/>
      </w:pPr>
      <w:r w:rsidRPr="00033D2B">
        <w:tab/>
      </w:r>
      <w:r>
        <w:t>A.</w:t>
      </w:r>
      <w:r w:rsidRPr="00033D2B">
        <w:tab/>
        <w:t>Proposal 1</w:t>
      </w:r>
      <w:r>
        <w:t xml:space="preserve"> (</w:t>
      </w:r>
      <w:r w:rsidR="003A381C">
        <w:t>merge special provisions</w:t>
      </w:r>
      <w:r w:rsidR="000E3F17">
        <w:t xml:space="preserve"> and apply to all </w:t>
      </w:r>
      <w:r w:rsidR="00430305">
        <w:t xml:space="preserve">ammonia </w:t>
      </w:r>
      <w:r w:rsidR="000E3F17">
        <w:t>entries</w:t>
      </w:r>
      <w:r w:rsidR="003A381C">
        <w:t>)</w:t>
      </w:r>
    </w:p>
    <w:p w14:paraId="4BD9BFE5" w14:textId="13C02F9F" w:rsidR="00D10362" w:rsidRPr="00033D2B" w:rsidRDefault="00D10362" w:rsidP="00D10362">
      <w:pPr>
        <w:pStyle w:val="H23G"/>
      </w:pPr>
      <w:r w:rsidRPr="00033D2B">
        <w:tab/>
      </w:r>
      <w:r w:rsidRPr="00033D2B">
        <w:tab/>
        <w:t>Chapter 3.</w:t>
      </w:r>
      <w:r w:rsidR="00D43763">
        <w:t>2</w:t>
      </w:r>
      <w:r w:rsidRPr="00033D2B">
        <w:t xml:space="preserve">, </w:t>
      </w:r>
      <w:r w:rsidR="00D43763">
        <w:t>Table A</w:t>
      </w:r>
    </w:p>
    <w:p w14:paraId="253153B7" w14:textId="1C8A8CB8" w:rsidR="002B2A73" w:rsidRPr="00033D2B" w:rsidRDefault="002B2A73" w:rsidP="002B2A73">
      <w:pPr>
        <w:pStyle w:val="SingleTxtG"/>
        <w:ind w:left="2268" w:hanging="1134"/>
      </w:pPr>
      <w:r w:rsidRPr="00033D2B">
        <w:t>For UN Nos. 1005 and 3318, in column (6), add “532”.</w:t>
      </w:r>
    </w:p>
    <w:p w14:paraId="4A64B369" w14:textId="01BD4C74" w:rsidR="00D10362" w:rsidRPr="00033D2B" w:rsidRDefault="00D10362" w:rsidP="00D10362">
      <w:pPr>
        <w:pStyle w:val="SingleTxtG"/>
        <w:ind w:left="2268" w:hanging="1134"/>
      </w:pPr>
      <w:r w:rsidRPr="00033D2B">
        <w:t>For UN 2672, in column (6), replace “543” by “532”.</w:t>
      </w:r>
    </w:p>
    <w:p w14:paraId="14438E4D" w14:textId="77777777" w:rsidR="00D10362" w:rsidRPr="00033D2B" w:rsidRDefault="00D10362" w:rsidP="00D10362">
      <w:pPr>
        <w:pStyle w:val="H23G"/>
      </w:pPr>
      <w:r w:rsidRPr="00033D2B">
        <w:tab/>
      </w:r>
      <w:r w:rsidRPr="00033D2B">
        <w:tab/>
        <w:t>Chapter 3.3</w:t>
      </w:r>
    </w:p>
    <w:p w14:paraId="0CAB7A99" w14:textId="77777777" w:rsidR="002B2A73" w:rsidRPr="00033D2B" w:rsidRDefault="002B2A73" w:rsidP="002B2A73">
      <w:pPr>
        <w:pStyle w:val="SingleTxtG"/>
        <w:ind w:left="2268" w:hanging="1134"/>
      </w:pPr>
      <w:r w:rsidRPr="00033D2B">
        <w:t>SP 532</w:t>
      </w:r>
      <w:r w:rsidRPr="00033D2B">
        <w:tab/>
        <w:t>Amend to read as follows:</w:t>
      </w:r>
    </w:p>
    <w:p w14:paraId="298AFC33" w14:textId="3846BB1F" w:rsidR="002B2A73" w:rsidRPr="00033D2B" w:rsidRDefault="002B2A73" w:rsidP="002B2A73">
      <w:pPr>
        <w:pStyle w:val="SingleTxtG"/>
        <w:ind w:left="2268" w:hanging="1134"/>
      </w:pPr>
      <w:r w:rsidRPr="00033D2B">
        <w:t>“532</w:t>
      </w:r>
      <w:r w:rsidRPr="00033D2B">
        <w:tab/>
      </w:r>
      <w:r w:rsidR="003E39F4" w:rsidRPr="00033D2B">
        <w:t>A</w:t>
      </w:r>
      <w:r w:rsidRPr="00033D2B">
        <w:t xml:space="preserve">mmonia solutions with </w:t>
      </w:r>
      <w:r w:rsidR="009D4A4E">
        <w:t>a</w:t>
      </w:r>
      <w:r w:rsidRPr="00033D2B">
        <w:t xml:space="preserve"> </w:t>
      </w:r>
      <w:r w:rsidRPr="00033D2B">
        <w:rPr>
          <w:rFonts w:asciiTheme="majorBidi" w:hAnsiTheme="majorBidi" w:cstheme="majorBidi"/>
          <w:color w:val="000000"/>
        </w:rPr>
        <w:t xml:space="preserve">relative density </w:t>
      </w:r>
      <w:r w:rsidR="002123AD" w:rsidRPr="00033D2B">
        <w:rPr>
          <w:rFonts w:asciiTheme="majorBidi" w:hAnsiTheme="majorBidi" w:cstheme="majorBidi"/>
          <w:color w:val="000000"/>
        </w:rPr>
        <w:t xml:space="preserve">between 0.880 and </w:t>
      </w:r>
      <w:r w:rsidRPr="00033D2B">
        <w:rPr>
          <w:rFonts w:asciiTheme="majorBidi" w:hAnsiTheme="majorBidi" w:cstheme="majorBidi"/>
          <w:color w:val="000000"/>
        </w:rPr>
        <w:t xml:space="preserve">0.957 </w:t>
      </w:r>
      <w:r w:rsidRPr="00033D2B">
        <w:t>at 15</w:t>
      </w:r>
      <w:r w:rsidRPr="00033D2B">
        <w:rPr>
          <w:rFonts w:asciiTheme="majorBidi" w:hAnsiTheme="majorBidi" w:cstheme="majorBidi"/>
        </w:rPr>
        <w:t> </w:t>
      </w:r>
      <w:r w:rsidRPr="00033D2B">
        <w:t xml:space="preserve">°C in water and </w:t>
      </w:r>
      <w:r w:rsidR="00FB643F">
        <w:t xml:space="preserve">with </w:t>
      </w:r>
      <w:r w:rsidR="00D66BFF" w:rsidRPr="00033D2B">
        <w:rPr>
          <w:rFonts w:asciiTheme="majorBidi" w:hAnsiTheme="majorBidi" w:cstheme="majorBidi"/>
          <w:color w:val="000000"/>
        </w:rPr>
        <w:t xml:space="preserve">more than </w:t>
      </w:r>
      <w:r w:rsidRPr="00033D2B">
        <w:rPr>
          <w:rFonts w:asciiTheme="majorBidi" w:hAnsiTheme="majorBidi" w:cstheme="majorBidi" w:hint="eastAsia"/>
          <w:color w:val="000000"/>
        </w:rPr>
        <w:t>10</w:t>
      </w:r>
      <w:r w:rsidR="00D66BFF" w:rsidRPr="00033D2B">
        <w:rPr>
          <w:rFonts w:asciiTheme="majorBidi" w:hAnsiTheme="majorBidi" w:cstheme="majorBidi"/>
          <w:color w:val="000000"/>
        </w:rPr>
        <w:t xml:space="preserve"> % but not more than 35 %</w:t>
      </w:r>
      <w:r w:rsidRPr="00033D2B">
        <w:rPr>
          <w:rFonts w:asciiTheme="majorBidi" w:hAnsiTheme="majorBidi" w:cstheme="majorBidi" w:hint="eastAsia"/>
          <w:color w:val="000000"/>
        </w:rPr>
        <w:t xml:space="preserve"> ammonia</w:t>
      </w:r>
      <w:r w:rsidR="00D66BFF">
        <w:rPr>
          <w:rFonts w:asciiTheme="majorBidi" w:hAnsiTheme="majorBidi" w:cstheme="majorBidi"/>
          <w:color w:val="000000"/>
        </w:rPr>
        <w:t>,</w:t>
      </w:r>
      <w:r w:rsidRPr="00033D2B">
        <w:t xml:space="preserve"> </w:t>
      </w:r>
      <w:r w:rsidR="009C6302" w:rsidRPr="00033D2B">
        <w:t>are classified under Class 8 as</w:t>
      </w:r>
      <w:r w:rsidRPr="00033D2B">
        <w:t xml:space="preserve"> UN 2672. </w:t>
      </w:r>
      <w:r w:rsidR="005D18E3" w:rsidRPr="00033D2B">
        <w:t xml:space="preserve">Ammonia solutions with </w:t>
      </w:r>
      <w:r w:rsidR="00FB643F">
        <w:t xml:space="preserve">a </w:t>
      </w:r>
      <w:r w:rsidR="005D18E3" w:rsidRPr="00033D2B">
        <w:rPr>
          <w:rFonts w:asciiTheme="majorBidi" w:hAnsiTheme="majorBidi" w:cstheme="majorBidi"/>
          <w:color w:val="000000"/>
        </w:rPr>
        <w:t xml:space="preserve">relative density </w:t>
      </w:r>
      <w:r w:rsidR="00096BF1" w:rsidRPr="00033D2B">
        <w:rPr>
          <w:rFonts w:asciiTheme="majorBidi" w:hAnsiTheme="majorBidi" w:cstheme="majorBidi"/>
          <w:color w:val="000000"/>
        </w:rPr>
        <w:t>less than</w:t>
      </w:r>
      <w:r w:rsidR="005D18E3" w:rsidRPr="00033D2B">
        <w:rPr>
          <w:rFonts w:asciiTheme="majorBidi" w:hAnsiTheme="majorBidi" w:cstheme="majorBidi"/>
          <w:color w:val="000000"/>
        </w:rPr>
        <w:t xml:space="preserve"> 0.880</w:t>
      </w:r>
      <w:r w:rsidR="005D18E3" w:rsidRPr="00033D2B">
        <w:t xml:space="preserve"> at 15</w:t>
      </w:r>
      <w:r w:rsidR="005D18E3" w:rsidRPr="00033D2B">
        <w:rPr>
          <w:rFonts w:asciiTheme="majorBidi" w:hAnsiTheme="majorBidi" w:cstheme="majorBidi"/>
        </w:rPr>
        <w:t> </w:t>
      </w:r>
      <w:r w:rsidR="005D18E3" w:rsidRPr="00033D2B">
        <w:t xml:space="preserve">°C in water and </w:t>
      </w:r>
      <w:r w:rsidR="00FB643F">
        <w:t xml:space="preserve">with </w:t>
      </w:r>
      <w:r w:rsidR="005A56A4" w:rsidRPr="00033D2B">
        <w:rPr>
          <w:rFonts w:asciiTheme="majorBidi" w:hAnsiTheme="majorBidi" w:cstheme="majorBidi"/>
          <w:color w:val="000000"/>
        </w:rPr>
        <w:t xml:space="preserve">more than </w:t>
      </w:r>
      <w:r w:rsidR="005D18E3" w:rsidRPr="00033D2B">
        <w:rPr>
          <w:rFonts w:asciiTheme="majorBidi" w:hAnsiTheme="majorBidi" w:cstheme="majorBidi"/>
          <w:color w:val="000000"/>
        </w:rPr>
        <w:t>35</w:t>
      </w:r>
      <w:r w:rsidR="005A56A4" w:rsidRPr="00033D2B">
        <w:rPr>
          <w:rFonts w:asciiTheme="majorBidi" w:hAnsiTheme="majorBidi" w:cstheme="majorBidi"/>
          <w:color w:val="000000"/>
        </w:rPr>
        <w:t xml:space="preserve"> % but not more than 50 %</w:t>
      </w:r>
      <w:r w:rsidR="005D18E3" w:rsidRPr="00033D2B">
        <w:rPr>
          <w:rFonts w:asciiTheme="majorBidi" w:hAnsiTheme="majorBidi" w:cstheme="majorBidi" w:hint="eastAsia"/>
          <w:color w:val="000000"/>
        </w:rPr>
        <w:t xml:space="preserve"> ammonia</w:t>
      </w:r>
      <w:r w:rsidR="00EB72DA">
        <w:rPr>
          <w:rFonts w:asciiTheme="majorBidi" w:hAnsiTheme="majorBidi" w:cstheme="majorBidi"/>
          <w:color w:val="000000"/>
        </w:rPr>
        <w:t>,</w:t>
      </w:r>
      <w:r w:rsidR="00A52CF9" w:rsidRPr="00033D2B">
        <w:t xml:space="preserve"> are classified under Class 2 as </w:t>
      </w:r>
      <w:r w:rsidR="005D18E3" w:rsidRPr="00033D2B">
        <w:t xml:space="preserve">UN 2073. </w:t>
      </w:r>
      <w:r w:rsidR="009C6302" w:rsidRPr="00033D2B">
        <w:t>A</w:t>
      </w:r>
      <w:r w:rsidRPr="00033D2B">
        <w:t xml:space="preserve">mmonia solutions with </w:t>
      </w:r>
      <w:r w:rsidR="00FB643F">
        <w:t xml:space="preserve">a </w:t>
      </w:r>
      <w:r w:rsidRPr="00033D2B">
        <w:rPr>
          <w:rFonts w:asciiTheme="majorBidi" w:hAnsiTheme="majorBidi" w:cstheme="majorBidi"/>
          <w:color w:val="000000"/>
        </w:rPr>
        <w:t xml:space="preserve">relative density </w:t>
      </w:r>
      <w:r w:rsidR="00096BF1" w:rsidRPr="00033D2B">
        <w:rPr>
          <w:rFonts w:asciiTheme="majorBidi" w:hAnsiTheme="majorBidi" w:cstheme="majorBidi"/>
          <w:color w:val="000000"/>
        </w:rPr>
        <w:t>less than</w:t>
      </w:r>
      <w:r w:rsidRPr="00033D2B">
        <w:rPr>
          <w:rFonts w:asciiTheme="majorBidi" w:hAnsiTheme="majorBidi" w:cstheme="majorBidi"/>
          <w:color w:val="000000"/>
        </w:rPr>
        <w:t xml:space="preserve"> 0.880</w:t>
      </w:r>
      <w:r w:rsidRPr="00033D2B">
        <w:t xml:space="preserve"> at 15 °C in water and </w:t>
      </w:r>
      <w:r w:rsidR="00FB643F">
        <w:t xml:space="preserve">with </w:t>
      </w:r>
      <w:r w:rsidR="004A01C7" w:rsidRPr="00033D2B">
        <w:rPr>
          <w:rFonts w:asciiTheme="majorBidi" w:hAnsiTheme="majorBidi" w:cstheme="majorBidi"/>
          <w:color w:val="000000"/>
        </w:rPr>
        <w:t xml:space="preserve">more than 50 % </w:t>
      </w:r>
      <w:r w:rsidRPr="00033D2B">
        <w:rPr>
          <w:rFonts w:asciiTheme="majorBidi" w:hAnsiTheme="majorBidi" w:cstheme="majorBidi" w:hint="eastAsia"/>
          <w:color w:val="000000"/>
        </w:rPr>
        <w:t>ammonia</w:t>
      </w:r>
      <w:r w:rsidR="00713785">
        <w:rPr>
          <w:rFonts w:asciiTheme="majorBidi" w:hAnsiTheme="majorBidi" w:cstheme="majorBidi"/>
          <w:color w:val="000000"/>
        </w:rPr>
        <w:t>,</w:t>
      </w:r>
      <w:r w:rsidR="005D18E3" w:rsidRPr="00033D2B">
        <w:t xml:space="preserve"> are classified under Class </w:t>
      </w:r>
      <w:r w:rsidR="00A52CF9" w:rsidRPr="00033D2B">
        <w:t>2</w:t>
      </w:r>
      <w:r w:rsidR="005D18E3" w:rsidRPr="00033D2B">
        <w:t xml:space="preserve"> as</w:t>
      </w:r>
      <w:r w:rsidRPr="00033D2B">
        <w:t xml:space="preserve"> UN 3318.</w:t>
      </w:r>
      <w:r w:rsidR="009703DF" w:rsidRPr="00033D2B">
        <w:t xml:space="preserve"> </w:t>
      </w:r>
      <w:r w:rsidR="009B444E" w:rsidRPr="00033D2B">
        <w:t xml:space="preserve">Ammonia solutions with </w:t>
      </w:r>
      <w:r w:rsidR="00C82F00" w:rsidRPr="00033D2B">
        <w:t xml:space="preserve">not more than 10 % </w:t>
      </w:r>
      <w:r w:rsidR="009B444E" w:rsidRPr="00033D2B">
        <w:t xml:space="preserve">ammonia are not subject to the requirements of </w:t>
      </w:r>
      <w:r w:rsidR="00430305">
        <w:t>RID/</w:t>
      </w:r>
      <w:r w:rsidR="009B444E" w:rsidRPr="00033D2B">
        <w:t>ADR</w:t>
      </w:r>
      <w:r w:rsidR="00430305">
        <w:t>/ADN</w:t>
      </w:r>
      <w:r w:rsidR="008E7F89" w:rsidRPr="00033D2B">
        <w:t>.</w:t>
      </w:r>
      <w:r w:rsidR="009B444E" w:rsidRPr="00033D2B">
        <w:t xml:space="preserve"> </w:t>
      </w:r>
      <w:r w:rsidR="00492EFE" w:rsidRPr="00033D2B">
        <w:t>Anhydrous</w:t>
      </w:r>
      <w:r w:rsidR="009703DF" w:rsidRPr="00033D2B">
        <w:t xml:space="preserve"> ammonia is classified under Class 2 as UN 1005.</w:t>
      </w:r>
      <w:r w:rsidR="00226F4E" w:rsidRPr="00033D2B">
        <w:t>”</w:t>
      </w:r>
    </w:p>
    <w:p w14:paraId="47EBC82A" w14:textId="77777777" w:rsidR="00D10362" w:rsidRPr="00033D2B" w:rsidRDefault="00D10362" w:rsidP="00D10362">
      <w:pPr>
        <w:pStyle w:val="SingleTxtG"/>
        <w:ind w:left="2268" w:hanging="1134"/>
      </w:pPr>
      <w:r w:rsidRPr="00033D2B">
        <w:t>SP 543</w:t>
      </w:r>
      <w:r w:rsidRPr="00033D2B">
        <w:tab/>
        <w:t>Delete and add “</w:t>
      </w:r>
      <w:r w:rsidRPr="00033D2B">
        <w:rPr>
          <w:i/>
          <w:iCs/>
        </w:rPr>
        <w:t>Deleted.</w:t>
      </w:r>
      <w:r w:rsidRPr="00033D2B">
        <w:t>”.</w:t>
      </w:r>
    </w:p>
    <w:p w14:paraId="4343A1A6" w14:textId="0998FD30" w:rsidR="006317BC" w:rsidRPr="00033D2B" w:rsidRDefault="006317BC" w:rsidP="006317BC">
      <w:pPr>
        <w:pStyle w:val="H1G"/>
      </w:pPr>
      <w:r w:rsidRPr="00033D2B">
        <w:tab/>
      </w:r>
      <w:r>
        <w:t>B.</w:t>
      </w:r>
      <w:r w:rsidRPr="00033D2B">
        <w:tab/>
        <w:t xml:space="preserve">Proposal </w:t>
      </w:r>
      <w:r>
        <w:t>2 (delete both special provisions)</w:t>
      </w:r>
    </w:p>
    <w:p w14:paraId="149D3712" w14:textId="77777777" w:rsidR="006317BC" w:rsidRPr="00033D2B" w:rsidRDefault="006317BC" w:rsidP="006317BC">
      <w:pPr>
        <w:pStyle w:val="H23G"/>
      </w:pPr>
      <w:r w:rsidRPr="00033D2B">
        <w:tab/>
      </w:r>
      <w:r w:rsidRPr="00033D2B">
        <w:tab/>
        <w:t>Chapter 3.</w:t>
      </w:r>
      <w:r>
        <w:t>2</w:t>
      </w:r>
      <w:r w:rsidRPr="00033D2B">
        <w:t xml:space="preserve">, </w:t>
      </w:r>
      <w:r>
        <w:t>Table A</w:t>
      </w:r>
    </w:p>
    <w:p w14:paraId="6E56783D" w14:textId="77777777" w:rsidR="006317BC" w:rsidRPr="00033D2B" w:rsidRDefault="006317BC" w:rsidP="006317BC">
      <w:pPr>
        <w:pStyle w:val="SingleTxtG"/>
        <w:ind w:left="2268" w:hanging="1134"/>
      </w:pPr>
      <w:r w:rsidRPr="00033D2B">
        <w:t>For UN 2073, in column (6), delete “532”.</w:t>
      </w:r>
    </w:p>
    <w:p w14:paraId="064FC00A" w14:textId="77777777" w:rsidR="006317BC" w:rsidRPr="00033D2B" w:rsidRDefault="006317BC" w:rsidP="006317BC">
      <w:pPr>
        <w:pStyle w:val="SingleTxtG"/>
        <w:ind w:left="2268" w:hanging="1134"/>
      </w:pPr>
      <w:r w:rsidRPr="00033D2B">
        <w:t>For UN 2672, in column (6), delete “543”.</w:t>
      </w:r>
    </w:p>
    <w:p w14:paraId="3C86E71F" w14:textId="77777777" w:rsidR="006317BC" w:rsidRPr="00033D2B" w:rsidRDefault="006317BC" w:rsidP="006317BC">
      <w:pPr>
        <w:pStyle w:val="H23G"/>
      </w:pPr>
      <w:r w:rsidRPr="00033D2B">
        <w:tab/>
      </w:r>
      <w:r w:rsidRPr="00033D2B">
        <w:tab/>
        <w:t>Chapter 3.3</w:t>
      </w:r>
    </w:p>
    <w:p w14:paraId="1E5D5F8A" w14:textId="77777777" w:rsidR="006317BC" w:rsidRPr="00033D2B" w:rsidRDefault="006317BC" w:rsidP="006317BC">
      <w:pPr>
        <w:pStyle w:val="SingleTxtG"/>
        <w:ind w:left="2268" w:hanging="1134"/>
      </w:pPr>
      <w:r w:rsidRPr="00033D2B">
        <w:t>SP 532</w:t>
      </w:r>
      <w:r w:rsidRPr="00033D2B">
        <w:tab/>
        <w:t>Delete and add “</w:t>
      </w:r>
      <w:r w:rsidRPr="00033D2B">
        <w:rPr>
          <w:i/>
          <w:iCs/>
        </w:rPr>
        <w:t>Deleted.</w:t>
      </w:r>
      <w:r w:rsidRPr="00033D2B">
        <w:t>”.</w:t>
      </w:r>
    </w:p>
    <w:p w14:paraId="7F26EB59" w14:textId="77777777" w:rsidR="006317BC" w:rsidRPr="00033D2B" w:rsidRDefault="006317BC" w:rsidP="006317BC">
      <w:pPr>
        <w:pStyle w:val="SingleTxtG"/>
        <w:ind w:left="2268" w:hanging="1134"/>
      </w:pPr>
      <w:r w:rsidRPr="00033D2B">
        <w:t>SP 543</w:t>
      </w:r>
      <w:r w:rsidRPr="00033D2B">
        <w:tab/>
        <w:t>Delete and add “</w:t>
      </w:r>
      <w:r w:rsidRPr="00033D2B">
        <w:rPr>
          <w:i/>
          <w:iCs/>
        </w:rPr>
        <w:t>Deleted.</w:t>
      </w:r>
      <w:r w:rsidRPr="00033D2B">
        <w:t>”.</w:t>
      </w:r>
    </w:p>
    <w:p w14:paraId="3E480176" w14:textId="045D8B6B" w:rsidR="00B911F6" w:rsidRPr="00033D2B" w:rsidRDefault="00B911F6" w:rsidP="00B911F6">
      <w:pPr>
        <w:pStyle w:val="H1G"/>
      </w:pPr>
      <w:r w:rsidRPr="00033D2B">
        <w:tab/>
      </w:r>
      <w:r>
        <w:t>C.</w:t>
      </w:r>
      <w:r w:rsidRPr="00033D2B">
        <w:tab/>
        <w:t xml:space="preserve">Proposal </w:t>
      </w:r>
      <w:r>
        <w:t xml:space="preserve">3 (only keep </w:t>
      </w:r>
      <w:r w:rsidR="00430305" w:rsidRPr="00033D2B">
        <w:rPr>
          <w:rFonts w:asciiTheme="majorBidi" w:hAnsiTheme="majorBidi" w:cstheme="majorBidi"/>
        </w:rPr>
        <w:t>≤</w:t>
      </w:r>
      <w:r>
        <w:t xml:space="preserve"> 10 % </w:t>
      </w:r>
      <w:r w:rsidR="00430305">
        <w:t>ammonia</w:t>
      </w:r>
      <w:r>
        <w:t xml:space="preserve"> comment)</w:t>
      </w:r>
    </w:p>
    <w:p w14:paraId="6B6CE494" w14:textId="69614410" w:rsidR="00B911F6" w:rsidRPr="00033D2B" w:rsidRDefault="00B911F6" w:rsidP="00B911F6">
      <w:pPr>
        <w:pStyle w:val="H23G"/>
      </w:pPr>
      <w:r w:rsidRPr="00033D2B">
        <w:tab/>
      </w:r>
      <w:r w:rsidRPr="00033D2B">
        <w:tab/>
        <w:t>Chapter 3.</w:t>
      </w:r>
      <w:r w:rsidR="00430305">
        <w:t>2</w:t>
      </w:r>
      <w:r w:rsidRPr="00033D2B">
        <w:t xml:space="preserve">, </w:t>
      </w:r>
      <w:r w:rsidR="00430305">
        <w:t>Table A</w:t>
      </w:r>
    </w:p>
    <w:p w14:paraId="4B8A045E" w14:textId="77777777" w:rsidR="00B911F6" w:rsidRPr="00033D2B" w:rsidRDefault="00B911F6" w:rsidP="00B911F6">
      <w:pPr>
        <w:pStyle w:val="SingleTxtG"/>
        <w:ind w:left="2268" w:hanging="1134"/>
      </w:pPr>
      <w:r w:rsidRPr="00033D2B">
        <w:t>For UN 2073, in column (6), delete “532”.</w:t>
      </w:r>
    </w:p>
    <w:p w14:paraId="217C4CF7" w14:textId="77777777" w:rsidR="00B911F6" w:rsidRPr="00033D2B" w:rsidRDefault="00B911F6" w:rsidP="00B911F6">
      <w:pPr>
        <w:pStyle w:val="H23G"/>
      </w:pPr>
      <w:r w:rsidRPr="00033D2B">
        <w:tab/>
      </w:r>
      <w:r w:rsidRPr="00033D2B">
        <w:tab/>
        <w:t>Chapter 3.3</w:t>
      </w:r>
    </w:p>
    <w:p w14:paraId="38A175D3" w14:textId="77777777" w:rsidR="00B911F6" w:rsidRPr="00033D2B" w:rsidRDefault="00B911F6" w:rsidP="00B911F6">
      <w:pPr>
        <w:pStyle w:val="SingleTxtG"/>
        <w:ind w:left="2268" w:hanging="1134"/>
      </w:pPr>
      <w:r w:rsidRPr="00033D2B">
        <w:t>SP 532</w:t>
      </w:r>
      <w:r w:rsidRPr="00033D2B">
        <w:tab/>
        <w:t>Delete and add “</w:t>
      </w:r>
      <w:r w:rsidRPr="00033D2B">
        <w:rPr>
          <w:i/>
          <w:iCs/>
        </w:rPr>
        <w:t>Deleted.</w:t>
      </w:r>
      <w:r w:rsidRPr="00033D2B">
        <w:t>”.</w:t>
      </w:r>
    </w:p>
    <w:p w14:paraId="6773E058" w14:textId="491536CE" w:rsidR="00D72641" w:rsidRPr="00033D2B" w:rsidRDefault="00D72641" w:rsidP="00D72641">
      <w:pPr>
        <w:pStyle w:val="SingleTxtG"/>
        <w:ind w:left="2268" w:hanging="1134"/>
      </w:pPr>
      <w:r w:rsidRPr="00033D2B">
        <w:t xml:space="preserve">SP </w:t>
      </w:r>
      <w:r w:rsidR="00A96E5C">
        <w:t>543</w:t>
      </w:r>
      <w:r w:rsidRPr="00033D2B">
        <w:tab/>
        <w:t>Amend to read as follows:</w:t>
      </w:r>
    </w:p>
    <w:p w14:paraId="63727259" w14:textId="177E0FFE" w:rsidR="00D72641" w:rsidRPr="00033D2B" w:rsidRDefault="00D72641" w:rsidP="00D72641">
      <w:pPr>
        <w:pStyle w:val="SingleTxtG"/>
        <w:ind w:left="2268" w:hanging="1134"/>
      </w:pPr>
      <w:r w:rsidRPr="00033D2B">
        <w:t>“</w:t>
      </w:r>
      <w:r w:rsidR="00A96E5C">
        <w:t>543</w:t>
      </w:r>
      <w:r w:rsidRPr="00033D2B">
        <w:tab/>
        <w:t xml:space="preserve">Ammonia solutions with </w:t>
      </w:r>
      <w:r w:rsidR="00D92D43" w:rsidRPr="00033D2B">
        <w:t xml:space="preserve">not more than 10 % </w:t>
      </w:r>
      <w:r w:rsidRPr="00033D2B">
        <w:t xml:space="preserve">ammonia are not subject to the requirements of </w:t>
      </w:r>
      <w:r w:rsidR="00430305">
        <w:t>RID/</w:t>
      </w:r>
      <w:r w:rsidRPr="00033D2B">
        <w:t>ADR</w:t>
      </w:r>
      <w:r w:rsidR="00430305">
        <w:t>/ADN</w:t>
      </w:r>
      <w:r w:rsidRPr="00033D2B">
        <w:t>.”</w:t>
      </w:r>
    </w:p>
    <w:p w14:paraId="3C1B7C99" w14:textId="5F3E4FE6" w:rsidR="00511318" w:rsidRPr="00033D2B" w:rsidRDefault="00511318" w:rsidP="00511318">
      <w:pPr>
        <w:pStyle w:val="H1G"/>
      </w:pPr>
      <w:r w:rsidRPr="00033D2B">
        <w:tab/>
      </w:r>
      <w:r w:rsidR="001B1AC5">
        <w:t>D</w:t>
      </w:r>
      <w:r w:rsidR="00230A0C">
        <w:t>.</w:t>
      </w:r>
      <w:r w:rsidRPr="00033D2B">
        <w:tab/>
        <w:t xml:space="preserve">Proposal </w:t>
      </w:r>
      <w:r w:rsidR="001B1AC5">
        <w:t>4</w:t>
      </w:r>
      <w:r w:rsidR="000E3F17">
        <w:t xml:space="preserve"> (amend existing special provisions)</w:t>
      </w:r>
    </w:p>
    <w:p w14:paraId="03253E73" w14:textId="77777777" w:rsidR="009F5BB6" w:rsidRPr="00033D2B" w:rsidRDefault="009F5BB6" w:rsidP="009F5BB6">
      <w:pPr>
        <w:pStyle w:val="H23G"/>
      </w:pPr>
      <w:r w:rsidRPr="00033D2B">
        <w:tab/>
      </w:r>
      <w:r w:rsidRPr="00033D2B">
        <w:tab/>
        <w:t>Chapter 3.3</w:t>
      </w:r>
    </w:p>
    <w:p w14:paraId="6ADD1021" w14:textId="77777777" w:rsidR="00321732" w:rsidRPr="00033D2B" w:rsidRDefault="00321732" w:rsidP="00321732">
      <w:pPr>
        <w:pStyle w:val="SingleTxtG"/>
        <w:ind w:left="2268" w:hanging="1134"/>
      </w:pPr>
      <w:r w:rsidRPr="00033D2B">
        <w:t>SP 532</w:t>
      </w:r>
      <w:r w:rsidRPr="00033D2B">
        <w:tab/>
        <w:t>Amend to read as follows:</w:t>
      </w:r>
    </w:p>
    <w:p w14:paraId="3DC0BC0C" w14:textId="17A9D046" w:rsidR="00321732" w:rsidRPr="00033D2B" w:rsidRDefault="00321732" w:rsidP="00321732">
      <w:pPr>
        <w:pStyle w:val="SingleTxtG"/>
        <w:ind w:left="2268" w:hanging="1134"/>
      </w:pPr>
      <w:r w:rsidRPr="00033D2B">
        <w:t>“532</w:t>
      </w:r>
      <w:r w:rsidRPr="00033D2B">
        <w:tab/>
        <w:t xml:space="preserve">For ammonia solutions with </w:t>
      </w:r>
      <w:r w:rsidR="00713785">
        <w:t>a</w:t>
      </w:r>
      <w:r w:rsidR="001E5BDD" w:rsidRPr="00033D2B">
        <w:t xml:space="preserve"> </w:t>
      </w:r>
      <w:r w:rsidRPr="00033D2B">
        <w:rPr>
          <w:rFonts w:asciiTheme="majorBidi" w:hAnsiTheme="majorBidi" w:cstheme="majorBidi"/>
          <w:color w:val="000000"/>
        </w:rPr>
        <w:t xml:space="preserve">relative density </w:t>
      </w:r>
      <w:r w:rsidR="00ED2D9C" w:rsidRPr="00033D2B">
        <w:rPr>
          <w:rFonts w:asciiTheme="majorBidi" w:hAnsiTheme="majorBidi" w:cstheme="majorBidi"/>
          <w:color w:val="000000"/>
        </w:rPr>
        <w:t xml:space="preserve">between 0.880 and </w:t>
      </w:r>
      <w:r w:rsidRPr="00033D2B">
        <w:rPr>
          <w:rFonts w:asciiTheme="majorBidi" w:hAnsiTheme="majorBidi" w:cstheme="majorBidi"/>
          <w:color w:val="000000"/>
        </w:rPr>
        <w:t>0.</w:t>
      </w:r>
      <w:r w:rsidR="001E5BDD" w:rsidRPr="00033D2B">
        <w:rPr>
          <w:rFonts w:asciiTheme="majorBidi" w:hAnsiTheme="majorBidi" w:cstheme="majorBidi"/>
          <w:color w:val="000000"/>
        </w:rPr>
        <w:t>957</w:t>
      </w:r>
      <w:r w:rsidRPr="00033D2B">
        <w:rPr>
          <w:rFonts w:asciiTheme="majorBidi" w:hAnsiTheme="majorBidi" w:cstheme="majorBidi"/>
          <w:color w:val="000000"/>
        </w:rPr>
        <w:t xml:space="preserve"> </w:t>
      </w:r>
      <w:r w:rsidRPr="00033D2B">
        <w:t>at 15</w:t>
      </w:r>
      <w:r w:rsidR="00401E6A" w:rsidRPr="00033D2B">
        <w:rPr>
          <w:rFonts w:asciiTheme="majorBidi" w:hAnsiTheme="majorBidi" w:cstheme="majorBidi"/>
        </w:rPr>
        <w:t> </w:t>
      </w:r>
      <w:r w:rsidRPr="00033D2B">
        <w:t xml:space="preserve">°C in water and </w:t>
      </w:r>
      <w:r w:rsidR="008D60AE">
        <w:t xml:space="preserve">with </w:t>
      </w:r>
      <w:r w:rsidR="00D377E5" w:rsidRPr="00033D2B">
        <w:rPr>
          <w:rFonts w:asciiTheme="majorBidi" w:hAnsiTheme="majorBidi" w:cstheme="majorBidi"/>
          <w:color w:val="000000"/>
        </w:rPr>
        <w:t xml:space="preserve">more than </w:t>
      </w:r>
      <w:r w:rsidRPr="00033D2B">
        <w:rPr>
          <w:rFonts w:asciiTheme="majorBidi" w:hAnsiTheme="majorBidi" w:cstheme="majorBidi" w:hint="eastAsia"/>
          <w:color w:val="000000"/>
        </w:rPr>
        <w:t>10</w:t>
      </w:r>
      <w:r w:rsidR="00D377E5" w:rsidRPr="00033D2B">
        <w:rPr>
          <w:rFonts w:asciiTheme="majorBidi" w:hAnsiTheme="majorBidi" w:cstheme="majorBidi"/>
          <w:color w:val="000000"/>
        </w:rPr>
        <w:t xml:space="preserve"> % but not more than 35 %</w:t>
      </w:r>
      <w:r w:rsidRPr="00033D2B">
        <w:rPr>
          <w:rFonts w:asciiTheme="majorBidi" w:hAnsiTheme="majorBidi" w:cstheme="majorBidi" w:hint="eastAsia"/>
          <w:color w:val="000000"/>
        </w:rPr>
        <w:t xml:space="preserve"> ammonia</w:t>
      </w:r>
      <w:r w:rsidRPr="00033D2B">
        <w:t xml:space="preserve">, see UN 2672. For ammonia solutions with </w:t>
      </w:r>
      <w:r w:rsidR="008D60AE">
        <w:t xml:space="preserve">a </w:t>
      </w:r>
      <w:r w:rsidRPr="00033D2B">
        <w:rPr>
          <w:rFonts w:asciiTheme="majorBidi" w:hAnsiTheme="majorBidi" w:cstheme="majorBidi"/>
          <w:color w:val="000000"/>
        </w:rPr>
        <w:t xml:space="preserve">relative density </w:t>
      </w:r>
      <w:r w:rsidR="00096BF1" w:rsidRPr="00033D2B">
        <w:rPr>
          <w:rFonts w:asciiTheme="majorBidi" w:hAnsiTheme="majorBidi" w:cstheme="majorBidi"/>
          <w:color w:val="000000"/>
        </w:rPr>
        <w:t>less than</w:t>
      </w:r>
      <w:r w:rsidRPr="00033D2B">
        <w:rPr>
          <w:rFonts w:asciiTheme="majorBidi" w:hAnsiTheme="majorBidi" w:cstheme="majorBidi"/>
          <w:color w:val="000000"/>
        </w:rPr>
        <w:t xml:space="preserve"> 0.880</w:t>
      </w:r>
      <w:r>
        <w:rPr>
          <w:rFonts w:asciiTheme="majorBidi" w:hAnsiTheme="majorBidi" w:cstheme="majorBidi"/>
          <w:color w:val="000000"/>
        </w:rPr>
        <w:t xml:space="preserve"> </w:t>
      </w:r>
      <w:r w:rsidRPr="00033D2B">
        <w:t xml:space="preserve">at 15 °C in water and </w:t>
      </w:r>
      <w:r w:rsidR="008D60AE">
        <w:t xml:space="preserve">with </w:t>
      </w:r>
      <w:r w:rsidR="00B65848" w:rsidRPr="00033D2B">
        <w:rPr>
          <w:rFonts w:asciiTheme="majorBidi" w:hAnsiTheme="majorBidi" w:cstheme="majorBidi"/>
          <w:color w:val="000000"/>
        </w:rPr>
        <w:t xml:space="preserve">more than 50 % </w:t>
      </w:r>
      <w:r w:rsidRPr="00033D2B">
        <w:rPr>
          <w:rFonts w:asciiTheme="majorBidi" w:hAnsiTheme="majorBidi" w:cstheme="majorBidi" w:hint="eastAsia"/>
          <w:color w:val="000000"/>
        </w:rPr>
        <w:t>ammonia</w:t>
      </w:r>
      <w:r w:rsidRPr="00033D2B">
        <w:t>, see UN 3318.</w:t>
      </w:r>
      <w:r w:rsidR="00226F4E" w:rsidRPr="00033D2B">
        <w:t>”</w:t>
      </w:r>
    </w:p>
    <w:p w14:paraId="733BE3A5" w14:textId="0B6486BF" w:rsidR="00321732" w:rsidRPr="00033D2B" w:rsidRDefault="00321732" w:rsidP="00321732">
      <w:pPr>
        <w:pStyle w:val="SingleTxtG"/>
        <w:ind w:left="2268" w:hanging="1134"/>
      </w:pPr>
      <w:r w:rsidRPr="00033D2B">
        <w:t>SP 543</w:t>
      </w:r>
      <w:r w:rsidRPr="00033D2B">
        <w:tab/>
        <w:t>Amend to read as follows:</w:t>
      </w:r>
    </w:p>
    <w:p w14:paraId="5B992168" w14:textId="3AB79F71" w:rsidR="00321732" w:rsidRPr="00033D2B" w:rsidRDefault="00321732" w:rsidP="00321732">
      <w:pPr>
        <w:pStyle w:val="SingleTxtG"/>
        <w:ind w:left="2268" w:hanging="1134"/>
      </w:pPr>
      <w:r w:rsidRPr="00033D2B">
        <w:t>“543</w:t>
      </w:r>
      <w:r w:rsidRPr="00033D2B">
        <w:tab/>
        <w:t xml:space="preserve">For ammonia solutions with </w:t>
      </w:r>
      <w:r w:rsidR="008D60AE">
        <w:t xml:space="preserve">a </w:t>
      </w:r>
      <w:r w:rsidRPr="00033D2B">
        <w:rPr>
          <w:rFonts w:asciiTheme="majorBidi" w:hAnsiTheme="majorBidi" w:cstheme="majorBidi"/>
          <w:color w:val="000000"/>
        </w:rPr>
        <w:t xml:space="preserve">relative density </w:t>
      </w:r>
      <w:r w:rsidR="00096BF1" w:rsidRPr="00033D2B">
        <w:rPr>
          <w:rFonts w:asciiTheme="majorBidi" w:hAnsiTheme="majorBidi" w:cstheme="majorBidi"/>
          <w:color w:val="000000"/>
        </w:rPr>
        <w:t>less than</w:t>
      </w:r>
      <w:r w:rsidRPr="00033D2B">
        <w:rPr>
          <w:rFonts w:asciiTheme="majorBidi" w:hAnsiTheme="majorBidi" w:cstheme="majorBidi"/>
          <w:color w:val="000000"/>
        </w:rPr>
        <w:t xml:space="preserve"> 0.880</w:t>
      </w:r>
      <w:r>
        <w:rPr>
          <w:rFonts w:asciiTheme="majorBidi" w:hAnsiTheme="majorBidi" w:cstheme="majorBidi"/>
          <w:color w:val="000000"/>
        </w:rPr>
        <w:t xml:space="preserve"> </w:t>
      </w:r>
      <w:r w:rsidRPr="00033D2B">
        <w:t>at 15</w:t>
      </w:r>
      <w:r w:rsidR="00401E6A" w:rsidRPr="00033D2B">
        <w:rPr>
          <w:rFonts w:asciiTheme="majorBidi" w:hAnsiTheme="majorBidi" w:cstheme="majorBidi"/>
        </w:rPr>
        <w:t> </w:t>
      </w:r>
      <w:r w:rsidRPr="00033D2B">
        <w:t xml:space="preserve">°C in water and </w:t>
      </w:r>
      <w:r w:rsidR="008D60AE">
        <w:t xml:space="preserve">with </w:t>
      </w:r>
      <w:r w:rsidR="00CE16C6" w:rsidRPr="00033D2B">
        <w:rPr>
          <w:rFonts w:asciiTheme="majorBidi" w:hAnsiTheme="majorBidi" w:cstheme="majorBidi"/>
          <w:color w:val="000000"/>
        </w:rPr>
        <w:t xml:space="preserve">more than </w:t>
      </w:r>
      <w:r w:rsidR="00DA07FF" w:rsidRPr="00033D2B">
        <w:rPr>
          <w:rFonts w:asciiTheme="majorBidi" w:hAnsiTheme="majorBidi" w:cstheme="majorBidi"/>
          <w:color w:val="000000"/>
        </w:rPr>
        <w:t>35</w:t>
      </w:r>
      <w:r w:rsidR="00CE16C6" w:rsidRPr="00033D2B">
        <w:rPr>
          <w:rFonts w:asciiTheme="majorBidi" w:hAnsiTheme="majorBidi" w:cstheme="majorBidi"/>
          <w:color w:val="000000"/>
        </w:rPr>
        <w:t xml:space="preserve"> % but not more than 50 %</w:t>
      </w:r>
      <w:r w:rsidRPr="00033D2B">
        <w:rPr>
          <w:rFonts w:asciiTheme="majorBidi" w:hAnsiTheme="majorBidi" w:cstheme="majorBidi" w:hint="eastAsia"/>
          <w:color w:val="000000"/>
        </w:rPr>
        <w:t xml:space="preserve"> ammonia</w:t>
      </w:r>
      <w:r w:rsidRPr="00033D2B">
        <w:t xml:space="preserve">, see UN </w:t>
      </w:r>
      <w:r w:rsidR="00DA07FF" w:rsidRPr="00033D2B">
        <w:t>2073</w:t>
      </w:r>
      <w:r w:rsidRPr="00033D2B">
        <w:t>.</w:t>
      </w:r>
      <w:r w:rsidR="002918D2" w:rsidRPr="00033D2B">
        <w:t xml:space="preserve"> Ammonia solutions with </w:t>
      </w:r>
      <w:r w:rsidR="00D92D43" w:rsidRPr="00033D2B">
        <w:t xml:space="preserve">not more than 10 % </w:t>
      </w:r>
      <w:r w:rsidR="002918D2" w:rsidRPr="00033D2B">
        <w:t xml:space="preserve">ammonia are not subject to the requirements of </w:t>
      </w:r>
      <w:r w:rsidR="009676D5">
        <w:t>RID/</w:t>
      </w:r>
      <w:r w:rsidR="002918D2" w:rsidRPr="00033D2B">
        <w:t>ADR</w:t>
      </w:r>
      <w:r w:rsidR="009676D5">
        <w:t>/ADN</w:t>
      </w:r>
      <w:r w:rsidR="002918D2" w:rsidRPr="00033D2B">
        <w:t>.</w:t>
      </w:r>
      <w:r w:rsidR="00226F4E" w:rsidRPr="00033D2B">
        <w:t>”</w:t>
      </w:r>
    </w:p>
    <w:p w14:paraId="1928A639" w14:textId="64F7DC67" w:rsidR="00FD68E1" w:rsidRPr="00033D2B" w:rsidRDefault="00893F0C" w:rsidP="00FD68E1">
      <w:pPr>
        <w:pStyle w:val="HChG"/>
      </w:pPr>
      <w:r w:rsidRPr="00033D2B">
        <w:tab/>
        <w:t>IV.</w:t>
      </w:r>
      <w:r w:rsidRPr="00033D2B">
        <w:tab/>
      </w:r>
      <w:r w:rsidR="00AC2A56" w:rsidRPr="00033D2B">
        <w:t>Final consideration</w:t>
      </w:r>
      <w:r w:rsidR="00A34178" w:rsidRPr="00033D2B">
        <w:t>s</w:t>
      </w:r>
    </w:p>
    <w:p w14:paraId="0FBC50D5" w14:textId="52E50738" w:rsidR="00FD68E1" w:rsidRPr="00033D2B" w:rsidRDefault="002C41E7" w:rsidP="00CB3E6C">
      <w:pPr>
        <w:pStyle w:val="SingleTxtG"/>
      </w:pPr>
      <w:r>
        <w:t>1</w:t>
      </w:r>
      <w:r w:rsidR="00E05DB5">
        <w:t>4</w:t>
      </w:r>
      <w:r w:rsidR="00FD68E1" w:rsidRPr="00033D2B">
        <w:t>.</w:t>
      </w:r>
      <w:r w:rsidR="00FD68E1" w:rsidRPr="00033D2B">
        <w:tab/>
        <w:t xml:space="preserve">If the </w:t>
      </w:r>
      <w:r w:rsidR="00E43F92">
        <w:t>Joint Meeting</w:t>
      </w:r>
      <w:r w:rsidR="00FD68E1" w:rsidRPr="00033D2B">
        <w:t xml:space="preserve"> does not choose</w:t>
      </w:r>
      <w:r w:rsidR="00945256" w:rsidRPr="00033D2B">
        <w:t xml:space="preserve"> proposal </w:t>
      </w:r>
      <w:r w:rsidR="00702990">
        <w:t>2</w:t>
      </w:r>
      <w:r w:rsidR="00945256" w:rsidRPr="00033D2B">
        <w:t>, which would align RID/ADR/ADN</w:t>
      </w:r>
      <w:r w:rsidR="001B1604" w:rsidRPr="00033D2B">
        <w:t xml:space="preserve"> with the Model Regulations, it </w:t>
      </w:r>
      <w:r w:rsidR="003B0EAE">
        <w:t>may</w:t>
      </w:r>
      <w:r w:rsidR="001B1604" w:rsidRPr="00033D2B">
        <w:t xml:space="preserve"> consider </w:t>
      </w:r>
      <w:r w:rsidR="009511BE" w:rsidRPr="00033D2B">
        <w:t>whether</w:t>
      </w:r>
      <w:r w:rsidR="001B1604" w:rsidRPr="00033D2B">
        <w:t xml:space="preserve"> a proposal to include</w:t>
      </w:r>
      <w:r w:rsidR="009511BE" w:rsidRPr="00033D2B">
        <w:t xml:space="preserve"> the </w:t>
      </w:r>
      <w:r w:rsidR="00BE0F02" w:rsidRPr="00033D2B">
        <w:t>retained</w:t>
      </w:r>
      <w:r w:rsidR="009511BE" w:rsidRPr="00033D2B">
        <w:t xml:space="preserve"> special provision(s) into the Model Regulations is </w:t>
      </w:r>
      <w:r w:rsidR="000369AB">
        <w:t>need</w:t>
      </w:r>
      <w:r w:rsidR="009511BE" w:rsidRPr="00033D2B">
        <w:t>ed.</w:t>
      </w:r>
    </w:p>
    <w:p w14:paraId="7421B811" w14:textId="0E44DE07" w:rsidR="00CB3E6C" w:rsidRDefault="009511BE" w:rsidP="00CB3E6C">
      <w:pPr>
        <w:pStyle w:val="SingleTxtG"/>
      </w:pPr>
      <w:r w:rsidRPr="00033D2B">
        <w:t>1</w:t>
      </w:r>
      <w:r w:rsidR="00E05DB5">
        <w:t>5</w:t>
      </w:r>
      <w:r w:rsidR="00893F0C" w:rsidRPr="00033D2B">
        <w:t>.</w:t>
      </w:r>
      <w:r w:rsidR="00893F0C" w:rsidRPr="00033D2B">
        <w:tab/>
      </w:r>
      <w:r w:rsidR="00AC2A56" w:rsidRPr="00033D2B">
        <w:t xml:space="preserve">During </w:t>
      </w:r>
      <w:r w:rsidR="009B17BB">
        <w:t>the</w:t>
      </w:r>
      <w:r w:rsidR="00AC2A56" w:rsidRPr="00033D2B">
        <w:t xml:space="preserve"> discussion of </w:t>
      </w:r>
      <w:r w:rsidR="00C122CC">
        <w:t>informal document INF.14</w:t>
      </w:r>
      <w:r w:rsidR="00AC2A56" w:rsidRPr="00033D2B">
        <w:t xml:space="preserve"> </w:t>
      </w:r>
      <w:r w:rsidR="001B5682">
        <w:t>at</w:t>
      </w:r>
      <w:r w:rsidR="00AC2A56" w:rsidRPr="00033D2B">
        <w:t xml:space="preserve"> </w:t>
      </w:r>
      <w:r w:rsidR="009B17BB">
        <w:t>its</w:t>
      </w:r>
      <w:r w:rsidR="00AC2A56" w:rsidRPr="00033D2B">
        <w:t xml:space="preserve"> spring session of 2022, the Joint Meeting noted that </w:t>
      </w:r>
      <w:r w:rsidR="00846877" w:rsidRPr="00033D2B">
        <w:t>as part of</w:t>
      </w:r>
      <w:r w:rsidR="00AC2A56" w:rsidRPr="00033D2B">
        <w:t xml:space="preserve"> the restructuring of </w:t>
      </w:r>
      <w:r w:rsidR="009676D5">
        <w:t>RID/</w:t>
      </w:r>
      <w:r w:rsidR="00AC2A56" w:rsidRPr="00033D2B">
        <w:t xml:space="preserve">ADR, </w:t>
      </w:r>
      <w:r w:rsidR="00B528C3" w:rsidRPr="00033D2B">
        <w:t>many</w:t>
      </w:r>
      <w:r w:rsidR="00AC2A56" w:rsidRPr="00033D2B">
        <w:t xml:space="preserve"> marginals containing references to the assignment to other UN numbers had been transferred into special provisions and would need to be reviewed too. However, it agreed to postpone the analysis of other special provisions until the issue with </w:t>
      </w:r>
      <w:r w:rsidR="001F0EC6">
        <w:t>SPs</w:t>
      </w:r>
      <w:r w:rsidR="00AC2A56" w:rsidRPr="00033D2B">
        <w:t xml:space="preserve"> 532 and 543 had been resolved.</w:t>
      </w:r>
      <w:r w:rsidR="00CB3E6C" w:rsidRPr="00033D2B">
        <w:t xml:space="preserve"> Taking this into account, the Joint Meeting </w:t>
      </w:r>
      <w:r w:rsidR="00536B5E">
        <w:t>may</w:t>
      </w:r>
      <w:r w:rsidR="00CB3E6C" w:rsidRPr="00033D2B">
        <w:t xml:space="preserve"> discuss a possible </w:t>
      </w:r>
      <w:r w:rsidR="002E47D5">
        <w:t>way</w:t>
      </w:r>
      <w:r w:rsidR="00CB3E6C" w:rsidRPr="00033D2B">
        <w:t xml:space="preserve"> forward for the</w:t>
      </w:r>
      <w:r w:rsidR="00AC0309" w:rsidRPr="00033D2B">
        <w:t>se</w:t>
      </w:r>
      <w:r w:rsidR="00CB3E6C" w:rsidRPr="00033D2B">
        <w:t xml:space="preserve"> other special provisions</w:t>
      </w:r>
      <w:r w:rsidR="00A46CED" w:rsidRPr="00033D2B">
        <w:t xml:space="preserve"> once </w:t>
      </w:r>
      <w:r w:rsidR="00AC0309" w:rsidRPr="00033D2B">
        <w:t xml:space="preserve">it has taken </w:t>
      </w:r>
      <w:r w:rsidR="00A46CED" w:rsidRPr="00033D2B">
        <w:t>a decision on the above proposals.</w:t>
      </w:r>
    </w:p>
    <w:p w14:paraId="177AD8E3" w14:textId="4279B4EB" w:rsidR="001C6663" w:rsidRPr="00893F0C" w:rsidRDefault="00E05DB5" w:rsidP="00E05DB5">
      <w:pPr>
        <w:jc w:val="center"/>
      </w:pPr>
      <w:r>
        <w:t>__________________</w:t>
      </w:r>
    </w:p>
    <w:sectPr w:rsidR="001C6663" w:rsidRPr="00893F0C" w:rsidSect="00893F0C">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AFAB" w14:textId="77777777" w:rsidR="006D6ED5" w:rsidRDefault="006D6ED5"/>
  </w:endnote>
  <w:endnote w:type="continuationSeparator" w:id="0">
    <w:p w14:paraId="5C8152A7" w14:textId="77777777" w:rsidR="006D6ED5" w:rsidRDefault="006D6ED5"/>
  </w:endnote>
  <w:endnote w:type="continuationNotice" w:id="1">
    <w:p w14:paraId="611C048D" w14:textId="77777777" w:rsidR="006D6ED5" w:rsidRDefault="006D6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5304" w14:textId="2B3CB371" w:rsidR="00893F0C" w:rsidRPr="00893F0C" w:rsidRDefault="00893F0C" w:rsidP="00893F0C">
    <w:pPr>
      <w:pStyle w:val="Footer"/>
      <w:tabs>
        <w:tab w:val="right" w:pos="9638"/>
      </w:tabs>
      <w:rPr>
        <w:sz w:val="18"/>
      </w:rPr>
    </w:pPr>
    <w:r w:rsidRPr="00893F0C">
      <w:rPr>
        <w:b/>
        <w:sz w:val="18"/>
      </w:rPr>
      <w:fldChar w:fldCharType="begin"/>
    </w:r>
    <w:r w:rsidRPr="00893F0C">
      <w:rPr>
        <w:b/>
        <w:sz w:val="18"/>
      </w:rPr>
      <w:instrText xml:space="preserve"> PAGE  \* MERGEFORMAT </w:instrText>
    </w:r>
    <w:r w:rsidRPr="00893F0C">
      <w:rPr>
        <w:b/>
        <w:sz w:val="18"/>
      </w:rPr>
      <w:fldChar w:fldCharType="separate"/>
    </w:r>
    <w:r w:rsidRPr="00893F0C">
      <w:rPr>
        <w:b/>
        <w:noProof/>
        <w:sz w:val="18"/>
      </w:rPr>
      <w:t>2</w:t>
    </w:r>
    <w:r w:rsidRPr="00893F0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9AF2" w14:textId="456547A3" w:rsidR="00893F0C" w:rsidRPr="00893F0C" w:rsidRDefault="00893F0C" w:rsidP="00893F0C">
    <w:pPr>
      <w:pStyle w:val="Footer"/>
      <w:tabs>
        <w:tab w:val="right" w:pos="9638"/>
      </w:tabs>
      <w:rPr>
        <w:b/>
        <w:sz w:val="18"/>
      </w:rPr>
    </w:pPr>
    <w:r>
      <w:tab/>
    </w:r>
    <w:r w:rsidRPr="00893F0C">
      <w:rPr>
        <w:b/>
        <w:sz w:val="18"/>
      </w:rPr>
      <w:fldChar w:fldCharType="begin"/>
    </w:r>
    <w:r w:rsidRPr="00893F0C">
      <w:rPr>
        <w:b/>
        <w:sz w:val="18"/>
      </w:rPr>
      <w:instrText xml:space="preserve"> PAGE  \* MERGEFORMAT </w:instrText>
    </w:r>
    <w:r w:rsidRPr="00893F0C">
      <w:rPr>
        <w:b/>
        <w:sz w:val="18"/>
      </w:rPr>
      <w:fldChar w:fldCharType="separate"/>
    </w:r>
    <w:r w:rsidRPr="00893F0C">
      <w:rPr>
        <w:b/>
        <w:noProof/>
        <w:sz w:val="18"/>
      </w:rPr>
      <w:t>3</w:t>
    </w:r>
    <w:r w:rsidRPr="00893F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D933" w14:textId="77777777" w:rsidR="0035223F" w:rsidRPr="00893F0C" w:rsidRDefault="00686A48">
    <w:pPr>
      <w:pStyle w:val="Footer"/>
      <w:rPr>
        <w:sz w:val="20"/>
      </w:rPr>
    </w:pPr>
    <w:r>
      <w:rPr>
        <w:lang w:val="de-DE" w:eastAsia="de-DE"/>
      </w:rPr>
      <w:drawing>
        <wp:anchor distT="0" distB="0" distL="114300" distR="114300" simplePos="0" relativeHeight="251658240" behindDoc="0" locked="1" layoutInCell="1" allowOverlap="1" wp14:anchorId="5B1F0D02" wp14:editId="5142DFC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F117" w14:textId="77777777" w:rsidR="006D6ED5" w:rsidRPr="000B175B" w:rsidRDefault="006D6ED5" w:rsidP="000B175B">
      <w:pPr>
        <w:tabs>
          <w:tab w:val="right" w:pos="2155"/>
        </w:tabs>
        <w:spacing w:after="80"/>
        <w:ind w:left="680"/>
        <w:rPr>
          <w:u w:val="single"/>
        </w:rPr>
      </w:pPr>
      <w:r>
        <w:rPr>
          <w:u w:val="single"/>
        </w:rPr>
        <w:tab/>
      </w:r>
    </w:p>
  </w:footnote>
  <w:footnote w:type="continuationSeparator" w:id="0">
    <w:p w14:paraId="35BD8D72" w14:textId="77777777" w:rsidR="006D6ED5" w:rsidRPr="00FC68B7" w:rsidRDefault="006D6ED5" w:rsidP="00FC68B7">
      <w:pPr>
        <w:tabs>
          <w:tab w:val="left" w:pos="2155"/>
        </w:tabs>
        <w:spacing w:after="80"/>
        <w:ind w:left="680"/>
        <w:rPr>
          <w:u w:val="single"/>
        </w:rPr>
      </w:pPr>
      <w:r>
        <w:rPr>
          <w:u w:val="single"/>
        </w:rPr>
        <w:tab/>
      </w:r>
    </w:p>
  </w:footnote>
  <w:footnote w:type="continuationNotice" w:id="1">
    <w:p w14:paraId="3ABF29E9" w14:textId="77777777" w:rsidR="006D6ED5" w:rsidRDefault="006D6ED5"/>
  </w:footnote>
  <w:footnote w:id="2">
    <w:p w14:paraId="5772AF4C" w14:textId="535A630A" w:rsidR="00515A4E" w:rsidRPr="00515A4E" w:rsidRDefault="00515A4E" w:rsidP="001B55E4">
      <w:pPr>
        <w:pStyle w:val="FootnoteText"/>
        <w:ind w:firstLine="0"/>
        <w:rPr>
          <w:lang w:val="fr-CH"/>
        </w:rPr>
      </w:pPr>
      <w:r>
        <w:rPr>
          <w:rStyle w:val="FootnoteReference"/>
        </w:rPr>
        <w:footnoteRef/>
      </w:r>
      <w:r>
        <w:t xml:space="preserve"> </w:t>
      </w:r>
      <w:r w:rsidR="001B55E4" w:rsidRPr="00655CB8">
        <w:t>A/77/6 (Sect. 20), table 20.6</w:t>
      </w:r>
    </w:p>
  </w:footnote>
  <w:footnote w:id="3">
    <w:p w14:paraId="6D7CF510" w14:textId="34E7B28B" w:rsidR="001B55E4" w:rsidRPr="001B55E4" w:rsidRDefault="001B55E4" w:rsidP="00701C94">
      <w:pPr>
        <w:pStyle w:val="FootnoteText"/>
        <w:ind w:firstLine="0"/>
        <w:rPr>
          <w:lang w:val="fr-CH"/>
        </w:rPr>
      </w:pPr>
      <w:r>
        <w:rPr>
          <w:rStyle w:val="FootnoteReference"/>
        </w:rPr>
        <w:t>**</w:t>
      </w:r>
      <w:r>
        <w:t xml:space="preserve"> </w:t>
      </w:r>
      <w:r w:rsidR="00701C94">
        <w:rPr>
          <w:szCs w:val="18"/>
        </w:rPr>
        <w:t>Circulated by the Intergovernmental Organisation for International Carriage by Rail (OTIF) under the symbol OTIF/RID/RC/2023/1.</w:t>
      </w:r>
    </w:p>
  </w:footnote>
  <w:footnote w:id="4">
    <w:p w14:paraId="14FA45B3" w14:textId="620D1ACD" w:rsidR="00CB1109" w:rsidRPr="00CB1109" w:rsidRDefault="00CB1109" w:rsidP="00CB1109">
      <w:pPr>
        <w:pStyle w:val="FootnoteText"/>
        <w:widowControl w:val="0"/>
        <w:tabs>
          <w:tab w:val="clear" w:pos="1021"/>
          <w:tab w:val="right" w:pos="1020"/>
        </w:tabs>
        <w:rPr>
          <w:lang w:val="en-US"/>
        </w:rPr>
      </w:pPr>
      <w:r>
        <w:tab/>
      </w:r>
      <w:r>
        <w:rPr>
          <w:rStyle w:val="FootnoteReference"/>
        </w:rPr>
        <w:footnoteRef/>
      </w:r>
      <w:r>
        <w:tab/>
      </w:r>
      <w:r w:rsidR="006F3440">
        <w:t xml:space="preserve">Marginal 2201 in ADR </w:t>
      </w:r>
      <w:r w:rsidR="007815DD">
        <w:t xml:space="preserve">1993 </w:t>
      </w:r>
      <w:r w:rsidR="00846B6E">
        <w:t>corresponded</w:t>
      </w:r>
      <w:r w:rsidR="006F3440">
        <w:t xml:space="preserve"> to marginal 201 in </w:t>
      </w:r>
      <w:r w:rsidR="00846B6E">
        <w:t>RID</w:t>
      </w:r>
      <w:r w:rsidR="00945ADF">
        <w:t xml:space="preserve"> 1993</w:t>
      </w:r>
      <w:r w:rsidR="00846B6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A05E" w14:textId="751CEB49" w:rsidR="00893F0C" w:rsidRPr="00893F0C" w:rsidRDefault="006D6ED5">
    <w:pPr>
      <w:pStyle w:val="Header"/>
    </w:pPr>
    <w:fldSimple w:instr=" TITLE  \* MERGEFORMAT ">
      <w:r w:rsidR="001070E4">
        <w:t>ECE/TRANS/WP.15/AC.1/2023/1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A711" w14:textId="210D70C8" w:rsidR="00893F0C" w:rsidRPr="00893F0C" w:rsidRDefault="006D6ED5" w:rsidP="00893F0C">
    <w:pPr>
      <w:pStyle w:val="Header"/>
      <w:jc w:val="right"/>
    </w:pPr>
    <w:fldSimple w:instr=" TITLE  \* MERGEFORMAT ">
      <w:r w:rsidR="001070E4">
        <w:t>ECE/TRANS/WP.15/AC.1/2023/1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98057022">
    <w:abstractNumId w:val="1"/>
  </w:num>
  <w:num w:numId="2" w16cid:durableId="1644384896">
    <w:abstractNumId w:val="0"/>
  </w:num>
  <w:num w:numId="3" w16cid:durableId="1143962362">
    <w:abstractNumId w:val="2"/>
  </w:num>
  <w:num w:numId="4" w16cid:durableId="649793520">
    <w:abstractNumId w:val="3"/>
  </w:num>
  <w:num w:numId="5" w16cid:durableId="727996644">
    <w:abstractNumId w:val="8"/>
  </w:num>
  <w:num w:numId="6" w16cid:durableId="1931888032">
    <w:abstractNumId w:val="9"/>
  </w:num>
  <w:num w:numId="7" w16cid:durableId="1187793584">
    <w:abstractNumId w:val="7"/>
  </w:num>
  <w:num w:numId="8" w16cid:durableId="176891098">
    <w:abstractNumId w:val="6"/>
  </w:num>
  <w:num w:numId="9" w16cid:durableId="1795244440">
    <w:abstractNumId w:val="5"/>
  </w:num>
  <w:num w:numId="10" w16cid:durableId="373966564">
    <w:abstractNumId w:val="4"/>
  </w:num>
  <w:num w:numId="11" w16cid:durableId="1378503472">
    <w:abstractNumId w:val="15"/>
  </w:num>
  <w:num w:numId="12" w16cid:durableId="843863414">
    <w:abstractNumId w:val="14"/>
  </w:num>
  <w:num w:numId="13" w16cid:durableId="1256522334">
    <w:abstractNumId w:val="10"/>
  </w:num>
  <w:num w:numId="14" w16cid:durableId="1811361425">
    <w:abstractNumId w:val="12"/>
  </w:num>
  <w:num w:numId="15" w16cid:durableId="597564939">
    <w:abstractNumId w:val="16"/>
  </w:num>
  <w:num w:numId="16" w16cid:durableId="1169322048">
    <w:abstractNumId w:val="13"/>
  </w:num>
  <w:num w:numId="17" w16cid:durableId="77555090">
    <w:abstractNumId w:val="17"/>
  </w:num>
  <w:num w:numId="18" w16cid:durableId="1492789740">
    <w:abstractNumId w:val="18"/>
  </w:num>
  <w:num w:numId="19" w16cid:durableId="62069935">
    <w:abstractNumId w:val="11"/>
  </w:num>
  <w:num w:numId="20" w16cid:durableId="76037100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F0C"/>
    <w:rsid w:val="00002A7D"/>
    <w:rsid w:val="000038A8"/>
    <w:rsid w:val="00006790"/>
    <w:rsid w:val="00016D19"/>
    <w:rsid w:val="00023121"/>
    <w:rsid w:val="000231DA"/>
    <w:rsid w:val="00027624"/>
    <w:rsid w:val="00033D2B"/>
    <w:rsid w:val="000369AB"/>
    <w:rsid w:val="00046BDB"/>
    <w:rsid w:val="00050F6B"/>
    <w:rsid w:val="000560A5"/>
    <w:rsid w:val="00060817"/>
    <w:rsid w:val="0006106B"/>
    <w:rsid w:val="000678CD"/>
    <w:rsid w:val="000715A1"/>
    <w:rsid w:val="00072C8C"/>
    <w:rsid w:val="00073998"/>
    <w:rsid w:val="00081CE0"/>
    <w:rsid w:val="00084D30"/>
    <w:rsid w:val="00090320"/>
    <w:rsid w:val="000931C0"/>
    <w:rsid w:val="00096BF1"/>
    <w:rsid w:val="0009732C"/>
    <w:rsid w:val="000A01F9"/>
    <w:rsid w:val="000A2590"/>
    <w:rsid w:val="000A2E09"/>
    <w:rsid w:val="000B175B"/>
    <w:rsid w:val="000B3A0F"/>
    <w:rsid w:val="000C2064"/>
    <w:rsid w:val="000D15D7"/>
    <w:rsid w:val="000D6EB4"/>
    <w:rsid w:val="000E0415"/>
    <w:rsid w:val="000E3F17"/>
    <w:rsid w:val="000F13A8"/>
    <w:rsid w:val="000F29B1"/>
    <w:rsid w:val="000F7715"/>
    <w:rsid w:val="001070E4"/>
    <w:rsid w:val="00116769"/>
    <w:rsid w:val="001265C8"/>
    <w:rsid w:val="0012669D"/>
    <w:rsid w:val="001413A3"/>
    <w:rsid w:val="00141D20"/>
    <w:rsid w:val="00141F83"/>
    <w:rsid w:val="0015031F"/>
    <w:rsid w:val="00155D68"/>
    <w:rsid w:val="00156449"/>
    <w:rsid w:val="00156B99"/>
    <w:rsid w:val="00166124"/>
    <w:rsid w:val="00176312"/>
    <w:rsid w:val="0017640E"/>
    <w:rsid w:val="00184DDA"/>
    <w:rsid w:val="00186312"/>
    <w:rsid w:val="001900CD"/>
    <w:rsid w:val="00191944"/>
    <w:rsid w:val="001A0452"/>
    <w:rsid w:val="001A3109"/>
    <w:rsid w:val="001B1604"/>
    <w:rsid w:val="001B1AC5"/>
    <w:rsid w:val="001B4B04"/>
    <w:rsid w:val="001B55E4"/>
    <w:rsid w:val="001B5682"/>
    <w:rsid w:val="001B5875"/>
    <w:rsid w:val="001C4B9C"/>
    <w:rsid w:val="001C6663"/>
    <w:rsid w:val="001C7895"/>
    <w:rsid w:val="001D26DF"/>
    <w:rsid w:val="001E5BDD"/>
    <w:rsid w:val="001F0EC6"/>
    <w:rsid w:val="001F1599"/>
    <w:rsid w:val="001F19C4"/>
    <w:rsid w:val="002043F0"/>
    <w:rsid w:val="002105EC"/>
    <w:rsid w:val="00211E0B"/>
    <w:rsid w:val="002123AD"/>
    <w:rsid w:val="00213598"/>
    <w:rsid w:val="00220669"/>
    <w:rsid w:val="0022685A"/>
    <w:rsid w:val="002268A0"/>
    <w:rsid w:val="00226D2F"/>
    <w:rsid w:val="00226F4E"/>
    <w:rsid w:val="00230A0C"/>
    <w:rsid w:val="00232575"/>
    <w:rsid w:val="0023277C"/>
    <w:rsid w:val="00244321"/>
    <w:rsid w:val="00247258"/>
    <w:rsid w:val="0025110C"/>
    <w:rsid w:val="00257CAC"/>
    <w:rsid w:val="00263F41"/>
    <w:rsid w:val="00264441"/>
    <w:rsid w:val="0027237A"/>
    <w:rsid w:val="00287448"/>
    <w:rsid w:val="002918D2"/>
    <w:rsid w:val="002974E9"/>
    <w:rsid w:val="002A546A"/>
    <w:rsid w:val="002A7F94"/>
    <w:rsid w:val="002B109A"/>
    <w:rsid w:val="002B2A73"/>
    <w:rsid w:val="002B3011"/>
    <w:rsid w:val="002B4552"/>
    <w:rsid w:val="002C41E7"/>
    <w:rsid w:val="002C461E"/>
    <w:rsid w:val="002C4BA9"/>
    <w:rsid w:val="002C6D45"/>
    <w:rsid w:val="002D6C44"/>
    <w:rsid w:val="002D6E53"/>
    <w:rsid w:val="002D7654"/>
    <w:rsid w:val="002E1365"/>
    <w:rsid w:val="002E15F7"/>
    <w:rsid w:val="002E2244"/>
    <w:rsid w:val="002E47D5"/>
    <w:rsid w:val="002F046D"/>
    <w:rsid w:val="002F1E90"/>
    <w:rsid w:val="002F3023"/>
    <w:rsid w:val="003008F8"/>
    <w:rsid w:val="0030119B"/>
    <w:rsid w:val="00301764"/>
    <w:rsid w:val="00321732"/>
    <w:rsid w:val="003229D8"/>
    <w:rsid w:val="00336C97"/>
    <w:rsid w:val="00337F88"/>
    <w:rsid w:val="00342432"/>
    <w:rsid w:val="003425A6"/>
    <w:rsid w:val="00342731"/>
    <w:rsid w:val="0034761F"/>
    <w:rsid w:val="0035223F"/>
    <w:rsid w:val="00352D4B"/>
    <w:rsid w:val="00354BFA"/>
    <w:rsid w:val="0035638C"/>
    <w:rsid w:val="003634E0"/>
    <w:rsid w:val="00365F68"/>
    <w:rsid w:val="003755E9"/>
    <w:rsid w:val="00391695"/>
    <w:rsid w:val="00391A19"/>
    <w:rsid w:val="00392CD8"/>
    <w:rsid w:val="00396A36"/>
    <w:rsid w:val="003A381C"/>
    <w:rsid w:val="003A46BB"/>
    <w:rsid w:val="003A4EC7"/>
    <w:rsid w:val="003A7295"/>
    <w:rsid w:val="003A78DF"/>
    <w:rsid w:val="003B0EAE"/>
    <w:rsid w:val="003B1F60"/>
    <w:rsid w:val="003B52D4"/>
    <w:rsid w:val="003B55D0"/>
    <w:rsid w:val="003C0513"/>
    <w:rsid w:val="003C2CC4"/>
    <w:rsid w:val="003C3A69"/>
    <w:rsid w:val="003C6040"/>
    <w:rsid w:val="003D4952"/>
    <w:rsid w:val="003D4B23"/>
    <w:rsid w:val="003E1F3B"/>
    <w:rsid w:val="003E278A"/>
    <w:rsid w:val="003E39F4"/>
    <w:rsid w:val="003E7F24"/>
    <w:rsid w:val="00401E6A"/>
    <w:rsid w:val="00402948"/>
    <w:rsid w:val="00404759"/>
    <w:rsid w:val="00404807"/>
    <w:rsid w:val="00413520"/>
    <w:rsid w:val="004160CC"/>
    <w:rsid w:val="004169CF"/>
    <w:rsid w:val="004217FE"/>
    <w:rsid w:val="0042441C"/>
    <w:rsid w:val="00430305"/>
    <w:rsid w:val="004325CB"/>
    <w:rsid w:val="004326C3"/>
    <w:rsid w:val="00440A07"/>
    <w:rsid w:val="00451614"/>
    <w:rsid w:val="004531AA"/>
    <w:rsid w:val="00462880"/>
    <w:rsid w:val="00474D57"/>
    <w:rsid w:val="00476F24"/>
    <w:rsid w:val="00492EFE"/>
    <w:rsid w:val="00496CD3"/>
    <w:rsid w:val="004A01C7"/>
    <w:rsid w:val="004B558A"/>
    <w:rsid w:val="004C0970"/>
    <w:rsid w:val="004C42F0"/>
    <w:rsid w:val="004C55B0"/>
    <w:rsid w:val="004D54AC"/>
    <w:rsid w:val="004F6BA0"/>
    <w:rsid w:val="0050069E"/>
    <w:rsid w:val="00503BEA"/>
    <w:rsid w:val="00511318"/>
    <w:rsid w:val="00515A4E"/>
    <w:rsid w:val="00517B2E"/>
    <w:rsid w:val="005215E4"/>
    <w:rsid w:val="00522D56"/>
    <w:rsid w:val="00532165"/>
    <w:rsid w:val="00533616"/>
    <w:rsid w:val="00535ABA"/>
    <w:rsid w:val="00536B5E"/>
    <w:rsid w:val="0053768B"/>
    <w:rsid w:val="005420F2"/>
    <w:rsid w:val="0054285C"/>
    <w:rsid w:val="00544213"/>
    <w:rsid w:val="00564191"/>
    <w:rsid w:val="00584173"/>
    <w:rsid w:val="00584FB7"/>
    <w:rsid w:val="00585D3D"/>
    <w:rsid w:val="00595520"/>
    <w:rsid w:val="005A44B9"/>
    <w:rsid w:val="005A56A4"/>
    <w:rsid w:val="005B1BA0"/>
    <w:rsid w:val="005B3DB3"/>
    <w:rsid w:val="005B4D7C"/>
    <w:rsid w:val="005B4F4B"/>
    <w:rsid w:val="005B50E6"/>
    <w:rsid w:val="005C363D"/>
    <w:rsid w:val="005D15CA"/>
    <w:rsid w:val="005D18E3"/>
    <w:rsid w:val="005D2BA1"/>
    <w:rsid w:val="005D7965"/>
    <w:rsid w:val="005D7969"/>
    <w:rsid w:val="005F08DF"/>
    <w:rsid w:val="005F3066"/>
    <w:rsid w:val="005F3E61"/>
    <w:rsid w:val="005F436C"/>
    <w:rsid w:val="005F7779"/>
    <w:rsid w:val="00600810"/>
    <w:rsid w:val="00604DDD"/>
    <w:rsid w:val="006115CC"/>
    <w:rsid w:val="00611FC4"/>
    <w:rsid w:val="006176FB"/>
    <w:rsid w:val="00630FCB"/>
    <w:rsid w:val="006317BC"/>
    <w:rsid w:val="006364CA"/>
    <w:rsid w:val="00640B26"/>
    <w:rsid w:val="0065038F"/>
    <w:rsid w:val="0065766B"/>
    <w:rsid w:val="006770B2"/>
    <w:rsid w:val="00686A48"/>
    <w:rsid w:val="006921EF"/>
    <w:rsid w:val="006940E1"/>
    <w:rsid w:val="006A3C72"/>
    <w:rsid w:val="006A7392"/>
    <w:rsid w:val="006A7CEB"/>
    <w:rsid w:val="006B03A1"/>
    <w:rsid w:val="006B67D9"/>
    <w:rsid w:val="006C5535"/>
    <w:rsid w:val="006D0589"/>
    <w:rsid w:val="006D690E"/>
    <w:rsid w:val="006D6ED5"/>
    <w:rsid w:val="006D7450"/>
    <w:rsid w:val="006D7AEB"/>
    <w:rsid w:val="006E01A9"/>
    <w:rsid w:val="006E32AE"/>
    <w:rsid w:val="006E3AFD"/>
    <w:rsid w:val="006E564B"/>
    <w:rsid w:val="006E6101"/>
    <w:rsid w:val="006E7154"/>
    <w:rsid w:val="006F0279"/>
    <w:rsid w:val="006F3440"/>
    <w:rsid w:val="006F4022"/>
    <w:rsid w:val="007003CD"/>
    <w:rsid w:val="007014B4"/>
    <w:rsid w:val="00701C94"/>
    <w:rsid w:val="00702990"/>
    <w:rsid w:val="0070701E"/>
    <w:rsid w:val="00713785"/>
    <w:rsid w:val="0072632A"/>
    <w:rsid w:val="007272E3"/>
    <w:rsid w:val="007358E8"/>
    <w:rsid w:val="00736ECE"/>
    <w:rsid w:val="00737CF2"/>
    <w:rsid w:val="00737FE4"/>
    <w:rsid w:val="00740C97"/>
    <w:rsid w:val="007422B4"/>
    <w:rsid w:val="0074307C"/>
    <w:rsid w:val="0074533B"/>
    <w:rsid w:val="00751634"/>
    <w:rsid w:val="00762B49"/>
    <w:rsid w:val="007643BC"/>
    <w:rsid w:val="00766227"/>
    <w:rsid w:val="00775BED"/>
    <w:rsid w:val="00780C68"/>
    <w:rsid w:val="007815DD"/>
    <w:rsid w:val="007953C6"/>
    <w:rsid w:val="007959FE"/>
    <w:rsid w:val="007A094B"/>
    <w:rsid w:val="007A0CF1"/>
    <w:rsid w:val="007A478E"/>
    <w:rsid w:val="007B3E73"/>
    <w:rsid w:val="007B6BA5"/>
    <w:rsid w:val="007C3390"/>
    <w:rsid w:val="007C42D8"/>
    <w:rsid w:val="007C4F4B"/>
    <w:rsid w:val="007C51F6"/>
    <w:rsid w:val="007D1C7A"/>
    <w:rsid w:val="007D2700"/>
    <w:rsid w:val="007D6998"/>
    <w:rsid w:val="007D7362"/>
    <w:rsid w:val="007F5CE2"/>
    <w:rsid w:val="007F6611"/>
    <w:rsid w:val="007F71BC"/>
    <w:rsid w:val="00800522"/>
    <w:rsid w:val="00804CCA"/>
    <w:rsid w:val="00805AE3"/>
    <w:rsid w:val="00810BAC"/>
    <w:rsid w:val="008175E9"/>
    <w:rsid w:val="00821A00"/>
    <w:rsid w:val="008242D7"/>
    <w:rsid w:val="0082577B"/>
    <w:rsid w:val="008272DD"/>
    <w:rsid w:val="00830EC8"/>
    <w:rsid w:val="00842AE0"/>
    <w:rsid w:val="00846877"/>
    <w:rsid w:val="00846B6E"/>
    <w:rsid w:val="00866893"/>
    <w:rsid w:val="00866F02"/>
    <w:rsid w:val="00867D18"/>
    <w:rsid w:val="00871F9A"/>
    <w:rsid w:val="00871FD5"/>
    <w:rsid w:val="0088172E"/>
    <w:rsid w:val="00881EFA"/>
    <w:rsid w:val="008879CB"/>
    <w:rsid w:val="00892DEF"/>
    <w:rsid w:val="00893F0C"/>
    <w:rsid w:val="008979B1"/>
    <w:rsid w:val="008A3D92"/>
    <w:rsid w:val="008A6B25"/>
    <w:rsid w:val="008A6C4F"/>
    <w:rsid w:val="008A764A"/>
    <w:rsid w:val="008A77AE"/>
    <w:rsid w:val="008B05F2"/>
    <w:rsid w:val="008B389E"/>
    <w:rsid w:val="008C6641"/>
    <w:rsid w:val="008D045E"/>
    <w:rsid w:val="008D3F25"/>
    <w:rsid w:val="008D4D82"/>
    <w:rsid w:val="008D5941"/>
    <w:rsid w:val="008D60AE"/>
    <w:rsid w:val="008D789A"/>
    <w:rsid w:val="008E0E46"/>
    <w:rsid w:val="008E4100"/>
    <w:rsid w:val="008E6106"/>
    <w:rsid w:val="008E6E02"/>
    <w:rsid w:val="008E7116"/>
    <w:rsid w:val="008E77FD"/>
    <w:rsid w:val="008E7F89"/>
    <w:rsid w:val="008F143B"/>
    <w:rsid w:val="008F3882"/>
    <w:rsid w:val="008F4B7C"/>
    <w:rsid w:val="008F75AF"/>
    <w:rsid w:val="008F788D"/>
    <w:rsid w:val="0092639A"/>
    <w:rsid w:val="00926E47"/>
    <w:rsid w:val="00945256"/>
    <w:rsid w:val="00945ADF"/>
    <w:rsid w:val="00947162"/>
    <w:rsid w:val="009511BE"/>
    <w:rsid w:val="009549FD"/>
    <w:rsid w:val="009610D0"/>
    <w:rsid w:val="0096375C"/>
    <w:rsid w:val="00963982"/>
    <w:rsid w:val="009662E6"/>
    <w:rsid w:val="00966365"/>
    <w:rsid w:val="00967287"/>
    <w:rsid w:val="00967341"/>
    <w:rsid w:val="009676D5"/>
    <w:rsid w:val="009703DF"/>
    <w:rsid w:val="0097095E"/>
    <w:rsid w:val="00970E05"/>
    <w:rsid w:val="00972CF3"/>
    <w:rsid w:val="00982931"/>
    <w:rsid w:val="009839BD"/>
    <w:rsid w:val="0098565E"/>
    <w:rsid w:val="0098592B"/>
    <w:rsid w:val="00985FC4"/>
    <w:rsid w:val="00990766"/>
    <w:rsid w:val="00991261"/>
    <w:rsid w:val="009964C4"/>
    <w:rsid w:val="009A7B81"/>
    <w:rsid w:val="009B0E15"/>
    <w:rsid w:val="009B17BB"/>
    <w:rsid w:val="009B444E"/>
    <w:rsid w:val="009B5288"/>
    <w:rsid w:val="009C1424"/>
    <w:rsid w:val="009C295B"/>
    <w:rsid w:val="009C6302"/>
    <w:rsid w:val="009C7EAB"/>
    <w:rsid w:val="009D01C0"/>
    <w:rsid w:val="009D0C8C"/>
    <w:rsid w:val="009D4A4E"/>
    <w:rsid w:val="009D6A08"/>
    <w:rsid w:val="009E0A16"/>
    <w:rsid w:val="009E6CB7"/>
    <w:rsid w:val="009E7970"/>
    <w:rsid w:val="009F2241"/>
    <w:rsid w:val="009F2EAC"/>
    <w:rsid w:val="009F57E3"/>
    <w:rsid w:val="009F5BB6"/>
    <w:rsid w:val="009F70E3"/>
    <w:rsid w:val="00A10F4F"/>
    <w:rsid w:val="00A11067"/>
    <w:rsid w:val="00A14F47"/>
    <w:rsid w:val="00A1704A"/>
    <w:rsid w:val="00A34178"/>
    <w:rsid w:val="00A34A00"/>
    <w:rsid w:val="00A425EB"/>
    <w:rsid w:val="00A46CED"/>
    <w:rsid w:val="00A52CF9"/>
    <w:rsid w:val="00A61778"/>
    <w:rsid w:val="00A62FBB"/>
    <w:rsid w:val="00A67132"/>
    <w:rsid w:val="00A72F22"/>
    <w:rsid w:val="00A733BC"/>
    <w:rsid w:val="00A7438D"/>
    <w:rsid w:val="00A748A6"/>
    <w:rsid w:val="00A76A69"/>
    <w:rsid w:val="00A879A4"/>
    <w:rsid w:val="00A96E5C"/>
    <w:rsid w:val="00A97E00"/>
    <w:rsid w:val="00AA0FF8"/>
    <w:rsid w:val="00AA2C4A"/>
    <w:rsid w:val="00AA7F55"/>
    <w:rsid w:val="00AB1480"/>
    <w:rsid w:val="00AC0309"/>
    <w:rsid w:val="00AC0F2C"/>
    <w:rsid w:val="00AC2458"/>
    <w:rsid w:val="00AC2A56"/>
    <w:rsid w:val="00AC502A"/>
    <w:rsid w:val="00AF257D"/>
    <w:rsid w:val="00AF5747"/>
    <w:rsid w:val="00AF58C1"/>
    <w:rsid w:val="00AF6EC5"/>
    <w:rsid w:val="00B04A3F"/>
    <w:rsid w:val="00B06643"/>
    <w:rsid w:val="00B10F8C"/>
    <w:rsid w:val="00B15055"/>
    <w:rsid w:val="00B153D5"/>
    <w:rsid w:val="00B17090"/>
    <w:rsid w:val="00B20551"/>
    <w:rsid w:val="00B250A1"/>
    <w:rsid w:val="00B2787C"/>
    <w:rsid w:val="00B30179"/>
    <w:rsid w:val="00B328C9"/>
    <w:rsid w:val="00B33FC7"/>
    <w:rsid w:val="00B3788D"/>
    <w:rsid w:val="00B37B15"/>
    <w:rsid w:val="00B45C02"/>
    <w:rsid w:val="00B528C3"/>
    <w:rsid w:val="00B53B73"/>
    <w:rsid w:val="00B65848"/>
    <w:rsid w:val="00B6594D"/>
    <w:rsid w:val="00B70B63"/>
    <w:rsid w:val="00B72A1E"/>
    <w:rsid w:val="00B81E12"/>
    <w:rsid w:val="00B9043F"/>
    <w:rsid w:val="00B911F6"/>
    <w:rsid w:val="00B92B8B"/>
    <w:rsid w:val="00B9714C"/>
    <w:rsid w:val="00BA0D73"/>
    <w:rsid w:val="00BA339B"/>
    <w:rsid w:val="00BB23CC"/>
    <w:rsid w:val="00BB6D72"/>
    <w:rsid w:val="00BC0583"/>
    <w:rsid w:val="00BC0E4C"/>
    <w:rsid w:val="00BC1E7E"/>
    <w:rsid w:val="00BC3282"/>
    <w:rsid w:val="00BC33EA"/>
    <w:rsid w:val="00BC3C8D"/>
    <w:rsid w:val="00BC74E9"/>
    <w:rsid w:val="00BE0F02"/>
    <w:rsid w:val="00BE36A9"/>
    <w:rsid w:val="00BE618E"/>
    <w:rsid w:val="00BE7BEC"/>
    <w:rsid w:val="00BF0A5A"/>
    <w:rsid w:val="00BF0E63"/>
    <w:rsid w:val="00BF12A3"/>
    <w:rsid w:val="00BF16D7"/>
    <w:rsid w:val="00BF2373"/>
    <w:rsid w:val="00BF78EF"/>
    <w:rsid w:val="00C0294F"/>
    <w:rsid w:val="00C044E2"/>
    <w:rsid w:val="00C048CB"/>
    <w:rsid w:val="00C05CC0"/>
    <w:rsid w:val="00C066F3"/>
    <w:rsid w:val="00C116B1"/>
    <w:rsid w:val="00C122CC"/>
    <w:rsid w:val="00C15B7E"/>
    <w:rsid w:val="00C1772E"/>
    <w:rsid w:val="00C22EAD"/>
    <w:rsid w:val="00C408B7"/>
    <w:rsid w:val="00C411EB"/>
    <w:rsid w:val="00C431A3"/>
    <w:rsid w:val="00C45D95"/>
    <w:rsid w:val="00C463DD"/>
    <w:rsid w:val="00C54CA6"/>
    <w:rsid w:val="00C55155"/>
    <w:rsid w:val="00C64627"/>
    <w:rsid w:val="00C745C3"/>
    <w:rsid w:val="00C82F00"/>
    <w:rsid w:val="00C9044C"/>
    <w:rsid w:val="00C91013"/>
    <w:rsid w:val="00C910DC"/>
    <w:rsid w:val="00C9338C"/>
    <w:rsid w:val="00C978F5"/>
    <w:rsid w:val="00CA185C"/>
    <w:rsid w:val="00CA24A4"/>
    <w:rsid w:val="00CB1109"/>
    <w:rsid w:val="00CB3028"/>
    <w:rsid w:val="00CB348D"/>
    <w:rsid w:val="00CB3E6C"/>
    <w:rsid w:val="00CD46F5"/>
    <w:rsid w:val="00CD664C"/>
    <w:rsid w:val="00CE16C6"/>
    <w:rsid w:val="00CE4A8F"/>
    <w:rsid w:val="00CE78F6"/>
    <w:rsid w:val="00CF071D"/>
    <w:rsid w:val="00CF1BC7"/>
    <w:rsid w:val="00D00466"/>
    <w:rsid w:val="00D0123D"/>
    <w:rsid w:val="00D10362"/>
    <w:rsid w:val="00D1079E"/>
    <w:rsid w:val="00D12A81"/>
    <w:rsid w:val="00D159A4"/>
    <w:rsid w:val="00D15B04"/>
    <w:rsid w:val="00D2031B"/>
    <w:rsid w:val="00D212E1"/>
    <w:rsid w:val="00D22867"/>
    <w:rsid w:val="00D236AA"/>
    <w:rsid w:val="00D25FE2"/>
    <w:rsid w:val="00D27849"/>
    <w:rsid w:val="00D349F5"/>
    <w:rsid w:val="00D368BE"/>
    <w:rsid w:val="00D377E5"/>
    <w:rsid w:val="00D37DA9"/>
    <w:rsid w:val="00D406A7"/>
    <w:rsid w:val="00D40765"/>
    <w:rsid w:val="00D43252"/>
    <w:rsid w:val="00D43763"/>
    <w:rsid w:val="00D44D86"/>
    <w:rsid w:val="00D50B7D"/>
    <w:rsid w:val="00D52012"/>
    <w:rsid w:val="00D53BA8"/>
    <w:rsid w:val="00D66BFF"/>
    <w:rsid w:val="00D671D8"/>
    <w:rsid w:val="00D704E5"/>
    <w:rsid w:val="00D72641"/>
    <w:rsid w:val="00D72727"/>
    <w:rsid w:val="00D820A2"/>
    <w:rsid w:val="00D90732"/>
    <w:rsid w:val="00D92D43"/>
    <w:rsid w:val="00D978C6"/>
    <w:rsid w:val="00DA07FF"/>
    <w:rsid w:val="00DA0956"/>
    <w:rsid w:val="00DA0BB1"/>
    <w:rsid w:val="00DA357F"/>
    <w:rsid w:val="00DA3E12"/>
    <w:rsid w:val="00DA5D3A"/>
    <w:rsid w:val="00DB1794"/>
    <w:rsid w:val="00DB3C05"/>
    <w:rsid w:val="00DC18AD"/>
    <w:rsid w:val="00DC28AC"/>
    <w:rsid w:val="00DF7CAE"/>
    <w:rsid w:val="00E04A4A"/>
    <w:rsid w:val="00E05DB5"/>
    <w:rsid w:val="00E202BB"/>
    <w:rsid w:val="00E25E61"/>
    <w:rsid w:val="00E27104"/>
    <w:rsid w:val="00E3524E"/>
    <w:rsid w:val="00E362C0"/>
    <w:rsid w:val="00E423C0"/>
    <w:rsid w:val="00E43F92"/>
    <w:rsid w:val="00E500AE"/>
    <w:rsid w:val="00E568D0"/>
    <w:rsid w:val="00E63433"/>
    <w:rsid w:val="00E6414C"/>
    <w:rsid w:val="00E6521A"/>
    <w:rsid w:val="00E7260F"/>
    <w:rsid w:val="00E75B27"/>
    <w:rsid w:val="00E8702D"/>
    <w:rsid w:val="00E905F4"/>
    <w:rsid w:val="00E916A9"/>
    <w:rsid w:val="00E916DE"/>
    <w:rsid w:val="00E925AD"/>
    <w:rsid w:val="00E954D4"/>
    <w:rsid w:val="00E9579C"/>
    <w:rsid w:val="00E96630"/>
    <w:rsid w:val="00EA5607"/>
    <w:rsid w:val="00EA695C"/>
    <w:rsid w:val="00EB27D6"/>
    <w:rsid w:val="00EB72DA"/>
    <w:rsid w:val="00EC615F"/>
    <w:rsid w:val="00EC7CD8"/>
    <w:rsid w:val="00ED18DC"/>
    <w:rsid w:val="00ED2D9C"/>
    <w:rsid w:val="00ED3A0E"/>
    <w:rsid w:val="00ED6201"/>
    <w:rsid w:val="00ED7A2A"/>
    <w:rsid w:val="00EF1D7F"/>
    <w:rsid w:val="00EF29FB"/>
    <w:rsid w:val="00EF4BC9"/>
    <w:rsid w:val="00F0137E"/>
    <w:rsid w:val="00F16A3C"/>
    <w:rsid w:val="00F21786"/>
    <w:rsid w:val="00F26D4E"/>
    <w:rsid w:val="00F3123E"/>
    <w:rsid w:val="00F33CF4"/>
    <w:rsid w:val="00F3742B"/>
    <w:rsid w:val="00F41FDB"/>
    <w:rsid w:val="00F453E9"/>
    <w:rsid w:val="00F50596"/>
    <w:rsid w:val="00F56D63"/>
    <w:rsid w:val="00F609A9"/>
    <w:rsid w:val="00F714EF"/>
    <w:rsid w:val="00F77414"/>
    <w:rsid w:val="00F80C99"/>
    <w:rsid w:val="00F828ED"/>
    <w:rsid w:val="00F867EC"/>
    <w:rsid w:val="00F91B2B"/>
    <w:rsid w:val="00F943BD"/>
    <w:rsid w:val="00FA71A5"/>
    <w:rsid w:val="00FB643F"/>
    <w:rsid w:val="00FB77A1"/>
    <w:rsid w:val="00FC03CD"/>
    <w:rsid w:val="00FC0646"/>
    <w:rsid w:val="00FC444D"/>
    <w:rsid w:val="00FC68B7"/>
    <w:rsid w:val="00FD68E1"/>
    <w:rsid w:val="00FE07CD"/>
    <w:rsid w:val="00FE37F3"/>
    <w:rsid w:val="00FE6147"/>
    <w:rsid w:val="00FE669A"/>
    <w:rsid w:val="00FE6985"/>
    <w:rsid w:val="00FF3D9A"/>
    <w:rsid w:val="00FF4A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66064"/>
  <w15:docId w15:val="{334975B1-FB73-49E4-8019-E6AAE755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qFormat/>
    <w:rsid w:val="00893F0C"/>
    <w:rPr>
      <w:b/>
      <w:sz w:val="28"/>
      <w:lang w:val="en-GB"/>
    </w:rPr>
  </w:style>
  <w:style w:type="character" w:customStyle="1" w:styleId="SingleTxtGCar">
    <w:name w:val="_ Single Txt_G Car"/>
    <w:rsid w:val="00893F0C"/>
    <w:rPr>
      <w:lang w:val="en-GB" w:eastAsia="en-US"/>
    </w:rPr>
  </w:style>
  <w:style w:type="character" w:customStyle="1" w:styleId="H1GChar">
    <w:name w:val="_ H_1_G Char"/>
    <w:link w:val="H1G"/>
    <w:rsid w:val="00893F0C"/>
    <w:rPr>
      <w:b/>
      <w:sz w:val="24"/>
      <w:lang w:val="en-GB"/>
    </w:rPr>
  </w:style>
  <w:style w:type="character" w:styleId="CommentReference">
    <w:name w:val="annotation reference"/>
    <w:basedOn w:val="DefaultParagraphFont"/>
    <w:semiHidden/>
    <w:unhideWhenUsed/>
    <w:rsid w:val="005D2BA1"/>
    <w:rPr>
      <w:sz w:val="16"/>
      <w:szCs w:val="16"/>
    </w:rPr>
  </w:style>
  <w:style w:type="paragraph" w:styleId="CommentText">
    <w:name w:val="annotation text"/>
    <w:basedOn w:val="Normal"/>
    <w:link w:val="CommentTextChar"/>
    <w:semiHidden/>
    <w:unhideWhenUsed/>
    <w:rsid w:val="005D2BA1"/>
    <w:pPr>
      <w:spacing w:line="240" w:lineRule="auto"/>
    </w:pPr>
  </w:style>
  <w:style w:type="character" w:customStyle="1" w:styleId="CommentTextChar">
    <w:name w:val="Comment Text Char"/>
    <w:basedOn w:val="DefaultParagraphFont"/>
    <w:link w:val="CommentText"/>
    <w:semiHidden/>
    <w:rsid w:val="005D2BA1"/>
    <w:rPr>
      <w:lang w:val="en-GB"/>
    </w:rPr>
  </w:style>
  <w:style w:type="paragraph" w:styleId="CommentSubject">
    <w:name w:val="annotation subject"/>
    <w:basedOn w:val="CommentText"/>
    <w:next w:val="CommentText"/>
    <w:link w:val="CommentSubjectChar"/>
    <w:semiHidden/>
    <w:unhideWhenUsed/>
    <w:rsid w:val="005D2BA1"/>
    <w:rPr>
      <w:b/>
      <w:bCs/>
    </w:rPr>
  </w:style>
  <w:style w:type="character" w:customStyle="1" w:styleId="CommentSubjectChar">
    <w:name w:val="Comment Subject Char"/>
    <w:basedOn w:val="CommentTextChar"/>
    <w:link w:val="CommentSubject"/>
    <w:semiHidden/>
    <w:rsid w:val="005D2BA1"/>
    <w:rPr>
      <w:b/>
      <w:bCs/>
      <w:lang w:val="en-GB"/>
    </w:rPr>
  </w:style>
  <w:style w:type="character" w:customStyle="1" w:styleId="FootnoteTextChar">
    <w:name w:val="Footnote Text Char"/>
    <w:aliases w:val="5_G Char"/>
    <w:basedOn w:val="DefaultParagraphFont"/>
    <w:link w:val="FootnoteText"/>
    <w:rsid w:val="00C431A3"/>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45F44-957A-4EE9-A0E2-6E3EABE2B45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8E509D6-0394-495F-B27E-3A47C97F08F8}">
  <ds:schemaRefs>
    <ds:schemaRef ds:uri="http://schemas.microsoft.com/sharepoint/v3/contenttype/forms"/>
  </ds:schemaRefs>
</ds:datastoreItem>
</file>

<file path=customXml/itemProps4.xml><?xml version="1.0" encoding="utf-8"?>
<ds:datastoreItem xmlns:ds="http://schemas.openxmlformats.org/officeDocument/2006/customXml" ds:itemID="{D10214D7-128B-471A-97E4-E522D1D5B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12734</TotalTime>
  <Pages>1</Pages>
  <Words>1581</Words>
  <Characters>9018</Characters>
  <Application>Microsoft Office Word</Application>
  <DocSecurity>4</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ECE/TRANS/WP.15/AC.1/2023/1</vt:lpstr>
      <vt:lpstr/>
    </vt:vector>
  </TitlesOfParts>
  <Company>CSD</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ECE/TRANS/WP.15/AC.1/2023/1</dc:title>
  <dc:subject/>
  <dc:creator>INF.39</dc:creator>
  <cp:keywords/>
  <cp:lastModifiedBy>Mansion</cp:lastModifiedBy>
  <cp:revision>259</cp:revision>
  <cp:lastPrinted>2023-01-06T19:22:00Z</cp:lastPrinted>
  <dcterms:created xsi:type="dcterms:W3CDTF">2022-12-19T23:19:00Z</dcterms:created>
  <dcterms:modified xsi:type="dcterms:W3CDTF">2023-01-06T19:22:00Z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