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79C3F8B2" w:rsidR="00B56E9C" w:rsidRPr="007C36C6" w:rsidRDefault="00154561" w:rsidP="00EC6CC6">
            <w:pPr>
              <w:jc w:val="right"/>
              <w:rPr>
                <w:b/>
                <w:bCs/>
                <w:sz w:val="40"/>
                <w:szCs w:val="40"/>
              </w:rPr>
            </w:pPr>
            <w:r w:rsidRPr="007C36C6">
              <w:rPr>
                <w:b/>
                <w:bCs/>
                <w:sz w:val="40"/>
                <w:szCs w:val="40"/>
              </w:rPr>
              <w:t>INF.</w:t>
            </w:r>
            <w:r w:rsidR="000502CD">
              <w:rPr>
                <w:b/>
                <w:bCs/>
                <w:sz w:val="40"/>
                <w:szCs w:val="40"/>
              </w:rPr>
              <w:t>6</w:t>
            </w:r>
          </w:p>
        </w:tc>
      </w:tr>
      <w:tr w:rsidR="00133318" w14:paraId="74D9CA9D" w14:textId="77777777" w:rsidTr="00F81690">
        <w:trPr>
          <w:cantSplit/>
          <w:trHeight w:hRule="exact" w:val="3838"/>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3AD52AFE" w:rsidR="005D3A50" w:rsidRPr="008D7010" w:rsidRDefault="00057307" w:rsidP="005D3A50">
            <w:pPr>
              <w:spacing w:before="120"/>
              <w:rPr>
                <w:b/>
              </w:rPr>
            </w:pPr>
            <w:r>
              <w:rPr>
                <w:b/>
              </w:rPr>
              <w:t>Fort</w:t>
            </w:r>
            <w:r w:rsidR="0058371B">
              <w:rPr>
                <w:b/>
              </w:rPr>
              <w:t>y-first</w:t>
            </w:r>
            <w:r w:rsidR="005D3A50">
              <w:rPr>
                <w:b/>
              </w:rPr>
              <w:t xml:space="preserve"> </w:t>
            </w:r>
            <w:r w:rsidR="005D3A50" w:rsidRPr="008D7010">
              <w:rPr>
                <w:b/>
              </w:rPr>
              <w:t>session</w:t>
            </w:r>
          </w:p>
          <w:p w14:paraId="3D4DDE79" w14:textId="47911A95" w:rsidR="00712AA7" w:rsidRPr="00402337" w:rsidRDefault="00712AA7" w:rsidP="00712AA7">
            <w:pPr>
              <w:rPr>
                <w:bCs/>
              </w:rPr>
            </w:pPr>
            <w:r w:rsidRPr="00402337">
              <w:rPr>
                <w:bCs/>
              </w:rPr>
              <w:t>Geneva, 2</w:t>
            </w:r>
            <w:r w:rsidR="003E1645">
              <w:rPr>
                <w:bCs/>
              </w:rPr>
              <w:t>3</w:t>
            </w:r>
            <w:r w:rsidRPr="00402337">
              <w:rPr>
                <w:bCs/>
              </w:rPr>
              <w:t>-2</w:t>
            </w:r>
            <w:r w:rsidR="003E1645">
              <w:rPr>
                <w:bCs/>
              </w:rPr>
              <w:t>7</w:t>
            </w:r>
            <w:r w:rsidRPr="00402337">
              <w:rPr>
                <w:bCs/>
              </w:rPr>
              <w:t xml:space="preserve"> </w:t>
            </w:r>
            <w:r w:rsidR="003E1645">
              <w:rPr>
                <w:bCs/>
              </w:rPr>
              <w:t>January</w:t>
            </w:r>
            <w:r w:rsidRPr="00402337">
              <w:rPr>
                <w:bCs/>
              </w:rPr>
              <w:t xml:space="preserve"> 202</w:t>
            </w:r>
            <w:r w:rsidR="003E1645">
              <w:rPr>
                <w:bCs/>
              </w:rPr>
              <w:t>3</w:t>
            </w:r>
          </w:p>
          <w:p w14:paraId="6F5CA311" w14:textId="28BF2E7D" w:rsidR="00712AA7" w:rsidRPr="00613E78" w:rsidRDefault="00712AA7" w:rsidP="00712AA7">
            <w:r w:rsidRPr="00613E78">
              <w:t xml:space="preserve">Item </w:t>
            </w:r>
            <w:r w:rsidR="0058371B">
              <w:t>5</w:t>
            </w:r>
            <w:r>
              <w:t xml:space="preserve"> (b)</w:t>
            </w:r>
            <w:r w:rsidRPr="00613E78">
              <w:t xml:space="preserve"> of the provisional agenda</w:t>
            </w:r>
          </w:p>
          <w:p w14:paraId="37C52CB0" w14:textId="50B92586" w:rsidR="006718D0" w:rsidRDefault="006718D0" w:rsidP="006718D0">
            <w:pPr>
              <w:rPr>
                <w:b/>
              </w:rPr>
            </w:pPr>
            <w:r w:rsidRPr="008A2649">
              <w:rPr>
                <w:b/>
              </w:rPr>
              <w:t>Proposals for amendments to the Regulations annexed to ADN:</w:t>
            </w:r>
          </w:p>
          <w:p w14:paraId="07C0CFFB" w14:textId="2F0E472A" w:rsidR="00725CEA" w:rsidRPr="008A2649" w:rsidRDefault="00F81690" w:rsidP="006718D0">
            <w:pPr>
              <w:rPr>
                <w:b/>
              </w:rPr>
            </w:pPr>
            <w:r>
              <w:rPr>
                <w:b/>
              </w:rPr>
              <w:t>other proposals</w:t>
            </w:r>
          </w:p>
          <w:p w14:paraId="15003A63" w14:textId="77777777" w:rsidR="00CB3C29" w:rsidRDefault="006718D0" w:rsidP="00CB3C29">
            <w:pPr>
              <w:pStyle w:val="HChG"/>
              <w:tabs>
                <w:tab w:val="right" w:pos="0"/>
              </w:tabs>
            </w:pPr>
            <w:r w:rsidRPr="008A2649">
              <w:rPr>
                <w:bCs/>
              </w:rPr>
              <w:t>other proposals</w:t>
            </w:r>
            <w:r w:rsidR="00CB3C29">
              <w:tab/>
            </w:r>
            <w:r w:rsidR="00CB3C29">
              <w:tab/>
              <w:t>Definition of “Inspection body”</w:t>
            </w:r>
          </w:p>
          <w:p w14:paraId="44CCA2C9" w14:textId="77777777" w:rsidR="00CB3C29" w:rsidRDefault="00CB3C29" w:rsidP="00CB3C29">
            <w:pPr>
              <w:pStyle w:val="H1G"/>
            </w:pPr>
            <w:r>
              <w:tab/>
            </w:r>
            <w:r>
              <w:tab/>
              <w:t xml:space="preserve">Transmitted by the Governments of France, </w:t>
            </w:r>
            <w:proofErr w:type="gramStart"/>
            <w:r>
              <w:t>Germany</w:t>
            </w:r>
            <w:proofErr w:type="gramEnd"/>
            <w:r>
              <w:t xml:space="preserve"> and The Netherlands</w:t>
            </w:r>
          </w:p>
          <w:p w14:paraId="798DC30C" w14:textId="77777777" w:rsidR="00CB3C29" w:rsidRDefault="00CB3C29" w:rsidP="00CB3C29"/>
          <w:tbl>
            <w:tblPr>
              <w:tblStyle w:val="Grilledutableau1"/>
              <w:tblW w:w="0" w:type="auto"/>
              <w:jc w:val="center"/>
              <w:tblLayout w:type="fixed"/>
              <w:tblCellMar>
                <w:left w:w="0" w:type="dxa"/>
                <w:right w:w="0" w:type="dxa"/>
              </w:tblCellMar>
              <w:tblLook w:val="05E0" w:firstRow="1" w:lastRow="1" w:firstColumn="1" w:lastColumn="1" w:noHBand="0" w:noVBand="1"/>
            </w:tblPr>
            <w:tblGrid>
              <w:gridCol w:w="2557"/>
              <w:gridCol w:w="7072"/>
            </w:tblGrid>
            <w:tr w:rsidR="00CB3C29" w:rsidRPr="00AB0E14" w14:paraId="661EFEFB" w14:textId="77777777" w:rsidTr="009F4A45">
              <w:trPr>
                <w:jc w:val="center"/>
              </w:trPr>
              <w:tc>
                <w:tcPr>
                  <w:tcW w:w="2557" w:type="dxa"/>
                  <w:tcBorders>
                    <w:bottom w:val="nil"/>
                    <w:right w:val="nil"/>
                  </w:tcBorders>
                </w:tcPr>
                <w:p w14:paraId="4E808EE2" w14:textId="77777777" w:rsidR="00CB3C29" w:rsidRPr="00AB0E14" w:rsidRDefault="00CB3C29" w:rsidP="000A6817">
                  <w:pPr>
                    <w:framePr w:hSpace="142" w:wrap="around" w:vAnchor="page" w:hAnchor="page" w:x="1135" w:y="568"/>
                    <w:tabs>
                      <w:tab w:val="left" w:pos="255"/>
                    </w:tabs>
                    <w:suppressAutoHyphens w:val="0"/>
                    <w:spacing w:before="240" w:after="120" w:line="240" w:lineRule="auto"/>
                    <w:suppressOverlap/>
                    <w:rPr>
                      <w:sz w:val="24"/>
                      <w:lang w:eastAsia="zh-CN"/>
                    </w:rPr>
                  </w:pPr>
                  <w:r w:rsidRPr="00AB0E14">
                    <w:rPr>
                      <w:lang w:eastAsia="zh-CN"/>
                    </w:rPr>
                    <w:tab/>
                  </w:r>
                  <w:r w:rsidRPr="00AB0E14">
                    <w:rPr>
                      <w:i/>
                      <w:sz w:val="24"/>
                      <w:lang w:eastAsia="zh-CN"/>
                    </w:rPr>
                    <w:t>Summary</w:t>
                  </w:r>
                </w:p>
              </w:tc>
              <w:tc>
                <w:tcPr>
                  <w:tcW w:w="7072" w:type="dxa"/>
                  <w:tcBorders>
                    <w:left w:val="nil"/>
                    <w:bottom w:val="nil"/>
                  </w:tcBorders>
                </w:tcPr>
                <w:p w14:paraId="34F640C1" w14:textId="77777777" w:rsidR="00CB3C29" w:rsidRPr="00AB0E14" w:rsidRDefault="00CB3C29" w:rsidP="000A6817">
                  <w:pPr>
                    <w:framePr w:hSpace="142" w:wrap="around" w:vAnchor="page" w:hAnchor="page" w:x="1135" w:y="568"/>
                    <w:tabs>
                      <w:tab w:val="left" w:pos="1701"/>
                      <w:tab w:val="left" w:pos="2268"/>
                    </w:tabs>
                    <w:spacing w:after="120"/>
                    <w:ind w:right="1134"/>
                    <w:suppressOverlap/>
                    <w:jc w:val="both"/>
                    <w:rPr>
                      <w:lang w:eastAsia="zh-CN"/>
                    </w:rPr>
                  </w:pPr>
                  <w:r>
                    <w:rPr>
                      <w:lang w:eastAsia="zh-CN"/>
                    </w:rPr>
                    <w:t xml:space="preserve">The co-sponsors propose amendments to the Annexed Regulations to ADN </w:t>
                  </w:r>
                  <w:proofErr w:type="gramStart"/>
                  <w:r>
                    <w:rPr>
                      <w:lang w:eastAsia="zh-CN"/>
                    </w:rPr>
                    <w:t>in order to</w:t>
                  </w:r>
                  <w:proofErr w:type="gramEnd"/>
                  <w:r>
                    <w:rPr>
                      <w:lang w:eastAsia="zh-CN"/>
                    </w:rPr>
                    <w:t xml:space="preserve"> clarify the definition of “Inspection body”</w:t>
                  </w:r>
                  <w:r w:rsidRPr="00AB0E14">
                    <w:rPr>
                      <w:lang w:eastAsia="zh-CN"/>
                    </w:rPr>
                    <w:t>.</w:t>
                  </w:r>
                </w:p>
              </w:tc>
            </w:tr>
            <w:tr w:rsidR="00CB3C29" w:rsidRPr="00AB0E14" w14:paraId="36D1D682" w14:textId="77777777" w:rsidTr="009F4A45">
              <w:trPr>
                <w:jc w:val="center"/>
              </w:trPr>
              <w:tc>
                <w:tcPr>
                  <w:tcW w:w="2557" w:type="dxa"/>
                  <w:tcBorders>
                    <w:top w:val="nil"/>
                    <w:bottom w:val="nil"/>
                    <w:right w:val="nil"/>
                  </w:tcBorders>
                  <w:shd w:val="clear" w:color="auto" w:fill="auto"/>
                </w:tcPr>
                <w:p w14:paraId="4E28DF57" w14:textId="77777777" w:rsidR="00CB3C29" w:rsidRPr="00AB0E14" w:rsidRDefault="00CB3C29" w:rsidP="000A6817">
                  <w:pPr>
                    <w:framePr w:hSpace="142" w:wrap="around" w:vAnchor="page" w:hAnchor="page" w:x="1135" w:y="568"/>
                    <w:tabs>
                      <w:tab w:val="left" w:pos="1701"/>
                      <w:tab w:val="left" w:pos="2268"/>
                    </w:tabs>
                    <w:spacing w:after="120"/>
                    <w:ind w:left="284"/>
                    <w:suppressOverlap/>
                    <w:jc w:val="both"/>
                    <w:rPr>
                      <w:b/>
                      <w:bCs/>
                      <w:lang w:eastAsia="zh-CN"/>
                    </w:rPr>
                  </w:pPr>
                  <w:r w:rsidRPr="00AB0E14">
                    <w:rPr>
                      <w:b/>
                      <w:bCs/>
                      <w:lang w:eastAsia="zh-CN"/>
                    </w:rPr>
                    <w:t>Executive summary:</w:t>
                  </w:r>
                </w:p>
              </w:tc>
              <w:tc>
                <w:tcPr>
                  <w:tcW w:w="7072" w:type="dxa"/>
                  <w:tcBorders>
                    <w:top w:val="nil"/>
                    <w:left w:val="nil"/>
                    <w:bottom w:val="nil"/>
                  </w:tcBorders>
                  <w:shd w:val="clear" w:color="auto" w:fill="auto"/>
                </w:tcPr>
                <w:p w14:paraId="110CE5A0" w14:textId="77777777" w:rsidR="00CB3C29" w:rsidRPr="00AB0E14" w:rsidRDefault="00CB3C29" w:rsidP="000A6817">
                  <w:pPr>
                    <w:framePr w:hSpace="142" w:wrap="around" w:vAnchor="page" w:hAnchor="page" w:x="1135" w:y="568"/>
                    <w:tabs>
                      <w:tab w:val="left" w:pos="1701"/>
                      <w:tab w:val="left" w:pos="2268"/>
                    </w:tabs>
                    <w:spacing w:after="120"/>
                    <w:ind w:right="1134"/>
                    <w:suppressOverlap/>
                    <w:jc w:val="both"/>
                    <w:rPr>
                      <w:lang w:eastAsia="zh-CN"/>
                    </w:rPr>
                  </w:pPr>
                  <w:r>
                    <w:rPr>
                      <w:lang w:eastAsia="zh-CN"/>
                    </w:rPr>
                    <w:t>The comparison between the different linguistic versions of ADN, and between ADN and RID / ADR shows inconstancies regarding the notion of “Inspection body”. This current document tries to define this notion consistently between the linguistic versions and with RID / ADR.</w:t>
                  </w:r>
                </w:p>
              </w:tc>
            </w:tr>
            <w:tr w:rsidR="00CB3C29" w:rsidRPr="00AB0E14" w14:paraId="2AEB0EB6" w14:textId="77777777" w:rsidTr="009F4A45">
              <w:trPr>
                <w:jc w:val="center"/>
              </w:trPr>
              <w:tc>
                <w:tcPr>
                  <w:tcW w:w="2557" w:type="dxa"/>
                  <w:tcBorders>
                    <w:top w:val="nil"/>
                    <w:bottom w:val="nil"/>
                    <w:right w:val="nil"/>
                  </w:tcBorders>
                  <w:shd w:val="clear" w:color="auto" w:fill="auto"/>
                </w:tcPr>
                <w:p w14:paraId="2B1F1996" w14:textId="77777777" w:rsidR="00CB3C29" w:rsidRPr="00AB0E14" w:rsidRDefault="00CB3C29" w:rsidP="000A6817">
                  <w:pPr>
                    <w:framePr w:hSpace="142" w:wrap="around" w:vAnchor="page" w:hAnchor="page" w:x="1135" w:y="568"/>
                    <w:tabs>
                      <w:tab w:val="left" w:pos="1701"/>
                      <w:tab w:val="left" w:pos="2268"/>
                    </w:tabs>
                    <w:spacing w:after="120"/>
                    <w:ind w:left="284"/>
                    <w:suppressOverlap/>
                    <w:jc w:val="both"/>
                    <w:rPr>
                      <w:b/>
                      <w:bCs/>
                      <w:lang w:eastAsia="zh-CN"/>
                    </w:rPr>
                  </w:pPr>
                  <w:r w:rsidRPr="00AB0E14">
                    <w:rPr>
                      <w:b/>
                      <w:bCs/>
                      <w:lang w:eastAsia="zh-CN"/>
                    </w:rPr>
                    <w:t>Action to be taken:</w:t>
                  </w:r>
                </w:p>
              </w:tc>
              <w:tc>
                <w:tcPr>
                  <w:tcW w:w="7072" w:type="dxa"/>
                  <w:tcBorders>
                    <w:top w:val="nil"/>
                    <w:left w:val="nil"/>
                    <w:bottom w:val="nil"/>
                  </w:tcBorders>
                  <w:shd w:val="clear" w:color="auto" w:fill="auto"/>
                </w:tcPr>
                <w:p w14:paraId="63255998" w14:textId="77777777" w:rsidR="00CB3C29" w:rsidRPr="00AB0E14" w:rsidRDefault="00CB3C29" w:rsidP="000A6817">
                  <w:pPr>
                    <w:framePr w:hSpace="142" w:wrap="around" w:vAnchor="page" w:hAnchor="page" w:x="1135" w:y="568"/>
                    <w:tabs>
                      <w:tab w:val="left" w:pos="1701"/>
                      <w:tab w:val="left" w:pos="2268"/>
                    </w:tabs>
                    <w:spacing w:after="120"/>
                    <w:ind w:right="1134"/>
                    <w:suppressOverlap/>
                    <w:jc w:val="both"/>
                    <w:rPr>
                      <w:lang w:eastAsia="zh-CN"/>
                    </w:rPr>
                  </w:pPr>
                  <w:r w:rsidRPr="00043BAC">
                    <w:rPr>
                      <w:lang w:eastAsia="zh-CN"/>
                    </w:rPr>
                    <w:t>See paragraph 9.</w:t>
                  </w:r>
                </w:p>
              </w:tc>
            </w:tr>
            <w:tr w:rsidR="00CB3C29" w:rsidRPr="00AB0E14" w14:paraId="693C0257" w14:textId="77777777" w:rsidTr="009F4A45">
              <w:trPr>
                <w:jc w:val="center"/>
              </w:trPr>
              <w:tc>
                <w:tcPr>
                  <w:tcW w:w="2557" w:type="dxa"/>
                  <w:tcBorders>
                    <w:top w:val="nil"/>
                    <w:bottom w:val="nil"/>
                    <w:right w:val="nil"/>
                  </w:tcBorders>
                  <w:shd w:val="clear" w:color="auto" w:fill="auto"/>
                </w:tcPr>
                <w:p w14:paraId="16A02493" w14:textId="77777777" w:rsidR="00CB3C29" w:rsidRPr="00AB0E14" w:rsidRDefault="00CB3C29" w:rsidP="000A6817">
                  <w:pPr>
                    <w:framePr w:hSpace="142" w:wrap="around" w:vAnchor="page" w:hAnchor="page" w:x="1135" w:y="568"/>
                    <w:tabs>
                      <w:tab w:val="left" w:pos="1701"/>
                      <w:tab w:val="left" w:pos="2268"/>
                    </w:tabs>
                    <w:spacing w:after="120"/>
                    <w:ind w:left="284"/>
                    <w:suppressOverlap/>
                    <w:jc w:val="both"/>
                    <w:rPr>
                      <w:b/>
                      <w:bCs/>
                      <w:lang w:eastAsia="zh-CN"/>
                    </w:rPr>
                  </w:pPr>
                  <w:r w:rsidRPr="00AB0E14">
                    <w:rPr>
                      <w:b/>
                      <w:bCs/>
                      <w:lang w:eastAsia="zh-CN"/>
                    </w:rPr>
                    <w:t>Related documents:</w:t>
                  </w:r>
                </w:p>
              </w:tc>
              <w:tc>
                <w:tcPr>
                  <w:tcW w:w="7072" w:type="dxa"/>
                  <w:tcBorders>
                    <w:top w:val="nil"/>
                    <w:left w:val="nil"/>
                    <w:bottom w:val="nil"/>
                  </w:tcBorders>
                  <w:shd w:val="clear" w:color="auto" w:fill="auto"/>
                </w:tcPr>
                <w:p w14:paraId="18A7E7AF" w14:textId="77777777" w:rsidR="00CB3C29" w:rsidRPr="00636772" w:rsidRDefault="00CB3C29" w:rsidP="000A6817">
                  <w:pPr>
                    <w:framePr w:hSpace="142" w:wrap="around" w:vAnchor="page" w:hAnchor="page" w:x="1135" w:y="568"/>
                    <w:tabs>
                      <w:tab w:val="left" w:pos="1701"/>
                      <w:tab w:val="left" w:pos="2268"/>
                    </w:tabs>
                    <w:spacing w:after="120"/>
                    <w:ind w:right="1134"/>
                    <w:suppressOverlap/>
                    <w:jc w:val="both"/>
                    <w:rPr>
                      <w:lang w:eastAsia="zh-CN"/>
                    </w:rPr>
                  </w:pPr>
                  <w:r w:rsidRPr="00636772">
                    <w:rPr>
                      <w:lang w:eastAsia="zh-CN"/>
                    </w:rPr>
                    <w:t>ECE/TRANS/WP.15/AC.2/2022/25</w:t>
                  </w:r>
                </w:p>
                <w:p w14:paraId="7C6FD49A" w14:textId="77777777" w:rsidR="00CB3C29" w:rsidRPr="00AB0E14" w:rsidRDefault="00CB3C29" w:rsidP="000A6817">
                  <w:pPr>
                    <w:framePr w:hSpace="142" w:wrap="around" w:vAnchor="page" w:hAnchor="page" w:x="1135" w:y="568"/>
                    <w:tabs>
                      <w:tab w:val="left" w:pos="1701"/>
                      <w:tab w:val="left" w:pos="2268"/>
                    </w:tabs>
                    <w:spacing w:after="120"/>
                    <w:ind w:right="1134"/>
                    <w:suppressOverlap/>
                    <w:jc w:val="both"/>
                    <w:rPr>
                      <w:lang w:eastAsia="zh-CN"/>
                    </w:rPr>
                  </w:pPr>
                  <w:r w:rsidRPr="00636772">
                    <w:rPr>
                      <w:bCs/>
                      <w:lang w:eastAsia="zh-CN"/>
                    </w:rPr>
                    <w:t>ECE/TRANS/WP.15/AC.2/82 (paragraph 34)</w:t>
                  </w:r>
                </w:p>
              </w:tc>
            </w:tr>
            <w:tr w:rsidR="00CB3C29" w:rsidRPr="00AB0E14" w14:paraId="46CA3956" w14:textId="77777777" w:rsidTr="009F4A45">
              <w:trPr>
                <w:jc w:val="center"/>
              </w:trPr>
              <w:tc>
                <w:tcPr>
                  <w:tcW w:w="2557" w:type="dxa"/>
                  <w:tcBorders>
                    <w:top w:val="nil"/>
                    <w:right w:val="nil"/>
                  </w:tcBorders>
                </w:tcPr>
                <w:p w14:paraId="3E32C11C" w14:textId="77777777" w:rsidR="00CB3C29" w:rsidRPr="00AB0E14" w:rsidRDefault="00CB3C29" w:rsidP="000A6817">
                  <w:pPr>
                    <w:framePr w:hSpace="142" w:wrap="around" w:vAnchor="page" w:hAnchor="page" w:x="1135" w:y="568"/>
                    <w:suppressAutoHyphens w:val="0"/>
                    <w:spacing w:line="240" w:lineRule="auto"/>
                    <w:suppressOverlap/>
                    <w:rPr>
                      <w:lang w:eastAsia="zh-CN"/>
                    </w:rPr>
                  </w:pPr>
                </w:p>
              </w:tc>
              <w:tc>
                <w:tcPr>
                  <w:tcW w:w="7072" w:type="dxa"/>
                  <w:tcBorders>
                    <w:top w:val="nil"/>
                    <w:left w:val="nil"/>
                  </w:tcBorders>
                </w:tcPr>
                <w:p w14:paraId="3C273287" w14:textId="77777777" w:rsidR="00CB3C29" w:rsidRPr="00AB0E14" w:rsidRDefault="00CB3C29" w:rsidP="000A6817">
                  <w:pPr>
                    <w:framePr w:hSpace="142" w:wrap="around" w:vAnchor="page" w:hAnchor="page" w:x="1135" w:y="568"/>
                    <w:suppressAutoHyphens w:val="0"/>
                    <w:suppressOverlap/>
                    <w:rPr>
                      <w:lang w:eastAsia="zh-CN"/>
                    </w:rPr>
                  </w:pPr>
                </w:p>
              </w:tc>
            </w:tr>
          </w:tbl>
          <w:p w14:paraId="57067F58" w14:textId="77777777" w:rsidR="00CB3C29" w:rsidRDefault="00CB3C29" w:rsidP="00CB3C29">
            <w:pPr>
              <w:pStyle w:val="HChG"/>
            </w:pPr>
            <w:r>
              <w:tab/>
            </w:r>
            <w:r>
              <w:tab/>
            </w:r>
            <w:r w:rsidRPr="00176B27">
              <w:t>Introduction</w:t>
            </w:r>
          </w:p>
          <w:p w14:paraId="2F502A69" w14:textId="77777777" w:rsidR="00CB3C29" w:rsidRPr="00636772" w:rsidRDefault="00CB3C29" w:rsidP="00CB3C29">
            <w:pPr>
              <w:pStyle w:val="SingleTxtG"/>
            </w:pPr>
            <w:r>
              <w:t>1.</w:t>
            </w:r>
            <w:r>
              <w:tab/>
              <w:t xml:space="preserve">At the fortieth session of the Safety Committee, France, </w:t>
            </w:r>
            <w:proofErr w:type="gramStart"/>
            <w:r>
              <w:t>Germany</w:t>
            </w:r>
            <w:proofErr w:type="gramEnd"/>
            <w:r>
              <w:t xml:space="preserve"> and The Netherlands </w:t>
            </w:r>
            <w:r w:rsidRPr="00636772">
              <w:t>volunteered to p</w:t>
            </w:r>
            <w:r>
              <w:t>repare a comprehensive proposal related the clarification of the definition of “Inspection body”.</w:t>
            </w:r>
          </w:p>
          <w:p w14:paraId="3177D703" w14:textId="77777777" w:rsidR="00CB3C29" w:rsidRDefault="00CB3C29" w:rsidP="00CB3C29">
            <w:pPr>
              <w:pStyle w:val="SingleTxtG"/>
            </w:pPr>
            <w:r>
              <w:t>2.</w:t>
            </w:r>
            <w:r>
              <w:tab/>
              <w:t>The discussions between these three delegations showed that:</w:t>
            </w:r>
          </w:p>
          <w:p w14:paraId="5D8051E6" w14:textId="77777777" w:rsidR="00CB3C29" w:rsidRDefault="00CB3C29" w:rsidP="00CB3C29">
            <w:pPr>
              <w:pStyle w:val="SingleTxtG"/>
              <w:numPr>
                <w:ilvl w:val="0"/>
                <w:numId w:val="21"/>
              </w:numPr>
            </w:pPr>
            <w:r>
              <w:t>Some additional issued raised; and</w:t>
            </w:r>
          </w:p>
          <w:p w14:paraId="1ED2CD28" w14:textId="77777777" w:rsidR="00CB3C29" w:rsidRDefault="00CB3C29" w:rsidP="00CB3C29">
            <w:pPr>
              <w:pStyle w:val="SingleTxtG"/>
              <w:numPr>
                <w:ilvl w:val="0"/>
                <w:numId w:val="21"/>
              </w:numPr>
            </w:pPr>
            <w:r>
              <w:t>It could be helpful to compare these definitions with those included in RID / ADR</w:t>
            </w:r>
          </w:p>
          <w:p w14:paraId="181540E4" w14:textId="77777777" w:rsidR="00CB3C29" w:rsidRDefault="00CB3C29" w:rsidP="00CB3C29">
            <w:pPr>
              <w:pStyle w:val="SingleTxtG"/>
            </w:pPr>
            <w:r>
              <w:t>3.</w:t>
            </w:r>
            <w:r>
              <w:tab/>
              <w:t>This informal document proposes possible solutions to these different issues.</w:t>
            </w:r>
          </w:p>
          <w:p w14:paraId="74D9CA98" w14:textId="026717A4" w:rsidR="00133318" w:rsidRPr="00B8064E" w:rsidRDefault="00133318" w:rsidP="006718D0">
            <w:pPr>
              <w:rPr>
                <w:sz w:val="40"/>
                <w:szCs w:val="40"/>
              </w:rPr>
            </w:pPr>
          </w:p>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5421280F" w:rsidR="00133318" w:rsidRDefault="005D67B3" w:rsidP="00B8064E">
            <w:pPr>
              <w:spacing w:line="240" w:lineRule="exact"/>
            </w:pPr>
            <w:r>
              <w:t>8</w:t>
            </w:r>
            <w:r w:rsidR="00133318">
              <w:t xml:space="preserve"> </w:t>
            </w:r>
            <w:r w:rsidR="008E5919">
              <w:t>Dec</w:t>
            </w:r>
            <w:r w:rsidR="009D35AA">
              <w:t>ember</w:t>
            </w:r>
            <w:r w:rsidR="00133318">
              <w:t xml:space="preserve"> 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365B6442" w14:textId="78525166" w:rsidR="00747F2F" w:rsidRPr="00747F2F" w:rsidRDefault="006B66AC" w:rsidP="006B66AC">
      <w:pPr>
        <w:pStyle w:val="HChG"/>
      </w:pPr>
      <w:r>
        <w:tab/>
      </w:r>
      <w:r>
        <w:tab/>
      </w:r>
      <w:r w:rsidRPr="00F32396">
        <w:t>Opening of openings</w:t>
      </w:r>
    </w:p>
    <w:p w14:paraId="25E21DDA" w14:textId="00026877" w:rsidR="00CB3C29" w:rsidRDefault="00CB3C29" w:rsidP="00CB3C29">
      <w:pPr>
        <w:pStyle w:val="H1G"/>
      </w:pPr>
      <w:r>
        <w:tab/>
      </w:r>
      <w:r>
        <w:tab/>
        <w:t>Transmitted by the Government of Germany</w:t>
      </w:r>
    </w:p>
    <w:p w14:paraId="6E9FF814" w14:textId="77777777" w:rsidR="00CB3C29" w:rsidRDefault="00CB3C29" w:rsidP="00CB3C29"/>
    <w:tbl>
      <w:tblPr>
        <w:tblStyle w:val="Grilledutableau1"/>
        <w:tblW w:w="0" w:type="auto"/>
        <w:jc w:val="center"/>
        <w:tblCellMar>
          <w:left w:w="0" w:type="dxa"/>
          <w:right w:w="0" w:type="dxa"/>
        </w:tblCellMar>
        <w:tblLook w:val="05E0" w:firstRow="1" w:lastRow="1" w:firstColumn="1" w:lastColumn="1" w:noHBand="0" w:noVBand="1"/>
      </w:tblPr>
      <w:tblGrid>
        <w:gridCol w:w="2557"/>
        <w:gridCol w:w="7072"/>
      </w:tblGrid>
      <w:tr w:rsidR="00CB3C29" w:rsidRPr="00AB0E14" w14:paraId="415A9E3C" w14:textId="77777777" w:rsidTr="009F4A45">
        <w:trPr>
          <w:jc w:val="center"/>
        </w:trPr>
        <w:tc>
          <w:tcPr>
            <w:tcW w:w="2557" w:type="dxa"/>
            <w:tcBorders>
              <w:bottom w:val="nil"/>
              <w:right w:val="nil"/>
            </w:tcBorders>
          </w:tcPr>
          <w:p w14:paraId="09FD06D6" w14:textId="77777777" w:rsidR="00CB3C29" w:rsidRPr="00AB0E14" w:rsidRDefault="00CB3C29" w:rsidP="009F4A45">
            <w:pPr>
              <w:tabs>
                <w:tab w:val="left" w:pos="255"/>
              </w:tabs>
              <w:suppressAutoHyphens w:val="0"/>
              <w:spacing w:before="240" w:after="120" w:line="240" w:lineRule="auto"/>
              <w:rPr>
                <w:sz w:val="24"/>
                <w:lang w:eastAsia="zh-CN"/>
              </w:rPr>
            </w:pPr>
            <w:r w:rsidRPr="00AB0E14">
              <w:rPr>
                <w:lang w:eastAsia="zh-CN"/>
              </w:rPr>
              <w:tab/>
            </w:r>
            <w:r w:rsidRPr="00AB0E14">
              <w:rPr>
                <w:i/>
                <w:sz w:val="24"/>
                <w:lang w:eastAsia="zh-CN"/>
              </w:rPr>
              <w:t>Summary</w:t>
            </w:r>
          </w:p>
        </w:tc>
        <w:tc>
          <w:tcPr>
            <w:tcW w:w="7072" w:type="dxa"/>
            <w:tcBorders>
              <w:left w:val="nil"/>
              <w:bottom w:val="nil"/>
            </w:tcBorders>
          </w:tcPr>
          <w:p w14:paraId="4AFC050D" w14:textId="776E458B" w:rsidR="00CB3C29" w:rsidRPr="00AB0E14" w:rsidRDefault="00CB3C29" w:rsidP="009F4A45">
            <w:pPr>
              <w:tabs>
                <w:tab w:val="left" w:pos="1701"/>
                <w:tab w:val="left" w:pos="2268"/>
              </w:tabs>
              <w:spacing w:after="120"/>
              <w:ind w:right="1134"/>
              <w:jc w:val="both"/>
              <w:rPr>
                <w:lang w:eastAsia="zh-CN"/>
              </w:rPr>
            </w:pPr>
          </w:p>
        </w:tc>
      </w:tr>
      <w:tr w:rsidR="00CB3C29" w:rsidRPr="00AB0E14" w14:paraId="0CABBBF5" w14:textId="77777777" w:rsidTr="009F4A45">
        <w:trPr>
          <w:jc w:val="center"/>
        </w:trPr>
        <w:tc>
          <w:tcPr>
            <w:tcW w:w="2557" w:type="dxa"/>
            <w:tcBorders>
              <w:top w:val="nil"/>
              <w:bottom w:val="nil"/>
              <w:right w:val="nil"/>
            </w:tcBorders>
            <w:shd w:val="clear" w:color="auto" w:fill="auto"/>
          </w:tcPr>
          <w:p w14:paraId="288B9E87" w14:textId="77777777" w:rsidR="00CB3C29" w:rsidRPr="00AB0E14" w:rsidRDefault="00CB3C29" w:rsidP="009F4A45">
            <w:pPr>
              <w:tabs>
                <w:tab w:val="left" w:pos="1701"/>
                <w:tab w:val="left" w:pos="2268"/>
              </w:tabs>
              <w:spacing w:after="120"/>
              <w:ind w:left="284"/>
              <w:jc w:val="both"/>
              <w:rPr>
                <w:b/>
                <w:bCs/>
                <w:lang w:eastAsia="zh-CN"/>
              </w:rPr>
            </w:pPr>
            <w:r w:rsidRPr="00AB0E14">
              <w:rPr>
                <w:b/>
                <w:bCs/>
                <w:lang w:eastAsia="zh-CN"/>
              </w:rPr>
              <w:t>Related documents:</w:t>
            </w:r>
          </w:p>
        </w:tc>
        <w:tc>
          <w:tcPr>
            <w:tcW w:w="7072" w:type="dxa"/>
            <w:tcBorders>
              <w:top w:val="nil"/>
              <w:left w:val="nil"/>
              <w:bottom w:val="nil"/>
            </w:tcBorders>
            <w:shd w:val="clear" w:color="auto" w:fill="auto"/>
          </w:tcPr>
          <w:p w14:paraId="0C999A2B" w14:textId="77777777" w:rsidR="00EE501B" w:rsidRPr="0006648C" w:rsidRDefault="00EE501B" w:rsidP="00EE501B">
            <w:pPr>
              <w:spacing w:line="360" w:lineRule="auto"/>
              <w:ind w:right="566"/>
            </w:pPr>
            <w:r w:rsidRPr="0006648C">
              <w:t>ECE/TRANS/WP.15/AC.2/2022/43</w:t>
            </w:r>
          </w:p>
          <w:p w14:paraId="2C7ABCD2" w14:textId="77777777" w:rsidR="00200080" w:rsidRPr="0006648C" w:rsidRDefault="00200080" w:rsidP="00200080">
            <w:pPr>
              <w:spacing w:line="360" w:lineRule="auto"/>
              <w:ind w:right="566"/>
            </w:pPr>
            <w:r w:rsidRPr="0006648C">
              <w:t>ECE/TRANS/WP.15/AC.2/2022/45</w:t>
            </w:r>
          </w:p>
          <w:p w14:paraId="571933C2" w14:textId="54DEBB8F" w:rsidR="000F2EAD" w:rsidRPr="0006648C" w:rsidRDefault="004D5EA5" w:rsidP="009F4A45">
            <w:pPr>
              <w:tabs>
                <w:tab w:val="left" w:pos="1701"/>
                <w:tab w:val="left" w:pos="2268"/>
              </w:tabs>
              <w:spacing w:after="120"/>
              <w:ind w:right="1134"/>
              <w:jc w:val="both"/>
              <w:rPr>
                <w:bCs/>
                <w:lang w:eastAsia="zh-CN"/>
              </w:rPr>
            </w:pPr>
            <w:r w:rsidRPr="0006648C">
              <w:t>Info</w:t>
            </w:r>
            <w:r w:rsidR="008B1FDA" w:rsidRPr="0006648C">
              <w:t xml:space="preserve">rmal document </w:t>
            </w:r>
            <w:r w:rsidRPr="0006648C">
              <w:t xml:space="preserve">INF.19 of the </w:t>
            </w:r>
            <w:r w:rsidR="008B1FDA" w:rsidRPr="0006648C">
              <w:t>fortie</w:t>
            </w:r>
            <w:r w:rsidRPr="0006648C">
              <w:t>th session</w:t>
            </w:r>
          </w:p>
          <w:p w14:paraId="28D4F445" w14:textId="1423B1B5" w:rsidR="00CB3C29" w:rsidRPr="00AB0E14" w:rsidRDefault="00CB3C29" w:rsidP="009F4A45">
            <w:pPr>
              <w:tabs>
                <w:tab w:val="left" w:pos="1701"/>
                <w:tab w:val="left" w:pos="2268"/>
              </w:tabs>
              <w:spacing w:after="120"/>
              <w:ind w:right="1134"/>
              <w:jc w:val="both"/>
              <w:rPr>
                <w:lang w:eastAsia="zh-CN"/>
              </w:rPr>
            </w:pPr>
            <w:r w:rsidRPr="0006648C">
              <w:rPr>
                <w:bCs/>
                <w:lang w:eastAsia="zh-CN"/>
              </w:rPr>
              <w:t>ECE/TRANS/WP.15/AC.2/82 (paragraph</w:t>
            </w:r>
            <w:r w:rsidR="008B1FDA" w:rsidRPr="0006648C">
              <w:rPr>
                <w:bCs/>
                <w:lang w:eastAsia="zh-CN"/>
              </w:rPr>
              <w:t>s</w:t>
            </w:r>
            <w:r w:rsidRPr="0006648C">
              <w:rPr>
                <w:bCs/>
                <w:lang w:eastAsia="zh-CN"/>
              </w:rPr>
              <w:t xml:space="preserve"> </w:t>
            </w:r>
            <w:r w:rsidR="008B1FDA" w:rsidRPr="0006648C">
              <w:rPr>
                <w:bCs/>
                <w:lang w:eastAsia="zh-CN"/>
              </w:rPr>
              <w:t>51 and 52)</w:t>
            </w:r>
          </w:p>
        </w:tc>
      </w:tr>
      <w:tr w:rsidR="00CB3C29" w:rsidRPr="00AB0E14" w14:paraId="64D1509C" w14:textId="77777777" w:rsidTr="009F4A45">
        <w:trPr>
          <w:jc w:val="center"/>
        </w:trPr>
        <w:tc>
          <w:tcPr>
            <w:tcW w:w="2557" w:type="dxa"/>
            <w:tcBorders>
              <w:top w:val="nil"/>
              <w:right w:val="nil"/>
            </w:tcBorders>
          </w:tcPr>
          <w:p w14:paraId="33566505" w14:textId="77777777" w:rsidR="00CB3C29" w:rsidRPr="00AB0E14" w:rsidRDefault="00CB3C29" w:rsidP="009F4A45">
            <w:pPr>
              <w:suppressAutoHyphens w:val="0"/>
              <w:spacing w:line="240" w:lineRule="auto"/>
              <w:rPr>
                <w:lang w:eastAsia="zh-CN"/>
              </w:rPr>
            </w:pPr>
          </w:p>
        </w:tc>
        <w:tc>
          <w:tcPr>
            <w:tcW w:w="7072" w:type="dxa"/>
            <w:tcBorders>
              <w:top w:val="nil"/>
              <w:left w:val="nil"/>
            </w:tcBorders>
          </w:tcPr>
          <w:p w14:paraId="146E4171" w14:textId="77777777" w:rsidR="00CB3C29" w:rsidRPr="00AB0E14" w:rsidRDefault="00CB3C29" w:rsidP="009F4A45">
            <w:pPr>
              <w:suppressAutoHyphens w:val="0"/>
              <w:rPr>
                <w:lang w:eastAsia="zh-CN"/>
              </w:rPr>
            </w:pPr>
          </w:p>
        </w:tc>
      </w:tr>
    </w:tbl>
    <w:p w14:paraId="140A9690" w14:textId="75FC76C8" w:rsidR="00AE2307" w:rsidRPr="00FC7353" w:rsidRDefault="004E750E" w:rsidP="00AE2307">
      <w:pPr>
        <w:pStyle w:val="HChG"/>
        <w:rPr>
          <w:szCs w:val="24"/>
        </w:rPr>
      </w:pPr>
      <w:r>
        <w:tab/>
      </w:r>
      <w:r>
        <w:tab/>
      </w:r>
      <w:r w:rsidR="00AE2307">
        <w:t>Introduction</w:t>
      </w:r>
    </w:p>
    <w:p w14:paraId="0852B8BA" w14:textId="1EADCDAE" w:rsidR="00AE2307" w:rsidRPr="00D421B0" w:rsidRDefault="00AE2307" w:rsidP="004E750E">
      <w:pPr>
        <w:pStyle w:val="SingleTxtG"/>
      </w:pPr>
      <w:r>
        <w:t>1.</w:t>
      </w:r>
      <w:r>
        <w:tab/>
        <w:t xml:space="preserve">Germany would like to thank all delegations that have sent constructive questions and suggested improvements after the deliberation of the proposal on the opening of openings </w:t>
      </w:r>
      <w:r w:rsidRPr="00F32396">
        <w:t xml:space="preserve">at the </w:t>
      </w:r>
      <w:r w:rsidR="00F32396">
        <w:t>fortieth</w:t>
      </w:r>
      <w:r w:rsidRPr="00F32396">
        <w:t xml:space="preserve"> session of the ADN</w:t>
      </w:r>
      <w:r>
        <w:t xml:space="preserve"> Safety Committee.</w:t>
      </w:r>
    </w:p>
    <w:p w14:paraId="5F8592C2" w14:textId="77777777" w:rsidR="00AE2307" w:rsidRPr="00D421B0" w:rsidRDefault="00AE2307" w:rsidP="004E750E">
      <w:pPr>
        <w:pStyle w:val="SingleTxtG"/>
        <w:rPr>
          <w:color w:val="000000"/>
        </w:rPr>
      </w:pPr>
      <w:r>
        <w:t>2.</w:t>
      </w:r>
      <w:r>
        <w:tab/>
      </w:r>
      <w:r>
        <w:rPr>
          <w:color w:val="000000"/>
        </w:rPr>
        <w:t>In the following, Germany would like to briefly report on the examination and evaluation of these contributions.</w:t>
      </w:r>
    </w:p>
    <w:p w14:paraId="15664D41" w14:textId="68C8A07F" w:rsidR="004E750E" w:rsidRDefault="004E750E" w:rsidP="00CE334F">
      <w:pPr>
        <w:pStyle w:val="HChG"/>
        <w:rPr>
          <w:u w:val="single"/>
        </w:rPr>
      </w:pPr>
      <w:r>
        <w:rPr>
          <w:u w:val="single"/>
        </w:rPr>
        <w:br w:type="page"/>
      </w:r>
    </w:p>
    <w:p w14:paraId="228A0F70" w14:textId="4707AB2D" w:rsidR="00D115CA" w:rsidRPr="00FC7353" w:rsidRDefault="00CF7425" w:rsidP="00217748">
      <w:pPr>
        <w:pStyle w:val="HChG"/>
        <w:rPr>
          <w:szCs w:val="24"/>
        </w:rPr>
      </w:pPr>
      <w:r>
        <w:lastRenderedPageBreak/>
        <w:tab/>
      </w:r>
      <w:r w:rsidR="00274C4D">
        <w:t>I.</w:t>
      </w:r>
      <w:r>
        <w:tab/>
      </w:r>
      <w:r w:rsidR="00D115CA">
        <w:t xml:space="preserve">Questions, </w:t>
      </w:r>
      <w:proofErr w:type="gramStart"/>
      <w:r w:rsidR="00D115CA">
        <w:t>proposals</w:t>
      </w:r>
      <w:proofErr w:type="gramEnd"/>
      <w:r w:rsidR="00D115CA">
        <w:t xml:space="preserve"> and answers</w:t>
      </w:r>
    </w:p>
    <w:p w14:paraId="6A17BC00" w14:textId="17D9C1C9" w:rsidR="00D115CA" w:rsidRPr="00E8169C" w:rsidRDefault="0013093D" w:rsidP="00E8169C">
      <w:pPr>
        <w:pStyle w:val="H1G"/>
      </w:pPr>
      <w:r>
        <w:tab/>
        <w:t>A.</w:t>
      </w:r>
      <w:r>
        <w:tab/>
      </w:r>
      <w:r w:rsidR="00D115CA" w:rsidRPr="00E8169C">
        <w:t>Openings used</w:t>
      </w:r>
      <w:r w:rsidR="00656A5F" w:rsidRPr="00E8169C">
        <w:t>.</w:t>
      </w:r>
    </w:p>
    <w:p w14:paraId="732AF956" w14:textId="17EC0D18" w:rsidR="00D115CA" w:rsidRPr="00D421B0" w:rsidRDefault="002A4002" w:rsidP="002C6B03">
      <w:pPr>
        <w:pStyle w:val="SingleTxtG"/>
      </w:pPr>
      <w:r>
        <w:t>3</w:t>
      </w:r>
      <w:r w:rsidR="00D51DF5">
        <w:t>.</w:t>
      </w:r>
      <w:r w:rsidR="00D51DF5">
        <w:tab/>
      </w:r>
      <w:r w:rsidR="00D115CA">
        <w:t xml:space="preserve">Working document </w:t>
      </w:r>
      <w:r w:rsidR="006968A1">
        <w:t>ECE/TRANS/WP.15/AC.2/</w:t>
      </w:r>
      <w:r w:rsidR="00D115CA">
        <w:t>2022/43 did not sufficiently describe which specific openings are used on tank vessels, what reasons there are for opening cargo tanks and how this issue is regulated in the currently applicable version of the Regulations.</w:t>
      </w:r>
    </w:p>
    <w:p w14:paraId="36AD777A" w14:textId="55BF19B9" w:rsidR="00D115CA" w:rsidRDefault="002A4002" w:rsidP="00E078B6">
      <w:pPr>
        <w:pStyle w:val="SingleTxtG"/>
      </w:pPr>
      <w:r>
        <w:t>4</w:t>
      </w:r>
      <w:r w:rsidR="00D51DF5">
        <w:t>.</w:t>
      </w:r>
      <w:r w:rsidR="00D51DF5">
        <w:tab/>
      </w:r>
      <w:r w:rsidR="00D115CA">
        <w:t>The table below contains descriptions of the use cases.</w:t>
      </w:r>
    </w:p>
    <w:p w14:paraId="72379A02" w14:textId="77777777" w:rsidR="004A4032" w:rsidRDefault="004A4032" w:rsidP="00E078B6">
      <w:pPr>
        <w:pStyle w:val="SingleTxtG"/>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2140"/>
        <w:gridCol w:w="1892"/>
        <w:gridCol w:w="1647"/>
      </w:tblGrid>
      <w:tr w:rsidR="00857388" w:rsidRPr="00857388" w14:paraId="3C0D304C" w14:textId="77777777" w:rsidTr="00857388">
        <w:trPr>
          <w:tblHeader/>
        </w:trPr>
        <w:tc>
          <w:tcPr>
            <w:tcW w:w="1691" w:type="dxa"/>
            <w:tcBorders>
              <w:top w:val="single" w:sz="4" w:space="0" w:color="auto"/>
              <w:bottom w:val="single" w:sz="12" w:space="0" w:color="auto"/>
            </w:tcBorders>
            <w:shd w:val="clear" w:color="auto" w:fill="auto"/>
            <w:vAlign w:val="bottom"/>
          </w:tcPr>
          <w:p w14:paraId="0D2D7925" w14:textId="77777777" w:rsidR="0045109A" w:rsidRPr="00857388" w:rsidRDefault="0045109A" w:rsidP="00857388">
            <w:pPr>
              <w:spacing w:before="80" w:after="80" w:line="200" w:lineRule="exact"/>
              <w:ind w:right="113"/>
              <w:rPr>
                <w:i/>
                <w:sz w:val="16"/>
              </w:rPr>
            </w:pPr>
            <w:r w:rsidRPr="00857388">
              <w:rPr>
                <w:i/>
                <w:sz w:val="16"/>
              </w:rPr>
              <w:t>Measure</w:t>
            </w:r>
          </w:p>
        </w:tc>
        <w:tc>
          <w:tcPr>
            <w:tcW w:w="2140" w:type="dxa"/>
            <w:tcBorders>
              <w:top w:val="single" w:sz="4" w:space="0" w:color="auto"/>
              <w:bottom w:val="single" w:sz="12" w:space="0" w:color="auto"/>
            </w:tcBorders>
            <w:shd w:val="clear" w:color="auto" w:fill="auto"/>
            <w:vAlign w:val="bottom"/>
          </w:tcPr>
          <w:p w14:paraId="248D315F" w14:textId="77777777" w:rsidR="0045109A" w:rsidRPr="00857388" w:rsidRDefault="0045109A" w:rsidP="00857388">
            <w:pPr>
              <w:spacing w:before="80" w:after="80" w:line="200" w:lineRule="exact"/>
              <w:ind w:right="113"/>
              <w:rPr>
                <w:i/>
                <w:sz w:val="16"/>
              </w:rPr>
            </w:pPr>
            <w:r w:rsidRPr="00857388">
              <w:rPr>
                <w:i/>
                <w:sz w:val="16"/>
              </w:rPr>
              <w:t>Purpose</w:t>
            </w:r>
          </w:p>
        </w:tc>
        <w:tc>
          <w:tcPr>
            <w:tcW w:w="1892" w:type="dxa"/>
            <w:tcBorders>
              <w:top w:val="single" w:sz="4" w:space="0" w:color="auto"/>
              <w:bottom w:val="single" w:sz="12" w:space="0" w:color="auto"/>
            </w:tcBorders>
            <w:shd w:val="clear" w:color="auto" w:fill="auto"/>
            <w:vAlign w:val="bottom"/>
          </w:tcPr>
          <w:p w14:paraId="57ABD470" w14:textId="77777777" w:rsidR="0045109A" w:rsidRPr="00857388" w:rsidRDefault="0045109A" w:rsidP="00857388">
            <w:pPr>
              <w:spacing w:before="80" w:after="80" w:line="200" w:lineRule="exact"/>
              <w:ind w:right="113"/>
              <w:rPr>
                <w:bCs/>
                <w:i/>
                <w:sz w:val="16"/>
              </w:rPr>
            </w:pPr>
            <w:r w:rsidRPr="00857388">
              <w:rPr>
                <w:i/>
                <w:sz w:val="16"/>
              </w:rPr>
              <w:t>Opening that must be opened:</w:t>
            </w:r>
          </w:p>
        </w:tc>
        <w:tc>
          <w:tcPr>
            <w:tcW w:w="1647" w:type="dxa"/>
            <w:tcBorders>
              <w:top w:val="single" w:sz="4" w:space="0" w:color="auto"/>
              <w:bottom w:val="single" w:sz="12" w:space="0" w:color="auto"/>
            </w:tcBorders>
            <w:shd w:val="clear" w:color="auto" w:fill="auto"/>
            <w:vAlign w:val="bottom"/>
          </w:tcPr>
          <w:p w14:paraId="7601BF1A" w14:textId="77777777" w:rsidR="0045109A" w:rsidRPr="00857388" w:rsidRDefault="0045109A" w:rsidP="00857388">
            <w:pPr>
              <w:spacing w:before="80" w:after="80" w:line="200" w:lineRule="exact"/>
              <w:ind w:right="113"/>
              <w:rPr>
                <w:bCs/>
                <w:i/>
                <w:sz w:val="16"/>
              </w:rPr>
            </w:pPr>
            <w:r w:rsidRPr="00857388">
              <w:rPr>
                <w:i/>
                <w:sz w:val="16"/>
              </w:rPr>
              <w:t>Alternative to opening:</w:t>
            </w:r>
          </w:p>
        </w:tc>
      </w:tr>
      <w:tr w:rsidR="00857388" w:rsidRPr="00857388" w14:paraId="33B1EE0D" w14:textId="77777777" w:rsidTr="00857388">
        <w:trPr>
          <w:trHeight w:hRule="exact" w:val="113"/>
        </w:trPr>
        <w:tc>
          <w:tcPr>
            <w:tcW w:w="1691" w:type="dxa"/>
            <w:tcBorders>
              <w:top w:val="single" w:sz="12" w:space="0" w:color="auto"/>
            </w:tcBorders>
            <w:shd w:val="clear" w:color="auto" w:fill="auto"/>
          </w:tcPr>
          <w:p w14:paraId="7295C7D5" w14:textId="77777777" w:rsidR="00857388" w:rsidRPr="00857388" w:rsidRDefault="00857388" w:rsidP="00857388">
            <w:pPr>
              <w:spacing w:before="40" w:after="120"/>
              <w:ind w:right="113"/>
            </w:pPr>
          </w:p>
        </w:tc>
        <w:tc>
          <w:tcPr>
            <w:tcW w:w="2140" w:type="dxa"/>
            <w:tcBorders>
              <w:top w:val="single" w:sz="12" w:space="0" w:color="auto"/>
            </w:tcBorders>
            <w:shd w:val="clear" w:color="auto" w:fill="auto"/>
          </w:tcPr>
          <w:p w14:paraId="77203095" w14:textId="77777777" w:rsidR="00857388" w:rsidRPr="00857388" w:rsidRDefault="00857388" w:rsidP="00857388">
            <w:pPr>
              <w:spacing w:before="40" w:after="120"/>
              <w:ind w:right="113"/>
            </w:pPr>
          </w:p>
        </w:tc>
        <w:tc>
          <w:tcPr>
            <w:tcW w:w="1892" w:type="dxa"/>
            <w:tcBorders>
              <w:top w:val="single" w:sz="12" w:space="0" w:color="auto"/>
            </w:tcBorders>
            <w:shd w:val="clear" w:color="auto" w:fill="auto"/>
          </w:tcPr>
          <w:p w14:paraId="28F4CE39" w14:textId="77777777" w:rsidR="00857388" w:rsidRPr="00857388" w:rsidRDefault="00857388" w:rsidP="00857388">
            <w:pPr>
              <w:spacing w:before="40" w:after="120"/>
              <w:ind w:right="113"/>
            </w:pPr>
          </w:p>
        </w:tc>
        <w:tc>
          <w:tcPr>
            <w:tcW w:w="1647" w:type="dxa"/>
            <w:tcBorders>
              <w:top w:val="single" w:sz="12" w:space="0" w:color="auto"/>
            </w:tcBorders>
            <w:shd w:val="clear" w:color="auto" w:fill="auto"/>
          </w:tcPr>
          <w:p w14:paraId="5298318E" w14:textId="77777777" w:rsidR="00857388" w:rsidRPr="00857388" w:rsidRDefault="00857388" w:rsidP="00857388">
            <w:pPr>
              <w:spacing w:before="40" w:after="120"/>
              <w:ind w:right="113"/>
            </w:pPr>
          </w:p>
        </w:tc>
      </w:tr>
      <w:tr w:rsidR="0045109A" w:rsidRPr="00857388" w14:paraId="6144DCD4" w14:textId="77777777" w:rsidTr="00857388">
        <w:tc>
          <w:tcPr>
            <w:tcW w:w="1691" w:type="dxa"/>
            <w:shd w:val="clear" w:color="auto" w:fill="auto"/>
          </w:tcPr>
          <w:p w14:paraId="6102A428" w14:textId="77777777" w:rsidR="0045109A" w:rsidRPr="00857388" w:rsidRDefault="0045109A" w:rsidP="00857388">
            <w:pPr>
              <w:spacing w:before="40" w:after="120"/>
              <w:ind w:right="113"/>
              <w:rPr>
                <w:bCs/>
              </w:rPr>
            </w:pPr>
            <w:r w:rsidRPr="00857388">
              <w:t>Visual inspection of empty cargo tanks that have not been degassed</w:t>
            </w:r>
          </w:p>
        </w:tc>
        <w:tc>
          <w:tcPr>
            <w:tcW w:w="2140" w:type="dxa"/>
            <w:shd w:val="clear" w:color="auto" w:fill="auto"/>
          </w:tcPr>
          <w:p w14:paraId="3D60767C" w14:textId="77777777" w:rsidR="0045109A" w:rsidRPr="00857388" w:rsidRDefault="0045109A" w:rsidP="00857388">
            <w:pPr>
              <w:spacing w:before="40" w:after="120"/>
              <w:ind w:right="113"/>
              <w:rPr>
                <w:bCs/>
              </w:rPr>
            </w:pPr>
            <w:r w:rsidRPr="00857388">
              <w:t>Visual inspection of cargo tanks prior to loading to ensure that contamination of the cargo by the previous cargo or unwanted reactions of the cargo with residues of the previous cargo are avoided. After unloading, a visual inspection must be carried out to check whether the cargo tanks are empty and not contaminated.</w:t>
            </w:r>
          </w:p>
        </w:tc>
        <w:tc>
          <w:tcPr>
            <w:tcW w:w="1892" w:type="dxa"/>
            <w:shd w:val="clear" w:color="auto" w:fill="auto"/>
          </w:tcPr>
          <w:p w14:paraId="38AE58BA" w14:textId="77777777" w:rsidR="0045109A" w:rsidRPr="00857388" w:rsidRDefault="0045109A" w:rsidP="00857388">
            <w:pPr>
              <w:spacing w:before="40" w:after="120"/>
              <w:ind w:right="113"/>
              <w:rPr>
                <w:bCs/>
              </w:rPr>
            </w:pPr>
            <w:r w:rsidRPr="00857388">
              <w:t>Sampling opening in accordance with the newly proposed definition</w:t>
            </w:r>
          </w:p>
        </w:tc>
        <w:tc>
          <w:tcPr>
            <w:tcW w:w="1647" w:type="dxa"/>
            <w:shd w:val="clear" w:color="auto" w:fill="auto"/>
          </w:tcPr>
          <w:p w14:paraId="138E9DB5" w14:textId="77777777" w:rsidR="0045109A" w:rsidRPr="00857388" w:rsidRDefault="0045109A" w:rsidP="00857388">
            <w:pPr>
              <w:spacing w:before="40" w:after="120"/>
              <w:ind w:right="113"/>
              <w:rPr>
                <w:bCs/>
              </w:rPr>
            </w:pPr>
            <w:r w:rsidRPr="00857388">
              <w:t>Given the current type of construction: None</w:t>
            </w:r>
          </w:p>
        </w:tc>
      </w:tr>
      <w:tr w:rsidR="0045109A" w:rsidRPr="00857388" w14:paraId="6A2342F3" w14:textId="77777777" w:rsidTr="00857388">
        <w:tc>
          <w:tcPr>
            <w:tcW w:w="1691" w:type="dxa"/>
            <w:shd w:val="clear" w:color="auto" w:fill="auto"/>
          </w:tcPr>
          <w:p w14:paraId="29D89413" w14:textId="77777777" w:rsidR="0045109A" w:rsidRPr="00857388" w:rsidRDefault="0045109A" w:rsidP="00857388">
            <w:pPr>
              <w:spacing w:before="40" w:after="120"/>
              <w:ind w:right="113"/>
            </w:pPr>
            <w:r w:rsidRPr="00857388">
              <w:t>Sampling</w:t>
            </w:r>
          </w:p>
        </w:tc>
        <w:tc>
          <w:tcPr>
            <w:tcW w:w="2140" w:type="dxa"/>
            <w:shd w:val="clear" w:color="auto" w:fill="auto"/>
          </w:tcPr>
          <w:p w14:paraId="74B55552" w14:textId="77777777" w:rsidR="0045109A" w:rsidRPr="00857388" w:rsidRDefault="0045109A" w:rsidP="00857388">
            <w:pPr>
              <w:spacing w:before="40" w:after="120"/>
              <w:ind w:right="113"/>
            </w:pPr>
            <w:r w:rsidRPr="00857388">
              <w:t>Check of the quality of the cargo (purpose of the check). For certain dangerous goods, open sampling by means of a sampling opening is permitted. If a closed-type or partly closed-type sampling device is mandatory, it may be necessary in exceptional cases in the event of a technical problem of this device to take the sample via the sampling opening or an equivalent opening.</w:t>
            </w:r>
          </w:p>
        </w:tc>
        <w:tc>
          <w:tcPr>
            <w:tcW w:w="1892" w:type="dxa"/>
            <w:shd w:val="clear" w:color="auto" w:fill="auto"/>
          </w:tcPr>
          <w:p w14:paraId="6B97225F" w14:textId="77777777" w:rsidR="0045109A" w:rsidRPr="00857388" w:rsidRDefault="0045109A" w:rsidP="00857388">
            <w:pPr>
              <w:spacing w:before="40" w:after="120"/>
              <w:ind w:right="113"/>
            </w:pPr>
            <w:r w:rsidRPr="00857388">
              <w:t>Sampling opening in accordance with the newly proposed definition</w:t>
            </w:r>
          </w:p>
        </w:tc>
        <w:tc>
          <w:tcPr>
            <w:tcW w:w="1647" w:type="dxa"/>
            <w:shd w:val="clear" w:color="auto" w:fill="auto"/>
          </w:tcPr>
          <w:p w14:paraId="200E92D2" w14:textId="77777777" w:rsidR="0045109A" w:rsidRPr="00857388" w:rsidRDefault="0045109A" w:rsidP="00857388">
            <w:pPr>
              <w:spacing w:before="40" w:after="120"/>
              <w:ind w:right="113"/>
            </w:pPr>
            <w:r w:rsidRPr="00857388">
              <w:t>Given the current type of construction: None</w:t>
            </w:r>
          </w:p>
        </w:tc>
      </w:tr>
      <w:tr w:rsidR="00857388" w:rsidRPr="00857388" w14:paraId="10F6AAFF" w14:textId="77777777" w:rsidTr="00857388">
        <w:tc>
          <w:tcPr>
            <w:tcW w:w="1691" w:type="dxa"/>
            <w:shd w:val="clear" w:color="auto" w:fill="auto"/>
          </w:tcPr>
          <w:p w14:paraId="65CC5B1D" w14:textId="77777777" w:rsidR="0045109A" w:rsidRPr="00857388" w:rsidRDefault="0045109A" w:rsidP="000F1978">
            <w:pPr>
              <w:pageBreakBefore/>
              <w:spacing w:before="40" w:after="120"/>
              <w:ind w:right="113"/>
            </w:pPr>
            <w:r w:rsidRPr="00857388">
              <w:lastRenderedPageBreak/>
              <w:t>Determination of the filling quantity</w:t>
            </w:r>
          </w:p>
        </w:tc>
        <w:tc>
          <w:tcPr>
            <w:tcW w:w="2140" w:type="dxa"/>
            <w:shd w:val="clear" w:color="auto" w:fill="auto"/>
          </w:tcPr>
          <w:p w14:paraId="6BD04485" w14:textId="77777777" w:rsidR="0045109A" w:rsidRPr="00857388" w:rsidRDefault="0045109A" w:rsidP="00857388">
            <w:pPr>
              <w:spacing w:before="40" w:after="120"/>
              <w:ind w:right="113"/>
            </w:pPr>
            <w:r w:rsidRPr="00857388">
              <w:t xml:space="preserve">The determination of the precise filling quantity of the cargo tanks is necessary </w:t>
            </w:r>
            <w:proofErr w:type="gramStart"/>
            <w:r w:rsidRPr="00857388">
              <w:t>in particular for</w:t>
            </w:r>
            <w:proofErr w:type="gramEnd"/>
            <w:r w:rsidRPr="00857388">
              <w:t xml:space="preserve"> fiscal reasons and in the event of accidents. If the measuring equipment installed on board is not available due to malfunction, the measurements must be performed using a measuring tape and a thermometer.</w:t>
            </w:r>
          </w:p>
        </w:tc>
        <w:tc>
          <w:tcPr>
            <w:tcW w:w="1892" w:type="dxa"/>
            <w:shd w:val="clear" w:color="auto" w:fill="auto"/>
          </w:tcPr>
          <w:p w14:paraId="2FE18C1E" w14:textId="77777777" w:rsidR="0045109A" w:rsidRPr="00857388" w:rsidRDefault="0045109A" w:rsidP="00857388">
            <w:pPr>
              <w:spacing w:before="40" w:after="120"/>
              <w:ind w:right="113"/>
            </w:pPr>
            <w:r w:rsidRPr="00857388">
              <w:t>Sampling opening in accordance with the newly proposed definition</w:t>
            </w:r>
          </w:p>
        </w:tc>
        <w:tc>
          <w:tcPr>
            <w:tcW w:w="1647" w:type="dxa"/>
            <w:shd w:val="clear" w:color="auto" w:fill="auto"/>
          </w:tcPr>
          <w:p w14:paraId="7AC920A7" w14:textId="77777777" w:rsidR="0045109A" w:rsidRPr="00857388" w:rsidRDefault="0045109A" w:rsidP="00857388">
            <w:pPr>
              <w:spacing w:before="40" w:after="120"/>
              <w:ind w:right="113"/>
            </w:pPr>
            <w:r w:rsidRPr="00857388">
              <w:t>Given the current type of construction: None</w:t>
            </w:r>
          </w:p>
        </w:tc>
      </w:tr>
      <w:tr w:rsidR="00C87E50" w:rsidRPr="00857388" w14:paraId="538ED14D" w14:textId="77777777" w:rsidTr="00857388">
        <w:tc>
          <w:tcPr>
            <w:tcW w:w="1691" w:type="dxa"/>
            <w:shd w:val="clear" w:color="auto" w:fill="auto"/>
          </w:tcPr>
          <w:p w14:paraId="380AE358" w14:textId="77777777" w:rsidR="00C87E50" w:rsidRPr="005664D7" w:rsidRDefault="00C87E50" w:rsidP="00C87E50">
            <w:pPr>
              <w:ind w:right="566"/>
            </w:pPr>
            <w:r>
              <w:t>Addition of stabilizers</w:t>
            </w:r>
          </w:p>
          <w:p w14:paraId="10E32484" w14:textId="77777777" w:rsidR="00C87E50" w:rsidRPr="00857388" w:rsidRDefault="00C87E50" w:rsidP="00C87E50">
            <w:pPr>
              <w:spacing w:before="40" w:after="120"/>
              <w:ind w:right="113"/>
            </w:pPr>
          </w:p>
        </w:tc>
        <w:tc>
          <w:tcPr>
            <w:tcW w:w="2140" w:type="dxa"/>
            <w:shd w:val="clear" w:color="auto" w:fill="auto"/>
          </w:tcPr>
          <w:p w14:paraId="74FC86CF" w14:textId="14C08874" w:rsidR="00C87E50" w:rsidRPr="00857388" w:rsidRDefault="00C87E50" w:rsidP="00C87E50">
            <w:pPr>
              <w:spacing w:before="40" w:after="120"/>
              <w:ind w:right="113"/>
            </w:pPr>
            <w:r>
              <w:t>It can happen that a journey takes longer than expected. It may therefore be necessary for certain substances to subsequently add a stabilizer to avoid unwanted reactions.</w:t>
            </w:r>
          </w:p>
        </w:tc>
        <w:tc>
          <w:tcPr>
            <w:tcW w:w="1892" w:type="dxa"/>
            <w:shd w:val="clear" w:color="auto" w:fill="auto"/>
          </w:tcPr>
          <w:p w14:paraId="16CCAF82" w14:textId="393F89AE" w:rsidR="00C87E50" w:rsidRPr="00857388" w:rsidRDefault="00C87E50" w:rsidP="00C87E50">
            <w:pPr>
              <w:spacing w:before="40" w:after="120"/>
              <w:ind w:right="113"/>
            </w:pPr>
            <w:r>
              <w:t>Sampling opening in accordance with the newly proposed definition</w:t>
            </w:r>
          </w:p>
        </w:tc>
        <w:tc>
          <w:tcPr>
            <w:tcW w:w="1647" w:type="dxa"/>
            <w:shd w:val="clear" w:color="auto" w:fill="auto"/>
          </w:tcPr>
          <w:p w14:paraId="4575CEE4" w14:textId="5591B33F" w:rsidR="00C87E50" w:rsidRPr="00857388" w:rsidRDefault="00C87E50" w:rsidP="00C87E50">
            <w:pPr>
              <w:spacing w:before="40" w:after="120"/>
              <w:ind w:right="113"/>
            </w:pPr>
            <w:r>
              <w:t>Given the current type of construction: None</w:t>
            </w:r>
          </w:p>
        </w:tc>
      </w:tr>
      <w:tr w:rsidR="00E078B6" w:rsidRPr="00857388" w14:paraId="42FACABF" w14:textId="77777777" w:rsidTr="00857388">
        <w:tc>
          <w:tcPr>
            <w:tcW w:w="1691" w:type="dxa"/>
            <w:tcBorders>
              <w:bottom w:val="single" w:sz="12" w:space="0" w:color="auto"/>
            </w:tcBorders>
            <w:shd w:val="clear" w:color="auto" w:fill="auto"/>
          </w:tcPr>
          <w:p w14:paraId="29461DB4" w14:textId="77777777" w:rsidR="00E078B6" w:rsidRPr="00B22B19" w:rsidRDefault="00E078B6" w:rsidP="00E078B6">
            <w:pPr>
              <w:ind w:right="566"/>
            </w:pPr>
            <w:r>
              <w:t>Gas measurement</w:t>
            </w:r>
          </w:p>
          <w:p w14:paraId="527D4E02" w14:textId="77777777" w:rsidR="00E078B6" w:rsidRPr="00857388" w:rsidRDefault="00E078B6" w:rsidP="00E078B6">
            <w:pPr>
              <w:spacing w:before="40" w:after="120"/>
              <w:ind w:right="113"/>
            </w:pPr>
          </w:p>
        </w:tc>
        <w:tc>
          <w:tcPr>
            <w:tcW w:w="2140" w:type="dxa"/>
            <w:tcBorders>
              <w:bottom w:val="single" w:sz="12" w:space="0" w:color="auto"/>
            </w:tcBorders>
            <w:shd w:val="clear" w:color="auto" w:fill="auto"/>
          </w:tcPr>
          <w:p w14:paraId="2C267FA4" w14:textId="01EE4FA5" w:rsidR="00E078B6" w:rsidRPr="00857388" w:rsidRDefault="00E078B6" w:rsidP="00E078B6">
            <w:pPr>
              <w:spacing w:before="40" w:after="120"/>
              <w:ind w:right="113"/>
            </w:pPr>
            <w:r>
              <w:t xml:space="preserve">A gas measurement </w:t>
            </w:r>
            <w:proofErr w:type="gramStart"/>
            <w:r>
              <w:t>has to</w:t>
            </w:r>
            <w:proofErr w:type="gramEnd"/>
            <w:r>
              <w:t xml:space="preserve"> be performed prior to entering the cargo tanks, to removing cones and lights as well as for the purpose of </w:t>
            </w:r>
            <w:proofErr w:type="spellStart"/>
            <w:r>
              <w:t>inerting</w:t>
            </w:r>
            <w:proofErr w:type="spellEnd"/>
            <w:r>
              <w:t xml:space="preserve"> and to check whether the cargo tank is free from gases.</w:t>
            </w:r>
          </w:p>
        </w:tc>
        <w:tc>
          <w:tcPr>
            <w:tcW w:w="1892" w:type="dxa"/>
            <w:tcBorders>
              <w:bottom w:val="single" w:sz="12" w:space="0" w:color="auto"/>
            </w:tcBorders>
            <w:shd w:val="clear" w:color="auto" w:fill="auto"/>
          </w:tcPr>
          <w:p w14:paraId="5BFB730B" w14:textId="2E722AD5" w:rsidR="00E078B6" w:rsidRPr="00857388" w:rsidRDefault="00E078B6" w:rsidP="00E078B6">
            <w:pPr>
              <w:spacing w:before="40" w:after="120"/>
              <w:ind w:right="113"/>
            </w:pPr>
            <w:r>
              <w:t>Sampling opening in accordance with the newly proposed definition</w:t>
            </w:r>
          </w:p>
        </w:tc>
        <w:tc>
          <w:tcPr>
            <w:tcW w:w="1647" w:type="dxa"/>
            <w:tcBorders>
              <w:bottom w:val="single" w:sz="12" w:space="0" w:color="auto"/>
            </w:tcBorders>
            <w:shd w:val="clear" w:color="auto" w:fill="auto"/>
          </w:tcPr>
          <w:p w14:paraId="58795D3D" w14:textId="6CE20891" w:rsidR="00E078B6" w:rsidRPr="00857388" w:rsidRDefault="00E078B6" w:rsidP="00E078B6">
            <w:pPr>
              <w:spacing w:before="40" w:after="120"/>
              <w:ind w:right="113"/>
            </w:pPr>
            <w:r>
              <w:t>Given the current type of construction: None</w:t>
            </w:r>
          </w:p>
        </w:tc>
      </w:tr>
    </w:tbl>
    <w:p w14:paraId="12407EEB" w14:textId="77777777" w:rsidR="00BE200A" w:rsidRDefault="00BE200A" w:rsidP="004A4032">
      <w:pPr>
        <w:pStyle w:val="SingleTxtG"/>
      </w:pPr>
    </w:p>
    <w:p w14:paraId="3F066F9D" w14:textId="1150E12D" w:rsidR="00596D14" w:rsidRPr="00E8169C" w:rsidRDefault="0013093D" w:rsidP="00E8169C">
      <w:pPr>
        <w:pStyle w:val="H1G"/>
      </w:pPr>
      <w:r>
        <w:tab/>
        <w:t>B.</w:t>
      </w:r>
      <w:r>
        <w:tab/>
      </w:r>
      <w:r w:rsidR="00596D14" w:rsidRPr="00E8169C">
        <w:t>Explanation of the proposed safety measures</w:t>
      </w:r>
    </w:p>
    <w:p w14:paraId="6C51B6C6" w14:textId="2E24B501" w:rsidR="00596D14" w:rsidRPr="00E8169C" w:rsidRDefault="00441E8B" w:rsidP="003F5D17">
      <w:pPr>
        <w:pStyle w:val="H23G"/>
      </w:pPr>
      <w:r w:rsidRPr="00E8169C">
        <w:tab/>
      </w:r>
      <w:r w:rsidR="002C0147" w:rsidRPr="00E8169C">
        <w:tab/>
      </w:r>
      <w:r w:rsidR="00596D14" w:rsidRPr="00E8169C">
        <w:t>(a)</w:t>
      </w:r>
      <w:r w:rsidRPr="00E8169C">
        <w:tab/>
      </w:r>
      <w:r w:rsidR="00596D14" w:rsidRPr="00E8169C">
        <w:t>Visual inspection</w:t>
      </w:r>
    </w:p>
    <w:p w14:paraId="78894D21" w14:textId="03C52DA0" w:rsidR="00596D14" w:rsidRPr="00E8169C" w:rsidRDefault="002A4002" w:rsidP="00441E8B">
      <w:pPr>
        <w:pStyle w:val="SingleTxtG"/>
      </w:pPr>
      <w:r>
        <w:t>5</w:t>
      </w:r>
      <w:r w:rsidR="00CD40EE">
        <w:t>.</w:t>
      </w:r>
      <w:r w:rsidR="00CD40EE">
        <w:tab/>
      </w:r>
      <w:r w:rsidR="00596D14" w:rsidRPr="00E8169C">
        <w:t>The proposal for a specific paragraph on visual inspection (7.2.4.23.1 in the current draft) contains a provision that the vessel’s outgoing piping must be disconnected from the shore facility. This provision is to apply for all measures in the future. (For details see paragraph</w:t>
      </w:r>
      <w:r w:rsidR="00825572">
        <w:t>s 28-32</w:t>
      </w:r>
      <w:r w:rsidR="00596D14" w:rsidRPr="00E8169C">
        <w:t xml:space="preserve"> below).</w:t>
      </w:r>
    </w:p>
    <w:p w14:paraId="0A455774" w14:textId="5140B49D" w:rsidR="00596D14" w:rsidRPr="00D421B0" w:rsidRDefault="007246EF" w:rsidP="007246EF">
      <w:pPr>
        <w:pStyle w:val="H23G"/>
      </w:pPr>
      <w:r>
        <w:tab/>
      </w:r>
      <w:r w:rsidR="002C0147">
        <w:tab/>
      </w:r>
      <w:r w:rsidR="00596D14">
        <w:t>(b)</w:t>
      </w:r>
      <w:r>
        <w:tab/>
      </w:r>
      <w:r w:rsidR="00596D14">
        <w:t>Sampling</w:t>
      </w:r>
    </w:p>
    <w:p w14:paraId="0254ED7F" w14:textId="77777777" w:rsidR="007B0B10" w:rsidRDefault="00596D14" w:rsidP="002C360B">
      <w:pPr>
        <w:pStyle w:val="SingleTxtG"/>
      </w:pPr>
      <w:r w:rsidRPr="002C360B">
        <w:t>7.2.4.23.2.1</w:t>
      </w:r>
      <w:r w:rsidR="007B0B10">
        <w:t>.</w:t>
      </w:r>
      <w:r w:rsidRPr="002C360B">
        <w:t xml:space="preserve"> The sampling receptacles including all accessories such as ropes, etc., shall consist of electrostatically conductive material and shall be electrically connected to the vessel's hull. </w:t>
      </w:r>
    </w:p>
    <w:p w14:paraId="6B44CC8A" w14:textId="71DE905B" w:rsidR="007B0B10" w:rsidRDefault="00596D14" w:rsidP="002C360B">
      <w:pPr>
        <w:pStyle w:val="SingleTxtG"/>
      </w:pPr>
      <w:r w:rsidRPr="002C360B">
        <w:lastRenderedPageBreak/>
        <w:t>7.2.4.23.2.2</w:t>
      </w:r>
      <w:r w:rsidR="007B0B10">
        <w:t>.</w:t>
      </w:r>
      <w:r w:rsidRPr="002C360B">
        <w:t xml:space="preserve"> Sampling shall be permitted only if a device prescribed in column (13) of Table C of Chapter 3.2 or a device ensuring a higher level of safety is used. </w:t>
      </w:r>
    </w:p>
    <w:p w14:paraId="6BD0DDE6" w14:textId="7F5DF443" w:rsidR="0004162B" w:rsidRDefault="00596D14" w:rsidP="002C360B">
      <w:pPr>
        <w:pStyle w:val="SingleTxtG"/>
      </w:pPr>
      <w:r w:rsidRPr="002C360B">
        <w:t xml:space="preserve">New: </w:t>
      </w:r>
    </w:p>
    <w:p w14:paraId="14BA47A5" w14:textId="3F591C5A" w:rsidR="00596D14" w:rsidRPr="002C360B" w:rsidRDefault="0004162B" w:rsidP="00E460FE">
      <w:pPr>
        <w:pStyle w:val="SingleTxtG"/>
        <w:ind w:left="1701"/>
      </w:pPr>
      <w:r>
        <w:t>"</w:t>
      </w:r>
      <w:r w:rsidR="00596D14" w:rsidRPr="002C360B">
        <w:t>7.2.4.23.2.3</w:t>
      </w:r>
      <w:r w:rsidR="007B0B10">
        <w:t>.</w:t>
      </w:r>
      <w:r w:rsidR="00596D14" w:rsidRPr="002C360B">
        <w:t xml:space="preserve"> In exceptional cases in the event of a malfunction of the sampling device</w:t>
      </w:r>
      <w:r w:rsidR="00596D14">
        <w:rPr>
          <w:sz w:val="22"/>
        </w:rPr>
        <w:t xml:space="preserve"> </w:t>
      </w:r>
      <w:r w:rsidR="00596D14" w:rsidRPr="002C360B">
        <w:t>that cannot be solved in the short term, sampling via the sampling opening shall be permitted.</w:t>
      </w:r>
      <w:r>
        <w:t>"</w:t>
      </w:r>
      <w:r w:rsidR="00596D14" w:rsidRPr="002C360B">
        <w:t xml:space="preserve"> </w:t>
      </w:r>
    </w:p>
    <w:p w14:paraId="052B4C61" w14:textId="071194A0" w:rsidR="00A61350" w:rsidRPr="00E8169C" w:rsidRDefault="00596D14" w:rsidP="006E70E5">
      <w:pPr>
        <w:pStyle w:val="SingleTxtG"/>
      </w:pPr>
      <w:r w:rsidRPr="00E8169C">
        <w:t xml:space="preserve">Justification for the new provision: </w:t>
      </w:r>
    </w:p>
    <w:p w14:paraId="4DDA9829" w14:textId="3E7418A9" w:rsidR="00596D14" w:rsidRPr="00E8169C" w:rsidRDefault="000972A0" w:rsidP="006E70E5">
      <w:pPr>
        <w:pStyle w:val="SingleTxtG"/>
      </w:pPr>
      <w:r w:rsidRPr="00E8169C">
        <w:t>6</w:t>
      </w:r>
      <w:r w:rsidR="00CD40EE" w:rsidRPr="00E8169C">
        <w:t>.</w:t>
      </w:r>
      <w:r w:rsidR="00CD40EE" w:rsidRPr="00E8169C">
        <w:tab/>
      </w:r>
      <w:r w:rsidR="00596D14" w:rsidRPr="00E8169C">
        <w:t xml:space="preserve">It is ensured that the unloading of the vessel is not </w:t>
      </w:r>
      <w:proofErr w:type="gramStart"/>
      <w:r w:rsidR="00596D14" w:rsidRPr="00E8169C">
        <w:t>prevented</w:t>
      </w:r>
      <w:proofErr w:type="gramEnd"/>
      <w:r w:rsidR="00596D14" w:rsidRPr="00E8169C">
        <w:t xml:space="preserve"> and its operational plan is not significantly disrupted (resulting in economic damage for the carrier) in cases where the damage cannot be repaired in the short term with the vessel’s own resources or by external service providers within possible time buffers.</w:t>
      </w:r>
    </w:p>
    <w:p w14:paraId="2E09D70E" w14:textId="3B361CB7" w:rsidR="00596D14" w:rsidRPr="00697B20" w:rsidRDefault="006E70E5" w:rsidP="006E70E5">
      <w:pPr>
        <w:pStyle w:val="H23G"/>
      </w:pPr>
      <w:r>
        <w:tab/>
      </w:r>
      <w:r w:rsidR="009A1095">
        <w:tab/>
      </w:r>
      <w:r w:rsidR="00596D14">
        <w:t>(c)</w:t>
      </w:r>
      <w:r>
        <w:tab/>
      </w:r>
      <w:r w:rsidR="00596D14">
        <w:t>Determination of the filling quantity</w:t>
      </w:r>
    </w:p>
    <w:p w14:paraId="797514F9" w14:textId="06E2D474" w:rsidR="00596D14" w:rsidRPr="006E70E5" w:rsidRDefault="000972A0" w:rsidP="006E70E5">
      <w:pPr>
        <w:pStyle w:val="SingleTxtG"/>
      </w:pPr>
      <w:r>
        <w:t>7</w:t>
      </w:r>
      <w:r w:rsidR="00CD40EE">
        <w:t>.</w:t>
      </w:r>
      <w:r w:rsidR="00CD40EE">
        <w:tab/>
      </w:r>
      <w:r w:rsidR="00596D14" w:rsidRPr="006E70E5">
        <w:t>If the quantity of the cargo measured by the filler differs from the quantity determined on board by means of measuring instruments, the filling quantity in the cargo tank may be determined manually via the sampling opening using a measuring tape and a thermometer. The measuring instruments used for determining the filling quantity in cargo tanks must consist of electrostatically conductive material and must be electrically connected to the vessel's hull during measuring. The measuring instrument must be suitable for use in zone</w:t>
      </w:r>
      <w:r w:rsidR="006E70E5">
        <w:t> </w:t>
      </w:r>
      <w:r w:rsidR="00596D14" w:rsidRPr="006E70E5">
        <w:t xml:space="preserve">0. </w:t>
      </w:r>
    </w:p>
    <w:p w14:paraId="36C1F2B4" w14:textId="5C9E01D1" w:rsidR="00FD3B46" w:rsidRPr="00E8169C" w:rsidRDefault="00596D14" w:rsidP="006E70E5">
      <w:pPr>
        <w:pStyle w:val="SingleTxtG"/>
      </w:pPr>
      <w:r w:rsidRPr="00E8169C">
        <w:t xml:space="preserve">Justification for the new provision: </w:t>
      </w:r>
    </w:p>
    <w:p w14:paraId="2DD29F93" w14:textId="1960685B" w:rsidR="00596D14" w:rsidRPr="00E8169C" w:rsidRDefault="000972A0" w:rsidP="006E70E5">
      <w:pPr>
        <w:pStyle w:val="SingleTxtG"/>
      </w:pPr>
      <w:r w:rsidRPr="00E8169C">
        <w:t>8</w:t>
      </w:r>
      <w:r w:rsidR="00CD40EE" w:rsidRPr="00E8169C">
        <w:t>.</w:t>
      </w:r>
      <w:r w:rsidR="00CD40EE" w:rsidRPr="00E8169C">
        <w:tab/>
      </w:r>
      <w:r w:rsidR="00596D14" w:rsidRPr="00E8169C">
        <w:t xml:space="preserve">The measurement by means of the fixed measurement systems as mentioned in the new paragraph 7.2.4.23.2.5 can occasionally be incorrect. This may be due to air bubbles or drops that confuse radar or sonic measuring systems or due to floaters that are </w:t>
      </w:r>
      <w:r w:rsidR="006660B8" w:rsidRPr="00E8169C">
        <w:t>"</w:t>
      </w:r>
      <w:r w:rsidR="00596D14" w:rsidRPr="00E8169C">
        <w:t>stuck</w:t>
      </w:r>
      <w:r w:rsidR="006660B8" w:rsidRPr="00E8169C">
        <w:t>"</w:t>
      </w:r>
      <w:r w:rsidR="00596D14" w:rsidRPr="00E8169C">
        <w:t xml:space="preserve">. Defective sensors may be another reason. As a result, the quantity indicated by the filler to the carrier during loading or by the carrier at the unloading site may differ from the quantity indicated by the fixed measurement system on the cargo tank. In this case, the precise quantity and value of the cargo can only be determined by means of a measuring tape and a thermometer. The determination of the quantity by means of the calibration marks is fault-prone, as the readings are dependent on external factors such as wave height and wave frequency. This is, of course, also true for the determination of quantity for customs clearance. </w:t>
      </w:r>
    </w:p>
    <w:p w14:paraId="465A3D2E" w14:textId="34B88C23" w:rsidR="00596D14" w:rsidRPr="00697B20" w:rsidRDefault="00E12D97" w:rsidP="00E12D97">
      <w:pPr>
        <w:pStyle w:val="H23G"/>
      </w:pPr>
      <w:r>
        <w:tab/>
      </w:r>
      <w:r w:rsidR="006B35C3">
        <w:tab/>
      </w:r>
      <w:r w:rsidR="00596D14">
        <w:t>(d)</w:t>
      </w:r>
      <w:r>
        <w:tab/>
      </w:r>
      <w:r w:rsidR="00596D14">
        <w:t>Addition of stabilizers</w:t>
      </w:r>
    </w:p>
    <w:p w14:paraId="70D92935" w14:textId="0697208E" w:rsidR="00A61350" w:rsidRPr="00E8169C" w:rsidRDefault="00596D14" w:rsidP="006E70E5">
      <w:pPr>
        <w:pStyle w:val="SingleTxtG"/>
      </w:pPr>
      <w:r w:rsidRPr="00E8169C">
        <w:t>New provision for ADN:</w:t>
      </w:r>
    </w:p>
    <w:p w14:paraId="3D3FAB16" w14:textId="0F0FB283" w:rsidR="00596D14" w:rsidRPr="00E8169C" w:rsidRDefault="00A61350" w:rsidP="00AE229C">
      <w:pPr>
        <w:pStyle w:val="SingleTxtG"/>
        <w:ind w:left="1701"/>
      </w:pPr>
      <w:r w:rsidRPr="00E8169C">
        <w:t>"</w:t>
      </w:r>
      <w:r w:rsidR="00596D14" w:rsidRPr="00E8169C">
        <w:t>7.2.4.23.2.6: When adding stabilizer via the sampling opening, static charging shall be prevented.</w:t>
      </w:r>
      <w:r w:rsidRPr="00E8169C">
        <w:t>"</w:t>
      </w:r>
    </w:p>
    <w:p w14:paraId="0B84983E" w14:textId="170C26E6" w:rsidR="00932A7A" w:rsidRPr="00E8169C" w:rsidRDefault="00596D14" w:rsidP="006E70E5">
      <w:pPr>
        <w:pStyle w:val="SingleTxtG"/>
      </w:pPr>
      <w:r w:rsidRPr="00E8169C">
        <w:t xml:space="preserve">Justification for the new provision: </w:t>
      </w:r>
    </w:p>
    <w:p w14:paraId="0273F4AD" w14:textId="68400881" w:rsidR="00596D14" w:rsidRPr="00E8169C" w:rsidRDefault="000972A0" w:rsidP="006E70E5">
      <w:pPr>
        <w:pStyle w:val="SingleTxtG"/>
      </w:pPr>
      <w:r w:rsidRPr="00E8169C">
        <w:t>9</w:t>
      </w:r>
      <w:r w:rsidR="00CD40EE" w:rsidRPr="00E8169C">
        <w:t>.</w:t>
      </w:r>
      <w:r w:rsidR="00CD40EE" w:rsidRPr="00E8169C">
        <w:tab/>
      </w:r>
      <w:r w:rsidR="00596D14" w:rsidRPr="00E8169C">
        <w:t xml:space="preserve">The requirement in 7.2.4.23.6 takes up an issue that is already regulated in other places in ADN, </w:t>
      </w:r>
      <w:proofErr w:type="gramStart"/>
      <w:r w:rsidR="00596D14" w:rsidRPr="00E8169C">
        <w:t>e.g.</w:t>
      </w:r>
      <w:proofErr w:type="gramEnd"/>
      <w:r w:rsidR="00596D14" w:rsidRPr="00E8169C">
        <w:t xml:space="preserve"> for </w:t>
      </w:r>
      <w:proofErr w:type="spellStart"/>
      <w:r w:rsidR="00596D14" w:rsidRPr="00E8169C">
        <w:t>inerting</w:t>
      </w:r>
      <w:proofErr w:type="spellEnd"/>
      <w:r w:rsidR="00596D14" w:rsidRPr="00E8169C">
        <w:t xml:space="preserve"> in 7.2.4.18.4 or for loading in 7.2.4.16.15, in order to prevent electrostatic charging. For this, the rate of filling </w:t>
      </w:r>
      <w:proofErr w:type="gramStart"/>
      <w:r w:rsidR="00596D14" w:rsidRPr="00E8169C">
        <w:t>has to</w:t>
      </w:r>
      <w:proofErr w:type="gramEnd"/>
      <w:r w:rsidR="00596D14" w:rsidRPr="00E8169C">
        <w:t xml:space="preserve"> be kept as low as possible, taking into consideration the conductivity. In practice, the amounts of stabilizer added are relatively small.</w:t>
      </w:r>
    </w:p>
    <w:p w14:paraId="4AC9BC43" w14:textId="0A4BC529" w:rsidR="00596D14" w:rsidRPr="00697B20" w:rsidRDefault="00CE1104" w:rsidP="00C167C5">
      <w:pPr>
        <w:pStyle w:val="H23G"/>
        <w:pageBreakBefore/>
      </w:pPr>
      <w:r>
        <w:lastRenderedPageBreak/>
        <w:tab/>
      </w:r>
      <w:r w:rsidR="006E4F72">
        <w:tab/>
      </w:r>
      <w:r w:rsidR="00596D14">
        <w:t>(e)</w:t>
      </w:r>
      <w:r>
        <w:tab/>
      </w:r>
      <w:r w:rsidR="00596D14">
        <w:t>Gas measurement</w:t>
      </w:r>
    </w:p>
    <w:p w14:paraId="2967FEFA" w14:textId="743EA3A7" w:rsidR="00E001EB" w:rsidRPr="00E8169C" w:rsidRDefault="00596D14" w:rsidP="006E70E5">
      <w:pPr>
        <w:pStyle w:val="SingleTxtG"/>
      </w:pPr>
      <w:r w:rsidRPr="00E8169C">
        <w:t xml:space="preserve">New provision for ADN: </w:t>
      </w:r>
    </w:p>
    <w:p w14:paraId="46F6C928" w14:textId="1D8DE08D" w:rsidR="00596D14" w:rsidRPr="00E8169C" w:rsidRDefault="00E001EB" w:rsidP="00870085">
      <w:pPr>
        <w:pStyle w:val="SingleTxtG"/>
        <w:ind w:left="1701"/>
      </w:pPr>
      <w:r w:rsidRPr="00E8169C">
        <w:t>"</w:t>
      </w:r>
      <w:r w:rsidR="00596D14" w:rsidRPr="00E8169C">
        <w:t>7.2.4.23.2.7 The requirements in accordance with 7.2.3.1.4 shall apply additionally for gas measurement.</w:t>
      </w:r>
      <w:r w:rsidRPr="00E8169C">
        <w:t>"</w:t>
      </w:r>
    </w:p>
    <w:p w14:paraId="292BF76D" w14:textId="23B4A798" w:rsidR="00E001EB" w:rsidRPr="00E8169C" w:rsidRDefault="00596D14" w:rsidP="006E70E5">
      <w:pPr>
        <w:pStyle w:val="SingleTxtG"/>
      </w:pPr>
      <w:r w:rsidRPr="00E8169C">
        <w:t xml:space="preserve">Justification for the new provision: </w:t>
      </w:r>
    </w:p>
    <w:p w14:paraId="1C82EA54" w14:textId="7B93308D" w:rsidR="00596D14" w:rsidRPr="00E8169C" w:rsidRDefault="000972A0" w:rsidP="006E70E5">
      <w:pPr>
        <w:pStyle w:val="SingleTxtG"/>
      </w:pPr>
      <w:r w:rsidRPr="00E8169C">
        <w:t>10</w:t>
      </w:r>
      <w:r w:rsidR="00CD40EE" w:rsidRPr="00E8169C">
        <w:t>.</w:t>
      </w:r>
      <w:r w:rsidR="00CD40EE" w:rsidRPr="00E8169C">
        <w:tab/>
      </w:r>
      <w:r w:rsidR="00596D14" w:rsidRPr="00E8169C">
        <w:t xml:space="preserve">Gas measurements can be safely performed if the requirements in accordance with 7.2.3.1.4 are complied with in addition to the new provisions. </w:t>
      </w:r>
    </w:p>
    <w:p w14:paraId="2A3CBFA6" w14:textId="58BA7C72" w:rsidR="00596D14" w:rsidRPr="00040142" w:rsidRDefault="00040142" w:rsidP="00E8169C">
      <w:pPr>
        <w:pStyle w:val="H1G"/>
      </w:pPr>
      <w:r>
        <w:tab/>
        <w:t>C</w:t>
      </w:r>
      <w:r w:rsidR="002358C8" w:rsidRPr="00040142">
        <w:t>.</w:t>
      </w:r>
      <w:r w:rsidR="002358C8" w:rsidRPr="00040142">
        <w:tab/>
      </w:r>
      <w:r w:rsidR="00596D14" w:rsidRPr="00040142">
        <w:t>Definition of sampling opening: equivalent openings</w:t>
      </w:r>
    </w:p>
    <w:p w14:paraId="1018BFAB" w14:textId="0544F88F" w:rsidR="00596D14" w:rsidRPr="00D060FF" w:rsidRDefault="000972A0" w:rsidP="006E70E5">
      <w:pPr>
        <w:pStyle w:val="SingleTxtG"/>
      </w:pPr>
      <w:r>
        <w:t>11</w:t>
      </w:r>
      <w:r w:rsidR="00E25E8E">
        <w:t>.</w:t>
      </w:r>
      <w:r w:rsidR="00E25E8E">
        <w:tab/>
      </w:r>
      <w:r w:rsidR="00596D14">
        <w:t xml:space="preserve">Austria had suggested that the equivalency of other openings should be worded more clearly in the definition of </w:t>
      </w:r>
      <w:r w:rsidR="00532717">
        <w:t>"</w:t>
      </w:r>
      <w:r w:rsidR="00596D14">
        <w:t>sampling opening</w:t>
      </w:r>
      <w:r w:rsidR="00532717">
        <w:t>"</w:t>
      </w:r>
      <w:r w:rsidR="00596D14">
        <w:t>.</w:t>
      </w:r>
    </w:p>
    <w:p w14:paraId="10A22AF7" w14:textId="420042F1" w:rsidR="00596D14" w:rsidRPr="00D060FF" w:rsidRDefault="000972A0" w:rsidP="006E70E5">
      <w:pPr>
        <w:pStyle w:val="SingleTxtG"/>
        <w:rPr>
          <w:bCs/>
          <w:szCs w:val="22"/>
        </w:rPr>
      </w:pPr>
      <w:r>
        <w:t>12</w:t>
      </w:r>
      <w:r w:rsidR="006C6AA8">
        <w:t>.</w:t>
      </w:r>
      <w:r w:rsidR="006C6AA8">
        <w:tab/>
      </w:r>
      <w:r w:rsidR="00596D14">
        <w:t xml:space="preserve">A new sentence in the definition of </w:t>
      </w:r>
      <w:r w:rsidR="00B43603">
        <w:t>"</w:t>
      </w:r>
      <w:r w:rsidR="00596D14">
        <w:t>Sampling opening</w:t>
      </w:r>
      <w:r w:rsidR="00B43603">
        <w:t>"</w:t>
      </w:r>
      <w:r w:rsidR="00596D14">
        <w:t xml:space="preserve"> in 1.2.1 could read as follows:</w:t>
      </w:r>
    </w:p>
    <w:p w14:paraId="7DCB1F17" w14:textId="48BD0AB4" w:rsidR="00596D14" w:rsidRPr="00E8169C" w:rsidRDefault="002E3BB2" w:rsidP="00E8169C">
      <w:pPr>
        <w:pStyle w:val="SingleTxtG"/>
        <w:ind w:left="1701"/>
        <w:rPr>
          <w:b/>
          <w:bCs/>
          <w:sz w:val="22"/>
          <w:szCs w:val="22"/>
        </w:rPr>
      </w:pPr>
      <w:r w:rsidRPr="002E3BB2">
        <w:rPr>
          <w:iCs/>
        </w:rPr>
        <w:t>"</w:t>
      </w:r>
      <w:r w:rsidR="00596D14" w:rsidRPr="002E3BB2">
        <w:rPr>
          <w:iCs/>
        </w:rPr>
        <w:t>Other cargo tank openings, except cargo tank hatches, shall be deemed to be sampling openings if they comply with the aforementioned requirements.</w:t>
      </w:r>
      <w:r w:rsidRPr="002E3BB2">
        <w:rPr>
          <w:iCs/>
        </w:rPr>
        <w:t>"</w:t>
      </w:r>
    </w:p>
    <w:p w14:paraId="4F5E7CC2" w14:textId="00A8A493" w:rsidR="00596D14" w:rsidRPr="00E8169C" w:rsidRDefault="00040142" w:rsidP="00E8169C">
      <w:pPr>
        <w:pStyle w:val="H1G"/>
      </w:pPr>
      <w:r>
        <w:tab/>
      </w:r>
      <w:r w:rsidR="00E51EA5">
        <w:t>D.</w:t>
      </w:r>
      <w:r w:rsidR="00E51EA5">
        <w:tab/>
      </w:r>
      <w:r w:rsidR="00596D14" w:rsidRPr="00E8169C">
        <w:t>Degassing: Flame arrester that must be fitted to the outlet</w:t>
      </w:r>
    </w:p>
    <w:p w14:paraId="4C78462C" w14:textId="7F88E38C" w:rsidR="00596D14" w:rsidRPr="00D060FF" w:rsidRDefault="000972A0" w:rsidP="009D5F0F">
      <w:pPr>
        <w:pStyle w:val="SingleTxtG"/>
      </w:pPr>
      <w:r>
        <w:t>13</w:t>
      </w:r>
      <w:r w:rsidR="006C6AA8">
        <w:t>.</w:t>
      </w:r>
      <w:r w:rsidR="006C6AA8">
        <w:tab/>
      </w:r>
      <w:r w:rsidR="00596D14">
        <w:t xml:space="preserve">Germany supports the proposal presented by the Netherlands at the </w:t>
      </w:r>
      <w:r w:rsidR="000A6BE9">
        <w:t>fortieth</w:t>
      </w:r>
      <w:r w:rsidR="00596D14">
        <w:t xml:space="preserve"> session in working document ECE/TRANS/WP.15/AC.2/2022/45 to prescribe the use of </w:t>
      </w:r>
      <w:r w:rsidR="009D5F0F">
        <w:t>"</w:t>
      </w:r>
      <w:r w:rsidR="00596D14">
        <w:t>flame arresters capable of withstanding a detonation</w:t>
      </w:r>
      <w:r w:rsidR="009D5F0F">
        <w:t>"</w:t>
      </w:r>
      <w:r w:rsidR="00596D14">
        <w:t xml:space="preserve"> instead of </w:t>
      </w:r>
      <w:r w:rsidR="009D5F0F">
        <w:t>"</w:t>
      </w:r>
      <w:r w:rsidR="00596D14">
        <w:t>flame arresters capable of withstanding steady burning</w:t>
      </w:r>
      <w:r w:rsidR="009D5F0F">
        <w:t>"</w:t>
      </w:r>
      <w:r w:rsidR="00596D14">
        <w:t xml:space="preserve"> in the first sentence of 7.2.3.7.1.3. The proposal is to be included in a revision of the amendment package.</w:t>
      </w:r>
    </w:p>
    <w:p w14:paraId="552F43C9" w14:textId="0F2553DF" w:rsidR="00596D14" w:rsidRPr="00E8169C" w:rsidRDefault="00C17918" w:rsidP="00E8169C">
      <w:pPr>
        <w:pStyle w:val="H1G"/>
      </w:pPr>
      <w:r>
        <w:tab/>
        <w:t>E.</w:t>
      </w:r>
      <w:r>
        <w:tab/>
      </w:r>
      <w:r w:rsidR="00596D14" w:rsidRPr="00E8169C">
        <w:t>Degassing: Description of the opening through which gases may be removed from the tank</w:t>
      </w:r>
    </w:p>
    <w:p w14:paraId="1E0CDE05" w14:textId="260F5899" w:rsidR="00596D14" w:rsidRPr="00A765DD" w:rsidRDefault="000972A0" w:rsidP="005F5815">
      <w:pPr>
        <w:pStyle w:val="SingleTxtG"/>
      </w:pPr>
      <w:r>
        <w:t>14</w:t>
      </w:r>
      <w:r w:rsidR="00D76E74">
        <w:t>.</w:t>
      </w:r>
      <w:r w:rsidR="00D76E74">
        <w:tab/>
      </w:r>
      <w:r w:rsidR="00596D14">
        <w:t>The Netherlands have also suggested that the original proposal for an insertion in 7.2.3.7.1.3</w:t>
      </w:r>
      <w:r w:rsidR="005F5815">
        <w:t>.</w:t>
      </w:r>
      <w:r w:rsidR="00596D14">
        <w:t xml:space="preserve"> (</w:t>
      </w:r>
      <w:r w:rsidR="00476F14">
        <w:t>"</w:t>
      </w:r>
      <w:r w:rsidR="00596D14">
        <w:t>The gas/air mixture may be removed from the cargo tanks through the device ...</w:t>
      </w:r>
      <w:r w:rsidR="00476F14">
        <w:t>"</w:t>
      </w:r>
      <w:r w:rsidR="00596D14">
        <w:t xml:space="preserve">) be moved to the definition. This proposal is not accepted. The insertion is an operational provision detailing where the gas/air mixture may be removed from the cargo tanks. It is not intended to define the </w:t>
      </w:r>
      <w:r w:rsidR="00476F14">
        <w:t>"</w:t>
      </w:r>
      <w:r w:rsidR="00596D14">
        <w:t>suitable venting equipment</w:t>
      </w:r>
      <w:r w:rsidR="00476F14">
        <w:t>"</w:t>
      </w:r>
      <w:r w:rsidR="00596D14">
        <w:t xml:space="preserve"> more closely. The equipment consists of fans that do not need to be described in more detail.</w:t>
      </w:r>
    </w:p>
    <w:p w14:paraId="1515C453" w14:textId="35C69D1B" w:rsidR="00596D14" w:rsidRPr="00A765DD" w:rsidRDefault="000972A0" w:rsidP="00984A1C">
      <w:pPr>
        <w:pStyle w:val="SingleTxtG"/>
      </w:pPr>
      <w:r>
        <w:t>15</w:t>
      </w:r>
      <w:r w:rsidR="00D76E74">
        <w:t>.</w:t>
      </w:r>
      <w:r w:rsidR="00D76E74">
        <w:tab/>
      </w:r>
      <w:r w:rsidR="00596D14">
        <w:t>As Austria has accurately noted, it is not immediately evident in the previous proposal for amending 7.2.3.7.1.3 whether the outlets listed are merely examples or whether the list is exhaustive. It is an exhaustive list, and this should also be obvious from the wording:</w:t>
      </w:r>
    </w:p>
    <w:p w14:paraId="0E73BCED" w14:textId="73B93329" w:rsidR="00596D14" w:rsidRPr="001906C5" w:rsidRDefault="00984A1C" w:rsidP="00D26E9E">
      <w:pPr>
        <w:pStyle w:val="SingleTxtG"/>
        <w:ind w:left="1701"/>
        <w:rPr>
          <w:szCs w:val="22"/>
        </w:rPr>
      </w:pPr>
      <w:r>
        <w:t>"</w:t>
      </w:r>
      <w:r w:rsidR="00596D14">
        <w:t>The air/gas mixture shall only be removed from the cargo tanks</w:t>
      </w:r>
      <w:r w:rsidR="00690539">
        <w:t>:</w:t>
      </w:r>
    </w:p>
    <w:p w14:paraId="09238094" w14:textId="47187759" w:rsidR="00596D14" w:rsidRPr="00E8169C" w:rsidRDefault="00690539" w:rsidP="00D26E9E">
      <w:pPr>
        <w:pStyle w:val="SingleTxtG"/>
        <w:ind w:left="1701"/>
        <w:rPr>
          <w:szCs w:val="22"/>
        </w:rPr>
      </w:pPr>
      <w:r w:rsidRPr="00E8169C">
        <w:tab/>
      </w:r>
      <w:r w:rsidR="00596D14" w:rsidRPr="00E8169C">
        <w:t>(a)</w:t>
      </w:r>
      <w:r w:rsidRPr="00E8169C">
        <w:tab/>
      </w:r>
      <w:r w:rsidR="00596D14" w:rsidRPr="00E8169C">
        <w:t>through the device for the safe depressurization of cargo tanks [as referred to in 9.3.2.22.4 (a) and 9.3.2.22.4 (b) or 9.3.3.22.4 (a) and 9.3.3.22.4 (b)</w:t>
      </w:r>
      <w:proofErr w:type="gramStart"/>
      <w:r w:rsidR="00596D14" w:rsidRPr="00E8169C">
        <w:t>]</w:t>
      </w:r>
      <w:r w:rsidR="00A41EED" w:rsidRPr="00E8169C">
        <w:t>;</w:t>
      </w:r>
      <w:proofErr w:type="gramEnd"/>
      <w:r w:rsidR="00596D14" w:rsidRPr="00E8169C">
        <w:t xml:space="preserve"> </w:t>
      </w:r>
    </w:p>
    <w:p w14:paraId="32087540" w14:textId="5FB659D2" w:rsidR="00596D14" w:rsidRPr="00E8169C" w:rsidRDefault="00A41EED" w:rsidP="00D26E9E">
      <w:pPr>
        <w:pStyle w:val="SingleTxtG"/>
        <w:ind w:left="1701"/>
        <w:rPr>
          <w:szCs w:val="22"/>
        </w:rPr>
      </w:pPr>
      <w:r w:rsidRPr="00E8169C">
        <w:tab/>
      </w:r>
      <w:r w:rsidR="00596D14" w:rsidRPr="00E8169C">
        <w:t>(b)</w:t>
      </w:r>
      <w:r w:rsidRPr="00E8169C">
        <w:tab/>
      </w:r>
      <w:r w:rsidR="00596D14" w:rsidRPr="00E8169C">
        <w:t>through the sampling opening [(9.3.2.21.1. (g) or 9.3.3.21.1 (g))],</w:t>
      </w:r>
    </w:p>
    <w:p w14:paraId="0986D6AB" w14:textId="024B76A3" w:rsidR="00596D14" w:rsidRPr="00E8169C" w:rsidRDefault="00A41EED" w:rsidP="00D26E9E">
      <w:pPr>
        <w:pStyle w:val="SingleTxtG"/>
        <w:ind w:left="1701"/>
        <w:rPr>
          <w:szCs w:val="22"/>
        </w:rPr>
      </w:pPr>
      <w:r w:rsidRPr="00E8169C">
        <w:tab/>
      </w:r>
      <w:r w:rsidR="00596D14" w:rsidRPr="00E8169C">
        <w:t>(c)</w:t>
      </w:r>
      <w:r w:rsidRPr="00E8169C">
        <w:tab/>
      </w:r>
      <w:r w:rsidR="00596D14" w:rsidRPr="00E8169C">
        <w:t>through the open housing of the flame arrester at the connection of the cargo tank and the venting piping [(9.3.2.22.4 (b) or 9.3.3.22.4 (d))], or</w:t>
      </w:r>
    </w:p>
    <w:p w14:paraId="14E61D5D" w14:textId="24F328B3" w:rsidR="00596D14" w:rsidRPr="001906C5" w:rsidRDefault="00A3044D" w:rsidP="00D26E9E">
      <w:pPr>
        <w:pStyle w:val="SingleTxtG"/>
        <w:ind w:left="1701"/>
        <w:rPr>
          <w:szCs w:val="22"/>
        </w:rPr>
      </w:pPr>
      <w:r>
        <w:lastRenderedPageBreak/>
        <w:tab/>
      </w:r>
      <w:r w:rsidR="00596D14">
        <w:t>(d)</w:t>
      </w:r>
      <w:r>
        <w:tab/>
      </w:r>
      <w:r w:rsidR="00596D14">
        <w:t>through a suitable hose that is connected to the venting piping and equipped with a flame arrester preceding the hose (explosion group/subgroup according to column (16) of Table C of Chapter 3.2).</w:t>
      </w:r>
      <w:r w:rsidR="00984A1C">
        <w:t>"</w:t>
      </w:r>
    </w:p>
    <w:p w14:paraId="27839AF1" w14:textId="6DCE22BF" w:rsidR="00CE71E1" w:rsidRPr="00E8169C" w:rsidRDefault="00C17918" w:rsidP="00E8169C">
      <w:pPr>
        <w:pStyle w:val="H1G"/>
      </w:pPr>
      <w:r>
        <w:tab/>
        <w:t>F.</w:t>
      </w:r>
      <w:r>
        <w:tab/>
      </w:r>
      <w:r w:rsidR="00CE71E1" w:rsidRPr="00E8169C">
        <w:t>Scope of application of the provisions on the opening of openings</w:t>
      </w:r>
    </w:p>
    <w:p w14:paraId="53D7E70B" w14:textId="1B688895" w:rsidR="00CE71E1" w:rsidRPr="00D060FF" w:rsidRDefault="00A16F92" w:rsidP="003C4EF5">
      <w:pPr>
        <w:pStyle w:val="SingleTxtG"/>
        <w:rPr>
          <w:bCs/>
          <w:color w:val="7030A0"/>
          <w:szCs w:val="22"/>
        </w:rPr>
      </w:pPr>
      <w:r>
        <w:t>16</w:t>
      </w:r>
      <w:r w:rsidR="00BF588D">
        <w:t>.</w:t>
      </w:r>
      <w:r w:rsidR="00BF588D">
        <w:tab/>
      </w:r>
      <w:r w:rsidR="00CE71E1">
        <w:t xml:space="preserve">The first two amendments proposed by Belgium in </w:t>
      </w:r>
      <w:r w:rsidR="00E60C8D">
        <w:t xml:space="preserve">the </w:t>
      </w:r>
      <w:r w:rsidR="00BF588D">
        <w:t>i</w:t>
      </w:r>
      <w:r w:rsidR="00E60C8D">
        <w:t xml:space="preserve">nformal </w:t>
      </w:r>
      <w:r w:rsidR="0006648C">
        <w:t xml:space="preserve">document </w:t>
      </w:r>
      <w:r w:rsidR="00CE71E1">
        <w:t xml:space="preserve">INF.19 </w:t>
      </w:r>
      <w:r w:rsidR="00BC0940">
        <w:t xml:space="preserve">of the fortieth session </w:t>
      </w:r>
      <w:r w:rsidR="00CE71E1">
        <w:t>(indicating the name of the vessel types instead of the hazard classes, visual inspection only from deck level) are justified and can be included in a revised version of the amendment package</w:t>
      </w:r>
      <w:r w:rsidR="004C2332">
        <w:t>:</w:t>
      </w:r>
      <w:r w:rsidR="00CE71E1">
        <w:t xml:space="preserve"> </w:t>
      </w:r>
    </w:p>
    <w:p w14:paraId="2D093AFF" w14:textId="3A1CA2CD" w:rsidR="00CE71E1" w:rsidRPr="00B85D83" w:rsidRDefault="004C2332" w:rsidP="00B85D83">
      <w:pPr>
        <w:pStyle w:val="SingleTxtG"/>
        <w:ind w:left="1701"/>
        <w:rPr>
          <w:szCs w:val="22"/>
        </w:rPr>
      </w:pPr>
      <w:r>
        <w:t>"</w:t>
      </w:r>
      <w:r w:rsidR="00CE71E1" w:rsidRPr="00B85D83">
        <w:t xml:space="preserve">7.2.4.22 and 7.2.4.23 shall only apply to </w:t>
      </w:r>
      <w:r w:rsidR="00CE71E1" w:rsidRPr="00B85D83">
        <w:rPr>
          <w:u w:val="single"/>
        </w:rPr>
        <w:t>tank</w:t>
      </w:r>
      <w:r w:rsidR="00CE71E1" w:rsidRPr="00B85D83">
        <w:t xml:space="preserve"> vessels of </w:t>
      </w:r>
      <w:r w:rsidR="00CE71E1" w:rsidRPr="00B85D83">
        <w:rPr>
          <w:u w:val="single"/>
        </w:rPr>
        <w:t>Type C and Type N</w:t>
      </w:r>
      <w:r w:rsidR="00CE71E1" w:rsidRPr="000A6817">
        <w:rPr>
          <w:strike/>
        </w:rPr>
        <w:t>. that have unloaded goods of Classes 3, 4.1, 5.1, 6.1, 8 or 9 or intend to load such goods.</w:t>
      </w:r>
      <w:r>
        <w:t>"</w:t>
      </w:r>
    </w:p>
    <w:p w14:paraId="01B2444B" w14:textId="339D254B" w:rsidR="00CE71E1" w:rsidRPr="00B85D83" w:rsidRDefault="004C2332" w:rsidP="00B85D83">
      <w:pPr>
        <w:pStyle w:val="SingleTxtG"/>
        <w:ind w:left="1701"/>
        <w:rPr>
          <w:szCs w:val="22"/>
        </w:rPr>
      </w:pPr>
      <w:r>
        <w:t>"</w:t>
      </w:r>
      <w:r w:rsidR="00CE71E1" w:rsidRPr="00B85D83">
        <w:t xml:space="preserve">...is permitted under the following conditions for cleaning and/or replacing the flame arrester plate stack, visual inspection </w:t>
      </w:r>
      <w:r w:rsidR="00CE71E1" w:rsidRPr="00B85D83">
        <w:rPr>
          <w:u w:val="single"/>
        </w:rPr>
        <w:t>from deck level</w:t>
      </w:r>
      <w:r w:rsidR="00CE71E1" w:rsidRPr="00B85D83">
        <w:t>, sampling...</w:t>
      </w:r>
      <w:r>
        <w:t>"</w:t>
      </w:r>
    </w:p>
    <w:p w14:paraId="2AE8BE70" w14:textId="144C86D6" w:rsidR="00CE71E1" w:rsidRPr="00D060FF" w:rsidRDefault="00A16F92" w:rsidP="00481640">
      <w:pPr>
        <w:pStyle w:val="SingleTxtG"/>
        <w:rPr>
          <w:bCs/>
          <w:szCs w:val="22"/>
        </w:rPr>
      </w:pPr>
      <w:r>
        <w:t>17</w:t>
      </w:r>
      <w:r w:rsidR="00BF588D">
        <w:t>.</w:t>
      </w:r>
      <w:r w:rsidR="00BF588D">
        <w:tab/>
      </w:r>
      <w:r w:rsidR="00CE71E1">
        <w:t>This also addresses another objection. Austria had noted that the previous proposals were ambiguous as to whether cargo tanks may also be opened when they are loaded or only when they have been discharged.</w:t>
      </w:r>
    </w:p>
    <w:p w14:paraId="20CC020A" w14:textId="56DD76E3" w:rsidR="00CE71E1" w:rsidRPr="00E8169C" w:rsidRDefault="00A16F92" w:rsidP="00481640">
      <w:pPr>
        <w:pStyle w:val="SingleTxtG"/>
        <w:rPr>
          <w:bCs/>
          <w:szCs w:val="22"/>
        </w:rPr>
      </w:pPr>
      <w:r w:rsidRPr="00E8169C">
        <w:t>18</w:t>
      </w:r>
      <w:r w:rsidR="00BF588D" w:rsidRPr="00E8169C">
        <w:t>.</w:t>
      </w:r>
      <w:r w:rsidR="00BF588D" w:rsidRPr="00E8169C">
        <w:tab/>
      </w:r>
      <w:r w:rsidR="00CE71E1" w:rsidRPr="00E8169C">
        <w:t xml:space="preserve">There are substances of Class 3, </w:t>
      </w:r>
      <w:proofErr w:type="gramStart"/>
      <w:r w:rsidR="00CE71E1" w:rsidRPr="00E8169C">
        <w:t>e.g.</w:t>
      </w:r>
      <w:proofErr w:type="gramEnd"/>
      <w:r w:rsidR="00CE71E1" w:rsidRPr="00E8169C">
        <w:t xml:space="preserve"> UN 1089 acetaldehyde or UN 1267 and 1268 petroleum crude oil, for which the appropriate vessel first has to be determined by applying the flowchart in 3.2.3.3 of ADN. For those substances, the use of a tank vessel of type </w:t>
      </w:r>
      <w:r w:rsidR="00636702" w:rsidRPr="00E8169C">
        <w:t>"</w:t>
      </w:r>
      <w:r w:rsidR="00CE71E1" w:rsidRPr="00E8169C">
        <w:t>C-1-1</w:t>
      </w:r>
      <w:r w:rsidR="00636702" w:rsidRPr="00E8169C">
        <w:t>"</w:t>
      </w:r>
      <w:r w:rsidR="00CE71E1" w:rsidRPr="00E8169C">
        <w:t xml:space="preserve"> (tank vessel of type C with pressure cargo tanks) is prescribed. However, such vessels do not exist. The substances </w:t>
      </w:r>
      <w:proofErr w:type="gramStart"/>
      <w:r w:rsidR="00CE71E1" w:rsidRPr="00E8169C">
        <w:t>have to</w:t>
      </w:r>
      <w:proofErr w:type="gramEnd"/>
      <w:r w:rsidR="00CE71E1" w:rsidRPr="00E8169C">
        <w:t xml:space="preserve"> be carried in tank vessels of type G (with pressure cargo tanks). </w:t>
      </w:r>
    </w:p>
    <w:p w14:paraId="66C0B95A" w14:textId="0926D6AF" w:rsidR="00CE71E1" w:rsidRPr="00E8169C" w:rsidRDefault="00A16F92" w:rsidP="00481640">
      <w:pPr>
        <w:pStyle w:val="SingleTxtG"/>
        <w:rPr>
          <w:bCs/>
          <w:szCs w:val="22"/>
        </w:rPr>
      </w:pPr>
      <w:r w:rsidRPr="00E8169C">
        <w:t>19</w:t>
      </w:r>
      <w:r w:rsidR="00BF588D" w:rsidRPr="00E8169C">
        <w:t>.</w:t>
      </w:r>
      <w:r w:rsidR="00BF588D" w:rsidRPr="00E8169C">
        <w:tab/>
      </w:r>
      <w:r w:rsidR="00CE71E1" w:rsidRPr="00E8169C">
        <w:t>Depending on the respective substance carried, it is necessary in individual cases to open openings for the purposes mentioned above also on tank vessels of type G. This is the reason why the scope of application has so far not been restricted to tank vessels of type C and N but rather the application of these provisions to the carriage of dangerous goods of Class 2 in tank vessels has been excluded.</w:t>
      </w:r>
    </w:p>
    <w:p w14:paraId="59DE329F" w14:textId="3206A07C" w:rsidR="00CE71E1" w:rsidRPr="00E8169C" w:rsidRDefault="00A16F92" w:rsidP="00481640">
      <w:pPr>
        <w:pStyle w:val="SingleTxtG"/>
        <w:rPr>
          <w:bCs/>
          <w:szCs w:val="22"/>
        </w:rPr>
      </w:pPr>
      <w:r w:rsidRPr="00E8169C">
        <w:t>20</w:t>
      </w:r>
      <w:r w:rsidR="00BF588D" w:rsidRPr="00E8169C">
        <w:t>.</w:t>
      </w:r>
      <w:r w:rsidR="00BF588D" w:rsidRPr="00E8169C">
        <w:tab/>
      </w:r>
      <w:r w:rsidR="00CE71E1" w:rsidRPr="00E8169C">
        <w:t>For those specific cases, no solution has been found so far.</w:t>
      </w:r>
    </w:p>
    <w:p w14:paraId="57D33426" w14:textId="2C442080" w:rsidR="00CE71E1" w:rsidRPr="00E8169C" w:rsidRDefault="00C17918" w:rsidP="00E8169C">
      <w:pPr>
        <w:pStyle w:val="H1G"/>
      </w:pPr>
      <w:r>
        <w:tab/>
        <w:t>G</w:t>
      </w:r>
      <w:r w:rsidR="004F19D2">
        <w:t>.</w:t>
      </w:r>
      <w:r w:rsidR="004F19D2">
        <w:tab/>
      </w:r>
      <w:r w:rsidR="00CE71E1" w:rsidRPr="00E8169C">
        <w:t>Transport operations where the opening of openings should be prohibited</w:t>
      </w:r>
    </w:p>
    <w:p w14:paraId="626DBF93" w14:textId="4C9F8E43" w:rsidR="00CE71E1" w:rsidRPr="00D060FF" w:rsidRDefault="00A16F92" w:rsidP="00E5442F">
      <w:pPr>
        <w:pStyle w:val="SingleTxtG"/>
        <w:rPr>
          <w:bCs/>
          <w:szCs w:val="22"/>
        </w:rPr>
      </w:pPr>
      <w:r>
        <w:t>21</w:t>
      </w:r>
      <w:r w:rsidR="00BF588D">
        <w:t>.</w:t>
      </w:r>
      <w:r w:rsidR="00BF588D">
        <w:tab/>
      </w:r>
      <w:r w:rsidR="00CE71E1">
        <w:t>The third proposal of the Belgian delegation to prohibit the opening of openings in the case of instructions by the consignor is not endorsed by Germany. Such cases are unknown in Germany and could be better addressed by a remark in Column (20) of Table</w:t>
      </w:r>
      <w:r w:rsidR="00E5442F">
        <w:t> </w:t>
      </w:r>
      <w:r w:rsidR="00CE71E1">
        <w:t>C.</w:t>
      </w:r>
    </w:p>
    <w:p w14:paraId="6748BFF6" w14:textId="42A9023B" w:rsidR="00CE71E1" w:rsidRPr="00E8169C" w:rsidRDefault="004F19D2" w:rsidP="00E8169C">
      <w:pPr>
        <w:pStyle w:val="H1G"/>
      </w:pPr>
      <w:r>
        <w:tab/>
        <w:t>H.</w:t>
      </w:r>
      <w:r>
        <w:tab/>
      </w:r>
      <w:r w:rsidR="00CE71E1" w:rsidRPr="00E8169C">
        <w:t>Exceptional cases where the opening of openings is permitted</w:t>
      </w:r>
    </w:p>
    <w:p w14:paraId="2FA8044D" w14:textId="4722FA51" w:rsidR="00CE71E1" w:rsidRPr="002A7DF0" w:rsidRDefault="00A16F92" w:rsidP="00E5442F">
      <w:pPr>
        <w:pStyle w:val="SingleTxtG"/>
        <w:rPr>
          <w:bCs/>
        </w:rPr>
      </w:pPr>
      <w:r>
        <w:t>22</w:t>
      </w:r>
      <w:r w:rsidR="00BF588D">
        <w:t>.</w:t>
      </w:r>
      <w:r w:rsidR="00BF588D">
        <w:tab/>
      </w:r>
      <w:r w:rsidR="00CE71E1">
        <w:t xml:space="preserve">The Netherlands have noted that in several places the proposal mentions exceptional </w:t>
      </w:r>
      <w:r w:rsidR="00126B23">
        <w:t>"</w:t>
      </w:r>
      <w:r w:rsidR="00CE71E1">
        <w:t>cases</w:t>
      </w:r>
      <w:r w:rsidR="00126B23">
        <w:t>"</w:t>
      </w:r>
      <w:r w:rsidR="00CE71E1">
        <w:t xml:space="preserve"> where cargo tanks may be opened. The question is whether it is easy to determine during checks whether such an exceptional case applies. Germany would like to address this comment and adapt the proposed amendments as follows</w:t>
      </w:r>
      <w:r w:rsidR="000B3302">
        <w:t>:</w:t>
      </w:r>
    </w:p>
    <w:p w14:paraId="014EB29F" w14:textId="77777777" w:rsidR="00CE71E1" w:rsidRPr="009F2232" w:rsidRDefault="00CE71E1" w:rsidP="00AB3C6A">
      <w:pPr>
        <w:pStyle w:val="SingleTxtG"/>
        <w:ind w:left="1701"/>
        <w:rPr>
          <w:bCs/>
        </w:rPr>
      </w:pPr>
      <w:r w:rsidRPr="009F2232">
        <w:t>7.2.4.23.2.3 new:</w:t>
      </w:r>
    </w:p>
    <w:p w14:paraId="5109094C" w14:textId="41EEFE83" w:rsidR="00CE71E1" w:rsidRPr="009F2232" w:rsidRDefault="000801FA" w:rsidP="000801FA">
      <w:pPr>
        <w:pStyle w:val="SingleTxtG"/>
        <w:ind w:left="1701"/>
      </w:pPr>
      <w:r>
        <w:t>"</w:t>
      </w:r>
      <w:r w:rsidR="00CE71E1" w:rsidRPr="009F2232">
        <w:t>In the event of a malfunction of the sampling device that cannot be solved in the short term, open sampling via the sampling opening shall be permitted.</w:t>
      </w:r>
      <w:r>
        <w:t>"</w:t>
      </w:r>
    </w:p>
    <w:p w14:paraId="127FFBDF" w14:textId="77777777" w:rsidR="00CE71E1" w:rsidRPr="0049251C" w:rsidRDefault="00CE71E1" w:rsidP="0049251C">
      <w:pPr>
        <w:pStyle w:val="SingleTxtG"/>
        <w:rPr>
          <w:bCs/>
          <w:u w:val="single"/>
        </w:rPr>
      </w:pPr>
      <w:r w:rsidRPr="0049251C">
        <w:rPr>
          <w:u w:val="single"/>
        </w:rPr>
        <w:lastRenderedPageBreak/>
        <w:t>Reference (German only):</w:t>
      </w:r>
    </w:p>
    <w:p w14:paraId="19E6342E" w14:textId="77777777" w:rsidR="00CE71E1" w:rsidRPr="002A7DF0" w:rsidRDefault="00CE71E1" w:rsidP="0049251C">
      <w:pPr>
        <w:pStyle w:val="SingleTxtG"/>
        <w:rPr>
          <w:bCs/>
        </w:rPr>
      </w:pPr>
      <w:r>
        <w:t>https://binnenschifffahrt-online.de/wp-content/uploads/2018/01/Recht_07_17.pdf</w:t>
      </w:r>
    </w:p>
    <w:p w14:paraId="73E740F0" w14:textId="77777777" w:rsidR="00CE71E1" w:rsidRPr="002A7DF0" w:rsidRDefault="00CE71E1" w:rsidP="00AB3C6A">
      <w:pPr>
        <w:pStyle w:val="SingleTxtG"/>
        <w:ind w:left="1701"/>
        <w:rPr>
          <w:b/>
        </w:rPr>
      </w:pPr>
      <w:r>
        <w:t>7.2.4.23.2.6 new:</w:t>
      </w:r>
    </w:p>
    <w:p w14:paraId="394D0113" w14:textId="07376BB1" w:rsidR="00CE71E1" w:rsidRPr="002A7DF0" w:rsidRDefault="006804A9" w:rsidP="006804A9">
      <w:pPr>
        <w:pStyle w:val="SingleTxtG"/>
        <w:ind w:left="1701"/>
      </w:pPr>
      <w:r>
        <w:t>"</w:t>
      </w:r>
      <w:r w:rsidR="00CE71E1">
        <w:t>Where due to an unexpected extension of the duration of the journey additional stabilizer has to be added to one or more cargo tanks during the transport operation, the stabilizer shall only be added through the sampling opening. Static charging shall be prevented.</w:t>
      </w:r>
      <w:r>
        <w:t>"</w:t>
      </w:r>
    </w:p>
    <w:p w14:paraId="61CAC07A" w14:textId="23E9BE1C" w:rsidR="00CE71E1" w:rsidRPr="00E8169C" w:rsidRDefault="004F19D2" w:rsidP="00E8169C">
      <w:pPr>
        <w:pStyle w:val="H1G"/>
      </w:pPr>
      <w:r>
        <w:tab/>
        <w:t>I.</w:t>
      </w:r>
      <w:r>
        <w:tab/>
      </w:r>
      <w:r w:rsidR="00CE71E1" w:rsidRPr="004F19D2">
        <w:t>Opening of the cargo tank hatches</w:t>
      </w:r>
    </w:p>
    <w:p w14:paraId="51165A40" w14:textId="20EBDDA8" w:rsidR="00CE71E1" w:rsidRPr="00D7203E" w:rsidRDefault="00A16F92" w:rsidP="003271B0">
      <w:pPr>
        <w:pStyle w:val="SingleTxtG"/>
        <w:rPr>
          <w:bCs/>
          <w:szCs w:val="22"/>
        </w:rPr>
      </w:pPr>
      <w:r>
        <w:t>23</w:t>
      </w:r>
      <w:r w:rsidR="009E0448">
        <w:t>.</w:t>
      </w:r>
      <w:r w:rsidR="009E0448">
        <w:tab/>
      </w:r>
      <w:r w:rsidR="00CE71E1">
        <w:t xml:space="preserve">Regarding the proposal for a new paragraph 7.2.4.22.2, the Netherlands have pointed out that there is an error in the German translation of ADN 2021. In accordance with the English and French versions, cargo tank hatches may be opened when the cargo tanks have been </w:t>
      </w:r>
      <w:r w:rsidR="00D457B1">
        <w:t>"</w:t>
      </w:r>
      <w:r w:rsidR="00CE71E1">
        <w:t>degassed</w:t>
      </w:r>
      <w:r w:rsidR="00D457B1">
        <w:t>"</w:t>
      </w:r>
      <w:r w:rsidR="00CE71E1">
        <w:t xml:space="preserve"> (</w:t>
      </w:r>
      <w:r w:rsidR="001641A1">
        <w:t>"</w:t>
      </w:r>
      <w:proofErr w:type="spellStart"/>
      <w:r w:rsidR="00CE71E1">
        <w:t>entgast</w:t>
      </w:r>
      <w:proofErr w:type="spellEnd"/>
      <w:r w:rsidR="001641A1">
        <w:t>"</w:t>
      </w:r>
      <w:r w:rsidR="00CE71E1">
        <w:t xml:space="preserve">), in the German version, this may be done when the cargo tanks have been </w:t>
      </w:r>
      <w:r w:rsidR="001641A1">
        <w:t>"</w:t>
      </w:r>
      <w:r w:rsidR="00CE71E1">
        <w:t>unloaded</w:t>
      </w:r>
      <w:r w:rsidR="001641A1">
        <w:t>"</w:t>
      </w:r>
      <w:r w:rsidR="00CE71E1">
        <w:t xml:space="preserve"> (</w:t>
      </w:r>
      <w:r w:rsidR="001641A1">
        <w:t>"</w:t>
      </w:r>
      <w:proofErr w:type="spellStart"/>
      <w:r w:rsidR="00CE71E1">
        <w:t>entladen</w:t>
      </w:r>
      <w:proofErr w:type="spellEnd"/>
      <w:r w:rsidR="001641A1">
        <w:t>"</w:t>
      </w:r>
      <w:r w:rsidR="00CE71E1">
        <w:t>). After consultation with the CCNR Secretariat and Switzerland, the German translation was corrected with effect from 1</w:t>
      </w:r>
      <w:r w:rsidR="00555E2E">
        <w:t> </w:t>
      </w:r>
      <w:r w:rsidR="00CE71E1">
        <w:t>January 2023.</w:t>
      </w:r>
    </w:p>
    <w:p w14:paraId="4AB2C826" w14:textId="78A10DAF" w:rsidR="00CE71E1" w:rsidRPr="00E8169C" w:rsidRDefault="004F19D2" w:rsidP="00E8169C">
      <w:pPr>
        <w:pStyle w:val="H1G"/>
      </w:pPr>
      <w:r>
        <w:tab/>
        <w:t>J.</w:t>
      </w:r>
      <w:r>
        <w:tab/>
      </w:r>
      <w:r w:rsidR="00CE71E1" w:rsidRPr="00E8169C">
        <w:t>Replacement of the flame arrester plate stacks in flame arresters</w:t>
      </w:r>
    </w:p>
    <w:p w14:paraId="0DD8AF20" w14:textId="5596EF54" w:rsidR="00CE71E1" w:rsidRPr="00D7203E" w:rsidRDefault="00A16F92" w:rsidP="003A6CDC">
      <w:pPr>
        <w:pStyle w:val="SingleTxtG"/>
        <w:rPr>
          <w:bCs/>
        </w:rPr>
      </w:pPr>
      <w:r>
        <w:t>24</w:t>
      </w:r>
      <w:r w:rsidR="009E0448">
        <w:t>.</w:t>
      </w:r>
      <w:r w:rsidR="009E0448">
        <w:tab/>
      </w:r>
      <w:r w:rsidR="00CE71E1">
        <w:t xml:space="preserve">Regarding the proposal for a new paragraph 7.2.4.22.4, the Netherlands have pointed out that </w:t>
      </w:r>
      <w:proofErr w:type="gramStart"/>
      <w:r w:rsidR="00CE71E1">
        <w:t>in order to</w:t>
      </w:r>
      <w:proofErr w:type="gramEnd"/>
      <w:r w:rsidR="00CE71E1">
        <w:t xml:space="preserve"> replace the flame arrester plate stacks the housing of the flame arrester first needs to be opened. This is reflected in the current wording of paragraph 7.2.4.22.5. Germany agrees to the proposal to keep this aspect reflected in the wording.</w:t>
      </w:r>
    </w:p>
    <w:p w14:paraId="0521925F" w14:textId="2F6AEF05" w:rsidR="00CE71E1" w:rsidRPr="00E8169C" w:rsidRDefault="004F19D2" w:rsidP="00E8169C">
      <w:pPr>
        <w:pStyle w:val="H1G"/>
      </w:pPr>
      <w:r>
        <w:tab/>
      </w:r>
      <w:r w:rsidR="00E16C2D">
        <w:t>K.</w:t>
      </w:r>
      <w:r w:rsidR="00E16C2D">
        <w:tab/>
      </w:r>
      <w:bookmarkStart w:id="0" w:name="_Hlk118443825"/>
      <w:r w:rsidR="00CE71E1" w:rsidRPr="00E8169C">
        <w:t>Use of tools</w:t>
      </w:r>
      <w:bookmarkEnd w:id="0"/>
    </w:p>
    <w:p w14:paraId="326A2746" w14:textId="35040E4C" w:rsidR="00CE71E1" w:rsidRPr="00D7203E" w:rsidRDefault="00A16F92" w:rsidP="003A6CDC">
      <w:pPr>
        <w:pStyle w:val="SingleTxtG"/>
        <w:rPr>
          <w:bCs/>
        </w:rPr>
      </w:pPr>
      <w:r>
        <w:t>25</w:t>
      </w:r>
      <w:r w:rsidR="009E0448">
        <w:t>.</w:t>
      </w:r>
      <w:r w:rsidR="009E0448">
        <w:tab/>
      </w:r>
      <w:r w:rsidR="00CE71E1">
        <w:t xml:space="preserve">The words </w:t>
      </w:r>
      <w:r w:rsidR="00664729">
        <w:t>"</w:t>
      </w:r>
      <w:r w:rsidR="00CE71E1">
        <w:t>hand tools</w:t>
      </w:r>
      <w:r w:rsidR="00664729">
        <w:t>"</w:t>
      </w:r>
      <w:r w:rsidR="00CE71E1">
        <w:t xml:space="preserve"> or </w:t>
      </w:r>
      <w:r w:rsidR="00664729" w:rsidRPr="006C453D">
        <w:rPr>
          <w:i/>
          <w:iCs/>
        </w:rPr>
        <w:t>"</w:t>
      </w:r>
      <w:proofErr w:type="spellStart"/>
      <w:r w:rsidR="00CE71E1" w:rsidRPr="006C453D">
        <w:rPr>
          <w:i/>
          <w:iCs/>
        </w:rPr>
        <w:t>outils</w:t>
      </w:r>
      <w:proofErr w:type="spellEnd"/>
      <w:r w:rsidR="00CE71E1" w:rsidRPr="006C453D">
        <w:rPr>
          <w:i/>
          <w:iCs/>
        </w:rPr>
        <w:t xml:space="preserve"> à main</w:t>
      </w:r>
      <w:r w:rsidR="006C453D" w:rsidRPr="006C453D">
        <w:rPr>
          <w:i/>
          <w:iCs/>
        </w:rPr>
        <w:t>"</w:t>
      </w:r>
      <w:r w:rsidR="00CE71E1">
        <w:t xml:space="preserve"> are to be retained in the English and in the French version of the new paragraph 7.2.4.22.7 (previously 7.2.4.22.6). </w:t>
      </w:r>
      <w:r w:rsidR="00CE71E1">
        <w:rPr>
          <w:i/>
        </w:rPr>
        <w:t>[Secretariats: please check the Russian language version]</w:t>
      </w:r>
      <w:r w:rsidR="00CE71E1">
        <w:t xml:space="preserve"> However, the proposal by the Netherlands to keep the example of tools made from </w:t>
      </w:r>
      <w:r w:rsidR="006C453D">
        <w:t>"</w:t>
      </w:r>
      <w:r w:rsidR="00CE71E1">
        <w:t>chromium vanadium steel</w:t>
      </w:r>
      <w:r w:rsidR="006C453D">
        <w:t>"</w:t>
      </w:r>
      <w:r w:rsidR="00CE71E1">
        <w:t xml:space="preserve"> is not endorsed for safety reasons. This specification is not precise enough, as low sparking can only be guaranteed for very specific chrome vanadium alloys. A consequential amendment to paragraph 8.3.5 of ADN might be required. The German delegation points out that </w:t>
      </w:r>
      <w:r w:rsidR="006C453D">
        <w:t>"</w:t>
      </w:r>
      <w:r w:rsidR="00CE71E1">
        <w:t>low-sparking hand tools</w:t>
      </w:r>
      <w:r w:rsidR="006C453D">
        <w:t>"</w:t>
      </w:r>
      <w:r w:rsidR="00CE71E1">
        <w:t xml:space="preserve"> with a corresponding CE marking are available on the market.</w:t>
      </w:r>
    </w:p>
    <w:p w14:paraId="2B169799" w14:textId="19629C4D" w:rsidR="00CE71E1" w:rsidRPr="00E8169C" w:rsidRDefault="00E16C2D" w:rsidP="00E8169C">
      <w:pPr>
        <w:pStyle w:val="H1G"/>
      </w:pPr>
      <w:r>
        <w:tab/>
        <w:t>L.</w:t>
      </w:r>
      <w:r>
        <w:tab/>
      </w:r>
      <w:r w:rsidR="00CE71E1" w:rsidRPr="00E8169C">
        <w:t>Avoiding the opening of openings</w:t>
      </w:r>
    </w:p>
    <w:p w14:paraId="71CC9BAE" w14:textId="7712F43C" w:rsidR="00CE71E1" w:rsidRPr="00D7203E" w:rsidRDefault="00A16F92" w:rsidP="003A6CDC">
      <w:pPr>
        <w:pStyle w:val="SingleTxtG"/>
        <w:rPr>
          <w:bCs/>
        </w:rPr>
      </w:pPr>
      <w:r>
        <w:t>26</w:t>
      </w:r>
      <w:r w:rsidR="009E0448">
        <w:t>.</w:t>
      </w:r>
      <w:r w:rsidR="009E0448">
        <w:tab/>
      </w:r>
      <w:r w:rsidR="00CE71E1">
        <w:t>The delegation from the Netherlands has posed the question of whether technical equipment could increasingly be used to avoid the opening of cargo tank openings, for example in the case of filling quantity measurement in the cargo tank or when subsequently adding stabilizers during the journey of the vessel. The German delegation does not know of existing technical solutions or innovations to that effect to be expected in the medium term. For the future, however, Germany is open to considering such improvements.</w:t>
      </w:r>
    </w:p>
    <w:p w14:paraId="517D5453" w14:textId="2D309FD4" w:rsidR="00CE71E1" w:rsidRPr="00D7203E" w:rsidRDefault="00A16F92" w:rsidP="003A6CDC">
      <w:pPr>
        <w:pStyle w:val="SingleTxtG"/>
        <w:rPr>
          <w:bCs/>
        </w:rPr>
      </w:pPr>
      <w:r>
        <w:t>27</w:t>
      </w:r>
      <w:r w:rsidR="009E0448">
        <w:t>.</w:t>
      </w:r>
      <w:r w:rsidR="009E0448">
        <w:tab/>
      </w:r>
      <w:r w:rsidR="00CE71E1">
        <w:t xml:space="preserve">Thus, the German delegation is of the opinion that </w:t>
      </w:r>
      <w:proofErr w:type="gramStart"/>
      <w:r w:rsidR="00CE71E1">
        <w:t>at the moment</w:t>
      </w:r>
      <w:proofErr w:type="gramEnd"/>
      <w:r w:rsidR="00CE71E1">
        <w:t xml:space="preserve"> certain safety provisions need to be laid down for all cases relevant to practice, even if these measures have to be implemented only in a few cases. In all individual cases, incidents should be avoided.</w:t>
      </w:r>
    </w:p>
    <w:p w14:paraId="7A1C7B70" w14:textId="39982381" w:rsidR="00CE71E1" w:rsidRPr="00E8169C" w:rsidRDefault="00E16C2D" w:rsidP="00E8169C">
      <w:pPr>
        <w:pStyle w:val="H1G"/>
      </w:pPr>
      <w:r>
        <w:lastRenderedPageBreak/>
        <w:tab/>
        <w:t>M.</w:t>
      </w:r>
      <w:r>
        <w:tab/>
      </w:r>
      <w:r w:rsidR="00CE71E1" w:rsidRPr="00E8169C">
        <w:t>Opening of openings for the purpose of washing the cargo tanks</w:t>
      </w:r>
    </w:p>
    <w:p w14:paraId="0C499E19" w14:textId="1C96CB68" w:rsidR="00CE71E1" w:rsidRPr="00E8169C" w:rsidRDefault="00A16F92" w:rsidP="003A6CDC">
      <w:pPr>
        <w:pStyle w:val="SingleTxtG"/>
        <w:rPr>
          <w:bCs/>
          <w:szCs w:val="22"/>
        </w:rPr>
      </w:pPr>
      <w:r w:rsidRPr="00E8169C">
        <w:t>28</w:t>
      </w:r>
      <w:r w:rsidR="009E0448" w:rsidRPr="00E8169C">
        <w:t>.</w:t>
      </w:r>
      <w:r w:rsidR="009E0448" w:rsidRPr="00E8169C">
        <w:tab/>
      </w:r>
      <w:r w:rsidR="00CE71E1" w:rsidRPr="00E8169C">
        <w:t xml:space="preserve">The </w:t>
      </w:r>
      <w:r w:rsidR="006428F3" w:rsidRPr="00E8169C">
        <w:t>European Barge Union</w:t>
      </w:r>
      <w:r w:rsidR="00F14E44" w:rsidRPr="00E8169C">
        <w:t>/</w:t>
      </w:r>
      <w:r w:rsidR="00773BE8" w:rsidRPr="00E8169C">
        <w:t xml:space="preserve"> European Skippers Organization</w:t>
      </w:r>
      <w:r w:rsidR="006428F3" w:rsidRPr="00E8169C">
        <w:t xml:space="preserve"> </w:t>
      </w:r>
      <w:r w:rsidR="00773BE8" w:rsidRPr="00E8169C">
        <w:t>(</w:t>
      </w:r>
      <w:r w:rsidR="00CE71E1" w:rsidRPr="00E8169C">
        <w:t>EBU/ESO</w:t>
      </w:r>
      <w:r w:rsidR="00773BE8" w:rsidRPr="00E8169C">
        <w:t>)</w:t>
      </w:r>
      <w:r w:rsidR="00CE71E1" w:rsidRPr="00E8169C">
        <w:t xml:space="preserve"> delegation has proposed to also include in this amendment package on the </w:t>
      </w:r>
      <w:r w:rsidR="00B61F50" w:rsidRPr="00E8169C">
        <w:t>"</w:t>
      </w:r>
      <w:r w:rsidR="00CE71E1" w:rsidRPr="00E8169C">
        <w:t>opening of openings</w:t>
      </w:r>
      <w:r w:rsidR="00B61F50" w:rsidRPr="00E8169C">
        <w:t>"</w:t>
      </w:r>
      <w:r w:rsidR="00CE71E1" w:rsidRPr="00E8169C">
        <w:t xml:space="preserve"> all provisions necessary for washing tanks (for which the cargo tanks are also opened). It is true that, in addition to the previous proposals, there should also be a description of when and how the </w:t>
      </w:r>
      <w:r w:rsidR="00F06D24" w:rsidRPr="00E8169C">
        <w:t>"</w:t>
      </w:r>
      <w:proofErr w:type="spellStart"/>
      <w:r w:rsidR="00CE71E1" w:rsidRPr="00E8169C">
        <w:t>butterwash</w:t>
      </w:r>
      <w:proofErr w:type="spellEnd"/>
      <w:r w:rsidR="00CE71E1" w:rsidRPr="00E8169C">
        <w:t xml:space="preserve"> opening</w:t>
      </w:r>
      <w:r w:rsidR="00F06D24" w:rsidRPr="00E8169C">
        <w:t>"</w:t>
      </w:r>
      <w:r w:rsidR="00CE71E1" w:rsidRPr="00E8169C">
        <w:t xml:space="preserve"> is permitted to be used as well as what restrictions apply in this case. </w:t>
      </w:r>
    </w:p>
    <w:p w14:paraId="6CA00418" w14:textId="60060974" w:rsidR="00CE71E1" w:rsidRPr="00E8169C" w:rsidRDefault="00A16F92" w:rsidP="00F06D24">
      <w:pPr>
        <w:pStyle w:val="SingleTxtG"/>
        <w:rPr>
          <w:bCs/>
          <w:szCs w:val="22"/>
        </w:rPr>
      </w:pPr>
      <w:r w:rsidRPr="00E8169C">
        <w:t>29</w:t>
      </w:r>
      <w:r w:rsidR="00234A29" w:rsidRPr="00E8169C">
        <w:t>.</w:t>
      </w:r>
      <w:r w:rsidR="00234A29" w:rsidRPr="00E8169C">
        <w:tab/>
      </w:r>
      <w:r w:rsidR="00CE71E1" w:rsidRPr="00E8169C">
        <w:t xml:space="preserve">See, for instance, ADN 2021 catalogue of questions </w:t>
      </w:r>
      <w:r w:rsidR="00054DE0" w:rsidRPr="00E8169C">
        <w:t>—</w:t>
      </w:r>
      <w:r w:rsidR="00CE71E1" w:rsidRPr="00E8169C">
        <w:t xml:space="preserve"> chemical questions, Question 332 03.0-04 </w:t>
      </w:r>
      <w:r w:rsidR="00100A40" w:rsidRPr="00E8169C">
        <w:t>"</w:t>
      </w:r>
      <w:r w:rsidR="00CE71E1" w:rsidRPr="00E8169C">
        <w:t>Cleaning the cargo tanks</w:t>
      </w:r>
      <w:r w:rsidR="00100A40" w:rsidRPr="00E8169C">
        <w:t>"</w:t>
      </w:r>
      <w:r w:rsidR="008E34BE" w:rsidRPr="00E8169C">
        <w:t>.</w:t>
      </w:r>
    </w:p>
    <w:p w14:paraId="4AD81F86" w14:textId="62A59B94" w:rsidR="00CE71E1" w:rsidRPr="00E8169C" w:rsidRDefault="00A16F92" w:rsidP="003A6CDC">
      <w:pPr>
        <w:pStyle w:val="SingleTxtG"/>
        <w:rPr>
          <w:bCs/>
          <w:szCs w:val="22"/>
        </w:rPr>
      </w:pPr>
      <w:r w:rsidRPr="00E8169C">
        <w:t>30</w:t>
      </w:r>
      <w:r w:rsidR="00D95E85" w:rsidRPr="00E8169C">
        <w:t>.</w:t>
      </w:r>
      <w:r w:rsidR="00D95E85" w:rsidRPr="00E8169C">
        <w:tab/>
      </w:r>
      <w:r w:rsidR="0043113A" w:rsidRPr="00E8169C">
        <w:t>T</w:t>
      </w:r>
      <w:r w:rsidR="00CE71E1" w:rsidRPr="00E8169C">
        <w:t>he list in 7.2.4.22.1 could be supplemented for this purpose:</w:t>
      </w:r>
    </w:p>
    <w:p w14:paraId="75C8C5A9" w14:textId="749B8C35" w:rsidR="00CE71E1" w:rsidRPr="00E8169C" w:rsidRDefault="008A76FB" w:rsidP="00054DE0">
      <w:pPr>
        <w:pStyle w:val="SingleTxtG"/>
        <w:ind w:left="1701"/>
        <w:rPr>
          <w:iCs/>
          <w:szCs w:val="22"/>
        </w:rPr>
      </w:pPr>
      <w:r w:rsidRPr="00E8169C">
        <w:rPr>
          <w:iCs/>
        </w:rPr>
        <w:t>"</w:t>
      </w:r>
      <w:r w:rsidR="00CE71E1" w:rsidRPr="00E8169C">
        <w:rPr>
          <w:iCs/>
        </w:rPr>
        <w:t xml:space="preserve">By derogation from 7.2.3.22, the opening of openings is permitted in exceptional cases under the following conditions for cleaning and/or replacing the flame arrester plate stack, visual inspection, sampling, gas measurement, </w:t>
      </w:r>
      <w:r w:rsidR="00CE71E1" w:rsidRPr="00E8169C">
        <w:rPr>
          <w:iCs/>
          <w:u w:val="single"/>
        </w:rPr>
        <w:t>connection to a tank washing system</w:t>
      </w:r>
      <w:r w:rsidR="00CE71E1" w:rsidRPr="00E8169C">
        <w:rPr>
          <w:iCs/>
        </w:rPr>
        <w:t>, determining the filling quantity in the cargo tank and subsequently adding stabilizer but only if and insofar it is not prohibited on the basis of other legal requirements.</w:t>
      </w:r>
      <w:r w:rsidRPr="00E8169C">
        <w:rPr>
          <w:iCs/>
        </w:rPr>
        <w:t>"</w:t>
      </w:r>
    </w:p>
    <w:p w14:paraId="57FF8D1F" w14:textId="064E60F3" w:rsidR="00CE71E1" w:rsidRPr="00E8169C" w:rsidRDefault="00A16F92" w:rsidP="003A6CDC">
      <w:pPr>
        <w:pStyle w:val="SingleTxtG"/>
        <w:rPr>
          <w:bCs/>
          <w:szCs w:val="22"/>
        </w:rPr>
      </w:pPr>
      <w:r w:rsidRPr="00E8169C">
        <w:t>31</w:t>
      </w:r>
      <w:r w:rsidR="00D95E85" w:rsidRPr="00E8169C">
        <w:t>.</w:t>
      </w:r>
      <w:r w:rsidR="00D95E85" w:rsidRPr="00E8169C">
        <w:tab/>
      </w:r>
      <w:r w:rsidR="00CE71E1" w:rsidRPr="00E8169C">
        <w:t>A possible operational provision could read as follows:</w:t>
      </w:r>
    </w:p>
    <w:p w14:paraId="7F18AE35" w14:textId="03F978DB" w:rsidR="00CE71E1" w:rsidRPr="00E20486" w:rsidRDefault="00E20486" w:rsidP="00E20486">
      <w:pPr>
        <w:pStyle w:val="SingleTxtG"/>
        <w:ind w:left="1701"/>
        <w:rPr>
          <w:bCs/>
          <w:iCs/>
          <w:szCs w:val="22"/>
        </w:rPr>
      </w:pPr>
      <w:r>
        <w:rPr>
          <w:iCs/>
        </w:rPr>
        <w:t>"</w:t>
      </w:r>
      <w:r w:rsidR="00CE71E1" w:rsidRPr="00E20486">
        <w:rPr>
          <w:iCs/>
        </w:rPr>
        <w:t>For washing the cargo tanks, only the dedicated opening for the connection of the tank washing system fitted to the cargo tank shall be used.</w:t>
      </w:r>
      <w:r>
        <w:rPr>
          <w:iCs/>
        </w:rPr>
        <w:t>"</w:t>
      </w:r>
    </w:p>
    <w:p w14:paraId="63B26C9A" w14:textId="07E9F823" w:rsidR="00CE71E1" w:rsidRPr="00560C55" w:rsidRDefault="00A16F92" w:rsidP="003A6CDC">
      <w:pPr>
        <w:pStyle w:val="SingleTxtG"/>
        <w:rPr>
          <w:bCs/>
          <w:szCs w:val="22"/>
        </w:rPr>
      </w:pPr>
      <w:r>
        <w:t>32</w:t>
      </w:r>
      <w:r w:rsidR="00D95E85">
        <w:t>.</w:t>
      </w:r>
      <w:r w:rsidR="00D95E85">
        <w:tab/>
      </w:r>
      <w:r w:rsidR="00CE71E1">
        <w:t>Germany would like to ask EBU/ESO to submit their own proposal to the Safety Committee for aspects going beyond that. The problems that might have to be considered in this context seem to be very complex and probably go far beyond the opening of the cargo tanks.</w:t>
      </w:r>
    </w:p>
    <w:p w14:paraId="20714C36" w14:textId="1642409D" w:rsidR="00CE71E1" w:rsidRPr="00E8169C" w:rsidRDefault="00E16C2D" w:rsidP="00E8169C">
      <w:pPr>
        <w:pStyle w:val="H1G"/>
      </w:pPr>
      <w:r w:rsidRPr="00E8169C">
        <w:tab/>
        <w:t>N.</w:t>
      </w:r>
      <w:r w:rsidRPr="00E8169C">
        <w:tab/>
      </w:r>
      <w:r w:rsidR="00CE71E1" w:rsidRPr="00E8169C">
        <w:t>New proposal for all measures</w:t>
      </w:r>
    </w:p>
    <w:p w14:paraId="5C071BE9" w14:textId="06B5792A" w:rsidR="00CE71E1" w:rsidRPr="00E8169C" w:rsidRDefault="00A16F92" w:rsidP="003A6CDC">
      <w:pPr>
        <w:pStyle w:val="SingleTxtG"/>
        <w:rPr>
          <w:bCs/>
          <w:szCs w:val="22"/>
        </w:rPr>
      </w:pPr>
      <w:r w:rsidRPr="00E8169C">
        <w:t>33</w:t>
      </w:r>
      <w:r w:rsidR="004C1DF4" w:rsidRPr="00E8169C">
        <w:t>.</w:t>
      </w:r>
      <w:r w:rsidR="004C1DF4" w:rsidRPr="00E8169C">
        <w:tab/>
      </w:r>
      <w:r w:rsidR="00CE71E1" w:rsidRPr="00E8169C">
        <w:t>The following requirement should be included in the general part of the provisions on the opening of openings (7.2.4.22 in the current proposal):</w:t>
      </w:r>
    </w:p>
    <w:p w14:paraId="3CD4B704" w14:textId="630ABA6C" w:rsidR="00CE71E1" w:rsidRPr="00E8169C" w:rsidRDefault="00001164" w:rsidP="00001164">
      <w:pPr>
        <w:pStyle w:val="SingleTxtG"/>
        <w:ind w:left="1701"/>
        <w:rPr>
          <w:bCs/>
          <w:szCs w:val="22"/>
        </w:rPr>
      </w:pPr>
      <w:r w:rsidRPr="00E8169C">
        <w:t>"</w:t>
      </w:r>
      <w:r w:rsidR="00CE71E1" w:rsidRPr="00E8169C">
        <w:t>Cargo tanks may be opened when the vessel is not connected to the shore facility or the shut-off devices on the vessel and at the shore facility are closed.</w:t>
      </w:r>
      <w:r w:rsidRPr="00E8169C">
        <w:t>"</w:t>
      </w:r>
    </w:p>
    <w:p w14:paraId="429382CB" w14:textId="7AF60796" w:rsidR="00CE71E1" w:rsidRPr="00E8169C" w:rsidRDefault="00A16F92" w:rsidP="003A6CDC">
      <w:pPr>
        <w:pStyle w:val="SingleTxtG"/>
        <w:rPr>
          <w:bCs/>
          <w:szCs w:val="22"/>
        </w:rPr>
      </w:pPr>
      <w:r w:rsidRPr="00E8169C">
        <w:t>34</w:t>
      </w:r>
      <w:r w:rsidR="004C1DF4" w:rsidRPr="00E8169C">
        <w:t>.</w:t>
      </w:r>
      <w:r w:rsidR="004C1DF4" w:rsidRPr="00E8169C">
        <w:tab/>
      </w:r>
      <w:r w:rsidR="00CE71E1" w:rsidRPr="00E8169C">
        <w:t xml:space="preserve">The original proposal only lays down </w:t>
      </w:r>
      <w:proofErr w:type="gramStart"/>
      <w:r w:rsidR="00CE71E1" w:rsidRPr="00E8169C">
        <w:t>that visual inspections (7.2.4.23.1.1 in the current proposal)</w:t>
      </w:r>
      <w:proofErr w:type="gramEnd"/>
      <w:r w:rsidR="00CE71E1" w:rsidRPr="00E8169C">
        <w:t xml:space="preserve"> may only be performed when the vessel is not connected to the shore facility. </w:t>
      </w:r>
      <w:r w:rsidR="00011487" w:rsidRPr="00E8169C">
        <w:t>"</w:t>
      </w:r>
      <w:r w:rsidR="00CE71E1" w:rsidRPr="00E8169C">
        <w:t>First foot samples</w:t>
      </w:r>
      <w:r w:rsidR="00011487" w:rsidRPr="00E8169C">
        <w:t>"</w:t>
      </w:r>
      <w:r w:rsidR="00CE71E1" w:rsidRPr="00E8169C">
        <w:t>, by contrast, are to also be permitted to be performed when the vessel is not disconnected from the shore facility (7.2.4.23.2.4 in the current proposal).</w:t>
      </w:r>
    </w:p>
    <w:p w14:paraId="0FC21C3B" w14:textId="220A5496" w:rsidR="00CE71E1" w:rsidRPr="00E8169C" w:rsidRDefault="00A16F92" w:rsidP="003A6CDC">
      <w:pPr>
        <w:pStyle w:val="SingleTxtG"/>
        <w:rPr>
          <w:bCs/>
          <w:szCs w:val="22"/>
        </w:rPr>
      </w:pPr>
      <w:r w:rsidRPr="00E8169C">
        <w:t>35</w:t>
      </w:r>
      <w:r w:rsidR="004C1DF4" w:rsidRPr="00E8169C">
        <w:t>.</w:t>
      </w:r>
      <w:r w:rsidR="004C1DF4" w:rsidRPr="00E8169C">
        <w:tab/>
      </w:r>
      <w:r w:rsidR="00CE71E1" w:rsidRPr="00E8169C">
        <w:t xml:space="preserve">However, there is no reason why a provision should only be introduced for visual inspections and first foot samples. Rather, the above safety provision must apply for every measure involving the opening of cargo tanks. </w:t>
      </w:r>
    </w:p>
    <w:p w14:paraId="1D0D059B" w14:textId="77777777" w:rsidR="00CC07ED" w:rsidRPr="00E8169C" w:rsidRDefault="00CE71E1" w:rsidP="00982AA6">
      <w:pPr>
        <w:pStyle w:val="SingleTxtG"/>
      </w:pPr>
      <w:r w:rsidRPr="00E8169C">
        <w:t xml:space="preserve">Justification: </w:t>
      </w:r>
    </w:p>
    <w:p w14:paraId="0128D553" w14:textId="015BC3E1" w:rsidR="00CE71E1" w:rsidRPr="00E8169C" w:rsidRDefault="00A16F92" w:rsidP="00982AA6">
      <w:pPr>
        <w:pStyle w:val="SingleTxtG"/>
        <w:rPr>
          <w:bCs/>
          <w:szCs w:val="22"/>
        </w:rPr>
      </w:pPr>
      <w:r w:rsidRPr="00E8169C">
        <w:t>36</w:t>
      </w:r>
      <w:r w:rsidR="00CC07ED" w:rsidRPr="00E8169C">
        <w:t>.</w:t>
      </w:r>
      <w:r w:rsidR="00CC07ED" w:rsidRPr="00E8169C">
        <w:tab/>
      </w:r>
      <w:r w:rsidR="00CE71E1" w:rsidRPr="00E8169C">
        <w:t xml:space="preserve">When the vessel is not connected to the shore facility, in the case of an incident such as a fire, this fire cannot spread from the vessel to the shore facility and vice versa. When the vessel is connected to the shore facility, the shut-off devices on the vessel and at the shore facility, </w:t>
      </w:r>
      <w:proofErr w:type="gramStart"/>
      <w:r w:rsidR="00CE71E1" w:rsidRPr="00E8169C">
        <w:t>i.e.</w:t>
      </w:r>
      <w:proofErr w:type="gramEnd"/>
      <w:r w:rsidR="00CE71E1" w:rsidRPr="00E8169C">
        <w:t xml:space="preserve"> the shut-off devices of the piping for loading and unloading and the venting piping, must be closed. This ensures a level of safety equivalent to when the vessel is not connected to the shore facility. The requirements to be met by shut-off devices are set out in detail in Part 9 - Rules for construction of ADN.</w:t>
      </w:r>
    </w:p>
    <w:p w14:paraId="168C8E5F" w14:textId="7542FC9B" w:rsidR="00CE71E1" w:rsidRPr="00E8169C" w:rsidRDefault="00982AA6" w:rsidP="00982AA6">
      <w:pPr>
        <w:pStyle w:val="HChG"/>
        <w:rPr>
          <w:szCs w:val="24"/>
        </w:rPr>
      </w:pPr>
      <w:r w:rsidRPr="00E8169C">
        <w:lastRenderedPageBreak/>
        <w:tab/>
      </w:r>
      <w:r w:rsidR="00D329CE" w:rsidRPr="00E8169C">
        <w:t>II.</w:t>
      </w:r>
      <w:r w:rsidRPr="00E8169C">
        <w:tab/>
      </w:r>
      <w:r w:rsidR="00CE71E1" w:rsidRPr="00E8169C">
        <w:t>Next steps</w:t>
      </w:r>
    </w:p>
    <w:p w14:paraId="60F45D92" w14:textId="4DAC3F92" w:rsidR="00CE71E1" w:rsidRPr="00560C55" w:rsidRDefault="00CE604F" w:rsidP="003A6CDC">
      <w:pPr>
        <w:pStyle w:val="SingleTxtG"/>
        <w:rPr>
          <w:bCs/>
        </w:rPr>
      </w:pPr>
      <w:r w:rsidRPr="00E8169C">
        <w:t>37</w:t>
      </w:r>
      <w:r w:rsidR="00CC07ED" w:rsidRPr="00E8169C">
        <w:t>.</w:t>
      </w:r>
      <w:r w:rsidR="00CE71E1" w:rsidRPr="00E8169C">
        <w:tab/>
        <w:t xml:space="preserve">Germany </w:t>
      </w:r>
      <w:r w:rsidR="00CE71E1">
        <w:t xml:space="preserve">would like to ask the Safety Committee to re-evaluate the original proposal as presented in document </w:t>
      </w:r>
      <w:r w:rsidR="00A934FA">
        <w:t>ECE/TRANS/WP.15/AC.2/</w:t>
      </w:r>
      <w:r w:rsidR="00CE71E1">
        <w:t xml:space="preserve">2022/43 in the light of the above amendments. A revised amendment package is to be presented at </w:t>
      </w:r>
      <w:r w:rsidR="00CE71E1" w:rsidRPr="00D9487D">
        <w:t xml:space="preserve">the </w:t>
      </w:r>
      <w:r w:rsidR="00D9487D">
        <w:t>forty-second</w:t>
      </w:r>
      <w:r w:rsidR="00CE71E1" w:rsidRPr="00D9487D">
        <w:t xml:space="preserve"> session.</w:t>
      </w:r>
    </w:p>
    <w:p w14:paraId="73C2208B" w14:textId="2AC4AD86" w:rsidR="00F206C2" w:rsidRPr="00982AA6" w:rsidRDefault="00982AA6" w:rsidP="00982AA6">
      <w:pPr>
        <w:spacing w:before="240"/>
        <w:jc w:val="center"/>
        <w:rPr>
          <w:u w:val="single"/>
        </w:rPr>
      </w:pPr>
      <w:r>
        <w:rPr>
          <w:u w:val="single"/>
        </w:rPr>
        <w:tab/>
      </w:r>
      <w:r>
        <w:rPr>
          <w:u w:val="single"/>
        </w:rPr>
        <w:tab/>
      </w:r>
      <w:r>
        <w:rPr>
          <w:u w:val="single"/>
        </w:rPr>
        <w:tab/>
      </w:r>
    </w:p>
    <w:sectPr w:rsidR="00F206C2" w:rsidRPr="00982AA6" w:rsidSect="00CE334F">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10BE" w14:textId="77777777" w:rsidR="0078488C" w:rsidRDefault="0078488C"/>
  </w:endnote>
  <w:endnote w:type="continuationSeparator" w:id="0">
    <w:p w14:paraId="138F29F6" w14:textId="77777777" w:rsidR="0078488C" w:rsidRDefault="0078488C"/>
  </w:endnote>
  <w:endnote w:type="continuationNotice" w:id="1">
    <w:p w14:paraId="7E45AE17" w14:textId="77777777" w:rsidR="0078488C" w:rsidRDefault="00784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713609"/>
      <w:docPartObj>
        <w:docPartGallery w:val="Page Numbers (Bottom of Page)"/>
        <w:docPartUnique/>
      </w:docPartObj>
    </w:sdtPr>
    <w:sdtEndPr>
      <w:rPr>
        <w:noProof/>
      </w:rPr>
    </w:sdtEndPr>
    <w:sdtContent>
      <w:p w14:paraId="78D8D750" w14:textId="0BF6ABF8" w:rsidR="000F1978" w:rsidRDefault="000F1978">
        <w:pPr>
          <w:pStyle w:val="Footer"/>
        </w:pPr>
        <w:r w:rsidRPr="000F1978">
          <w:rPr>
            <w:b/>
            <w:bCs/>
          </w:rPr>
          <w:fldChar w:fldCharType="begin"/>
        </w:r>
        <w:r w:rsidRPr="000F1978">
          <w:rPr>
            <w:b/>
            <w:bCs/>
          </w:rPr>
          <w:instrText xml:space="preserve"> PAGE   \* MERGEFORMAT </w:instrText>
        </w:r>
        <w:r w:rsidRPr="000F1978">
          <w:rPr>
            <w:b/>
            <w:bCs/>
          </w:rPr>
          <w:fldChar w:fldCharType="separate"/>
        </w:r>
        <w:r w:rsidRPr="000F1978">
          <w:rPr>
            <w:b/>
            <w:bCs/>
            <w:noProof/>
          </w:rPr>
          <w:t>2</w:t>
        </w:r>
        <w:r w:rsidRPr="000F1978">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4043"/>
      <w:docPartObj>
        <w:docPartGallery w:val="Page Numbers (Bottom of Page)"/>
        <w:docPartUnique/>
      </w:docPartObj>
    </w:sdtPr>
    <w:sdtEndPr>
      <w:rPr>
        <w:noProof/>
      </w:rPr>
    </w:sdtEndPr>
    <w:sdtContent>
      <w:p w14:paraId="2687D738" w14:textId="0C4B32C9" w:rsidR="00C93A76" w:rsidRDefault="00C93A76" w:rsidP="00C93A76">
        <w:pPr>
          <w:pStyle w:val="Footer"/>
          <w:jc w:val="right"/>
        </w:pPr>
        <w:r w:rsidRPr="00C93A76">
          <w:rPr>
            <w:b/>
            <w:bCs/>
          </w:rPr>
          <w:fldChar w:fldCharType="begin"/>
        </w:r>
        <w:r w:rsidRPr="00C93A76">
          <w:rPr>
            <w:b/>
            <w:bCs/>
          </w:rPr>
          <w:instrText xml:space="preserve"> PAGE   \* MERGEFORMAT </w:instrText>
        </w:r>
        <w:r w:rsidRPr="00C93A76">
          <w:rPr>
            <w:b/>
            <w:bCs/>
          </w:rPr>
          <w:fldChar w:fldCharType="separate"/>
        </w:r>
        <w:r w:rsidRPr="00C93A76">
          <w:rPr>
            <w:b/>
            <w:bCs/>
            <w:noProof/>
          </w:rPr>
          <w:t>2</w:t>
        </w:r>
        <w:r w:rsidRPr="00C93A76">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6833" w14:textId="77777777" w:rsidR="0078488C" w:rsidRPr="000B175B" w:rsidRDefault="0078488C" w:rsidP="000B175B">
      <w:pPr>
        <w:tabs>
          <w:tab w:val="right" w:pos="2155"/>
        </w:tabs>
        <w:spacing w:after="80"/>
        <w:ind w:left="680"/>
        <w:rPr>
          <w:u w:val="single"/>
        </w:rPr>
      </w:pPr>
      <w:r>
        <w:rPr>
          <w:u w:val="single"/>
        </w:rPr>
        <w:tab/>
      </w:r>
    </w:p>
  </w:footnote>
  <w:footnote w:type="continuationSeparator" w:id="0">
    <w:p w14:paraId="1256ED46" w14:textId="77777777" w:rsidR="0078488C" w:rsidRPr="00FC68B7" w:rsidRDefault="0078488C" w:rsidP="00FC68B7">
      <w:pPr>
        <w:tabs>
          <w:tab w:val="left" w:pos="2155"/>
        </w:tabs>
        <w:spacing w:after="80"/>
        <w:ind w:left="680"/>
        <w:rPr>
          <w:u w:val="single"/>
        </w:rPr>
      </w:pPr>
      <w:r>
        <w:rPr>
          <w:u w:val="single"/>
        </w:rPr>
        <w:tab/>
      </w:r>
    </w:p>
  </w:footnote>
  <w:footnote w:type="continuationNotice" w:id="1">
    <w:p w14:paraId="4862AD0F" w14:textId="77777777" w:rsidR="0078488C" w:rsidRDefault="00784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3DA3" w14:textId="29FDAE07" w:rsidR="00E078B6" w:rsidRPr="00E078B6" w:rsidRDefault="00E078B6">
    <w:pPr>
      <w:pStyle w:val="Header"/>
      <w:rPr>
        <w:lang w:val="en-US"/>
      </w:rPr>
    </w:pPr>
    <w:r>
      <w:rPr>
        <w:lang w:val="en-US"/>
      </w:rPr>
      <w:t>INF.6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9B9" w14:textId="77777777" w:rsidR="006C1D68" w:rsidRDefault="006C1D68" w:rsidP="00FA19F3">
    <w:pPr>
      <w:pBdr>
        <w:bottom w:val="single" w:sz="4" w:space="1" w:color="auto"/>
      </w:pBdr>
      <w:jc w:val="right"/>
      <w:rPr>
        <w:b/>
        <w:bCs/>
      </w:rPr>
    </w:pPr>
  </w:p>
  <w:p w14:paraId="6E6760A0" w14:textId="79AB966B" w:rsidR="006C1D68" w:rsidRPr="00D75F9D" w:rsidRDefault="006C1D68" w:rsidP="00FA19F3">
    <w:pPr>
      <w:pBdr>
        <w:bottom w:val="single" w:sz="4" w:space="1" w:color="auto"/>
      </w:pBdr>
      <w:jc w:val="right"/>
      <w:rPr>
        <w:b/>
        <w:bCs/>
      </w:rPr>
    </w:pPr>
    <w:r w:rsidRPr="00D75F9D">
      <w:rPr>
        <w:b/>
        <w:bCs/>
      </w:rPr>
      <w:t>INF.</w:t>
    </w:r>
    <w:r w:rsidR="00E078B6">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6B56337"/>
    <w:multiLevelType w:val="hybridMultilevel"/>
    <w:tmpl w:val="E0C45C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709576D"/>
    <w:multiLevelType w:val="hybridMultilevel"/>
    <w:tmpl w:val="93465A5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0"/>
  </w:num>
  <w:num w:numId="14">
    <w:abstractNumId w:val="20"/>
  </w:num>
  <w:num w:numId="15">
    <w:abstractNumId w:val="22"/>
  </w:num>
  <w:num w:numId="16">
    <w:abstractNumId w:val="23"/>
  </w:num>
  <w:num w:numId="17">
    <w:abstractNumId w:val="17"/>
  </w:num>
  <w:num w:numId="18">
    <w:abstractNumId w:val="12"/>
  </w:num>
  <w:num w:numId="19">
    <w:abstractNumId w:val="11"/>
  </w:num>
  <w:num w:numId="20">
    <w:abstractNumId w:val="21"/>
  </w:num>
  <w:num w:numId="21">
    <w:abstractNumId w:val="16"/>
  </w:num>
  <w:num w:numId="22">
    <w:abstractNumId w:val="15"/>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1164"/>
    <w:rsid w:val="00005769"/>
    <w:rsid w:val="000100C1"/>
    <w:rsid w:val="000108AF"/>
    <w:rsid w:val="00011487"/>
    <w:rsid w:val="000119E8"/>
    <w:rsid w:val="0001294D"/>
    <w:rsid w:val="00013244"/>
    <w:rsid w:val="00017D1D"/>
    <w:rsid w:val="00022E06"/>
    <w:rsid w:val="0002711F"/>
    <w:rsid w:val="000271D7"/>
    <w:rsid w:val="000310C3"/>
    <w:rsid w:val="00035EC3"/>
    <w:rsid w:val="0003617F"/>
    <w:rsid w:val="00036264"/>
    <w:rsid w:val="00040142"/>
    <w:rsid w:val="00040805"/>
    <w:rsid w:val="0004162B"/>
    <w:rsid w:val="00041EF3"/>
    <w:rsid w:val="00045FBD"/>
    <w:rsid w:val="00046B1F"/>
    <w:rsid w:val="000502CD"/>
    <w:rsid w:val="00050F6B"/>
    <w:rsid w:val="000520AC"/>
    <w:rsid w:val="00054DE0"/>
    <w:rsid w:val="00057307"/>
    <w:rsid w:val="00057E97"/>
    <w:rsid w:val="0006129A"/>
    <w:rsid w:val="00061F25"/>
    <w:rsid w:val="0006648C"/>
    <w:rsid w:val="00067568"/>
    <w:rsid w:val="00067F5E"/>
    <w:rsid w:val="00072C8C"/>
    <w:rsid w:val="000733B5"/>
    <w:rsid w:val="00076308"/>
    <w:rsid w:val="00076C28"/>
    <w:rsid w:val="000801FA"/>
    <w:rsid w:val="000815FA"/>
    <w:rsid w:val="00081815"/>
    <w:rsid w:val="000900E1"/>
    <w:rsid w:val="00092CAC"/>
    <w:rsid w:val="000931C0"/>
    <w:rsid w:val="00093F38"/>
    <w:rsid w:val="000962D0"/>
    <w:rsid w:val="000972A0"/>
    <w:rsid w:val="000A1BC9"/>
    <w:rsid w:val="000A6817"/>
    <w:rsid w:val="000A6BE9"/>
    <w:rsid w:val="000B0595"/>
    <w:rsid w:val="000B175B"/>
    <w:rsid w:val="000B17E5"/>
    <w:rsid w:val="000B3302"/>
    <w:rsid w:val="000B3A0F"/>
    <w:rsid w:val="000B4EF7"/>
    <w:rsid w:val="000B4F65"/>
    <w:rsid w:val="000B6A35"/>
    <w:rsid w:val="000C00AB"/>
    <w:rsid w:val="000C0C5D"/>
    <w:rsid w:val="000C2C03"/>
    <w:rsid w:val="000C2D2E"/>
    <w:rsid w:val="000E0415"/>
    <w:rsid w:val="000E3383"/>
    <w:rsid w:val="000E69EB"/>
    <w:rsid w:val="000E735E"/>
    <w:rsid w:val="000F1978"/>
    <w:rsid w:val="000F2EAD"/>
    <w:rsid w:val="000F36AC"/>
    <w:rsid w:val="000F402E"/>
    <w:rsid w:val="000F750B"/>
    <w:rsid w:val="00100A40"/>
    <w:rsid w:val="00100C72"/>
    <w:rsid w:val="00100FD9"/>
    <w:rsid w:val="00101374"/>
    <w:rsid w:val="00102704"/>
    <w:rsid w:val="00105FA9"/>
    <w:rsid w:val="0010708C"/>
    <w:rsid w:val="001103AA"/>
    <w:rsid w:val="00112AB6"/>
    <w:rsid w:val="0011583A"/>
    <w:rsid w:val="00116117"/>
    <w:rsid w:val="0011666B"/>
    <w:rsid w:val="00116DD2"/>
    <w:rsid w:val="0012658A"/>
    <w:rsid w:val="00126B23"/>
    <w:rsid w:val="0013093D"/>
    <w:rsid w:val="00130B85"/>
    <w:rsid w:val="00131195"/>
    <w:rsid w:val="001323D9"/>
    <w:rsid w:val="00133318"/>
    <w:rsid w:val="00135D40"/>
    <w:rsid w:val="001405B1"/>
    <w:rsid w:val="00144E40"/>
    <w:rsid w:val="001468B2"/>
    <w:rsid w:val="00147248"/>
    <w:rsid w:val="00154561"/>
    <w:rsid w:val="001607C6"/>
    <w:rsid w:val="001641A1"/>
    <w:rsid w:val="00165F3A"/>
    <w:rsid w:val="001709B4"/>
    <w:rsid w:val="0017296C"/>
    <w:rsid w:val="00173242"/>
    <w:rsid w:val="0017595C"/>
    <w:rsid w:val="00175967"/>
    <w:rsid w:val="00175C4B"/>
    <w:rsid w:val="00175D78"/>
    <w:rsid w:val="00176118"/>
    <w:rsid w:val="00176A77"/>
    <w:rsid w:val="001911D3"/>
    <w:rsid w:val="001921F0"/>
    <w:rsid w:val="001927DB"/>
    <w:rsid w:val="00192D87"/>
    <w:rsid w:val="0019359C"/>
    <w:rsid w:val="001937A9"/>
    <w:rsid w:val="001940AF"/>
    <w:rsid w:val="00195BDC"/>
    <w:rsid w:val="001962E3"/>
    <w:rsid w:val="001A1450"/>
    <w:rsid w:val="001A435D"/>
    <w:rsid w:val="001A6FC7"/>
    <w:rsid w:val="001B2705"/>
    <w:rsid w:val="001B4B04"/>
    <w:rsid w:val="001B4C29"/>
    <w:rsid w:val="001B4CB9"/>
    <w:rsid w:val="001B6029"/>
    <w:rsid w:val="001C343D"/>
    <w:rsid w:val="001C4030"/>
    <w:rsid w:val="001C4A0F"/>
    <w:rsid w:val="001C5489"/>
    <w:rsid w:val="001C57A0"/>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5030"/>
    <w:rsid w:val="001F515D"/>
    <w:rsid w:val="001F55BB"/>
    <w:rsid w:val="001F5C4A"/>
    <w:rsid w:val="00200080"/>
    <w:rsid w:val="00202DA8"/>
    <w:rsid w:val="002039FE"/>
    <w:rsid w:val="0021195E"/>
    <w:rsid w:val="00211E0B"/>
    <w:rsid w:val="0021364D"/>
    <w:rsid w:val="00213934"/>
    <w:rsid w:val="00217748"/>
    <w:rsid w:val="0022063F"/>
    <w:rsid w:val="002236DD"/>
    <w:rsid w:val="00223C83"/>
    <w:rsid w:val="002247E8"/>
    <w:rsid w:val="002258E3"/>
    <w:rsid w:val="00230D7B"/>
    <w:rsid w:val="00234A29"/>
    <w:rsid w:val="00235892"/>
    <w:rsid w:val="002358C8"/>
    <w:rsid w:val="00235B68"/>
    <w:rsid w:val="002364A1"/>
    <w:rsid w:val="0024772E"/>
    <w:rsid w:val="00250B35"/>
    <w:rsid w:val="00256B43"/>
    <w:rsid w:val="002600A5"/>
    <w:rsid w:val="0026285E"/>
    <w:rsid w:val="00262BF9"/>
    <w:rsid w:val="0026302A"/>
    <w:rsid w:val="00267F5F"/>
    <w:rsid w:val="00272781"/>
    <w:rsid w:val="002731A1"/>
    <w:rsid w:val="00274417"/>
    <w:rsid w:val="00274C4D"/>
    <w:rsid w:val="00275A0F"/>
    <w:rsid w:val="002845C1"/>
    <w:rsid w:val="002848A3"/>
    <w:rsid w:val="00284E1B"/>
    <w:rsid w:val="00285AA9"/>
    <w:rsid w:val="00286B4D"/>
    <w:rsid w:val="00287C5E"/>
    <w:rsid w:val="002902F9"/>
    <w:rsid w:val="00291A3E"/>
    <w:rsid w:val="00292F33"/>
    <w:rsid w:val="00295AA5"/>
    <w:rsid w:val="002A0074"/>
    <w:rsid w:val="002A09E2"/>
    <w:rsid w:val="002A18E7"/>
    <w:rsid w:val="002A4002"/>
    <w:rsid w:val="002A59E7"/>
    <w:rsid w:val="002C0147"/>
    <w:rsid w:val="002C174C"/>
    <w:rsid w:val="002C2778"/>
    <w:rsid w:val="002C360B"/>
    <w:rsid w:val="002C4C32"/>
    <w:rsid w:val="002C5E26"/>
    <w:rsid w:val="002C6022"/>
    <w:rsid w:val="002C6B03"/>
    <w:rsid w:val="002C7DC6"/>
    <w:rsid w:val="002D4643"/>
    <w:rsid w:val="002D547D"/>
    <w:rsid w:val="002D6545"/>
    <w:rsid w:val="002E05CE"/>
    <w:rsid w:val="002E3A18"/>
    <w:rsid w:val="002E3BB2"/>
    <w:rsid w:val="002E7924"/>
    <w:rsid w:val="002F0713"/>
    <w:rsid w:val="002F175C"/>
    <w:rsid w:val="002F5F03"/>
    <w:rsid w:val="002F690D"/>
    <w:rsid w:val="003025F9"/>
    <w:rsid w:val="00302E18"/>
    <w:rsid w:val="00303E65"/>
    <w:rsid w:val="00307003"/>
    <w:rsid w:val="003114B0"/>
    <w:rsid w:val="0031245A"/>
    <w:rsid w:val="00312598"/>
    <w:rsid w:val="00314CEE"/>
    <w:rsid w:val="0031622A"/>
    <w:rsid w:val="003203E2"/>
    <w:rsid w:val="00320E44"/>
    <w:rsid w:val="0032198A"/>
    <w:rsid w:val="003229D8"/>
    <w:rsid w:val="00326839"/>
    <w:rsid w:val="003271B0"/>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56EB9"/>
    <w:rsid w:val="003619B5"/>
    <w:rsid w:val="003640AE"/>
    <w:rsid w:val="00365763"/>
    <w:rsid w:val="00371178"/>
    <w:rsid w:val="0037304E"/>
    <w:rsid w:val="00376BA3"/>
    <w:rsid w:val="00387D97"/>
    <w:rsid w:val="003922DD"/>
    <w:rsid w:val="00392E47"/>
    <w:rsid w:val="00396EDE"/>
    <w:rsid w:val="003A380A"/>
    <w:rsid w:val="003A3A0E"/>
    <w:rsid w:val="003A4397"/>
    <w:rsid w:val="003A6810"/>
    <w:rsid w:val="003A6B4B"/>
    <w:rsid w:val="003A6CDC"/>
    <w:rsid w:val="003B13B0"/>
    <w:rsid w:val="003B28B7"/>
    <w:rsid w:val="003B5B01"/>
    <w:rsid w:val="003C083F"/>
    <w:rsid w:val="003C2CC4"/>
    <w:rsid w:val="003C4EF5"/>
    <w:rsid w:val="003C5B97"/>
    <w:rsid w:val="003D30BA"/>
    <w:rsid w:val="003D4B23"/>
    <w:rsid w:val="003E1645"/>
    <w:rsid w:val="003E33BF"/>
    <w:rsid w:val="003E6C3C"/>
    <w:rsid w:val="003F07CA"/>
    <w:rsid w:val="003F50EC"/>
    <w:rsid w:val="003F5C78"/>
    <w:rsid w:val="003F5D17"/>
    <w:rsid w:val="004007E0"/>
    <w:rsid w:val="0040640F"/>
    <w:rsid w:val="00410C89"/>
    <w:rsid w:val="00416282"/>
    <w:rsid w:val="00416D9D"/>
    <w:rsid w:val="00417D70"/>
    <w:rsid w:val="00422E03"/>
    <w:rsid w:val="00422EEE"/>
    <w:rsid w:val="004234FA"/>
    <w:rsid w:val="00423572"/>
    <w:rsid w:val="00426B9B"/>
    <w:rsid w:val="004279FC"/>
    <w:rsid w:val="00427D83"/>
    <w:rsid w:val="0043113A"/>
    <w:rsid w:val="004315A1"/>
    <w:rsid w:val="004325CB"/>
    <w:rsid w:val="00436B85"/>
    <w:rsid w:val="004401CE"/>
    <w:rsid w:val="00441E8B"/>
    <w:rsid w:val="00442A83"/>
    <w:rsid w:val="00443582"/>
    <w:rsid w:val="0045109A"/>
    <w:rsid w:val="0045495B"/>
    <w:rsid w:val="00454AED"/>
    <w:rsid w:val="00457F91"/>
    <w:rsid w:val="00464A30"/>
    <w:rsid w:val="004663A4"/>
    <w:rsid w:val="0047604D"/>
    <w:rsid w:val="0047699E"/>
    <w:rsid w:val="00476F14"/>
    <w:rsid w:val="00477F33"/>
    <w:rsid w:val="00481640"/>
    <w:rsid w:val="0048397A"/>
    <w:rsid w:val="00485CBB"/>
    <w:rsid w:val="004866B7"/>
    <w:rsid w:val="00487049"/>
    <w:rsid w:val="0049214C"/>
    <w:rsid w:val="0049251C"/>
    <w:rsid w:val="004929BA"/>
    <w:rsid w:val="00493C8D"/>
    <w:rsid w:val="00493EAD"/>
    <w:rsid w:val="004A11BF"/>
    <w:rsid w:val="004A4032"/>
    <w:rsid w:val="004A50D7"/>
    <w:rsid w:val="004A5248"/>
    <w:rsid w:val="004B1E32"/>
    <w:rsid w:val="004B65CF"/>
    <w:rsid w:val="004C0276"/>
    <w:rsid w:val="004C1432"/>
    <w:rsid w:val="004C1DF4"/>
    <w:rsid w:val="004C2332"/>
    <w:rsid w:val="004C2461"/>
    <w:rsid w:val="004C41DC"/>
    <w:rsid w:val="004C6A47"/>
    <w:rsid w:val="004C7462"/>
    <w:rsid w:val="004D5EA5"/>
    <w:rsid w:val="004D6461"/>
    <w:rsid w:val="004E19BD"/>
    <w:rsid w:val="004E750E"/>
    <w:rsid w:val="004E77B2"/>
    <w:rsid w:val="004F0A4B"/>
    <w:rsid w:val="004F19D2"/>
    <w:rsid w:val="004F5332"/>
    <w:rsid w:val="004F6AFB"/>
    <w:rsid w:val="00504B2D"/>
    <w:rsid w:val="005077EC"/>
    <w:rsid w:val="00507C72"/>
    <w:rsid w:val="0051088A"/>
    <w:rsid w:val="005109BE"/>
    <w:rsid w:val="00510DA4"/>
    <w:rsid w:val="00511D2F"/>
    <w:rsid w:val="00512E26"/>
    <w:rsid w:val="0051386E"/>
    <w:rsid w:val="0051532C"/>
    <w:rsid w:val="0052136D"/>
    <w:rsid w:val="00524EA1"/>
    <w:rsid w:val="0052775E"/>
    <w:rsid w:val="005301B6"/>
    <w:rsid w:val="00532717"/>
    <w:rsid w:val="00535739"/>
    <w:rsid w:val="00537F71"/>
    <w:rsid w:val="00541726"/>
    <w:rsid w:val="005420F2"/>
    <w:rsid w:val="00550B06"/>
    <w:rsid w:val="00550EC4"/>
    <w:rsid w:val="0055254C"/>
    <w:rsid w:val="00554B9A"/>
    <w:rsid w:val="00555E2E"/>
    <w:rsid w:val="0056256C"/>
    <w:rsid w:val="005628B6"/>
    <w:rsid w:val="0056600D"/>
    <w:rsid w:val="005668E6"/>
    <w:rsid w:val="00567EC7"/>
    <w:rsid w:val="00571086"/>
    <w:rsid w:val="0057287F"/>
    <w:rsid w:val="00572B32"/>
    <w:rsid w:val="00582AE7"/>
    <w:rsid w:val="00583619"/>
    <w:rsid w:val="0058371B"/>
    <w:rsid w:val="00590D54"/>
    <w:rsid w:val="005919A2"/>
    <w:rsid w:val="00593CE9"/>
    <w:rsid w:val="005941EC"/>
    <w:rsid w:val="00595703"/>
    <w:rsid w:val="00596D14"/>
    <w:rsid w:val="0059724D"/>
    <w:rsid w:val="00597777"/>
    <w:rsid w:val="005A38D0"/>
    <w:rsid w:val="005A44A6"/>
    <w:rsid w:val="005A620C"/>
    <w:rsid w:val="005A6214"/>
    <w:rsid w:val="005A6E3A"/>
    <w:rsid w:val="005B0C4C"/>
    <w:rsid w:val="005B25A1"/>
    <w:rsid w:val="005B3DB3"/>
    <w:rsid w:val="005B4E13"/>
    <w:rsid w:val="005C342F"/>
    <w:rsid w:val="005D1732"/>
    <w:rsid w:val="005D356C"/>
    <w:rsid w:val="005D357C"/>
    <w:rsid w:val="005D3A50"/>
    <w:rsid w:val="005D67B3"/>
    <w:rsid w:val="005D6EB9"/>
    <w:rsid w:val="005D7478"/>
    <w:rsid w:val="005D7857"/>
    <w:rsid w:val="005E25A1"/>
    <w:rsid w:val="005F216E"/>
    <w:rsid w:val="005F5371"/>
    <w:rsid w:val="005F5815"/>
    <w:rsid w:val="005F5DA7"/>
    <w:rsid w:val="005F7B75"/>
    <w:rsid w:val="006001EE"/>
    <w:rsid w:val="00605042"/>
    <w:rsid w:val="0060632C"/>
    <w:rsid w:val="00607E9D"/>
    <w:rsid w:val="00610FBC"/>
    <w:rsid w:val="00611044"/>
    <w:rsid w:val="00611FC4"/>
    <w:rsid w:val="0061359B"/>
    <w:rsid w:val="006135CE"/>
    <w:rsid w:val="006176FB"/>
    <w:rsid w:val="00620692"/>
    <w:rsid w:val="0062138C"/>
    <w:rsid w:val="0062388D"/>
    <w:rsid w:val="00632401"/>
    <w:rsid w:val="0063306C"/>
    <w:rsid w:val="00633142"/>
    <w:rsid w:val="006349C5"/>
    <w:rsid w:val="00636702"/>
    <w:rsid w:val="0063743A"/>
    <w:rsid w:val="00640B26"/>
    <w:rsid w:val="00642652"/>
    <w:rsid w:val="006428F3"/>
    <w:rsid w:val="00643351"/>
    <w:rsid w:val="00652D0A"/>
    <w:rsid w:val="006561BB"/>
    <w:rsid w:val="00656A5F"/>
    <w:rsid w:val="00660B28"/>
    <w:rsid w:val="006612E1"/>
    <w:rsid w:val="0066181B"/>
    <w:rsid w:val="00662BB6"/>
    <w:rsid w:val="006636D3"/>
    <w:rsid w:val="00663742"/>
    <w:rsid w:val="00663AD0"/>
    <w:rsid w:val="00664729"/>
    <w:rsid w:val="0066488C"/>
    <w:rsid w:val="006660B8"/>
    <w:rsid w:val="00666F0A"/>
    <w:rsid w:val="006718D0"/>
    <w:rsid w:val="00676606"/>
    <w:rsid w:val="006804A9"/>
    <w:rsid w:val="00682AAB"/>
    <w:rsid w:val="00683498"/>
    <w:rsid w:val="00683D34"/>
    <w:rsid w:val="00684C21"/>
    <w:rsid w:val="00687913"/>
    <w:rsid w:val="00690539"/>
    <w:rsid w:val="00692692"/>
    <w:rsid w:val="00694425"/>
    <w:rsid w:val="006968A1"/>
    <w:rsid w:val="00697C41"/>
    <w:rsid w:val="006A2530"/>
    <w:rsid w:val="006A69ED"/>
    <w:rsid w:val="006A70F5"/>
    <w:rsid w:val="006A742A"/>
    <w:rsid w:val="006B0719"/>
    <w:rsid w:val="006B35C3"/>
    <w:rsid w:val="006B3FFD"/>
    <w:rsid w:val="006B42EA"/>
    <w:rsid w:val="006B48B3"/>
    <w:rsid w:val="006B66AC"/>
    <w:rsid w:val="006B6921"/>
    <w:rsid w:val="006B74BB"/>
    <w:rsid w:val="006C1D68"/>
    <w:rsid w:val="006C32B2"/>
    <w:rsid w:val="006C3589"/>
    <w:rsid w:val="006C453D"/>
    <w:rsid w:val="006C6AA8"/>
    <w:rsid w:val="006C78A2"/>
    <w:rsid w:val="006C7B8E"/>
    <w:rsid w:val="006C7C7C"/>
    <w:rsid w:val="006D0E06"/>
    <w:rsid w:val="006D345C"/>
    <w:rsid w:val="006D37AF"/>
    <w:rsid w:val="006D51D0"/>
    <w:rsid w:val="006D5FB9"/>
    <w:rsid w:val="006D6303"/>
    <w:rsid w:val="006E0FEF"/>
    <w:rsid w:val="006E2068"/>
    <w:rsid w:val="006E4F72"/>
    <w:rsid w:val="006E564B"/>
    <w:rsid w:val="006E70E5"/>
    <w:rsid w:val="006E7191"/>
    <w:rsid w:val="006F4D5A"/>
    <w:rsid w:val="00702407"/>
    <w:rsid w:val="007034F9"/>
    <w:rsid w:val="00703577"/>
    <w:rsid w:val="00705894"/>
    <w:rsid w:val="00705B62"/>
    <w:rsid w:val="00706E9A"/>
    <w:rsid w:val="00710679"/>
    <w:rsid w:val="00710A03"/>
    <w:rsid w:val="00712AA7"/>
    <w:rsid w:val="00714033"/>
    <w:rsid w:val="007168D4"/>
    <w:rsid w:val="00721027"/>
    <w:rsid w:val="007217C4"/>
    <w:rsid w:val="00724080"/>
    <w:rsid w:val="007246EF"/>
    <w:rsid w:val="00725775"/>
    <w:rsid w:val="007258F6"/>
    <w:rsid w:val="00725CEA"/>
    <w:rsid w:val="0072632A"/>
    <w:rsid w:val="00727DE0"/>
    <w:rsid w:val="00732343"/>
    <w:rsid w:val="007327D5"/>
    <w:rsid w:val="007352A8"/>
    <w:rsid w:val="00736F82"/>
    <w:rsid w:val="0073719A"/>
    <w:rsid w:val="00742A4B"/>
    <w:rsid w:val="0074742B"/>
    <w:rsid w:val="0074787D"/>
    <w:rsid w:val="00747F2F"/>
    <w:rsid w:val="00757680"/>
    <w:rsid w:val="00760F8B"/>
    <w:rsid w:val="00762564"/>
    <w:rsid w:val="007629C8"/>
    <w:rsid w:val="00765608"/>
    <w:rsid w:val="00766488"/>
    <w:rsid w:val="00767C4D"/>
    <w:rsid w:val="0077047D"/>
    <w:rsid w:val="00772381"/>
    <w:rsid w:val="00773BE8"/>
    <w:rsid w:val="00775EFC"/>
    <w:rsid w:val="00777160"/>
    <w:rsid w:val="00777A63"/>
    <w:rsid w:val="0078197F"/>
    <w:rsid w:val="00782A77"/>
    <w:rsid w:val="0078488C"/>
    <w:rsid w:val="00785BAC"/>
    <w:rsid w:val="0079263D"/>
    <w:rsid w:val="00792B6C"/>
    <w:rsid w:val="00796796"/>
    <w:rsid w:val="007A1D75"/>
    <w:rsid w:val="007A4101"/>
    <w:rsid w:val="007A7144"/>
    <w:rsid w:val="007B0B10"/>
    <w:rsid w:val="007B514D"/>
    <w:rsid w:val="007B6BA5"/>
    <w:rsid w:val="007C3390"/>
    <w:rsid w:val="007C36C6"/>
    <w:rsid w:val="007C4F4B"/>
    <w:rsid w:val="007C5431"/>
    <w:rsid w:val="007C6052"/>
    <w:rsid w:val="007C73F8"/>
    <w:rsid w:val="007D22F7"/>
    <w:rsid w:val="007D3257"/>
    <w:rsid w:val="007E01E9"/>
    <w:rsid w:val="007E39FA"/>
    <w:rsid w:val="007E3BFF"/>
    <w:rsid w:val="007E63F3"/>
    <w:rsid w:val="007E7463"/>
    <w:rsid w:val="007F277A"/>
    <w:rsid w:val="007F3287"/>
    <w:rsid w:val="007F4667"/>
    <w:rsid w:val="007F4B56"/>
    <w:rsid w:val="007F6611"/>
    <w:rsid w:val="00807FFC"/>
    <w:rsid w:val="008118DA"/>
    <w:rsid w:val="00811920"/>
    <w:rsid w:val="008122AF"/>
    <w:rsid w:val="0081358A"/>
    <w:rsid w:val="00815AD0"/>
    <w:rsid w:val="00817A1E"/>
    <w:rsid w:val="008242D7"/>
    <w:rsid w:val="00825572"/>
    <w:rsid w:val="008257B1"/>
    <w:rsid w:val="00831F60"/>
    <w:rsid w:val="00832334"/>
    <w:rsid w:val="00832D9C"/>
    <w:rsid w:val="00843767"/>
    <w:rsid w:val="00844847"/>
    <w:rsid w:val="00844993"/>
    <w:rsid w:val="00844CF8"/>
    <w:rsid w:val="0084567F"/>
    <w:rsid w:val="0084592C"/>
    <w:rsid w:val="00850ABB"/>
    <w:rsid w:val="00852014"/>
    <w:rsid w:val="008524ED"/>
    <w:rsid w:val="00854198"/>
    <w:rsid w:val="0085601B"/>
    <w:rsid w:val="0085657D"/>
    <w:rsid w:val="00857388"/>
    <w:rsid w:val="00857508"/>
    <w:rsid w:val="00860602"/>
    <w:rsid w:val="008679D9"/>
    <w:rsid w:val="00870085"/>
    <w:rsid w:val="0087248B"/>
    <w:rsid w:val="00872852"/>
    <w:rsid w:val="00877812"/>
    <w:rsid w:val="0088008B"/>
    <w:rsid w:val="008878DE"/>
    <w:rsid w:val="00890119"/>
    <w:rsid w:val="00894427"/>
    <w:rsid w:val="008964FB"/>
    <w:rsid w:val="0089757F"/>
    <w:rsid w:val="008979B1"/>
    <w:rsid w:val="008A160B"/>
    <w:rsid w:val="008A3332"/>
    <w:rsid w:val="008A46EA"/>
    <w:rsid w:val="008A49BF"/>
    <w:rsid w:val="008A521D"/>
    <w:rsid w:val="008A6B25"/>
    <w:rsid w:val="008A6C4F"/>
    <w:rsid w:val="008A76FB"/>
    <w:rsid w:val="008B116C"/>
    <w:rsid w:val="008B1FDA"/>
    <w:rsid w:val="008B2335"/>
    <w:rsid w:val="008B4048"/>
    <w:rsid w:val="008B4DB9"/>
    <w:rsid w:val="008C4324"/>
    <w:rsid w:val="008C44CA"/>
    <w:rsid w:val="008C5303"/>
    <w:rsid w:val="008D4AF2"/>
    <w:rsid w:val="008D5FFC"/>
    <w:rsid w:val="008E0678"/>
    <w:rsid w:val="008E34BE"/>
    <w:rsid w:val="008E37EF"/>
    <w:rsid w:val="008E5747"/>
    <w:rsid w:val="008E5919"/>
    <w:rsid w:val="008F2977"/>
    <w:rsid w:val="008F31D2"/>
    <w:rsid w:val="008F6B41"/>
    <w:rsid w:val="009011F7"/>
    <w:rsid w:val="009121CF"/>
    <w:rsid w:val="009223CA"/>
    <w:rsid w:val="00925735"/>
    <w:rsid w:val="009266B2"/>
    <w:rsid w:val="009278D9"/>
    <w:rsid w:val="00932A7A"/>
    <w:rsid w:val="009375C2"/>
    <w:rsid w:val="00940F93"/>
    <w:rsid w:val="00941201"/>
    <w:rsid w:val="00942076"/>
    <w:rsid w:val="00942875"/>
    <w:rsid w:val="00943BE8"/>
    <w:rsid w:val="00951B84"/>
    <w:rsid w:val="00965857"/>
    <w:rsid w:val="00966CFA"/>
    <w:rsid w:val="009716B1"/>
    <w:rsid w:val="00972A6E"/>
    <w:rsid w:val="009760F3"/>
    <w:rsid w:val="00976CFB"/>
    <w:rsid w:val="00981486"/>
    <w:rsid w:val="0098178D"/>
    <w:rsid w:val="0098189B"/>
    <w:rsid w:val="00982AA6"/>
    <w:rsid w:val="00983E7C"/>
    <w:rsid w:val="00984A1C"/>
    <w:rsid w:val="00990821"/>
    <w:rsid w:val="009A0830"/>
    <w:rsid w:val="009A0D3E"/>
    <w:rsid w:val="009A0E8D"/>
    <w:rsid w:val="009A1095"/>
    <w:rsid w:val="009A1CF5"/>
    <w:rsid w:val="009A269E"/>
    <w:rsid w:val="009A43A9"/>
    <w:rsid w:val="009B0920"/>
    <w:rsid w:val="009B1484"/>
    <w:rsid w:val="009B26E7"/>
    <w:rsid w:val="009B5632"/>
    <w:rsid w:val="009C0397"/>
    <w:rsid w:val="009C0F0F"/>
    <w:rsid w:val="009C1508"/>
    <w:rsid w:val="009C1705"/>
    <w:rsid w:val="009C615F"/>
    <w:rsid w:val="009D35AA"/>
    <w:rsid w:val="009D4F57"/>
    <w:rsid w:val="009D5F0F"/>
    <w:rsid w:val="009E015B"/>
    <w:rsid w:val="009E0448"/>
    <w:rsid w:val="009E1334"/>
    <w:rsid w:val="009E224F"/>
    <w:rsid w:val="009E6172"/>
    <w:rsid w:val="009E6DCF"/>
    <w:rsid w:val="009F066D"/>
    <w:rsid w:val="009F2232"/>
    <w:rsid w:val="009F4F42"/>
    <w:rsid w:val="009F6181"/>
    <w:rsid w:val="009F6204"/>
    <w:rsid w:val="009F6480"/>
    <w:rsid w:val="009F7871"/>
    <w:rsid w:val="00A00697"/>
    <w:rsid w:val="00A00A3F"/>
    <w:rsid w:val="00A01489"/>
    <w:rsid w:val="00A0608C"/>
    <w:rsid w:val="00A07F53"/>
    <w:rsid w:val="00A11D27"/>
    <w:rsid w:val="00A16E1C"/>
    <w:rsid w:val="00A16F92"/>
    <w:rsid w:val="00A27E37"/>
    <w:rsid w:val="00A3026E"/>
    <w:rsid w:val="00A3044D"/>
    <w:rsid w:val="00A3134B"/>
    <w:rsid w:val="00A326C3"/>
    <w:rsid w:val="00A338F1"/>
    <w:rsid w:val="00A34E4B"/>
    <w:rsid w:val="00A35BE0"/>
    <w:rsid w:val="00A36D07"/>
    <w:rsid w:val="00A3703C"/>
    <w:rsid w:val="00A37AC9"/>
    <w:rsid w:val="00A41B65"/>
    <w:rsid w:val="00A41EED"/>
    <w:rsid w:val="00A52B86"/>
    <w:rsid w:val="00A55E0F"/>
    <w:rsid w:val="00A567BB"/>
    <w:rsid w:val="00A61350"/>
    <w:rsid w:val="00A63559"/>
    <w:rsid w:val="00A65548"/>
    <w:rsid w:val="00A72F22"/>
    <w:rsid w:val="00A7360F"/>
    <w:rsid w:val="00A73B9F"/>
    <w:rsid w:val="00A748A6"/>
    <w:rsid w:val="00A75E32"/>
    <w:rsid w:val="00A769F4"/>
    <w:rsid w:val="00A77391"/>
    <w:rsid w:val="00A776B4"/>
    <w:rsid w:val="00A77FB8"/>
    <w:rsid w:val="00A82ADC"/>
    <w:rsid w:val="00A83763"/>
    <w:rsid w:val="00A869D9"/>
    <w:rsid w:val="00A934FA"/>
    <w:rsid w:val="00A94114"/>
    <w:rsid w:val="00A94361"/>
    <w:rsid w:val="00A94463"/>
    <w:rsid w:val="00A972F7"/>
    <w:rsid w:val="00AA105B"/>
    <w:rsid w:val="00AA293C"/>
    <w:rsid w:val="00AB1516"/>
    <w:rsid w:val="00AB2DE5"/>
    <w:rsid w:val="00AB3C6A"/>
    <w:rsid w:val="00AC03B8"/>
    <w:rsid w:val="00AC3854"/>
    <w:rsid w:val="00AC4838"/>
    <w:rsid w:val="00AC772A"/>
    <w:rsid w:val="00AD1CC0"/>
    <w:rsid w:val="00AD351A"/>
    <w:rsid w:val="00AD78BE"/>
    <w:rsid w:val="00AE229C"/>
    <w:rsid w:val="00AE2307"/>
    <w:rsid w:val="00AE5115"/>
    <w:rsid w:val="00B02445"/>
    <w:rsid w:val="00B041E2"/>
    <w:rsid w:val="00B04D4C"/>
    <w:rsid w:val="00B116A8"/>
    <w:rsid w:val="00B135D5"/>
    <w:rsid w:val="00B30179"/>
    <w:rsid w:val="00B337FD"/>
    <w:rsid w:val="00B421C1"/>
    <w:rsid w:val="00B43603"/>
    <w:rsid w:val="00B45EA0"/>
    <w:rsid w:val="00B522C8"/>
    <w:rsid w:val="00B55C71"/>
    <w:rsid w:val="00B56E4A"/>
    <w:rsid w:val="00B56E9C"/>
    <w:rsid w:val="00B61266"/>
    <w:rsid w:val="00B61F50"/>
    <w:rsid w:val="00B62F09"/>
    <w:rsid w:val="00B64B1F"/>
    <w:rsid w:val="00B65090"/>
    <w:rsid w:val="00B65508"/>
    <w:rsid w:val="00B6553F"/>
    <w:rsid w:val="00B7428C"/>
    <w:rsid w:val="00B770E0"/>
    <w:rsid w:val="00B77D05"/>
    <w:rsid w:val="00B8064E"/>
    <w:rsid w:val="00B81206"/>
    <w:rsid w:val="00B81E12"/>
    <w:rsid w:val="00B828DE"/>
    <w:rsid w:val="00B83786"/>
    <w:rsid w:val="00B8384B"/>
    <w:rsid w:val="00B84692"/>
    <w:rsid w:val="00B859EA"/>
    <w:rsid w:val="00B85D83"/>
    <w:rsid w:val="00B86C67"/>
    <w:rsid w:val="00B900AD"/>
    <w:rsid w:val="00B9477C"/>
    <w:rsid w:val="00B94957"/>
    <w:rsid w:val="00B95341"/>
    <w:rsid w:val="00BA062A"/>
    <w:rsid w:val="00BA130C"/>
    <w:rsid w:val="00BA6D63"/>
    <w:rsid w:val="00BA7513"/>
    <w:rsid w:val="00BB1624"/>
    <w:rsid w:val="00BB6619"/>
    <w:rsid w:val="00BC04D4"/>
    <w:rsid w:val="00BC0940"/>
    <w:rsid w:val="00BC15E4"/>
    <w:rsid w:val="00BC2BA2"/>
    <w:rsid w:val="00BC3FA0"/>
    <w:rsid w:val="00BC5DD1"/>
    <w:rsid w:val="00BC74E9"/>
    <w:rsid w:val="00BD26E2"/>
    <w:rsid w:val="00BD3218"/>
    <w:rsid w:val="00BD745C"/>
    <w:rsid w:val="00BE200A"/>
    <w:rsid w:val="00BE379F"/>
    <w:rsid w:val="00BE3DF1"/>
    <w:rsid w:val="00BE3E20"/>
    <w:rsid w:val="00BE4504"/>
    <w:rsid w:val="00BF01F3"/>
    <w:rsid w:val="00BF0266"/>
    <w:rsid w:val="00BF588D"/>
    <w:rsid w:val="00BF68A8"/>
    <w:rsid w:val="00C01EC4"/>
    <w:rsid w:val="00C03F52"/>
    <w:rsid w:val="00C1016B"/>
    <w:rsid w:val="00C11A03"/>
    <w:rsid w:val="00C13948"/>
    <w:rsid w:val="00C152B9"/>
    <w:rsid w:val="00C15C0A"/>
    <w:rsid w:val="00C167C5"/>
    <w:rsid w:val="00C17918"/>
    <w:rsid w:val="00C22C0C"/>
    <w:rsid w:val="00C238C1"/>
    <w:rsid w:val="00C26946"/>
    <w:rsid w:val="00C4527F"/>
    <w:rsid w:val="00C463DD"/>
    <w:rsid w:val="00C4724C"/>
    <w:rsid w:val="00C53074"/>
    <w:rsid w:val="00C6049D"/>
    <w:rsid w:val="00C629A0"/>
    <w:rsid w:val="00C64629"/>
    <w:rsid w:val="00C661CB"/>
    <w:rsid w:val="00C675E2"/>
    <w:rsid w:val="00C70455"/>
    <w:rsid w:val="00C70AC5"/>
    <w:rsid w:val="00C70EEE"/>
    <w:rsid w:val="00C745C3"/>
    <w:rsid w:val="00C7560C"/>
    <w:rsid w:val="00C76480"/>
    <w:rsid w:val="00C76999"/>
    <w:rsid w:val="00C77217"/>
    <w:rsid w:val="00C80765"/>
    <w:rsid w:val="00C87E50"/>
    <w:rsid w:val="00C87FFC"/>
    <w:rsid w:val="00C93A76"/>
    <w:rsid w:val="00C94717"/>
    <w:rsid w:val="00C95511"/>
    <w:rsid w:val="00C95FEC"/>
    <w:rsid w:val="00C96113"/>
    <w:rsid w:val="00C96DF2"/>
    <w:rsid w:val="00CA0681"/>
    <w:rsid w:val="00CA5531"/>
    <w:rsid w:val="00CA64B5"/>
    <w:rsid w:val="00CB3C29"/>
    <w:rsid w:val="00CB3E03"/>
    <w:rsid w:val="00CB7DD8"/>
    <w:rsid w:val="00CC07ED"/>
    <w:rsid w:val="00CC3982"/>
    <w:rsid w:val="00CC534B"/>
    <w:rsid w:val="00CD19D6"/>
    <w:rsid w:val="00CD40EE"/>
    <w:rsid w:val="00CD419B"/>
    <w:rsid w:val="00CD4AA6"/>
    <w:rsid w:val="00CD4BB1"/>
    <w:rsid w:val="00CE1104"/>
    <w:rsid w:val="00CE2D3D"/>
    <w:rsid w:val="00CE334F"/>
    <w:rsid w:val="00CE4A8F"/>
    <w:rsid w:val="00CE604F"/>
    <w:rsid w:val="00CE66E8"/>
    <w:rsid w:val="00CE71E1"/>
    <w:rsid w:val="00CF03B6"/>
    <w:rsid w:val="00CF727F"/>
    <w:rsid w:val="00CF7425"/>
    <w:rsid w:val="00D00E41"/>
    <w:rsid w:val="00D022F4"/>
    <w:rsid w:val="00D03F3E"/>
    <w:rsid w:val="00D04AC0"/>
    <w:rsid w:val="00D112CD"/>
    <w:rsid w:val="00D115CA"/>
    <w:rsid w:val="00D11F98"/>
    <w:rsid w:val="00D14CD6"/>
    <w:rsid w:val="00D151B5"/>
    <w:rsid w:val="00D15296"/>
    <w:rsid w:val="00D2031B"/>
    <w:rsid w:val="00D2113B"/>
    <w:rsid w:val="00D21FB3"/>
    <w:rsid w:val="00D248B6"/>
    <w:rsid w:val="00D25CEE"/>
    <w:rsid w:val="00D25FE2"/>
    <w:rsid w:val="00D26E9E"/>
    <w:rsid w:val="00D274FF"/>
    <w:rsid w:val="00D306BD"/>
    <w:rsid w:val="00D329CE"/>
    <w:rsid w:val="00D36D96"/>
    <w:rsid w:val="00D43252"/>
    <w:rsid w:val="00D43BB6"/>
    <w:rsid w:val="00D457B1"/>
    <w:rsid w:val="00D45BBD"/>
    <w:rsid w:val="00D47EEA"/>
    <w:rsid w:val="00D51D19"/>
    <w:rsid w:val="00D51DF5"/>
    <w:rsid w:val="00D53BD6"/>
    <w:rsid w:val="00D55BAE"/>
    <w:rsid w:val="00D62D6B"/>
    <w:rsid w:val="00D64C5D"/>
    <w:rsid w:val="00D67D40"/>
    <w:rsid w:val="00D74FB0"/>
    <w:rsid w:val="00D75766"/>
    <w:rsid w:val="00D75F9D"/>
    <w:rsid w:val="00D76E74"/>
    <w:rsid w:val="00D773DF"/>
    <w:rsid w:val="00D777F1"/>
    <w:rsid w:val="00D866D2"/>
    <w:rsid w:val="00D87941"/>
    <w:rsid w:val="00D9240A"/>
    <w:rsid w:val="00D9475A"/>
    <w:rsid w:val="00D9487D"/>
    <w:rsid w:val="00D95303"/>
    <w:rsid w:val="00D95E85"/>
    <w:rsid w:val="00D95F4C"/>
    <w:rsid w:val="00D978C6"/>
    <w:rsid w:val="00DA3C1C"/>
    <w:rsid w:val="00DB2AD8"/>
    <w:rsid w:val="00DC0D47"/>
    <w:rsid w:val="00DC2454"/>
    <w:rsid w:val="00DC2534"/>
    <w:rsid w:val="00DC2F18"/>
    <w:rsid w:val="00DC3666"/>
    <w:rsid w:val="00DC5317"/>
    <w:rsid w:val="00DD113C"/>
    <w:rsid w:val="00DD2C2C"/>
    <w:rsid w:val="00DD7770"/>
    <w:rsid w:val="00DF7937"/>
    <w:rsid w:val="00E001EB"/>
    <w:rsid w:val="00E0021B"/>
    <w:rsid w:val="00E01957"/>
    <w:rsid w:val="00E03B60"/>
    <w:rsid w:val="00E03DAA"/>
    <w:rsid w:val="00E0467A"/>
    <w:rsid w:val="00E046DF"/>
    <w:rsid w:val="00E078B6"/>
    <w:rsid w:val="00E10502"/>
    <w:rsid w:val="00E10663"/>
    <w:rsid w:val="00E10D73"/>
    <w:rsid w:val="00E12D97"/>
    <w:rsid w:val="00E148C5"/>
    <w:rsid w:val="00E16C2D"/>
    <w:rsid w:val="00E16E3D"/>
    <w:rsid w:val="00E17EEF"/>
    <w:rsid w:val="00E20486"/>
    <w:rsid w:val="00E205A8"/>
    <w:rsid w:val="00E20775"/>
    <w:rsid w:val="00E21AC9"/>
    <w:rsid w:val="00E23EEF"/>
    <w:rsid w:val="00E24E17"/>
    <w:rsid w:val="00E25E8E"/>
    <w:rsid w:val="00E27346"/>
    <w:rsid w:val="00E273D0"/>
    <w:rsid w:val="00E323E7"/>
    <w:rsid w:val="00E37570"/>
    <w:rsid w:val="00E4319A"/>
    <w:rsid w:val="00E460FE"/>
    <w:rsid w:val="00E51EA5"/>
    <w:rsid w:val="00E5328E"/>
    <w:rsid w:val="00E5442F"/>
    <w:rsid w:val="00E54DEC"/>
    <w:rsid w:val="00E60A43"/>
    <w:rsid w:val="00E60C8D"/>
    <w:rsid w:val="00E659A4"/>
    <w:rsid w:val="00E71BC8"/>
    <w:rsid w:val="00E7260F"/>
    <w:rsid w:val="00E73F5D"/>
    <w:rsid w:val="00E75A16"/>
    <w:rsid w:val="00E75B13"/>
    <w:rsid w:val="00E75F3D"/>
    <w:rsid w:val="00E77BBC"/>
    <w:rsid w:val="00E77CD9"/>
    <w:rsid w:val="00E77E4E"/>
    <w:rsid w:val="00E8169C"/>
    <w:rsid w:val="00E8624D"/>
    <w:rsid w:val="00E870B1"/>
    <w:rsid w:val="00E96630"/>
    <w:rsid w:val="00EA0DC7"/>
    <w:rsid w:val="00EB2AFD"/>
    <w:rsid w:val="00EB3AFE"/>
    <w:rsid w:val="00EB73FB"/>
    <w:rsid w:val="00EC1E90"/>
    <w:rsid w:val="00EC4CC0"/>
    <w:rsid w:val="00EC6CC6"/>
    <w:rsid w:val="00ED0E22"/>
    <w:rsid w:val="00ED345D"/>
    <w:rsid w:val="00ED38B0"/>
    <w:rsid w:val="00ED3B19"/>
    <w:rsid w:val="00ED6993"/>
    <w:rsid w:val="00ED70F5"/>
    <w:rsid w:val="00ED7A2A"/>
    <w:rsid w:val="00EE1F1D"/>
    <w:rsid w:val="00EE2261"/>
    <w:rsid w:val="00EE501B"/>
    <w:rsid w:val="00EF1D7F"/>
    <w:rsid w:val="00EF62B3"/>
    <w:rsid w:val="00F01FBE"/>
    <w:rsid w:val="00F02B6B"/>
    <w:rsid w:val="00F02BC3"/>
    <w:rsid w:val="00F06D24"/>
    <w:rsid w:val="00F10A4D"/>
    <w:rsid w:val="00F14E44"/>
    <w:rsid w:val="00F206C2"/>
    <w:rsid w:val="00F21483"/>
    <w:rsid w:val="00F26DA8"/>
    <w:rsid w:val="00F3040C"/>
    <w:rsid w:val="00F31E5F"/>
    <w:rsid w:val="00F32396"/>
    <w:rsid w:val="00F46A4A"/>
    <w:rsid w:val="00F51FBC"/>
    <w:rsid w:val="00F52438"/>
    <w:rsid w:val="00F52D37"/>
    <w:rsid w:val="00F55775"/>
    <w:rsid w:val="00F57820"/>
    <w:rsid w:val="00F6100A"/>
    <w:rsid w:val="00F61D19"/>
    <w:rsid w:val="00F72661"/>
    <w:rsid w:val="00F73BA0"/>
    <w:rsid w:val="00F77013"/>
    <w:rsid w:val="00F81690"/>
    <w:rsid w:val="00F82848"/>
    <w:rsid w:val="00F93781"/>
    <w:rsid w:val="00FA04ED"/>
    <w:rsid w:val="00FA07CD"/>
    <w:rsid w:val="00FA19F3"/>
    <w:rsid w:val="00FA1BEC"/>
    <w:rsid w:val="00FA2EAF"/>
    <w:rsid w:val="00FA2EC4"/>
    <w:rsid w:val="00FA6BB7"/>
    <w:rsid w:val="00FB1239"/>
    <w:rsid w:val="00FB4A79"/>
    <w:rsid w:val="00FB613B"/>
    <w:rsid w:val="00FC0235"/>
    <w:rsid w:val="00FC2028"/>
    <w:rsid w:val="00FC68B7"/>
    <w:rsid w:val="00FC7FD2"/>
    <w:rsid w:val="00FD08C0"/>
    <w:rsid w:val="00FD1C37"/>
    <w:rsid w:val="00FD1D1E"/>
    <w:rsid w:val="00FD3B46"/>
    <w:rsid w:val="00FD3F98"/>
    <w:rsid w:val="00FD5B3A"/>
    <w:rsid w:val="00FE106A"/>
    <w:rsid w:val="00FE16DB"/>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uiPriority w:val="99"/>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uiPriority w:val="99"/>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table" w:customStyle="1" w:styleId="Grilledutableau1">
    <w:name w:val="Grille du tableau1"/>
    <w:basedOn w:val="TableNormal"/>
    <w:next w:val="TableGrid"/>
    <w:rsid w:val="00CB3C29"/>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basedOn w:val="DefaultParagraphFont"/>
    <w:link w:val="Footer"/>
    <w:uiPriority w:val="99"/>
    <w:rsid w:val="00BB1624"/>
    <w:rPr>
      <w:sz w:val="16"/>
      <w:lang w:eastAsia="en-US"/>
    </w:rPr>
  </w:style>
  <w:style w:type="paragraph" w:customStyle="1" w:styleId="ADN11">
    <w:name w:val="ADN_1_1"/>
    <w:basedOn w:val="Normal"/>
    <w:rsid w:val="00CE71E1"/>
    <w:pPr>
      <w:widowControl w:val="0"/>
      <w:suppressAutoHyphens w:val="0"/>
      <w:overflowPunct w:val="0"/>
      <w:autoSpaceDE w:val="0"/>
      <w:autoSpaceDN w:val="0"/>
      <w:adjustRightInd w:val="0"/>
      <w:ind w:left="1134" w:hanging="1134"/>
      <w:jc w:val="both"/>
      <w:textAlignment w:val="baseline"/>
    </w:pPr>
    <w:rPr>
      <w:rFonts w:ascii="Arial" w:hAnsi="Arial"/>
      <w:b/>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2.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3.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9</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ECE-TRANS-WP.29-GRE-2022-18</cp:lastModifiedBy>
  <cp:revision>176</cp:revision>
  <cp:lastPrinted>2022-12-01T11:34:00Z</cp:lastPrinted>
  <dcterms:created xsi:type="dcterms:W3CDTF">2022-12-07T15:07:00Z</dcterms:created>
  <dcterms:modified xsi:type="dcterms:W3CDTF">2022-12-15T22:04:00Z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