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7E3C44B0" w:rsidR="00B56E9C" w:rsidRPr="007C36C6" w:rsidRDefault="00154561" w:rsidP="00EC6CC6">
            <w:pPr>
              <w:jc w:val="right"/>
              <w:rPr>
                <w:b/>
                <w:bCs/>
                <w:sz w:val="40"/>
                <w:szCs w:val="40"/>
              </w:rPr>
            </w:pPr>
            <w:r w:rsidRPr="007C36C6">
              <w:rPr>
                <w:b/>
                <w:bCs/>
                <w:sz w:val="40"/>
                <w:szCs w:val="40"/>
              </w:rPr>
              <w:t>INF.</w:t>
            </w:r>
            <w:r w:rsidR="00F51FBC">
              <w:rPr>
                <w:b/>
                <w:bCs/>
                <w:sz w:val="40"/>
                <w:szCs w:val="40"/>
              </w:rPr>
              <w:t>5</w:t>
            </w:r>
          </w:p>
        </w:tc>
      </w:tr>
      <w:tr w:rsidR="00133318" w14:paraId="74D9CA9D" w14:textId="77777777" w:rsidTr="00F81690">
        <w:trPr>
          <w:cantSplit/>
          <w:trHeight w:hRule="exact" w:val="3838"/>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3AD52AFE" w:rsidR="005D3A50" w:rsidRPr="008D7010" w:rsidRDefault="00057307" w:rsidP="005D3A50">
            <w:pPr>
              <w:spacing w:before="120"/>
              <w:rPr>
                <w:b/>
              </w:rPr>
            </w:pPr>
            <w:r>
              <w:rPr>
                <w:b/>
              </w:rPr>
              <w:t>Fort</w:t>
            </w:r>
            <w:r w:rsidR="0058371B">
              <w:rPr>
                <w:b/>
              </w:rPr>
              <w:t>y-first</w:t>
            </w:r>
            <w:r w:rsidR="005D3A50">
              <w:rPr>
                <w:b/>
              </w:rPr>
              <w:t xml:space="preserve"> </w:t>
            </w:r>
            <w:r w:rsidR="005D3A50" w:rsidRPr="008D7010">
              <w:rPr>
                <w:b/>
              </w:rPr>
              <w:t>session</w:t>
            </w:r>
          </w:p>
          <w:p w14:paraId="3D4DDE79" w14:textId="47911A95" w:rsidR="00712AA7" w:rsidRPr="00402337" w:rsidRDefault="00712AA7" w:rsidP="00712AA7">
            <w:pPr>
              <w:rPr>
                <w:bCs/>
              </w:rPr>
            </w:pPr>
            <w:r w:rsidRPr="00402337">
              <w:rPr>
                <w:bCs/>
              </w:rPr>
              <w:t>Geneva, 2</w:t>
            </w:r>
            <w:r w:rsidR="003E1645">
              <w:rPr>
                <w:bCs/>
              </w:rPr>
              <w:t>3</w:t>
            </w:r>
            <w:r w:rsidRPr="00402337">
              <w:rPr>
                <w:bCs/>
              </w:rPr>
              <w:t>-2</w:t>
            </w:r>
            <w:r w:rsidR="003E1645">
              <w:rPr>
                <w:bCs/>
              </w:rPr>
              <w:t>7</w:t>
            </w:r>
            <w:r w:rsidRPr="00402337">
              <w:rPr>
                <w:bCs/>
              </w:rPr>
              <w:t xml:space="preserve"> </w:t>
            </w:r>
            <w:r w:rsidR="003E1645">
              <w:rPr>
                <w:bCs/>
              </w:rPr>
              <w:t>January</w:t>
            </w:r>
            <w:r w:rsidRPr="00402337">
              <w:rPr>
                <w:bCs/>
              </w:rPr>
              <w:t xml:space="preserve"> 202</w:t>
            </w:r>
            <w:r w:rsidR="003E1645">
              <w:rPr>
                <w:bCs/>
              </w:rPr>
              <w:t>3</w:t>
            </w:r>
          </w:p>
          <w:p w14:paraId="6F5CA311" w14:textId="28BF2E7D" w:rsidR="00712AA7" w:rsidRPr="00613E78" w:rsidRDefault="00712AA7" w:rsidP="00712AA7">
            <w:r w:rsidRPr="00613E78">
              <w:t xml:space="preserve">Item </w:t>
            </w:r>
            <w:r w:rsidR="0058371B">
              <w:t>5</w:t>
            </w:r>
            <w:r>
              <w:t xml:space="preserve"> (b)</w:t>
            </w:r>
            <w:r w:rsidRPr="00613E78">
              <w:t xml:space="preserve"> of the provisional agenda</w:t>
            </w:r>
          </w:p>
          <w:p w14:paraId="37C52CB0" w14:textId="50B92586" w:rsidR="006718D0" w:rsidRDefault="006718D0" w:rsidP="006718D0">
            <w:pPr>
              <w:rPr>
                <w:b/>
              </w:rPr>
            </w:pPr>
            <w:r w:rsidRPr="008A2649">
              <w:rPr>
                <w:b/>
              </w:rPr>
              <w:t>Proposals for amendments to the Regulations annexed to ADN:</w:t>
            </w:r>
          </w:p>
          <w:p w14:paraId="07C0CFFB" w14:textId="2F0E472A" w:rsidR="00725CEA" w:rsidRPr="008A2649" w:rsidRDefault="00F81690" w:rsidP="006718D0">
            <w:pPr>
              <w:rPr>
                <w:b/>
              </w:rPr>
            </w:pPr>
            <w:r>
              <w:rPr>
                <w:b/>
              </w:rPr>
              <w:t>other proposals</w:t>
            </w:r>
          </w:p>
          <w:p w14:paraId="15003A63" w14:textId="77777777" w:rsidR="00CB3C29" w:rsidRDefault="006718D0" w:rsidP="00CB3C29">
            <w:pPr>
              <w:pStyle w:val="HChG"/>
              <w:tabs>
                <w:tab w:val="right" w:pos="0"/>
              </w:tabs>
            </w:pPr>
            <w:r w:rsidRPr="008A2649">
              <w:rPr>
                <w:bCs/>
              </w:rPr>
              <w:t>other proposals</w:t>
            </w:r>
            <w:r w:rsidR="00CB3C29">
              <w:tab/>
            </w:r>
            <w:r w:rsidR="00CB3C29">
              <w:tab/>
              <w:t>Definition of “Inspection body”</w:t>
            </w:r>
          </w:p>
          <w:p w14:paraId="44CCA2C9" w14:textId="77777777" w:rsidR="00CB3C29" w:rsidRDefault="00CB3C29" w:rsidP="00CB3C29">
            <w:pPr>
              <w:pStyle w:val="H1G"/>
            </w:pPr>
            <w:r>
              <w:tab/>
            </w:r>
            <w:r>
              <w:tab/>
              <w:t xml:space="preserve">Transmitted by the Governments of France, </w:t>
            </w:r>
            <w:proofErr w:type="gramStart"/>
            <w:r>
              <w:t>Germany</w:t>
            </w:r>
            <w:proofErr w:type="gramEnd"/>
            <w:r>
              <w:t xml:space="preserve"> and The Netherlands</w:t>
            </w:r>
          </w:p>
          <w:p w14:paraId="798DC30C" w14:textId="77777777" w:rsidR="00CB3C29" w:rsidRDefault="00CB3C29" w:rsidP="00CB3C29"/>
          <w:tbl>
            <w:tblPr>
              <w:tblStyle w:val="Grilledutableau1"/>
              <w:tblW w:w="0" w:type="auto"/>
              <w:jc w:val="center"/>
              <w:tblLayout w:type="fixed"/>
              <w:tblCellMar>
                <w:left w:w="0" w:type="dxa"/>
                <w:right w:w="0" w:type="dxa"/>
              </w:tblCellMar>
              <w:tblLook w:val="05E0" w:firstRow="1" w:lastRow="1" w:firstColumn="1" w:lastColumn="1" w:noHBand="0" w:noVBand="1"/>
            </w:tblPr>
            <w:tblGrid>
              <w:gridCol w:w="2557"/>
              <w:gridCol w:w="7072"/>
            </w:tblGrid>
            <w:tr w:rsidR="00CB3C29" w:rsidRPr="00AB0E14" w14:paraId="661EFEFB" w14:textId="77777777" w:rsidTr="009F4A45">
              <w:trPr>
                <w:jc w:val="center"/>
              </w:trPr>
              <w:tc>
                <w:tcPr>
                  <w:tcW w:w="2557" w:type="dxa"/>
                  <w:tcBorders>
                    <w:bottom w:val="nil"/>
                    <w:right w:val="nil"/>
                  </w:tcBorders>
                </w:tcPr>
                <w:p w14:paraId="4E808EE2" w14:textId="77777777" w:rsidR="00CB3C29" w:rsidRPr="00AB0E14" w:rsidRDefault="00CB3C29" w:rsidP="00464A30">
                  <w:pPr>
                    <w:framePr w:hSpace="142" w:wrap="around" w:vAnchor="page" w:hAnchor="page" w:x="1135" w:y="568"/>
                    <w:tabs>
                      <w:tab w:val="left" w:pos="255"/>
                    </w:tabs>
                    <w:suppressAutoHyphens w:val="0"/>
                    <w:spacing w:before="240" w:after="120" w:line="240" w:lineRule="auto"/>
                    <w:suppressOverlap/>
                    <w:rPr>
                      <w:sz w:val="24"/>
                      <w:lang w:eastAsia="zh-CN"/>
                    </w:rPr>
                  </w:pPr>
                  <w:r w:rsidRPr="00AB0E14">
                    <w:rPr>
                      <w:lang w:eastAsia="zh-CN"/>
                    </w:rPr>
                    <w:tab/>
                  </w:r>
                  <w:r w:rsidRPr="00AB0E14">
                    <w:rPr>
                      <w:i/>
                      <w:sz w:val="24"/>
                      <w:lang w:eastAsia="zh-CN"/>
                    </w:rPr>
                    <w:t>Summary</w:t>
                  </w:r>
                </w:p>
              </w:tc>
              <w:tc>
                <w:tcPr>
                  <w:tcW w:w="7072" w:type="dxa"/>
                  <w:tcBorders>
                    <w:left w:val="nil"/>
                    <w:bottom w:val="nil"/>
                  </w:tcBorders>
                </w:tcPr>
                <w:p w14:paraId="34F640C1" w14:textId="77777777" w:rsidR="00CB3C29" w:rsidRPr="00AB0E14" w:rsidRDefault="00CB3C29" w:rsidP="00464A30">
                  <w:pPr>
                    <w:framePr w:hSpace="142" w:wrap="around" w:vAnchor="page" w:hAnchor="page" w:x="1135" w:y="568"/>
                    <w:tabs>
                      <w:tab w:val="left" w:pos="1701"/>
                      <w:tab w:val="left" w:pos="2268"/>
                    </w:tabs>
                    <w:spacing w:after="120"/>
                    <w:ind w:right="1134"/>
                    <w:suppressOverlap/>
                    <w:jc w:val="both"/>
                    <w:rPr>
                      <w:lang w:eastAsia="zh-CN"/>
                    </w:rPr>
                  </w:pPr>
                  <w:r>
                    <w:rPr>
                      <w:lang w:eastAsia="zh-CN"/>
                    </w:rPr>
                    <w:t xml:space="preserve">The co-sponsors propose amendments to the Annexed Regulations to ADN </w:t>
                  </w:r>
                  <w:proofErr w:type="gramStart"/>
                  <w:r>
                    <w:rPr>
                      <w:lang w:eastAsia="zh-CN"/>
                    </w:rPr>
                    <w:t>in order to</w:t>
                  </w:r>
                  <w:proofErr w:type="gramEnd"/>
                  <w:r>
                    <w:rPr>
                      <w:lang w:eastAsia="zh-CN"/>
                    </w:rPr>
                    <w:t xml:space="preserve"> clarify the definition of “Inspection body”</w:t>
                  </w:r>
                  <w:r w:rsidRPr="00AB0E14">
                    <w:rPr>
                      <w:lang w:eastAsia="zh-CN"/>
                    </w:rPr>
                    <w:t>.</w:t>
                  </w:r>
                </w:p>
              </w:tc>
            </w:tr>
            <w:tr w:rsidR="00CB3C29" w:rsidRPr="00AB0E14" w14:paraId="36D1D682" w14:textId="77777777" w:rsidTr="009F4A45">
              <w:trPr>
                <w:jc w:val="center"/>
              </w:trPr>
              <w:tc>
                <w:tcPr>
                  <w:tcW w:w="2557" w:type="dxa"/>
                  <w:tcBorders>
                    <w:top w:val="nil"/>
                    <w:bottom w:val="nil"/>
                    <w:right w:val="nil"/>
                  </w:tcBorders>
                  <w:shd w:val="clear" w:color="auto" w:fill="auto"/>
                </w:tcPr>
                <w:p w14:paraId="4E28DF57" w14:textId="77777777" w:rsidR="00CB3C29" w:rsidRPr="00AB0E14" w:rsidRDefault="00CB3C29" w:rsidP="00464A30">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Executive summary:</w:t>
                  </w:r>
                </w:p>
              </w:tc>
              <w:tc>
                <w:tcPr>
                  <w:tcW w:w="7072" w:type="dxa"/>
                  <w:tcBorders>
                    <w:top w:val="nil"/>
                    <w:left w:val="nil"/>
                    <w:bottom w:val="nil"/>
                  </w:tcBorders>
                  <w:shd w:val="clear" w:color="auto" w:fill="auto"/>
                </w:tcPr>
                <w:p w14:paraId="110CE5A0" w14:textId="77777777" w:rsidR="00CB3C29" w:rsidRPr="00AB0E14" w:rsidRDefault="00CB3C29" w:rsidP="00464A30">
                  <w:pPr>
                    <w:framePr w:hSpace="142" w:wrap="around" w:vAnchor="page" w:hAnchor="page" w:x="1135" w:y="568"/>
                    <w:tabs>
                      <w:tab w:val="left" w:pos="1701"/>
                      <w:tab w:val="left" w:pos="2268"/>
                    </w:tabs>
                    <w:spacing w:after="120"/>
                    <w:ind w:right="1134"/>
                    <w:suppressOverlap/>
                    <w:jc w:val="both"/>
                    <w:rPr>
                      <w:lang w:eastAsia="zh-CN"/>
                    </w:rPr>
                  </w:pPr>
                  <w:r>
                    <w:rPr>
                      <w:lang w:eastAsia="zh-CN"/>
                    </w:rPr>
                    <w:t>The comparison between the different linguistic versions of ADN, and between ADN and RID / ADR shows inconstancies regarding the notion of “Inspection body”. This current document tries to define this notion consistently between the linguistic versions and with RID / ADR.</w:t>
                  </w:r>
                </w:p>
              </w:tc>
            </w:tr>
            <w:tr w:rsidR="00CB3C29" w:rsidRPr="00AB0E14" w14:paraId="2AEB0EB6" w14:textId="77777777" w:rsidTr="009F4A45">
              <w:trPr>
                <w:jc w:val="center"/>
              </w:trPr>
              <w:tc>
                <w:tcPr>
                  <w:tcW w:w="2557" w:type="dxa"/>
                  <w:tcBorders>
                    <w:top w:val="nil"/>
                    <w:bottom w:val="nil"/>
                    <w:right w:val="nil"/>
                  </w:tcBorders>
                  <w:shd w:val="clear" w:color="auto" w:fill="auto"/>
                </w:tcPr>
                <w:p w14:paraId="2B1F1996" w14:textId="77777777" w:rsidR="00CB3C29" w:rsidRPr="00AB0E14" w:rsidRDefault="00CB3C29" w:rsidP="00464A30">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Action to be taken:</w:t>
                  </w:r>
                </w:p>
              </w:tc>
              <w:tc>
                <w:tcPr>
                  <w:tcW w:w="7072" w:type="dxa"/>
                  <w:tcBorders>
                    <w:top w:val="nil"/>
                    <w:left w:val="nil"/>
                    <w:bottom w:val="nil"/>
                  </w:tcBorders>
                  <w:shd w:val="clear" w:color="auto" w:fill="auto"/>
                </w:tcPr>
                <w:p w14:paraId="63255998" w14:textId="77777777" w:rsidR="00CB3C29" w:rsidRPr="00AB0E14" w:rsidRDefault="00CB3C29" w:rsidP="00464A30">
                  <w:pPr>
                    <w:framePr w:hSpace="142" w:wrap="around" w:vAnchor="page" w:hAnchor="page" w:x="1135" w:y="568"/>
                    <w:tabs>
                      <w:tab w:val="left" w:pos="1701"/>
                      <w:tab w:val="left" w:pos="2268"/>
                    </w:tabs>
                    <w:spacing w:after="120"/>
                    <w:ind w:right="1134"/>
                    <w:suppressOverlap/>
                    <w:jc w:val="both"/>
                    <w:rPr>
                      <w:lang w:eastAsia="zh-CN"/>
                    </w:rPr>
                  </w:pPr>
                  <w:r w:rsidRPr="00043BAC">
                    <w:rPr>
                      <w:lang w:eastAsia="zh-CN"/>
                    </w:rPr>
                    <w:t>See paragraph 9.</w:t>
                  </w:r>
                </w:p>
              </w:tc>
            </w:tr>
            <w:tr w:rsidR="00CB3C29" w:rsidRPr="00AB0E14" w14:paraId="693C0257" w14:textId="77777777" w:rsidTr="009F4A45">
              <w:trPr>
                <w:jc w:val="center"/>
              </w:trPr>
              <w:tc>
                <w:tcPr>
                  <w:tcW w:w="2557" w:type="dxa"/>
                  <w:tcBorders>
                    <w:top w:val="nil"/>
                    <w:bottom w:val="nil"/>
                    <w:right w:val="nil"/>
                  </w:tcBorders>
                  <w:shd w:val="clear" w:color="auto" w:fill="auto"/>
                </w:tcPr>
                <w:p w14:paraId="16A02493" w14:textId="77777777" w:rsidR="00CB3C29" w:rsidRPr="00AB0E14" w:rsidRDefault="00CB3C29" w:rsidP="00464A30">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Related documents:</w:t>
                  </w:r>
                </w:p>
              </w:tc>
              <w:tc>
                <w:tcPr>
                  <w:tcW w:w="7072" w:type="dxa"/>
                  <w:tcBorders>
                    <w:top w:val="nil"/>
                    <w:left w:val="nil"/>
                    <w:bottom w:val="nil"/>
                  </w:tcBorders>
                  <w:shd w:val="clear" w:color="auto" w:fill="auto"/>
                </w:tcPr>
                <w:p w14:paraId="18A7E7AF" w14:textId="77777777" w:rsidR="00CB3C29" w:rsidRPr="00636772" w:rsidRDefault="00CB3C29" w:rsidP="00464A30">
                  <w:pPr>
                    <w:framePr w:hSpace="142" w:wrap="around" w:vAnchor="page" w:hAnchor="page" w:x="1135" w:y="568"/>
                    <w:tabs>
                      <w:tab w:val="left" w:pos="1701"/>
                      <w:tab w:val="left" w:pos="2268"/>
                    </w:tabs>
                    <w:spacing w:after="120"/>
                    <w:ind w:right="1134"/>
                    <w:suppressOverlap/>
                    <w:jc w:val="both"/>
                    <w:rPr>
                      <w:lang w:eastAsia="zh-CN"/>
                    </w:rPr>
                  </w:pPr>
                  <w:r w:rsidRPr="00636772">
                    <w:rPr>
                      <w:lang w:eastAsia="zh-CN"/>
                    </w:rPr>
                    <w:t>ECE/TRANS/WP.15/AC.2/2022/25</w:t>
                  </w:r>
                </w:p>
                <w:p w14:paraId="7C6FD49A" w14:textId="77777777" w:rsidR="00CB3C29" w:rsidRPr="00AB0E14" w:rsidRDefault="00CB3C29" w:rsidP="00464A30">
                  <w:pPr>
                    <w:framePr w:hSpace="142" w:wrap="around" w:vAnchor="page" w:hAnchor="page" w:x="1135" w:y="568"/>
                    <w:tabs>
                      <w:tab w:val="left" w:pos="1701"/>
                      <w:tab w:val="left" w:pos="2268"/>
                    </w:tabs>
                    <w:spacing w:after="120"/>
                    <w:ind w:right="1134"/>
                    <w:suppressOverlap/>
                    <w:jc w:val="both"/>
                    <w:rPr>
                      <w:lang w:eastAsia="zh-CN"/>
                    </w:rPr>
                  </w:pPr>
                  <w:r w:rsidRPr="00636772">
                    <w:rPr>
                      <w:bCs/>
                      <w:lang w:eastAsia="zh-CN"/>
                    </w:rPr>
                    <w:t>ECE/TRANS/WP.15/AC.2/82 (paragraph 34)</w:t>
                  </w:r>
                </w:p>
              </w:tc>
            </w:tr>
            <w:tr w:rsidR="00CB3C29" w:rsidRPr="00AB0E14" w14:paraId="46CA3956" w14:textId="77777777" w:rsidTr="009F4A45">
              <w:trPr>
                <w:jc w:val="center"/>
              </w:trPr>
              <w:tc>
                <w:tcPr>
                  <w:tcW w:w="2557" w:type="dxa"/>
                  <w:tcBorders>
                    <w:top w:val="nil"/>
                    <w:right w:val="nil"/>
                  </w:tcBorders>
                </w:tcPr>
                <w:p w14:paraId="3E32C11C" w14:textId="77777777" w:rsidR="00CB3C29" w:rsidRPr="00AB0E14" w:rsidRDefault="00CB3C29" w:rsidP="00464A30">
                  <w:pPr>
                    <w:framePr w:hSpace="142" w:wrap="around" w:vAnchor="page" w:hAnchor="page" w:x="1135" w:y="568"/>
                    <w:suppressAutoHyphens w:val="0"/>
                    <w:spacing w:line="240" w:lineRule="auto"/>
                    <w:suppressOverlap/>
                    <w:rPr>
                      <w:lang w:eastAsia="zh-CN"/>
                    </w:rPr>
                  </w:pPr>
                </w:p>
              </w:tc>
              <w:tc>
                <w:tcPr>
                  <w:tcW w:w="7072" w:type="dxa"/>
                  <w:tcBorders>
                    <w:top w:val="nil"/>
                    <w:left w:val="nil"/>
                  </w:tcBorders>
                </w:tcPr>
                <w:p w14:paraId="3C273287" w14:textId="77777777" w:rsidR="00CB3C29" w:rsidRPr="00AB0E14" w:rsidRDefault="00CB3C29" w:rsidP="00464A30">
                  <w:pPr>
                    <w:framePr w:hSpace="142" w:wrap="around" w:vAnchor="page" w:hAnchor="page" w:x="1135" w:y="568"/>
                    <w:suppressAutoHyphens w:val="0"/>
                    <w:suppressOverlap/>
                    <w:rPr>
                      <w:lang w:eastAsia="zh-CN"/>
                    </w:rPr>
                  </w:pPr>
                </w:p>
              </w:tc>
            </w:tr>
          </w:tbl>
          <w:p w14:paraId="57067F58" w14:textId="77777777" w:rsidR="00CB3C29" w:rsidRDefault="00CB3C29" w:rsidP="00CB3C29">
            <w:pPr>
              <w:pStyle w:val="HChG"/>
            </w:pPr>
            <w:r>
              <w:tab/>
            </w:r>
            <w:r>
              <w:tab/>
            </w:r>
            <w:r w:rsidRPr="00176B27">
              <w:t>Introduction</w:t>
            </w:r>
          </w:p>
          <w:p w14:paraId="2F502A69" w14:textId="77777777" w:rsidR="00CB3C29" w:rsidRPr="00636772" w:rsidRDefault="00CB3C29" w:rsidP="00CB3C29">
            <w:pPr>
              <w:pStyle w:val="SingleTxtG"/>
            </w:pPr>
            <w:r>
              <w:t>1.</w:t>
            </w:r>
            <w:r>
              <w:tab/>
              <w:t xml:space="preserve">At the fortieth session of the Safety Committee, France, </w:t>
            </w:r>
            <w:proofErr w:type="gramStart"/>
            <w:r>
              <w:t>Germany</w:t>
            </w:r>
            <w:proofErr w:type="gramEnd"/>
            <w:r>
              <w:t xml:space="preserve"> and The Netherlands </w:t>
            </w:r>
            <w:r w:rsidRPr="00636772">
              <w:t>volunteered to p</w:t>
            </w:r>
            <w:r>
              <w:t>repare a comprehensive proposal related the clarification of the definition of “Inspection body”.</w:t>
            </w:r>
          </w:p>
          <w:p w14:paraId="3177D703" w14:textId="77777777" w:rsidR="00CB3C29" w:rsidRDefault="00CB3C29" w:rsidP="00CB3C29">
            <w:pPr>
              <w:pStyle w:val="SingleTxtG"/>
            </w:pPr>
            <w:r>
              <w:t>2.</w:t>
            </w:r>
            <w:r>
              <w:tab/>
              <w:t>The discussions between these three delegations showed that:</w:t>
            </w:r>
          </w:p>
          <w:p w14:paraId="5D8051E6" w14:textId="77777777" w:rsidR="00CB3C29" w:rsidRDefault="00CB3C29" w:rsidP="00CB3C29">
            <w:pPr>
              <w:pStyle w:val="SingleTxtG"/>
              <w:numPr>
                <w:ilvl w:val="0"/>
                <w:numId w:val="21"/>
              </w:numPr>
            </w:pPr>
            <w:r>
              <w:t>Some additional issued raised; and</w:t>
            </w:r>
          </w:p>
          <w:p w14:paraId="1ED2CD28" w14:textId="77777777" w:rsidR="00CB3C29" w:rsidRDefault="00CB3C29" w:rsidP="00CB3C29">
            <w:pPr>
              <w:pStyle w:val="SingleTxtG"/>
              <w:numPr>
                <w:ilvl w:val="0"/>
                <w:numId w:val="21"/>
              </w:numPr>
            </w:pPr>
            <w:r>
              <w:t>It could be helpful to compare these definitions with those included in RID / ADR</w:t>
            </w:r>
          </w:p>
          <w:p w14:paraId="181540E4" w14:textId="77777777" w:rsidR="00CB3C29" w:rsidRDefault="00CB3C29" w:rsidP="00CB3C29">
            <w:pPr>
              <w:pStyle w:val="SingleTxtG"/>
            </w:pPr>
            <w:r>
              <w:t>3.</w:t>
            </w:r>
            <w:r>
              <w:tab/>
              <w:t>This informal document proposes possible solutions to these different issues.</w:t>
            </w:r>
          </w:p>
          <w:p w14:paraId="74D9CA98" w14:textId="026717A4" w:rsidR="00133318" w:rsidRPr="00B8064E" w:rsidRDefault="00133318" w:rsidP="006718D0">
            <w:pPr>
              <w:rPr>
                <w:sz w:val="40"/>
                <w:szCs w:val="40"/>
              </w:rPr>
            </w:pP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533FB88F" w:rsidR="00133318" w:rsidRDefault="009D35AA" w:rsidP="00B8064E">
            <w:pPr>
              <w:spacing w:line="240" w:lineRule="exact"/>
            </w:pPr>
            <w:r>
              <w:t>30</w:t>
            </w:r>
            <w:r w:rsidR="00133318">
              <w:t xml:space="preserve"> </w:t>
            </w:r>
            <w:r>
              <w:t>November</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48029385" w14:textId="6DA5A489" w:rsidR="00CB3C29" w:rsidRDefault="00CB3C29" w:rsidP="00CB3C29">
      <w:pPr>
        <w:pStyle w:val="HChG"/>
        <w:tabs>
          <w:tab w:val="right" w:pos="0"/>
        </w:tabs>
      </w:pPr>
      <w:r>
        <w:tab/>
      </w:r>
      <w:r>
        <w:tab/>
        <w:t xml:space="preserve">Definition of </w:t>
      </w:r>
      <w:r w:rsidR="00A37AC9">
        <w:t>"</w:t>
      </w:r>
      <w:r>
        <w:t>Inspection body</w:t>
      </w:r>
      <w:r w:rsidR="00A37AC9">
        <w:t>"</w:t>
      </w:r>
    </w:p>
    <w:p w14:paraId="25E21DDA" w14:textId="7E3BF646" w:rsidR="00CB3C29" w:rsidRDefault="00CB3C29" w:rsidP="00CB3C29">
      <w:pPr>
        <w:pStyle w:val="H1G"/>
      </w:pPr>
      <w:r>
        <w:tab/>
      </w:r>
      <w:r>
        <w:tab/>
        <w:t xml:space="preserve">Transmitted by the Governments of France, </w:t>
      </w:r>
      <w:proofErr w:type="gramStart"/>
      <w:r>
        <w:t>Germany</w:t>
      </w:r>
      <w:proofErr w:type="gramEnd"/>
      <w:r>
        <w:t xml:space="preserve"> and </w:t>
      </w:r>
      <w:r w:rsidR="00F77013">
        <w:t>t</w:t>
      </w:r>
      <w:r>
        <w:t>he</w:t>
      </w:r>
      <w:r w:rsidR="00C152B9">
        <w:t> </w:t>
      </w:r>
      <w:r>
        <w:t>Netherlands</w:t>
      </w:r>
    </w:p>
    <w:p w14:paraId="6E9FF814" w14:textId="77777777" w:rsidR="00CB3C29" w:rsidRDefault="00CB3C29" w:rsidP="00CB3C29"/>
    <w:tbl>
      <w:tblPr>
        <w:tblStyle w:val="Grilledutableau1"/>
        <w:tblW w:w="0" w:type="auto"/>
        <w:jc w:val="center"/>
        <w:tblCellMar>
          <w:left w:w="0" w:type="dxa"/>
          <w:right w:w="0" w:type="dxa"/>
        </w:tblCellMar>
        <w:tblLook w:val="05E0" w:firstRow="1" w:lastRow="1" w:firstColumn="1" w:lastColumn="1" w:noHBand="0" w:noVBand="1"/>
      </w:tblPr>
      <w:tblGrid>
        <w:gridCol w:w="2557"/>
        <w:gridCol w:w="7072"/>
      </w:tblGrid>
      <w:tr w:rsidR="00CB3C29" w:rsidRPr="00AB0E14" w14:paraId="415A9E3C" w14:textId="77777777" w:rsidTr="009F4A45">
        <w:trPr>
          <w:jc w:val="center"/>
        </w:trPr>
        <w:tc>
          <w:tcPr>
            <w:tcW w:w="2557" w:type="dxa"/>
            <w:tcBorders>
              <w:bottom w:val="nil"/>
              <w:right w:val="nil"/>
            </w:tcBorders>
          </w:tcPr>
          <w:p w14:paraId="09FD06D6" w14:textId="77777777" w:rsidR="00CB3C29" w:rsidRPr="00AB0E14" w:rsidRDefault="00CB3C29" w:rsidP="009F4A45">
            <w:pPr>
              <w:tabs>
                <w:tab w:val="left" w:pos="255"/>
              </w:tabs>
              <w:suppressAutoHyphens w:val="0"/>
              <w:spacing w:before="240" w:after="120" w:line="240" w:lineRule="auto"/>
              <w:rPr>
                <w:sz w:val="24"/>
                <w:lang w:eastAsia="zh-CN"/>
              </w:rPr>
            </w:pPr>
            <w:r w:rsidRPr="00AB0E14">
              <w:rPr>
                <w:lang w:eastAsia="zh-CN"/>
              </w:rPr>
              <w:tab/>
            </w:r>
            <w:r w:rsidRPr="00AB0E14">
              <w:rPr>
                <w:i/>
                <w:sz w:val="24"/>
                <w:lang w:eastAsia="zh-CN"/>
              </w:rPr>
              <w:t>Summary</w:t>
            </w:r>
          </w:p>
        </w:tc>
        <w:tc>
          <w:tcPr>
            <w:tcW w:w="7072" w:type="dxa"/>
            <w:tcBorders>
              <w:left w:val="nil"/>
              <w:bottom w:val="nil"/>
            </w:tcBorders>
          </w:tcPr>
          <w:p w14:paraId="4AFC050D" w14:textId="315D9228" w:rsidR="00CB3C29" w:rsidRPr="00AB0E14" w:rsidRDefault="00CB3C29" w:rsidP="009F4A45">
            <w:pPr>
              <w:tabs>
                <w:tab w:val="left" w:pos="1701"/>
                <w:tab w:val="left" w:pos="2268"/>
              </w:tabs>
              <w:spacing w:after="120"/>
              <w:ind w:right="1134"/>
              <w:jc w:val="both"/>
              <w:rPr>
                <w:lang w:eastAsia="zh-CN"/>
              </w:rPr>
            </w:pPr>
            <w:r>
              <w:rPr>
                <w:lang w:eastAsia="zh-CN"/>
              </w:rPr>
              <w:t xml:space="preserve">The co-sponsors propose amendments to the Annexed Regulations to ADN </w:t>
            </w:r>
            <w:proofErr w:type="gramStart"/>
            <w:r>
              <w:rPr>
                <w:lang w:eastAsia="zh-CN"/>
              </w:rPr>
              <w:t>in order to</w:t>
            </w:r>
            <w:proofErr w:type="gramEnd"/>
            <w:r>
              <w:rPr>
                <w:lang w:eastAsia="zh-CN"/>
              </w:rPr>
              <w:t xml:space="preserve"> clarify the definition of </w:t>
            </w:r>
            <w:r w:rsidR="00A37AC9">
              <w:rPr>
                <w:lang w:eastAsia="zh-CN"/>
              </w:rPr>
              <w:t>"</w:t>
            </w:r>
            <w:r>
              <w:rPr>
                <w:lang w:eastAsia="zh-CN"/>
              </w:rPr>
              <w:t>Inspection body</w:t>
            </w:r>
            <w:r w:rsidR="00A37AC9">
              <w:rPr>
                <w:lang w:eastAsia="zh-CN"/>
              </w:rPr>
              <w:t>"</w:t>
            </w:r>
            <w:r w:rsidRPr="00AB0E14">
              <w:rPr>
                <w:lang w:eastAsia="zh-CN"/>
              </w:rPr>
              <w:t>.</w:t>
            </w:r>
          </w:p>
        </w:tc>
      </w:tr>
      <w:tr w:rsidR="00CB3C29" w:rsidRPr="00AB0E14" w14:paraId="2369A13D" w14:textId="77777777" w:rsidTr="009F4A45">
        <w:trPr>
          <w:jc w:val="center"/>
        </w:trPr>
        <w:tc>
          <w:tcPr>
            <w:tcW w:w="2557" w:type="dxa"/>
            <w:tcBorders>
              <w:top w:val="nil"/>
              <w:bottom w:val="nil"/>
              <w:right w:val="nil"/>
            </w:tcBorders>
            <w:shd w:val="clear" w:color="auto" w:fill="auto"/>
          </w:tcPr>
          <w:p w14:paraId="4C754DD2" w14:textId="77777777" w:rsidR="00CB3C29" w:rsidRPr="00AB0E14" w:rsidRDefault="00CB3C29" w:rsidP="009F4A45">
            <w:pPr>
              <w:tabs>
                <w:tab w:val="left" w:pos="1701"/>
                <w:tab w:val="left" w:pos="2268"/>
              </w:tabs>
              <w:spacing w:after="120"/>
              <w:ind w:left="284"/>
              <w:jc w:val="both"/>
              <w:rPr>
                <w:b/>
                <w:bCs/>
                <w:lang w:eastAsia="zh-CN"/>
              </w:rPr>
            </w:pPr>
            <w:r w:rsidRPr="00AB0E14">
              <w:rPr>
                <w:b/>
                <w:bCs/>
                <w:lang w:eastAsia="zh-CN"/>
              </w:rPr>
              <w:t>Executive summary:</w:t>
            </w:r>
          </w:p>
        </w:tc>
        <w:tc>
          <w:tcPr>
            <w:tcW w:w="7072" w:type="dxa"/>
            <w:tcBorders>
              <w:top w:val="nil"/>
              <w:left w:val="nil"/>
              <w:bottom w:val="nil"/>
            </w:tcBorders>
            <w:shd w:val="clear" w:color="auto" w:fill="auto"/>
          </w:tcPr>
          <w:p w14:paraId="4B374BF4" w14:textId="5D36DBB2" w:rsidR="00CB3C29" w:rsidRPr="00AB0E14" w:rsidRDefault="00CB3C29" w:rsidP="009F4A45">
            <w:pPr>
              <w:tabs>
                <w:tab w:val="left" w:pos="1701"/>
                <w:tab w:val="left" w:pos="2268"/>
              </w:tabs>
              <w:spacing w:after="120"/>
              <w:ind w:right="1134"/>
              <w:jc w:val="both"/>
              <w:rPr>
                <w:lang w:eastAsia="zh-CN"/>
              </w:rPr>
            </w:pPr>
            <w:r>
              <w:rPr>
                <w:lang w:eastAsia="zh-CN"/>
              </w:rPr>
              <w:t xml:space="preserve">The comparison between the different linguistic versions of ADN, and between ADN and RID / ADR shows inconstancies regarding the notion of </w:t>
            </w:r>
            <w:r w:rsidR="00A37AC9">
              <w:rPr>
                <w:lang w:eastAsia="zh-CN"/>
              </w:rPr>
              <w:t>"</w:t>
            </w:r>
            <w:r>
              <w:rPr>
                <w:lang w:eastAsia="zh-CN"/>
              </w:rPr>
              <w:t>Inspection body</w:t>
            </w:r>
            <w:r w:rsidR="00A37AC9">
              <w:rPr>
                <w:lang w:eastAsia="zh-CN"/>
              </w:rPr>
              <w:t>"</w:t>
            </w:r>
            <w:r>
              <w:rPr>
                <w:lang w:eastAsia="zh-CN"/>
              </w:rPr>
              <w:t>. This current document tries to define this notion consistently between the linguistic versions and with RID / ADR.</w:t>
            </w:r>
          </w:p>
        </w:tc>
      </w:tr>
      <w:tr w:rsidR="00CB3C29" w:rsidRPr="00AB0E14" w14:paraId="1D3C2CB3" w14:textId="77777777" w:rsidTr="009F4A45">
        <w:trPr>
          <w:jc w:val="center"/>
        </w:trPr>
        <w:tc>
          <w:tcPr>
            <w:tcW w:w="2557" w:type="dxa"/>
            <w:tcBorders>
              <w:top w:val="nil"/>
              <w:bottom w:val="nil"/>
              <w:right w:val="nil"/>
            </w:tcBorders>
            <w:shd w:val="clear" w:color="auto" w:fill="auto"/>
          </w:tcPr>
          <w:p w14:paraId="265B7395" w14:textId="77777777" w:rsidR="00CB3C29" w:rsidRPr="00AB0E14" w:rsidRDefault="00CB3C29" w:rsidP="009F4A45">
            <w:pPr>
              <w:tabs>
                <w:tab w:val="left" w:pos="1701"/>
                <w:tab w:val="left" w:pos="2268"/>
              </w:tabs>
              <w:spacing w:after="120"/>
              <w:ind w:left="284"/>
              <w:jc w:val="both"/>
              <w:rPr>
                <w:b/>
                <w:bCs/>
                <w:lang w:eastAsia="zh-CN"/>
              </w:rPr>
            </w:pPr>
            <w:r w:rsidRPr="00AB0E14">
              <w:rPr>
                <w:b/>
                <w:bCs/>
                <w:lang w:eastAsia="zh-CN"/>
              </w:rPr>
              <w:t>Action to be taken:</w:t>
            </w:r>
          </w:p>
        </w:tc>
        <w:tc>
          <w:tcPr>
            <w:tcW w:w="7072" w:type="dxa"/>
            <w:tcBorders>
              <w:top w:val="nil"/>
              <w:left w:val="nil"/>
              <w:bottom w:val="nil"/>
            </w:tcBorders>
            <w:shd w:val="clear" w:color="auto" w:fill="auto"/>
          </w:tcPr>
          <w:p w14:paraId="1D6DED7A" w14:textId="77777777" w:rsidR="00CB3C29" w:rsidRPr="00AB0E14" w:rsidRDefault="00CB3C29" w:rsidP="009F4A45">
            <w:pPr>
              <w:tabs>
                <w:tab w:val="left" w:pos="1701"/>
                <w:tab w:val="left" w:pos="2268"/>
              </w:tabs>
              <w:spacing w:after="120"/>
              <w:ind w:right="1134"/>
              <w:jc w:val="both"/>
              <w:rPr>
                <w:lang w:eastAsia="zh-CN"/>
              </w:rPr>
            </w:pPr>
            <w:r w:rsidRPr="00043BAC">
              <w:rPr>
                <w:lang w:eastAsia="zh-CN"/>
              </w:rPr>
              <w:t>See paragraph 9.</w:t>
            </w:r>
          </w:p>
        </w:tc>
      </w:tr>
      <w:tr w:rsidR="00CB3C29" w:rsidRPr="00AB0E14" w14:paraId="0CABBBF5" w14:textId="77777777" w:rsidTr="009F4A45">
        <w:trPr>
          <w:jc w:val="center"/>
        </w:trPr>
        <w:tc>
          <w:tcPr>
            <w:tcW w:w="2557" w:type="dxa"/>
            <w:tcBorders>
              <w:top w:val="nil"/>
              <w:bottom w:val="nil"/>
              <w:right w:val="nil"/>
            </w:tcBorders>
            <w:shd w:val="clear" w:color="auto" w:fill="auto"/>
          </w:tcPr>
          <w:p w14:paraId="288B9E87" w14:textId="77777777" w:rsidR="00CB3C29" w:rsidRPr="00AB0E14" w:rsidRDefault="00CB3C29" w:rsidP="009F4A45">
            <w:pPr>
              <w:tabs>
                <w:tab w:val="left" w:pos="1701"/>
                <w:tab w:val="left" w:pos="2268"/>
              </w:tabs>
              <w:spacing w:after="120"/>
              <w:ind w:left="284"/>
              <w:jc w:val="both"/>
              <w:rPr>
                <w:b/>
                <w:bCs/>
                <w:lang w:eastAsia="zh-CN"/>
              </w:rPr>
            </w:pPr>
            <w:r w:rsidRPr="00AB0E14">
              <w:rPr>
                <w:b/>
                <w:bCs/>
                <w:lang w:eastAsia="zh-CN"/>
              </w:rPr>
              <w:t>Related documents:</w:t>
            </w:r>
          </w:p>
        </w:tc>
        <w:tc>
          <w:tcPr>
            <w:tcW w:w="7072" w:type="dxa"/>
            <w:tcBorders>
              <w:top w:val="nil"/>
              <w:left w:val="nil"/>
              <w:bottom w:val="nil"/>
            </w:tcBorders>
            <w:shd w:val="clear" w:color="auto" w:fill="auto"/>
          </w:tcPr>
          <w:p w14:paraId="0F4D702C" w14:textId="77777777" w:rsidR="00CB3C29" w:rsidRPr="00636772" w:rsidRDefault="00CB3C29" w:rsidP="009F4A45">
            <w:pPr>
              <w:tabs>
                <w:tab w:val="left" w:pos="1701"/>
                <w:tab w:val="left" w:pos="2268"/>
              </w:tabs>
              <w:spacing w:after="120"/>
              <w:ind w:right="1134"/>
              <w:jc w:val="both"/>
              <w:rPr>
                <w:lang w:eastAsia="zh-CN"/>
              </w:rPr>
            </w:pPr>
            <w:r w:rsidRPr="00636772">
              <w:rPr>
                <w:lang w:eastAsia="zh-CN"/>
              </w:rPr>
              <w:t>ECE/TRANS/WP.15/AC.2/2022/25</w:t>
            </w:r>
          </w:p>
          <w:p w14:paraId="28D4F445" w14:textId="77777777" w:rsidR="00CB3C29" w:rsidRPr="00AB0E14" w:rsidRDefault="00CB3C29" w:rsidP="009F4A45">
            <w:pPr>
              <w:tabs>
                <w:tab w:val="left" w:pos="1701"/>
                <w:tab w:val="left" w:pos="2268"/>
              </w:tabs>
              <w:spacing w:after="120"/>
              <w:ind w:right="1134"/>
              <w:jc w:val="both"/>
              <w:rPr>
                <w:lang w:eastAsia="zh-CN"/>
              </w:rPr>
            </w:pPr>
            <w:r w:rsidRPr="00636772">
              <w:rPr>
                <w:bCs/>
                <w:lang w:eastAsia="zh-CN"/>
              </w:rPr>
              <w:t>ECE/TRANS/WP.15/AC.2/82 (paragraph 34)</w:t>
            </w:r>
          </w:p>
        </w:tc>
      </w:tr>
      <w:tr w:rsidR="00CB3C29" w:rsidRPr="00AB0E14" w14:paraId="64D1509C" w14:textId="77777777" w:rsidTr="009F4A45">
        <w:trPr>
          <w:jc w:val="center"/>
        </w:trPr>
        <w:tc>
          <w:tcPr>
            <w:tcW w:w="2557" w:type="dxa"/>
            <w:tcBorders>
              <w:top w:val="nil"/>
              <w:right w:val="nil"/>
            </w:tcBorders>
          </w:tcPr>
          <w:p w14:paraId="33566505" w14:textId="77777777" w:rsidR="00CB3C29" w:rsidRPr="00AB0E14" w:rsidRDefault="00CB3C29" w:rsidP="009F4A45">
            <w:pPr>
              <w:suppressAutoHyphens w:val="0"/>
              <w:spacing w:line="240" w:lineRule="auto"/>
              <w:rPr>
                <w:lang w:eastAsia="zh-CN"/>
              </w:rPr>
            </w:pPr>
          </w:p>
        </w:tc>
        <w:tc>
          <w:tcPr>
            <w:tcW w:w="7072" w:type="dxa"/>
            <w:tcBorders>
              <w:top w:val="nil"/>
              <w:left w:val="nil"/>
            </w:tcBorders>
          </w:tcPr>
          <w:p w14:paraId="146E4171" w14:textId="77777777" w:rsidR="00CB3C29" w:rsidRPr="00AB0E14" w:rsidRDefault="00CB3C29" w:rsidP="009F4A45">
            <w:pPr>
              <w:suppressAutoHyphens w:val="0"/>
              <w:rPr>
                <w:lang w:eastAsia="zh-CN"/>
              </w:rPr>
            </w:pPr>
          </w:p>
        </w:tc>
      </w:tr>
    </w:tbl>
    <w:p w14:paraId="4D0E523A" w14:textId="77777777" w:rsidR="00CB3C29" w:rsidRDefault="00CB3C29" w:rsidP="00CB3C29">
      <w:pPr>
        <w:pStyle w:val="HChG"/>
      </w:pPr>
      <w:r>
        <w:tab/>
      </w:r>
      <w:r>
        <w:tab/>
      </w:r>
      <w:r w:rsidRPr="00176B27">
        <w:t>Introduction</w:t>
      </w:r>
    </w:p>
    <w:p w14:paraId="397567F1" w14:textId="2587161C" w:rsidR="00CB3C29" w:rsidRPr="00636772" w:rsidRDefault="00CB3C29" w:rsidP="00CB3C29">
      <w:pPr>
        <w:pStyle w:val="SingleTxtG"/>
      </w:pPr>
      <w:r>
        <w:t>1.</w:t>
      </w:r>
      <w:r>
        <w:tab/>
        <w:t xml:space="preserve">At the fortieth session of the Safety Committee, France, </w:t>
      </w:r>
      <w:proofErr w:type="gramStart"/>
      <w:r>
        <w:t>Germany</w:t>
      </w:r>
      <w:proofErr w:type="gramEnd"/>
      <w:r>
        <w:t xml:space="preserve"> and The</w:t>
      </w:r>
      <w:r w:rsidR="00683D34">
        <w:t> </w:t>
      </w:r>
      <w:r>
        <w:t xml:space="preserve">Netherlands </w:t>
      </w:r>
      <w:r w:rsidRPr="00636772">
        <w:t>volunteered to p</w:t>
      </w:r>
      <w:r>
        <w:t xml:space="preserve">repare a comprehensive proposal related the clarification of the definition of </w:t>
      </w:r>
      <w:r w:rsidR="00D9475A">
        <w:t>"</w:t>
      </w:r>
      <w:r>
        <w:t>Inspection body</w:t>
      </w:r>
      <w:r w:rsidR="00D9475A">
        <w:t>"</w:t>
      </w:r>
      <w:r>
        <w:t>.</w:t>
      </w:r>
    </w:p>
    <w:p w14:paraId="68215F77" w14:textId="77777777" w:rsidR="00CB3C29" w:rsidRDefault="00CB3C29" w:rsidP="00CB3C29">
      <w:pPr>
        <w:pStyle w:val="SingleTxtG"/>
      </w:pPr>
      <w:r>
        <w:t>2.</w:t>
      </w:r>
      <w:r>
        <w:tab/>
        <w:t>The discussions between these three delegations showed that:</w:t>
      </w:r>
    </w:p>
    <w:p w14:paraId="63584D0B" w14:textId="77777777" w:rsidR="00CB3C29" w:rsidRDefault="00CB3C29" w:rsidP="00FD5B3A">
      <w:pPr>
        <w:pStyle w:val="Bullet1G"/>
      </w:pPr>
      <w:r>
        <w:t>Some additional issued raised; and</w:t>
      </w:r>
    </w:p>
    <w:p w14:paraId="4D907FA7" w14:textId="77777777" w:rsidR="00CB3C29" w:rsidRDefault="00CB3C29" w:rsidP="00FD5B3A">
      <w:pPr>
        <w:pStyle w:val="Bullet1G"/>
      </w:pPr>
      <w:r>
        <w:t>It could be helpful to compare these definitions with those included in RID / ADR</w:t>
      </w:r>
    </w:p>
    <w:p w14:paraId="3B7E0FA5" w14:textId="77777777" w:rsidR="00CB3C29" w:rsidRDefault="00CB3C29" w:rsidP="00CB3C29">
      <w:pPr>
        <w:pStyle w:val="SingleTxtG"/>
      </w:pPr>
      <w:r>
        <w:t>3.</w:t>
      </w:r>
      <w:r>
        <w:tab/>
        <w:t>This informal document proposes possible solutions to these different issues.</w:t>
      </w:r>
    </w:p>
    <w:p w14:paraId="39BA6490" w14:textId="77777777" w:rsidR="00F51FBC" w:rsidRDefault="00F51FBC" w:rsidP="009D35AA">
      <w:pPr>
        <w:pStyle w:val="HChG"/>
        <w:jc w:val="both"/>
        <w:rPr>
          <w:sz w:val="20"/>
        </w:rPr>
        <w:sectPr w:rsidR="00F51FBC" w:rsidSect="00D03F3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pPr>
    </w:p>
    <w:p w14:paraId="6686F77F" w14:textId="0E8F25FE" w:rsidR="000F36AC" w:rsidRDefault="000F36AC" w:rsidP="000F36AC">
      <w:pPr>
        <w:pStyle w:val="HChG"/>
      </w:pPr>
      <w:r>
        <w:lastRenderedPageBreak/>
        <w:tab/>
      </w:r>
      <w:r>
        <w:tab/>
        <w:t xml:space="preserve">Definition of </w:t>
      </w:r>
      <w:r w:rsidR="009A43A9">
        <w:t>"</w:t>
      </w:r>
      <w:r>
        <w:t>Inspection body</w:t>
      </w:r>
      <w:r w:rsidR="009A43A9">
        <w:t>"</w:t>
      </w:r>
      <w:r>
        <w:t xml:space="preserve"> and comparison with RID / ADR</w:t>
      </w:r>
    </w:p>
    <w:p w14:paraId="62D1BAF2" w14:textId="77777777" w:rsidR="000F36AC" w:rsidRDefault="000F36AC" w:rsidP="000F36AC">
      <w:pPr>
        <w:pStyle w:val="SingleTxtG"/>
        <w:rPr>
          <w:lang w:val="en-US"/>
        </w:rPr>
      </w:pPr>
      <w:r>
        <w:rPr>
          <w:lang w:val="en-US"/>
        </w:rPr>
        <w:t>4.</w:t>
      </w:r>
      <w:r>
        <w:rPr>
          <w:lang w:val="en-US"/>
        </w:rPr>
        <w:tab/>
        <w:t>In the following table, which keeps and clearly identifies the definitions in RID / ADR, the deleted text is in strikethrough characters and the new text is in bold underscored characters.</w:t>
      </w:r>
    </w:p>
    <w:tbl>
      <w:tblPr>
        <w:tblStyle w:val="TableGrid"/>
        <w:tblW w:w="0" w:type="auto"/>
        <w:tblLook w:val="04A0" w:firstRow="1" w:lastRow="0" w:firstColumn="1" w:lastColumn="0" w:noHBand="0" w:noVBand="1"/>
      </w:tblPr>
      <w:tblGrid>
        <w:gridCol w:w="1748"/>
        <w:gridCol w:w="3850"/>
        <w:gridCol w:w="3622"/>
        <w:gridCol w:w="3641"/>
      </w:tblGrid>
      <w:tr w:rsidR="000F36AC" w14:paraId="14666B07" w14:textId="77777777" w:rsidTr="009F4A45">
        <w:tc>
          <w:tcPr>
            <w:tcW w:w="1748" w:type="dxa"/>
          </w:tcPr>
          <w:p w14:paraId="22FDC0C4" w14:textId="77777777" w:rsidR="000F36AC" w:rsidRDefault="000F36AC" w:rsidP="009F4A45">
            <w:pPr>
              <w:spacing w:after="60"/>
            </w:pPr>
          </w:p>
        </w:tc>
        <w:tc>
          <w:tcPr>
            <w:tcW w:w="3850" w:type="dxa"/>
          </w:tcPr>
          <w:p w14:paraId="7BD8D36D" w14:textId="77777777" w:rsidR="000F36AC" w:rsidRPr="004176AD" w:rsidRDefault="000F36AC" w:rsidP="009F4A45">
            <w:pPr>
              <w:spacing w:after="60"/>
              <w:jc w:val="center"/>
              <w:rPr>
                <w:b/>
                <w:bCs/>
              </w:rPr>
            </w:pPr>
            <w:r w:rsidRPr="004176AD">
              <w:rPr>
                <w:b/>
                <w:bCs/>
              </w:rPr>
              <w:t>EN</w:t>
            </w:r>
            <w:r>
              <w:rPr>
                <w:b/>
                <w:bCs/>
              </w:rPr>
              <w:t xml:space="preserve"> (ADN)</w:t>
            </w:r>
          </w:p>
        </w:tc>
        <w:tc>
          <w:tcPr>
            <w:tcW w:w="3622" w:type="dxa"/>
          </w:tcPr>
          <w:p w14:paraId="4833ED97" w14:textId="77777777" w:rsidR="000F36AC" w:rsidRPr="004176AD" w:rsidRDefault="000F36AC" w:rsidP="009F4A45">
            <w:pPr>
              <w:spacing w:after="60"/>
              <w:jc w:val="center"/>
              <w:rPr>
                <w:b/>
                <w:bCs/>
              </w:rPr>
            </w:pPr>
            <w:r w:rsidRPr="004176AD">
              <w:rPr>
                <w:b/>
                <w:bCs/>
              </w:rPr>
              <w:t>FR</w:t>
            </w:r>
            <w:r>
              <w:rPr>
                <w:b/>
                <w:bCs/>
              </w:rPr>
              <w:t xml:space="preserve"> (ADN)</w:t>
            </w:r>
          </w:p>
        </w:tc>
        <w:tc>
          <w:tcPr>
            <w:tcW w:w="3641" w:type="dxa"/>
          </w:tcPr>
          <w:p w14:paraId="0B2E9067" w14:textId="77777777" w:rsidR="000F36AC" w:rsidRPr="004176AD" w:rsidRDefault="000F36AC" w:rsidP="009F4A45">
            <w:pPr>
              <w:spacing w:after="60"/>
              <w:jc w:val="center"/>
              <w:rPr>
                <w:b/>
                <w:bCs/>
              </w:rPr>
            </w:pPr>
            <w:r>
              <w:rPr>
                <w:b/>
                <w:bCs/>
              </w:rPr>
              <w:t>GE (ADN)</w:t>
            </w:r>
          </w:p>
        </w:tc>
      </w:tr>
      <w:tr w:rsidR="000F36AC" w:rsidRPr="00076C28" w14:paraId="688DD50A" w14:textId="77777777" w:rsidTr="009F4A45">
        <w:tc>
          <w:tcPr>
            <w:tcW w:w="1748" w:type="dxa"/>
          </w:tcPr>
          <w:p w14:paraId="3824BA71" w14:textId="77777777" w:rsidR="000F36AC" w:rsidRPr="004176AD" w:rsidRDefault="000F36AC" w:rsidP="009F4A45">
            <w:pPr>
              <w:spacing w:after="60"/>
              <w:rPr>
                <w:b/>
                <w:bCs/>
              </w:rPr>
            </w:pPr>
            <w:r w:rsidRPr="004176AD">
              <w:rPr>
                <w:b/>
                <w:bCs/>
              </w:rPr>
              <w:t>Art. 3 (h) Treaty</w:t>
            </w:r>
          </w:p>
        </w:tc>
        <w:tc>
          <w:tcPr>
            <w:tcW w:w="3850" w:type="dxa"/>
          </w:tcPr>
          <w:p w14:paraId="74116527" w14:textId="77777777" w:rsidR="000F36AC" w:rsidRPr="00422B4A" w:rsidRDefault="000F36AC" w:rsidP="009F4A45">
            <w:pPr>
              <w:spacing w:after="60"/>
              <w:rPr>
                <w:u w:val="single"/>
              </w:rPr>
            </w:pPr>
            <w:r w:rsidRPr="00422B4A">
              <w:rPr>
                <w:u w:val="single"/>
              </w:rPr>
              <w:t>Inspection body</w:t>
            </w:r>
          </w:p>
          <w:p w14:paraId="5A627CC8" w14:textId="77777777" w:rsidR="000F36AC" w:rsidRDefault="000F36AC" w:rsidP="009F4A45">
            <w:pPr>
              <w:spacing w:after="60"/>
            </w:pPr>
            <w:r>
              <w:rPr>
                <w:b/>
                <w:u w:val="single"/>
              </w:rPr>
              <w:br/>
            </w:r>
            <w:r w:rsidRPr="002B0860">
              <w:t>a body nominated or recognized by the Contracting Party for the purpose of inspecting vessels according to the procedures laid down in the annexed Regulations.</w:t>
            </w:r>
          </w:p>
        </w:tc>
        <w:tc>
          <w:tcPr>
            <w:tcW w:w="3622" w:type="dxa"/>
          </w:tcPr>
          <w:p w14:paraId="0F59E8FD" w14:textId="77777777" w:rsidR="000F36AC" w:rsidRDefault="000F36AC" w:rsidP="009F4A45">
            <w:pPr>
              <w:spacing w:after="60"/>
              <w:rPr>
                <w:lang w:val="fr-FR"/>
              </w:rPr>
            </w:pPr>
            <w:r w:rsidRPr="00422B4A">
              <w:rPr>
                <w:lang w:val="fr-FR"/>
              </w:rPr>
              <w:t>Organisme de visite</w:t>
            </w:r>
          </w:p>
          <w:p w14:paraId="074BEDB5" w14:textId="77777777" w:rsidR="000F36AC" w:rsidRPr="007A3075" w:rsidRDefault="000F36AC" w:rsidP="009F4A45">
            <w:pPr>
              <w:spacing w:after="60"/>
              <w:rPr>
                <w:lang w:val="fr-FR"/>
              </w:rPr>
            </w:pPr>
            <w:r>
              <w:rPr>
                <w:lang w:val="fr-FR"/>
              </w:rPr>
              <w:br/>
            </w:r>
            <w:proofErr w:type="gramStart"/>
            <w:r w:rsidRPr="00422B4A">
              <w:rPr>
                <w:lang w:val="fr-FR"/>
              </w:rPr>
              <w:t>un</w:t>
            </w:r>
            <w:proofErr w:type="gramEnd"/>
            <w:r w:rsidRPr="00422B4A">
              <w:rPr>
                <w:lang w:val="fr-FR"/>
              </w:rPr>
              <w:t xml:space="preserve"> organisme nommé ou reconnu par la Partie contractante aux fins de l’inspection des bateaux conformément aux procédures prévues au Règlement annexé.</w:t>
            </w:r>
          </w:p>
        </w:tc>
        <w:tc>
          <w:tcPr>
            <w:tcW w:w="3641" w:type="dxa"/>
          </w:tcPr>
          <w:p w14:paraId="06EAEA49" w14:textId="77777777" w:rsidR="000F36AC" w:rsidRPr="00422B4A" w:rsidRDefault="000F36AC" w:rsidP="009F4A45">
            <w:pPr>
              <w:spacing w:after="60"/>
              <w:jc w:val="center"/>
              <w:rPr>
                <w:b/>
                <w:u w:val="single"/>
                <w:lang w:val="de-DE"/>
              </w:rPr>
            </w:pPr>
            <w:r w:rsidRPr="00422B4A">
              <w:rPr>
                <w:b/>
                <w:u w:val="single"/>
                <w:lang w:val="de-DE"/>
              </w:rPr>
              <w:t>Untersuchungsstelle</w:t>
            </w:r>
          </w:p>
          <w:p w14:paraId="7D2AA877" w14:textId="77777777" w:rsidR="000F36AC" w:rsidRPr="003D661E" w:rsidRDefault="000F36AC" w:rsidP="009F4A45">
            <w:pPr>
              <w:spacing w:after="60"/>
              <w:rPr>
                <w:i/>
                <w:lang w:val="de-DE"/>
              </w:rPr>
            </w:pPr>
            <w:r w:rsidRPr="00422B4A">
              <w:rPr>
                <w:lang w:val="de-DE"/>
              </w:rPr>
              <w:t>eine von der Vertragspartei benannte oder anerkannte Stelle zur Untersuchung der Schiffe gemäß den Verfahren der beigefügten Verordnung.</w:t>
            </w:r>
          </w:p>
        </w:tc>
      </w:tr>
      <w:tr w:rsidR="000F36AC" w:rsidRPr="00076C28" w14:paraId="5F613CB0" w14:textId="77777777" w:rsidTr="009F4A45">
        <w:tc>
          <w:tcPr>
            <w:tcW w:w="1748" w:type="dxa"/>
          </w:tcPr>
          <w:p w14:paraId="2432CB8F" w14:textId="77777777" w:rsidR="000F36AC" w:rsidRPr="004176AD" w:rsidRDefault="000F36AC" w:rsidP="009F4A45">
            <w:pPr>
              <w:spacing w:after="60"/>
              <w:rPr>
                <w:b/>
                <w:bCs/>
              </w:rPr>
            </w:pPr>
            <w:r w:rsidRPr="004176AD">
              <w:rPr>
                <w:b/>
                <w:bCs/>
              </w:rPr>
              <w:t>1.2.1</w:t>
            </w:r>
          </w:p>
        </w:tc>
        <w:tc>
          <w:tcPr>
            <w:tcW w:w="3850" w:type="dxa"/>
          </w:tcPr>
          <w:p w14:paraId="4BB7E824" w14:textId="77777777" w:rsidR="000F36AC" w:rsidRPr="00866A9F" w:rsidRDefault="000F36AC" w:rsidP="009F4A45">
            <w:pPr>
              <w:spacing w:after="60"/>
              <w:rPr>
                <w:b/>
                <w:u w:val="single"/>
                <w:shd w:val="clear" w:color="auto" w:fill="C0C0C0"/>
              </w:rPr>
            </w:pPr>
            <w:r w:rsidRPr="00866A9F">
              <w:t xml:space="preserve">Inspection body </w:t>
            </w:r>
            <w:r w:rsidRPr="00F2773C">
              <w:rPr>
                <w:b/>
                <w:u w:val="single"/>
              </w:rPr>
              <w:t>(RID / ADR)</w:t>
            </w:r>
          </w:p>
          <w:p w14:paraId="695199F2" w14:textId="77777777" w:rsidR="000F36AC" w:rsidRPr="00BF4918" w:rsidRDefault="000F36AC" w:rsidP="009F4A45">
            <w:pPr>
              <w:spacing w:after="60"/>
            </w:pPr>
            <w:r w:rsidRPr="00866A9F">
              <w:rPr>
                <w:b/>
                <w:u w:val="single"/>
                <w:shd w:val="clear" w:color="auto" w:fill="C0C0C0"/>
              </w:rPr>
              <w:br/>
            </w:r>
            <w:r w:rsidRPr="00866A9F">
              <w:t>means an independent monitoring and verification body certified by the competent authority</w:t>
            </w:r>
          </w:p>
        </w:tc>
        <w:tc>
          <w:tcPr>
            <w:tcW w:w="3622" w:type="dxa"/>
            <w:shd w:val="clear" w:color="auto" w:fill="auto"/>
          </w:tcPr>
          <w:p w14:paraId="7A8BD631" w14:textId="77777777" w:rsidR="000F36AC" w:rsidRPr="00866A9F" w:rsidRDefault="000F36AC" w:rsidP="009F4A45">
            <w:pPr>
              <w:spacing w:after="60"/>
              <w:rPr>
                <w:lang w:val="fr-FR"/>
              </w:rPr>
            </w:pPr>
            <w:r w:rsidRPr="00866A9F">
              <w:rPr>
                <w:dstrike/>
                <w:lang w:val="fr-FR"/>
              </w:rPr>
              <w:t>Instance d’inspection</w:t>
            </w:r>
            <w:r>
              <w:rPr>
                <w:lang w:val="fr-FR"/>
              </w:rPr>
              <w:t xml:space="preserve"> </w:t>
            </w:r>
            <w:r w:rsidRPr="00F2773C">
              <w:rPr>
                <w:b/>
                <w:u w:val="single"/>
                <w:lang w:val="fr-FR"/>
              </w:rPr>
              <w:t>Organisme de contrôle (RID/ADR)</w:t>
            </w:r>
          </w:p>
          <w:p w14:paraId="61A50A9D" w14:textId="77777777" w:rsidR="000F36AC" w:rsidRPr="00866A9F" w:rsidRDefault="000F36AC" w:rsidP="009F4A45">
            <w:pPr>
              <w:spacing w:after="60"/>
              <w:rPr>
                <w:b/>
                <w:lang w:val="fr-FR"/>
              </w:rPr>
            </w:pPr>
            <w:r>
              <w:rPr>
                <w:b/>
                <w:u w:val="single"/>
                <w:lang w:val="fr-FR"/>
              </w:rPr>
              <w:br/>
            </w:r>
            <w:proofErr w:type="gramStart"/>
            <w:r w:rsidRPr="00F2773C">
              <w:rPr>
                <w:iCs/>
                <w:dstrike/>
                <w:lang w:val="fr-FR"/>
              </w:rPr>
              <w:t>une</w:t>
            </w:r>
            <w:proofErr w:type="gramEnd"/>
            <w:r w:rsidRPr="00F2773C">
              <w:rPr>
                <w:iCs/>
                <w:dstrike/>
                <w:lang w:val="fr-FR"/>
              </w:rPr>
              <w:t xml:space="preserve"> instance indépendante</w:t>
            </w:r>
            <w:r w:rsidRPr="00F2773C">
              <w:rPr>
                <w:iCs/>
                <w:lang w:val="fr-FR"/>
              </w:rPr>
              <w:t xml:space="preserve"> </w:t>
            </w:r>
            <w:r w:rsidRPr="00F2773C">
              <w:rPr>
                <w:b/>
                <w:iCs/>
                <w:u w:val="single"/>
                <w:lang w:val="fr-FR"/>
              </w:rPr>
              <w:t>un organisme indépendant</w:t>
            </w:r>
            <w:r w:rsidRPr="00F2773C">
              <w:rPr>
                <w:iCs/>
                <w:lang w:val="fr-FR"/>
              </w:rPr>
              <w:t xml:space="preserve"> de contrôle et de vérification </w:t>
            </w:r>
            <w:r w:rsidRPr="00F2773C">
              <w:rPr>
                <w:iCs/>
                <w:dstrike/>
                <w:lang w:val="fr-FR"/>
              </w:rPr>
              <w:t>agréée</w:t>
            </w:r>
            <w:r w:rsidRPr="00F2773C">
              <w:rPr>
                <w:iCs/>
                <w:lang w:val="fr-FR"/>
              </w:rPr>
              <w:t xml:space="preserve"> </w:t>
            </w:r>
            <w:r w:rsidRPr="00F2773C">
              <w:rPr>
                <w:b/>
                <w:iCs/>
                <w:u w:val="single"/>
                <w:lang w:val="fr-FR"/>
              </w:rPr>
              <w:t>agréé</w:t>
            </w:r>
            <w:r w:rsidRPr="00F2773C">
              <w:rPr>
                <w:iCs/>
                <w:lang w:val="fr-FR"/>
              </w:rPr>
              <w:t xml:space="preserve"> par l’autorité compétente</w:t>
            </w:r>
          </w:p>
        </w:tc>
        <w:tc>
          <w:tcPr>
            <w:tcW w:w="3641" w:type="dxa"/>
          </w:tcPr>
          <w:p w14:paraId="139509C5" w14:textId="77777777" w:rsidR="000F36AC" w:rsidRDefault="000F36AC" w:rsidP="009F4A45">
            <w:pPr>
              <w:spacing w:after="60"/>
              <w:rPr>
                <w:b/>
                <w:u w:val="single"/>
                <w:lang w:val="de-DE"/>
              </w:rPr>
            </w:pPr>
            <w:r w:rsidRPr="007749A4">
              <w:rPr>
                <w:lang w:val="de-DE"/>
              </w:rPr>
              <w:t>Prüfstelle</w:t>
            </w:r>
            <w:r>
              <w:rPr>
                <w:lang w:val="de-DE"/>
              </w:rPr>
              <w:t xml:space="preserve"> </w:t>
            </w:r>
            <w:r>
              <w:rPr>
                <w:b/>
                <w:u w:val="single"/>
                <w:lang w:val="de-DE"/>
              </w:rPr>
              <w:t>(</w:t>
            </w:r>
            <w:r w:rsidRPr="00422B4A">
              <w:rPr>
                <w:b/>
                <w:u w:val="single"/>
                <w:lang w:val="de-DE"/>
              </w:rPr>
              <w:t>RID / ADR)</w:t>
            </w:r>
          </w:p>
          <w:p w14:paraId="57A49126" w14:textId="77777777" w:rsidR="000F36AC" w:rsidRPr="00BF4918" w:rsidRDefault="000F36AC" w:rsidP="009F4A45">
            <w:pPr>
              <w:spacing w:after="60"/>
              <w:rPr>
                <w:szCs w:val="18"/>
                <w:lang w:val="de-DE"/>
              </w:rPr>
            </w:pPr>
            <w:r>
              <w:rPr>
                <w:b/>
                <w:u w:val="single"/>
                <w:lang w:val="de-DE"/>
              </w:rPr>
              <w:br/>
            </w:r>
            <w:r w:rsidRPr="007749A4">
              <w:rPr>
                <w:szCs w:val="18"/>
                <w:lang w:val="de-DE"/>
              </w:rPr>
              <w:t>Eine von der zuständigen Behörde zugelassene unabhängige Prüfstelle</w:t>
            </w:r>
          </w:p>
        </w:tc>
      </w:tr>
      <w:tr w:rsidR="000F36AC" w:rsidRPr="00076C28" w14:paraId="41F01547" w14:textId="77777777" w:rsidTr="009F4A45">
        <w:tc>
          <w:tcPr>
            <w:tcW w:w="1748" w:type="dxa"/>
          </w:tcPr>
          <w:p w14:paraId="30621CA2" w14:textId="77777777" w:rsidR="000F36AC" w:rsidRPr="004176AD" w:rsidRDefault="000F36AC" w:rsidP="009F4A45">
            <w:pPr>
              <w:spacing w:after="60"/>
              <w:rPr>
                <w:b/>
                <w:bCs/>
              </w:rPr>
            </w:pPr>
            <w:r w:rsidRPr="004176AD">
              <w:rPr>
                <w:b/>
                <w:bCs/>
              </w:rPr>
              <w:t>1.2.1</w:t>
            </w:r>
          </w:p>
        </w:tc>
        <w:tc>
          <w:tcPr>
            <w:tcW w:w="3850" w:type="dxa"/>
          </w:tcPr>
          <w:p w14:paraId="3EF12D85" w14:textId="77777777" w:rsidR="000F36AC" w:rsidRPr="00866A9F" w:rsidRDefault="000F36AC" w:rsidP="009F4A45">
            <w:pPr>
              <w:spacing w:after="60"/>
              <w:rPr>
                <w:b/>
                <w:u w:val="single"/>
              </w:rPr>
            </w:pPr>
            <w:r w:rsidRPr="00F2773C">
              <w:rPr>
                <w:b/>
                <w:u w:val="single"/>
              </w:rPr>
              <w:t>Inspection body</w:t>
            </w:r>
          </w:p>
          <w:p w14:paraId="456C29C6" w14:textId="77777777" w:rsidR="000F36AC" w:rsidRPr="00F2773C" w:rsidRDefault="000F36AC" w:rsidP="009F4A45">
            <w:pPr>
              <w:spacing w:after="60"/>
              <w:rPr>
                <w:b/>
                <w:u w:val="single"/>
              </w:rPr>
            </w:pPr>
            <w:r w:rsidRPr="00866A9F">
              <w:rPr>
                <w:b/>
                <w:u w:val="single"/>
              </w:rPr>
              <w:br/>
            </w:r>
            <w:r w:rsidRPr="00F2773C">
              <w:rPr>
                <w:b/>
                <w:u w:val="single"/>
              </w:rPr>
              <w:t>means a body nominated or recognized by the Contracting Party for the purpose of inspecting vessels according to the procedures laid down in these current Regulations</w:t>
            </w:r>
          </w:p>
        </w:tc>
        <w:tc>
          <w:tcPr>
            <w:tcW w:w="3622" w:type="dxa"/>
          </w:tcPr>
          <w:p w14:paraId="618B5E54" w14:textId="77777777" w:rsidR="000F36AC" w:rsidRDefault="000F36AC" w:rsidP="009F4A45">
            <w:pPr>
              <w:spacing w:after="60"/>
              <w:rPr>
                <w:b/>
                <w:u w:val="single"/>
                <w:shd w:val="clear" w:color="auto" w:fill="C0C0C0"/>
                <w:lang w:val="fr-FR"/>
              </w:rPr>
            </w:pPr>
            <w:r w:rsidRPr="00F2773C">
              <w:rPr>
                <w:b/>
                <w:u w:val="single"/>
                <w:lang w:val="nl-NL"/>
              </w:rPr>
              <w:t>Organisme de vis</w:t>
            </w:r>
            <w:r w:rsidRPr="00F2773C">
              <w:rPr>
                <w:b/>
                <w:u w:val="single"/>
                <w:lang w:val="fr-FR"/>
              </w:rPr>
              <w:t>ite</w:t>
            </w:r>
          </w:p>
          <w:p w14:paraId="3AAEAEB5" w14:textId="77777777" w:rsidR="000F36AC" w:rsidRPr="00F2773C" w:rsidRDefault="000F36AC" w:rsidP="009F4A45">
            <w:pPr>
              <w:spacing w:after="60"/>
              <w:rPr>
                <w:b/>
                <w:dstrike/>
                <w:u w:val="single"/>
                <w:lang w:val="fr-FR"/>
              </w:rPr>
            </w:pPr>
            <w:r>
              <w:rPr>
                <w:b/>
                <w:u w:val="single"/>
                <w:shd w:val="clear" w:color="auto" w:fill="C0C0C0"/>
                <w:lang w:val="fr-FR"/>
              </w:rPr>
              <w:br/>
            </w:r>
            <w:proofErr w:type="gramStart"/>
            <w:r w:rsidRPr="00F2773C">
              <w:rPr>
                <w:b/>
                <w:u w:val="single"/>
                <w:lang w:val="fr-FR"/>
              </w:rPr>
              <w:t>un</w:t>
            </w:r>
            <w:proofErr w:type="gramEnd"/>
            <w:r w:rsidRPr="00F2773C">
              <w:rPr>
                <w:b/>
                <w:u w:val="single"/>
                <w:lang w:val="fr-FR"/>
              </w:rPr>
              <w:t xml:space="preserve"> organisme nommé ou reconnu par la Partie contractante aux fins de l’inspection des bateaux conformément aux procédures prévues le présent Règlement</w:t>
            </w:r>
          </w:p>
        </w:tc>
        <w:tc>
          <w:tcPr>
            <w:tcW w:w="3641" w:type="dxa"/>
          </w:tcPr>
          <w:p w14:paraId="5A7128B3" w14:textId="77777777" w:rsidR="000F36AC" w:rsidRDefault="000F36AC" w:rsidP="009F4A45">
            <w:pPr>
              <w:spacing w:after="60"/>
              <w:rPr>
                <w:b/>
                <w:u w:val="single"/>
                <w:lang w:val="de-DE"/>
              </w:rPr>
            </w:pPr>
            <w:r w:rsidRPr="00422B4A">
              <w:rPr>
                <w:b/>
                <w:u w:val="single"/>
                <w:lang w:val="de-DE"/>
              </w:rPr>
              <w:t>Untersuchungsstelle</w:t>
            </w:r>
          </w:p>
          <w:p w14:paraId="423337CA" w14:textId="77777777" w:rsidR="000F36AC" w:rsidRPr="00F2773C" w:rsidRDefault="000F36AC" w:rsidP="009F4A45">
            <w:pPr>
              <w:spacing w:after="60"/>
              <w:rPr>
                <w:b/>
                <w:u w:val="single"/>
                <w:lang w:val="de-DE"/>
              </w:rPr>
            </w:pPr>
            <w:r>
              <w:rPr>
                <w:b/>
                <w:u w:val="single"/>
                <w:lang w:val="de-DE"/>
              </w:rPr>
              <w:br/>
            </w:r>
            <w:r w:rsidRPr="00422B4A">
              <w:rPr>
                <w:b/>
                <w:u w:val="single"/>
                <w:lang w:val="de-DE"/>
              </w:rPr>
              <w:t>eine von der Vertragspartei benannte oder anerkannte Stelle zur Untersuchung der Schiffe gemäß den</w:t>
            </w:r>
            <w:r>
              <w:rPr>
                <w:b/>
                <w:u w:val="single"/>
                <w:lang w:val="de-DE"/>
              </w:rPr>
              <w:t xml:space="preserve"> </w:t>
            </w:r>
            <w:r w:rsidRPr="00422B4A">
              <w:rPr>
                <w:b/>
                <w:u w:val="single"/>
                <w:lang w:val="de-DE"/>
              </w:rPr>
              <w:t>Verfahren der beigefügten Verordnung</w:t>
            </w:r>
          </w:p>
        </w:tc>
      </w:tr>
    </w:tbl>
    <w:p w14:paraId="326D16EA" w14:textId="0AC5BE5C" w:rsidR="000F36AC" w:rsidRPr="000A5065" w:rsidRDefault="000F36AC" w:rsidP="000F36AC">
      <w:pPr>
        <w:pStyle w:val="SingleTxtG"/>
        <w:spacing w:before="120"/>
      </w:pPr>
      <w:r w:rsidRPr="000A5065">
        <w:t>5.</w:t>
      </w:r>
      <w:r w:rsidRPr="000A5065">
        <w:tab/>
        <w:t xml:space="preserve">The proposals above are consistent with the other parts of ADN where the notion of </w:t>
      </w:r>
      <w:r w:rsidR="00101374">
        <w:t>"</w:t>
      </w:r>
      <w:r w:rsidR="00076C28">
        <w:t>I</w:t>
      </w:r>
      <w:r w:rsidRPr="000A5065">
        <w:t xml:space="preserve">nspection body / </w:t>
      </w:r>
      <w:proofErr w:type="spellStart"/>
      <w:r w:rsidRPr="000A5065">
        <w:t>Organisme</w:t>
      </w:r>
      <w:proofErr w:type="spellEnd"/>
      <w:r w:rsidRPr="000A5065">
        <w:t xml:space="preserve"> de </w:t>
      </w:r>
      <w:proofErr w:type="spellStart"/>
      <w:r w:rsidRPr="000A5065">
        <w:t>visite</w:t>
      </w:r>
      <w:proofErr w:type="spellEnd"/>
      <w:r w:rsidRPr="000A5065">
        <w:t xml:space="preserve"> / </w:t>
      </w:r>
      <w:proofErr w:type="spellStart"/>
      <w:r w:rsidRPr="000A5065">
        <w:t>Untersuchungsstelle</w:t>
      </w:r>
      <w:proofErr w:type="spellEnd"/>
      <w:r w:rsidR="00101374">
        <w:t>"</w:t>
      </w:r>
      <w:r w:rsidRPr="000A5065">
        <w:t xml:space="preserve"> are evocated </w:t>
      </w:r>
      <w:r>
        <w:t>(Sections 1.16.2, 1.16.3, 1.16.4, 1.16.7, and subsections 9.3.x.1), and allow comparisons with the definitions in RID / ADR.</w:t>
      </w:r>
    </w:p>
    <w:p w14:paraId="1E14EBD9" w14:textId="77777777" w:rsidR="000F36AC" w:rsidRDefault="000F36AC" w:rsidP="000F36AC">
      <w:pPr>
        <w:pStyle w:val="HChG"/>
        <w:pageBreakBefore/>
      </w:pPr>
      <w:r>
        <w:lastRenderedPageBreak/>
        <w:tab/>
      </w:r>
      <w:r>
        <w:tab/>
        <w:t>Consequential amendments</w:t>
      </w:r>
    </w:p>
    <w:p w14:paraId="23A89955" w14:textId="77777777" w:rsidR="000F36AC" w:rsidRDefault="000F36AC" w:rsidP="000F36AC">
      <w:pPr>
        <w:pStyle w:val="SingleTxtG"/>
      </w:pPr>
      <w:r>
        <w:t>6.</w:t>
      </w:r>
      <w:r>
        <w:tab/>
        <w:t>It has been noticed the need of a slight editorial amendment to the German text of the first sentence of 1.16.3.1 as follows:</w:t>
      </w:r>
    </w:p>
    <w:p w14:paraId="160F1FE2" w14:textId="4F8772EC" w:rsidR="000F36AC" w:rsidRPr="00464AD9" w:rsidRDefault="000F402E" w:rsidP="000F36AC">
      <w:pPr>
        <w:pStyle w:val="SingleTxtG"/>
        <w:rPr>
          <w:lang w:val="de-DE"/>
        </w:rPr>
      </w:pPr>
      <w:r>
        <w:rPr>
          <w:lang w:val="de-DE"/>
        </w:rPr>
        <w:t>"</w:t>
      </w:r>
      <w:r w:rsidR="000F36AC" w:rsidRPr="00464AD9">
        <w:rPr>
          <w:b/>
          <w:lang w:val="de-DE"/>
        </w:rPr>
        <w:t>1.16.3.1</w:t>
      </w:r>
      <w:r w:rsidR="000F36AC" w:rsidRPr="00464AD9">
        <w:rPr>
          <w:lang w:val="de-DE"/>
        </w:rPr>
        <w:tab/>
      </w:r>
      <w:r w:rsidR="000F36AC" w:rsidRPr="00464AD9">
        <w:rPr>
          <w:szCs w:val="18"/>
          <w:lang w:val="de-DE"/>
        </w:rPr>
        <w:t xml:space="preserve">Die Untersuchung des Schiffes wird unter der Aufsicht der zuständigen Behörde </w:t>
      </w:r>
      <w:r w:rsidR="000F36AC" w:rsidRPr="00464AD9">
        <w:rPr>
          <w:dstrike/>
          <w:szCs w:val="18"/>
          <w:lang w:val="de-DE"/>
        </w:rPr>
        <w:t>einer</w:t>
      </w:r>
      <w:r w:rsidR="000F36AC" w:rsidRPr="00464AD9">
        <w:rPr>
          <w:szCs w:val="18"/>
          <w:lang w:val="de-DE"/>
        </w:rPr>
        <w:t xml:space="preserve"> </w:t>
      </w:r>
      <w:r w:rsidR="000F36AC" w:rsidRPr="00464AD9">
        <w:rPr>
          <w:b/>
          <w:szCs w:val="18"/>
          <w:u w:val="single"/>
          <w:lang w:val="de-DE"/>
        </w:rPr>
        <w:t>der</w:t>
      </w:r>
      <w:r w:rsidR="000F36AC" w:rsidRPr="00464AD9">
        <w:rPr>
          <w:szCs w:val="18"/>
          <w:u w:val="single"/>
          <w:lang w:val="de-DE"/>
        </w:rPr>
        <w:t xml:space="preserve"> </w:t>
      </w:r>
      <w:r w:rsidR="000F36AC" w:rsidRPr="00464AD9">
        <w:rPr>
          <w:szCs w:val="18"/>
          <w:lang w:val="de-DE"/>
        </w:rPr>
        <w:t>Vertragspartei durchgeführt</w:t>
      </w:r>
      <w:r w:rsidR="000F36AC">
        <w:rPr>
          <w:szCs w:val="18"/>
          <w:lang w:val="de-DE"/>
        </w:rPr>
        <w:t>.</w:t>
      </w:r>
      <w:r>
        <w:rPr>
          <w:szCs w:val="18"/>
          <w:lang w:val="de-DE"/>
        </w:rPr>
        <w:t>"</w:t>
      </w:r>
    </w:p>
    <w:p w14:paraId="5D46D7F3" w14:textId="0A8B05FB" w:rsidR="000F36AC" w:rsidRDefault="000F36AC" w:rsidP="000F36AC">
      <w:pPr>
        <w:pStyle w:val="SingleTxtG"/>
      </w:pPr>
      <w:r w:rsidRPr="00890366">
        <w:t>7.</w:t>
      </w:r>
      <w:r w:rsidRPr="00890366">
        <w:tab/>
        <w:t>It has also been noticed</w:t>
      </w:r>
      <w:r>
        <w:t xml:space="preserve"> the need of an amendment to the second bullet-point in paragraph (d) of the Special Provision 674, related to </w:t>
      </w:r>
      <w:r w:rsidR="000F402E">
        <w:t>"</w:t>
      </w:r>
      <w:r>
        <w:t xml:space="preserve">inspection bodies / </w:t>
      </w:r>
      <w:proofErr w:type="spellStart"/>
      <w:r w:rsidRPr="00076C28">
        <w:t>organismes</w:t>
      </w:r>
      <w:proofErr w:type="spellEnd"/>
      <w:r w:rsidRPr="00076C28">
        <w:t xml:space="preserve"> de </w:t>
      </w:r>
      <w:proofErr w:type="spellStart"/>
      <w:r w:rsidRPr="00076C28">
        <w:t>contrôle</w:t>
      </w:r>
      <w:proofErr w:type="spellEnd"/>
      <w:r>
        <w:t xml:space="preserve"> / </w:t>
      </w:r>
      <w:proofErr w:type="spellStart"/>
      <w:r w:rsidRPr="00076C28">
        <w:rPr>
          <w:bCs/>
        </w:rPr>
        <w:t>Prüfstellen</w:t>
      </w:r>
      <w:proofErr w:type="spellEnd"/>
      <w:r w:rsidR="000F402E">
        <w:t>"</w:t>
      </w:r>
      <w:r>
        <w:t xml:space="preserve"> which, in the current text of ADN, clearly refers to in the definition in RID /ADR for these bodies. Therefore, it is proposed the consequential amendments drafted in the table below:</w:t>
      </w:r>
    </w:p>
    <w:tbl>
      <w:tblPr>
        <w:tblStyle w:val="TableGrid"/>
        <w:tblW w:w="0" w:type="auto"/>
        <w:tblLook w:val="04A0" w:firstRow="1" w:lastRow="0" w:firstColumn="1" w:lastColumn="0" w:noHBand="0" w:noVBand="1"/>
      </w:tblPr>
      <w:tblGrid>
        <w:gridCol w:w="1737"/>
        <w:gridCol w:w="3844"/>
        <w:gridCol w:w="3606"/>
        <w:gridCol w:w="3674"/>
      </w:tblGrid>
      <w:tr w:rsidR="000F36AC" w:rsidRPr="004176AD" w14:paraId="0A0FAD1C" w14:textId="77777777" w:rsidTr="009F4A45">
        <w:tc>
          <w:tcPr>
            <w:tcW w:w="1737" w:type="dxa"/>
          </w:tcPr>
          <w:p w14:paraId="01D75D9F" w14:textId="77777777" w:rsidR="000F36AC" w:rsidRDefault="000F36AC" w:rsidP="009F4A45">
            <w:pPr>
              <w:spacing w:after="120"/>
            </w:pPr>
          </w:p>
        </w:tc>
        <w:tc>
          <w:tcPr>
            <w:tcW w:w="3844" w:type="dxa"/>
          </w:tcPr>
          <w:p w14:paraId="3E2F5628" w14:textId="77777777" w:rsidR="000F36AC" w:rsidRPr="004176AD" w:rsidRDefault="000F36AC" w:rsidP="009F4A45">
            <w:pPr>
              <w:spacing w:after="120"/>
              <w:jc w:val="center"/>
              <w:rPr>
                <w:b/>
                <w:bCs/>
              </w:rPr>
            </w:pPr>
            <w:r w:rsidRPr="004176AD">
              <w:rPr>
                <w:b/>
                <w:bCs/>
              </w:rPr>
              <w:t>EN</w:t>
            </w:r>
            <w:r>
              <w:rPr>
                <w:b/>
                <w:bCs/>
              </w:rPr>
              <w:t xml:space="preserve"> (ADN)</w:t>
            </w:r>
          </w:p>
        </w:tc>
        <w:tc>
          <w:tcPr>
            <w:tcW w:w="3606" w:type="dxa"/>
          </w:tcPr>
          <w:p w14:paraId="39091B9E" w14:textId="77777777" w:rsidR="000F36AC" w:rsidRPr="004176AD" w:rsidRDefault="000F36AC" w:rsidP="009F4A45">
            <w:pPr>
              <w:spacing w:after="120"/>
              <w:jc w:val="center"/>
              <w:rPr>
                <w:b/>
                <w:bCs/>
              </w:rPr>
            </w:pPr>
            <w:r w:rsidRPr="004176AD">
              <w:rPr>
                <w:b/>
                <w:bCs/>
              </w:rPr>
              <w:t>FR</w:t>
            </w:r>
            <w:r>
              <w:rPr>
                <w:b/>
                <w:bCs/>
              </w:rPr>
              <w:t xml:space="preserve"> (ADN)</w:t>
            </w:r>
          </w:p>
        </w:tc>
        <w:tc>
          <w:tcPr>
            <w:tcW w:w="3674" w:type="dxa"/>
          </w:tcPr>
          <w:p w14:paraId="2D755A23" w14:textId="77777777" w:rsidR="000F36AC" w:rsidRPr="004176AD" w:rsidRDefault="000F36AC" w:rsidP="009F4A45">
            <w:pPr>
              <w:spacing w:after="120"/>
              <w:jc w:val="center"/>
              <w:rPr>
                <w:b/>
                <w:bCs/>
              </w:rPr>
            </w:pPr>
            <w:r>
              <w:rPr>
                <w:b/>
                <w:bCs/>
              </w:rPr>
              <w:t>GE (ADN)</w:t>
            </w:r>
          </w:p>
        </w:tc>
      </w:tr>
      <w:tr w:rsidR="000F36AC" w:rsidRPr="00076C28" w14:paraId="20CAF424" w14:textId="77777777" w:rsidTr="009F4A45">
        <w:tc>
          <w:tcPr>
            <w:tcW w:w="1737" w:type="dxa"/>
          </w:tcPr>
          <w:p w14:paraId="1670CE16" w14:textId="77777777" w:rsidR="000F36AC" w:rsidRPr="006F52C6" w:rsidRDefault="000F36AC" w:rsidP="009F4A45">
            <w:pPr>
              <w:spacing w:after="120"/>
              <w:rPr>
                <w:b/>
                <w:bCs/>
              </w:rPr>
            </w:pPr>
            <w:r w:rsidRPr="006F52C6">
              <w:rPr>
                <w:b/>
                <w:bCs/>
              </w:rPr>
              <w:t>SP 674 d)</w:t>
            </w:r>
          </w:p>
        </w:tc>
        <w:tc>
          <w:tcPr>
            <w:tcW w:w="3844" w:type="dxa"/>
          </w:tcPr>
          <w:p w14:paraId="009EDD57" w14:textId="77777777" w:rsidR="000F36AC" w:rsidRDefault="000F36AC" w:rsidP="009F4A45">
            <w:pPr>
              <w:spacing w:after="120"/>
              <w:rPr>
                <w:bCs/>
              </w:rPr>
            </w:pPr>
            <w:r>
              <w:rPr>
                <w:bCs/>
              </w:rPr>
              <w:t>…</w:t>
            </w:r>
          </w:p>
          <w:p w14:paraId="699E00AF" w14:textId="77777777" w:rsidR="000F36AC" w:rsidRPr="006F52C6" w:rsidRDefault="000F36AC" w:rsidP="009F4A45">
            <w:pPr>
              <w:spacing w:after="120"/>
              <w:rPr>
                <w:bCs/>
              </w:rPr>
            </w:pPr>
            <w:r>
              <w:rPr>
                <w:bCs/>
              </w:rPr>
              <w:t xml:space="preserve">- </w:t>
            </w:r>
            <w:r w:rsidRPr="006F52C6">
              <w:rPr>
                <w:bCs/>
              </w:rPr>
              <w:t xml:space="preserve">Make available to inspection bodies </w:t>
            </w:r>
            <w:r w:rsidRPr="006A582D">
              <w:rPr>
                <w:b/>
                <w:bCs/>
                <w:u w:val="single"/>
                <w:shd w:val="clear" w:color="auto" w:fill="C0C0C0"/>
              </w:rPr>
              <w:t>(as defined in ADR)</w:t>
            </w:r>
            <w:r w:rsidRPr="006F52C6">
              <w:rPr>
                <w:bCs/>
              </w:rPr>
              <w:t>, filling centres and competent authorities the specific technical characteristics of the cylinders consisting of at least the following: serial number, steel cylinder production batch, over-moulding production batch, date of over-moulding;</w:t>
            </w:r>
          </w:p>
        </w:tc>
        <w:tc>
          <w:tcPr>
            <w:tcW w:w="3606" w:type="dxa"/>
          </w:tcPr>
          <w:p w14:paraId="6D8D2E9C" w14:textId="77777777" w:rsidR="000F36AC" w:rsidRDefault="000F36AC" w:rsidP="009F4A45">
            <w:pPr>
              <w:spacing w:after="120"/>
              <w:rPr>
                <w:bCs/>
                <w:lang w:val="fr-FR"/>
              </w:rPr>
            </w:pPr>
            <w:r w:rsidRPr="008354C7">
              <w:rPr>
                <w:bCs/>
                <w:lang w:val="fr-FR"/>
              </w:rPr>
              <w:t>..</w:t>
            </w:r>
            <w:r>
              <w:rPr>
                <w:bCs/>
                <w:lang w:val="fr-FR"/>
              </w:rPr>
              <w:t>.</w:t>
            </w:r>
          </w:p>
          <w:p w14:paraId="5C4217B2" w14:textId="77777777" w:rsidR="000F36AC" w:rsidRPr="006F52C6" w:rsidRDefault="000F36AC" w:rsidP="009F4A45">
            <w:pPr>
              <w:spacing w:after="120"/>
              <w:rPr>
                <w:b/>
                <w:u w:val="single"/>
                <w:lang w:val="fr-FR"/>
              </w:rPr>
            </w:pPr>
            <w:r>
              <w:rPr>
                <w:bCs/>
                <w:lang w:val="fr-FR"/>
              </w:rPr>
              <w:t xml:space="preserve">- </w:t>
            </w:r>
            <w:r w:rsidRPr="008354C7">
              <w:rPr>
                <w:bCs/>
                <w:lang w:val="fr-FR"/>
              </w:rPr>
              <w:t xml:space="preserve">Mettre à disposition des organismes de contrôle </w:t>
            </w:r>
            <w:r w:rsidRPr="006A582D">
              <w:rPr>
                <w:b/>
                <w:bCs/>
                <w:u w:val="single"/>
                <w:shd w:val="clear" w:color="auto" w:fill="C0C0C0"/>
                <w:lang w:val="fr-FR"/>
              </w:rPr>
              <w:t>(tels que définis dans l’ADR)</w:t>
            </w:r>
            <w:r w:rsidRPr="008354C7">
              <w:rPr>
                <w:bCs/>
                <w:lang w:val="fr-FR"/>
              </w:rPr>
              <w:t>, des centres de remplissage ou des autorités comp</w:t>
            </w:r>
            <w:r w:rsidRPr="006F52C6">
              <w:rPr>
                <w:bCs/>
                <w:lang w:val="fr-FR"/>
              </w:rPr>
              <w:t xml:space="preserve">étentes, les caractéristiques techniques spécifiques des bouteilles comprenant au moins le numéro de série, le lot de production des bouteilles en acier, le lot de production des surmoulages et la date du </w:t>
            </w:r>
            <w:proofErr w:type="gramStart"/>
            <w:r w:rsidRPr="006F52C6">
              <w:rPr>
                <w:bCs/>
                <w:lang w:val="fr-FR"/>
              </w:rPr>
              <w:t>surmoulage;</w:t>
            </w:r>
            <w:proofErr w:type="gramEnd"/>
          </w:p>
        </w:tc>
        <w:tc>
          <w:tcPr>
            <w:tcW w:w="3674" w:type="dxa"/>
          </w:tcPr>
          <w:p w14:paraId="6E93FFC6" w14:textId="77777777" w:rsidR="000F36AC" w:rsidRDefault="000F36AC" w:rsidP="009F4A45">
            <w:pPr>
              <w:spacing w:after="120"/>
              <w:rPr>
                <w:bCs/>
                <w:lang w:val="de-DE"/>
              </w:rPr>
            </w:pPr>
            <w:r>
              <w:rPr>
                <w:bCs/>
                <w:lang w:val="de-DE"/>
              </w:rPr>
              <w:t>…</w:t>
            </w:r>
          </w:p>
          <w:p w14:paraId="3EC82F4A" w14:textId="77777777" w:rsidR="000F36AC" w:rsidRPr="008354C7" w:rsidRDefault="000F36AC" w:rsidP="009F4A45">
            <w:pPr>
              <w:spacing w:after="120"/>
              <w:rPr>
                <w:bCs/>
                <w:color w:val="7030A0"/>
                <w:lang w:val="de-DE"/>
              </w:rPr>
            </w:pPr>
            <w:r>
              <w:rPr>
                <w:bCs/>
                <w:lang w:val="de-DE"/>
              </w:rPr>
              <w:t xml:space="preserve">- </w:t>
            </w:r>
            <w:r w:rsidRPr="006F52C6">
              <w:rPr>
                <w:bCs/>
                <w:lang w:val="de-DE"/>
              </w:rPr>
              <w:t xml:space="preserve">die Zurverfügungstellung der spezifischen technischen Eigenschaften der Flaschen, zumindest bestehend aus Seriennummer, Produktionslos der Stahlflasche, Produktionslos der Umformung, Zeitpunkt der Umformung, für die Prüfstellen </w:t>
            </w:r>
            <w:r w:rsidRPr="006A582D">
              <w:rPr>
                <w:b/>
                <w:bCs/>
                <w:u w:val="single"/>
                <w:shd w:val="clear" w:color="auto" w:fill="C0C0C0"/>
                <w:lang w:val="de-DE"/>
              </w:rPr>
              <w:t>(wie im ADR definiert)</w:t>
            </w:r>
            <w:r w:rsidRPr="006F52C6">
              <w:rPr>
                <w:bCs/>
                <w:lang w:val="de-DE"/>
              </w:rPr>
              <w:t xml:space="preserve">, </w:t>
            </w:r>
            <w:proofErr w:type="spellStart"/>
            <w:r w:rsidRPr="006F52C6">
              <w:rPr>
                <w:bCs/>
                <w:lang w:val="de-DE"/>
              </w:rPr>
              <w:t>Befüllzentren</w:t>
            </w:r>
            <w:proofErr w:type="spellEnd"/>
            <w:r w:rsidRPr="006F52C6">
              <w:rPr>
                <w:bCs/>
                <w:lang w:val="de-DE"/>
              </w:rPr>
              <w:t xml:space="preserve"> und zuständigen Behörden;</w:t>
            </w:r>
          </w:p>
        </w:tc>
      </w:tr>
    </w:tbl>
    <w:p w14:paraId="2504BCC8" w14:textId="77777777" w:rsidR="000F36AC" w:rsidRDefault="000F36AC" w:rsidP="000F36AC">
      <w:pPr>
        <w:pStyle w:val="HChG"/>
      </w:pPr>
      <w:r w:rsidRPr="00076C28">
        <w:rPr>
          <w:lang w:val="de-CH"/>
        </w:rPr>
        <w:tab/>
      </w:r>
      <w:r w:rsidRPr="00076C28">
        <w:rPr>
          <w:lang w:val="de-CH"/>
        </w:rPr>
        <w:tab/>
      </w:r>
      <w:r>
        <w:t>Other issues</w:t>
      </w:r>
    </w:p>
    <w:p w14:paraId="41CB04DF" w14:textId="53B5ED53" w:rsidR="000F36AC" w:rsidRDefault="000F36AC" w:rsidP="000F36AC">
      <w:pPr>
        <w:pStyle w:val="SingleTxtG"/>
      </w:pPr>
      <w:r w:rsidRPr="005B2E3A">
        <w:t>8.</w:t>
      </w:r>
      <w:r w:rsidRPr="005B2E3A">
        <w:tab/>
        <w:t xml:space="preserve">At least, it has been </w:t>
      </w:r>
      <w:r>
        <w:t>raised</w:t>
      </w:r>
      <w:r w:rsidRPr="005B2E3A">
        <w:t xml:space="preserve"> that the wording </w:t>
      </w:r>
      <w:r w:rsidR="00E75B13">
        <w:t>"</w:t>
      </w:r>
      <w:r>
        <w:t xml:space="preserve">test body / </w:t>
      </w:r>
      <w:proofErr w:type="spellStart"/>
      <w:r w:rsidRPr="00076C28">
        <w:t>organisme</w:t>
      </w:r>
      <w:proofErr w:type="spellEnd"/>
      <w:r w:rsidRPr="00076C28">
        <w:t xml:space="preserve"> de </w:t>
      </w:r>
      <w:proofErr w:type="spellStart"/>
      <w:r w:rsidRPr="00076C28">
        <w:t>contrôle</w:t>
      </w:r>
      <w:proofErr w:type="spellEnd"/>
      <w:r>
        <w:t xml:space="preserve"> / </w:t>
      </w:r>
      <w:proofErr w:type="spellStart"/>
      <w:r w:rsidRPr="00076C28">
        <w:t>Prüfstelle</w:t>
      </w:r>
      <w:proofErr w:type="spellEnd"/>
      <w:r w:rsidR="00E75B13">
        <w:t>"</w:t>
      </w:r>
      <w:r>
        <w:t xml:space="preserve"> in 8.1.2.2 (h) and 8.1.2.3 (u) was not clearly defined. The co-sponsors understand that this notion of </w:t>
      </w:r>
      <w:r w:rsidR="00E75B13">
        <w:t>"</w:t>
      </w:r>
      <w:r>
        <w:t>test body</w:t>
      </w:r>
      <w:r w:rsidR="00E75B13">
        <w:t>"</w:t>
      </w:r>
      <w:r>
        <w:t xml:space="preserve"> refers to in the notified bodies dealing with Directive 2014/34/EU. It is therefore proposed the following amendments, with corresponding footnotes included in the table below:</w:t>
      </w:r>
    </w:p>
    <w:tbl>
      <w:tblPr>
        <w:tblStyle w:val="TableGrid"/>
        <w:tblW w:w="0" w:type="auto"/>
        <w:tblLook w:val="04A0" w:firstRow="1" w:lastRow="0" w:firstColumn="1" w:lastColumn="0" w:noHBand="0" w:noVBand="1"/>
      </w:tblPr>
      <w:tblGrid>
        <w:gridCol w:w="1704"/>
        <w:gridCol w:w="3901"/>
        <w:gridCol w:w="3657"/>
        <w:gridCol w:w="3599"/>
      </w:tblGrid>
      <w:tr w:rsidR="000F36AC" w:rsidRPr="004176AD" w14:paraId="318112A7" w14:textId="77777777" w:rsidTr="009F4A45">
        <w:tc>
          <w:tcPr>
            <w:tcW w:w="1704" w:type="dxa"/>
          </w:tcPr>
          <w:p w14:paraId="2486AC0A" w14:textId="77777777" w:rsidR="000F36AC" w:rsidRDefault="000F36AC" w:rsidP="009F4A45">
            <w:pPr>
              <w:pageBreakBefore/>
              <w:spacing w:after="120"/>
            </w:pPr>
          </w:p>
        </w:tc>
        <w:tc>
          <w:tcPr>
            <w:tcW w:w="3901" w:type="dxa"/>
          </w:tcPr>
          <w:p w14:paraId="5D82CAFB" w14:textId="77777777" w:rsidR="000F36AC" w:rsidRPr="004176AD" w:rsidRDefault="000F36AC" w:rsidP="009F4A45">
            <w:pPr>
              <w:spacing w:after="120"/>
              <w:jc w:val="center"/>
              <w:rPr>
                <w:b/>
                <w:bCs/>
              </w:rPr>
            </w:pPr>
            <w:r w:rsidRPr="004176AD">
              <w:rPr>
                <w:b/>
                <w:bCs/>
              </w:rPr>
              <w:t>EN</w:t>
            </w:r>
            <w:r>
              <w:rPr>
                <w:b/>
                <w:bCs/>
              </w:rPr>
              <w:t xml:space="preserve"> (ADN)</w:t>
            </w:r>
          </w:p>
        </w:tc>
        <w:tc>
          <w:tcPr>
            <w:tcW w:w="3657" w:type="dxa"/>
          </w:tcPr>
          <w:p w14:paraId="7DB1E6BB" w14:textId="77777777" w:rsidR="000F36AC" w:rsidRPr="004176AD" w:rsidRDefault="000F36AC" w:rsidP="009F4A45">
            <w:pPr>
              <w:spacing w:after="120"/>
              <w:jc w:val="center"/>
              <w:rPr>
                <w:b/>
                <w:bCs/>
              </w:rPr>
            </w:pPr>
            <w:r w:rsidRPr="004176AD">
              <w:rPr>
                <w:b/>
                <w:bCs/>
              </w:rPr>
              <w:t>FR</w:t>
            </w:r>
            <w:r>
              <w:rPr>
                <w:b/>
                <w:bCs/>
              </w:rPr>
              <w:t xml:space="preserve"> (ADN)</w:t>
            </w:r>
          </w:p>
        </w:tc>
        <w:tc>
          <w:tcPr>
            <w:tcW w:w="3599" w:type="dxa"/>
          </w:tcPr>
          <w:p w14:paraId="2CED9530" w14:textId="77777777" w:rsidR="000F36AC" w:rsidRPr="004176AD" w:rsidRDefault="000F36AC" w:rsidP="009F4A45">
            <w:pPr>
              <w:spacing w:after="120"/>
              <w:jc w:val="center"/>
              <w:rPr>
                <w:b/>
                <w:bCs/>
              </w:rPr>
            </w:pPr>
            <w:r>
              <w:rPr>
                <w:b/>
                <w:bCs/>
              </w:rPr>
              <w:t>GE (ADN)</w:t>
            </w:r>
          </w:p>
        </w:tc>
      </w:tr>
      <w:tr w:rsidR="000F36AC" w:rsidRPr="00076C28" w14:paraId="751AB4BB" w14:textId="77777777" w:rsidTr="009F4A45">
        <w:tc>
          <w:tcPr>
            <w:tcW w:w="1704" w:type="dxa"/>
          </w:tcPr>
          <w:p w14:paraId="3FB55DB2" w14:textId="77777777" w:rsidR="000F36AC" w:rsidRPr="004176AD" w:rsidRDefault="000F36AC" w:rsidP="009F4A45">
            <w:pPr>
              <w:spacing w:after="120"/>
              <w:rPr>
                <w:b/>
                <w:bCs/>
              </w:rPr>
            </w:pPr>
            <w:r w:rsidRPr="004176AD">
              <w:rPr>
                <w:b/>
                <w:bCs/>
              </w:rPr>
              <w:t>8.1.2.2 (h)</w:t>
            </w:r>
          </w:p>
        </w:tc>
        <w:tc>
          <w:tcPr>
            <w:tcW w:w="3901" w:type="dxa"/>
          </w:tcPr>
          <w:p w14:paraId="2BD84504" w14:textId="77777777" w:rsidR="000F36AC" w:rsidRPr="009D35B2" w:rsidRDefault="000F36AC" w:rsidP="009F4A45">
            <w:pPr>
              <w:spacing w:after="120"/>
            </w:pPr>
            <w:r w:rsidRPr="009D35B2">
              <w:t>-</w:t>
            </w:r>
            <w:r>
              <w:t xml:space="preserve"> </w:t>
            </w:r>
            <w:r w:rsidRPr="009D35B2">
              <w:t>Installation/equipment, location, marking (explosion protection level according to IEC 60079-0, equipment category according to Directive 2014/34/EU</w:t>
            </w:r>
            <w:r>
              <w:rPr>
                <w:bCs/>
                <w:vertAlign w:val="superscript"/>
              </w:rPr>
              <w:t>1</w:t>
            </w:r>
            <w:r w:rsidRPr="009D35B2">
              <w:rPr>
                <w:vertAlign w:val="superscript"/>
              </w:rPr>
              <w:t xml:space="preserve"> </w:t>
            </w:r>
            <w:r w:rsidRPr="009D35B2">
              <w:t xml:space="preserve">or equivalent protection level, explosion group, temperature class, type of protection, test </w:t>
            </w:r>
            <w:proofErr w:type="gramStart"/>
            <w:r w:rsidRPr="009D35B2">
              <w:t>body</w:t>
            </w:r>
            <w:r w:rsidRPr="00B52417">
              <w:rPr>
                <w:rFonts w:ascii="Times New Roman Gras" w:eastAsia="Calibri" w:hAnsi="Times New Roman Gras"/>
                <w:b/>
                <w:u w:val="single"/>
                <w:vertAlign w:val="superscript"/>
              </w:rPr>
              <w:t>(</w:t>
            </w:r>
            <w:proofErr w:type="gramEnd"/>
            <w:r w:rsidRPr="00B52417">
              <w:rPr>
                <w:rFonts w:ascii="Times New Roman Gras" w:eastAsia="Calibri" w:hAnsi="Times New Roman Gras"/>
                <w:b/>
                <w:u w:val="single"/>
                <w:vertAlign w:val="superscript"/>
              </w:rPr>
              <w:t>*)</w:t>
            </w:r>
            <w:r w:rsidRPr="009D35B2">
              <w:t>) in case of electrical equipment for use in zone 1 (alternatively, a copy of the certificate of conformity according to Directive</w:t>
            </w:r>
            <w:r>
              <w:t xml:space="preserve"> </w:t>
            </w:r>
            <w:r w:rsidRPr="009D35B2">
              <w:t>2014/34/EU</w:t>
            </w:r>
            <w:r>
              <w:rPr>
                <w:bCs/>
                <w:vertAlign w:val="superscript"/>
              </w:rPr>
              <w:t>1</w:t>
            </w:r>
            <w:r w:rsidRPr="009D35B2">
              <w:t>);</w:t>
            </w:r>
          </w:p>
        </w:tc>
        <w:tc>
          <w:tcPr>
            <w:tcW w:w="3657" w:type="dxa"/>
          </w:tcPr>
          <w:p w14:paraId="22DC6BA5" w14:textId="77777777" w:rsidR="000F36AC" w:rsidRPr="006A582D" w:rsidRDefault="000F36AC" w:rsidP="009F4A45">
            <w:pPr>
              <w:spacing w:after="120"/>
              <w:rPr>
                <w:lang w:val="fr-FR"/>
              </w:rPr>
            </w:pPr>
            <w:r>
              <w:rPr>
                <w:szCs w:val="22"/>
                <w:lang w:val="fr-FR"/>
              </w:rPr>
              <w:t xml:space="preserve">– </w:t>
            </w:r>
            <w:r w:rsidRPr="006A582D">
              <w:rPr>
                <w:rFonts w:eastAsia="Calibri"/>
                <w:lang w:val="fr-FR"/>
              </w:rPr>
              <w:t xml:space="preserve">Installation/équipement, emplacement, marquage (niveau de protection contre les explosions selon la norme CEI 60079-0, catégorie d’équipement selon la directive </w:t>
            </w:r>
            <w:r w:rsidRPr="006A582D">
              <w:rPr>
                <w:rFonts w:eastAsia="Calibri"/>
                <w:bCs/>
                <w:iCs/>
                <w:lang w:val="fr-FR"/>
              </w:rPr>
              <w:t>2014/34/UE</w:t>
            </w:r>
            <w:r w:rsidRPr="00B52417">
              <w:rPr>
                <w:rStyle w:val="FootnoteReference"/>
                <w:rFonts w:asciiTheme="majorBidi" w:eastAsia="Calibri" w:hAnsiTheme="majorBidi" w:cstheme="majorBidi"/>
                <w:sz w:val="20"/>
                <w:lang w:val="fr-FR"/>
              </w:rPr>
              <w:t>1</w:t>
            </w:r>
            <w:r w:rsidRPr="006A582D">
              <w:rPr>
                <w:rFonts w:eastAsia="Calibri"/>
                <w:lang w:val="fr-FR"/>
              </w:rPr>
              <w:t xml:space="preserve"> ou niveau de protection équivalent, groupe d’explosion, classe de température, type de protection, organisme de </w:t>
            </w:r>
            <w:proofErr w:type="gramStart"/>
            <w:r w:rsidRPr="006A582D">
              <w:rPr>
                <w:rFonts w:eastAsia="Calibri"/>
                <w:lang w:val="fr-FR"/>
              </w:rPr>
              <w:t>contrôle</w:t>
            </w:r>
            <w:r w:rsidRPr="00B52417">
              <w:rPr>
                <w:rFonts w:ascii="Times New Roman Gras" w:eastAsia="Calibri" w:hAnsi="Times New Roman Gras"/>
                <w:b/>
                <w:u w:val="single"/>
                <w:vertAlign w:val="superscript"/>
                <w:lang w:val="fr-FR"/>
              </w:rPr>
              <w:t>(</w:t>
            </w:r>
            <w:proofErr w:type="gramEnd"/>
            <w:r w:rsidRPr="00B52417">
              <w:rPr>
                <w:rFonts w:ascii="Times New Roman Gras" w:eastAsia="Calibri" w:hAnsi="Times New Roman Gras"/>
                <w:b/>
                <w:u w:val="single"/>
                <w:vertAlign w:val="superscript"/>
                <w:lang w:val="fr-FR"/>
              </w:rPr>
              <w:t>*)</w:t>
            </w:r>
            <w:r w:rsidRPr="006A582D">
              <w:rPr>
                <w:rFonts w:eastAsia="Calibri"/>
                <w:lang w:val="fr-FR"/>
              </w:rPr>
              <w:t xml:space="preserve">) dans le cas des équipements électriques destinés à être utilisés en zone 1 (ou, en guise d’alternative, copie de la déclaration de conformité selon la directive </w:t>
            </w:r>
            <w:r w:rsidRPr="006A582D">
              <w:rPr>
                <w:rFonts w:eastAsia="Calibri"/>
                <w:bCs/>
                <w:iCs/>
                <w:lang w:val="fr-FR"/>
              </w:rPr>
              <w:t>2014/34/UE</w:t>
            </w:r>
            <w:r w:rsidRPr="006A582D">
              <w:rPr>
                <w:rFonts w:eastAsia="Calibri"/>
                <w:bCs/>
                <w:iCs/>
                <w:vertAlign w:val="superscript"/>
                <w:lang w:val="fr-FR"/>
              </w:rPr>
              <w:t>1</w:t>
            </w:r>
            <w:r w:rsidRPr="006A582D">
              <w:rPr>
                <w:rFonts w:eastAsia="Calibri"/>
                <w:lang w:val="fr-FR"/>
              </w:rPr>
              <w:t>);</w:t>
            </w:r>
          </w:p>
        </w:tc>
        <w:tc>
          <w:tcPr>
            <w:tcW w:w="3599" w:type="dxa"/>
          </w:tcPr>
          <w:p w14:paraId="7D1A4D76" w14:textId="77777777" w:rsidR="000F36AC" w:rsidRPr="009D35B2" w:rsidRDefault="000F36AC" w:rsidP="009F4A45">
            <w:pPr>
              <w:suppressAutoHyphens w:val="0"/>
              <w:autoSpaceDE w:val="0"/>
              <w:autoSpaceDN w:val="0"/>
              <w:adjustRightInd w:val="0"/>
              <w:spacing w:line="240" w:lineRule="auto"/>
              <w:rPr>
                <w:lang w:val="de-DE"/>
              </w:rPr>
            </w:pPr>
            <w:r w:rsidRPr="009D35B2">
              <w:rPr>
                <w:lang w:val="de-DE" w:eastAsia="en-GB"/>
              </w:rPr>
              <w:t>- Anlage/Gerät, Aufstellungsort, Kennzeichnung (Geräteschutzniveau nach IEC 60079-0 oder</w:t>
            </w:r>
            <w:r>
              <w:rPr>
                <w:lang w:val="de-DE" w:eastAsia="en-GB"/>
              </w:rPr>
              <w:t xml:space="preserve"> </w:t>
            </w:r>
            <w:r w:rsidRPr="009D35B2">
              <w:rPr>
                <w:lang w:val="de-DE" w:eastAsia="en-GB"/>
              </w:rPr>
              <w:t>Gerätekategorie nach Richtlinie 2014/34/EU</w:t>
            </w:r>
            <w:r w:rsidRPr="009D35B2">
              <w:rPr>
                <w:vertAlign w:val="superscript"/>
                <w:lang w:val="de-DE" w:eastAsia="en-GB"/>
              </w:rPr>
              <w:t>1</w:t>
            </w:r>
            <w:r w:rsidRPr="009D35B2">
              <w:rPr>
                <w:lang w:val="de-DE" w:eastAsia="en-GB"/>
              </w:rPr>
              <w:t>) oder vergleichbares Schutzniveau, Explosionsgruppe</w:t>
            </w:r>
            <w:r>
              <w:rPr>
                <w:lang w:val="de-DE" w:eastAsia="en-GB"/>
              </w:rPr>
              <w:t xml:space="preserve"> </w:t>
            </w:r>
            <w:r w:rsidRPr="009D35B2">
              <w:rPr>
                <w:lang w:val="de-DE" w:eastAsia="en-GB"/>
              </w:rPr>
              <w:t xml:space="preserve">und Temperaturklasse, Zündschutzart, </w:t>
            </w:r>
            <w:proofErr w:type="gramStart"/>
            <w:r w:rsidRPr="009D35B2">
              <w:rPr>
                <w:lang w:val="de-DE" w:eastAsia="en-GB"/>
              </w:rPr>
              <w:t>Prüfstelle</w:t>
            </w:r>
            <w:r w:rsidRPr="00B52417">
              <w:rPr>
                <w:rFonts w:ascii="Times New Roman Gras" w:eastAsia="Calibri" w:hAnsi="Times New Roman Gras"/>
                <w:b/>
                <w:u w:val="single"/>
                <w:vertAlign w:val="superscript"/>
                <w:lang w:val="de-DE"/>
              </w:rPr>
              <w:t>(</w:t>
            </w:r>
            <w:proofErr w:type="gramEnd"/>
            <w:r w:rsidRPr="00B52417">
              <w:rPr>
                <w:rFonts w:ascii="Times New Roman Gras" w:eastAsia="Calibri" w:hAnsi="Times New Roman Gras"/>
                <w:b/>
                <w:u w:val="single"/>
                <w:vertAlign w:val="superscript"/>
                <w:lang w:val="de-DE"/>
              </w:rPr>
              <w:t>*)</w:t>
            </w:r>
            <w:r w:rsidRPr="009D35B2">
              <w:rPr>
                <w:lang w:val="de-DE" w:eastAsia="en-GB"/>
              </w:rPr>
              <w:t>), bei elektrischen Geräten zum</w:t>
            </w:r>
            <w:r>
              <w:rPr>
                <w:lang w:val="de-DE" w:eastAsia="en-GB"/>
              </w:rPr>
              <w:t xml:space="preserve"> </w:t>
            </w:r>
            <w:r w:rsidRPr="009D35B2">
              <w:rPr>
                <w:lang w:val="de-DE" w:eastAsia="en-GB"/>
              </w:rPr>
              <w:t>Einsatz in Zone 1 (alternativ Kopie z.B. Konformitätserklärung nach Richtlinie 2014/34/EU</w:t>
            </w:r>
            <w:r w:rsidRPr="009D35B2">
              <w:rPr>
                <w:vertAlign w:val="superscript"/>
                <w:lang w:val="de-DE" w:eastAsia="en-GB"/>
              </w:rPr>
              <w:t>1</w:t>
            </w:r>
            <w:r w:rsidRPr="009D35B2">
              <w:rPr>
                <w:lang w:val="de-DE" w:eastAsia="en-GB"/>
              </w:rPr>
              <w:t>))</w:t>
            </w:r>
          </w:p>
        </w:tc>
      </w:tr>
      <w:tr w:rsidR="000F36AC" w:rsidRPr="00076C28" w14:paraId="7781580F" w14:textId="77777777" w:rsidTr="009F4A45">
        <w:tc>
          <w:tcPr>
            <w:tcW w:w="1704" w:type="dxa"/>
          </w:tcPr>
          <w:p w14:paraId="1C94565B" w14:textId="77777777" w:rsidR="000F36AC" w:rsidRPr="004176AD" w:rsidRDefault="000F36AC" w:rsidP="009F4A45">
            <w:pPr>
              <w:spacing w:after="120"/>
              <w:rPr>
                <w:b/>
                <w:bCs/>
              </w:rPr>
            </w:pPr>
            <w:r w:rsidRPr="004176AD">
              <w:rPr>
                <w:b/>
                <w:bCs/>
              </w:rPr>
              <w:t>8.1.2.3 (u)</w:t>
            </w:r>
          </w:p>
        </w:tc>
        <w:tc>
          <w:tcPr>
            <w:tcW w:w="3901" w:type="dxa"/>
          </w:tcPr>
          <w:p w14:paraId="01C1B49C" w14:textId="77777777" w:rsidR="000F36AC" w:rsidRPr="009D35B2" w:rsidRDefault="000F36AC" w:rsidP="009F4A45">
            <w:pPr>
              <w:spacing w:after="120"/>
            </w:pPr>
            <w:r>
              <w:t xml:space="preserve">– </w:t>
            </w:r>
            <w:r w:rsidRPr="009D35B2">
              <w:t>Installations/equipment, location, marking (explosion protection level according to IEC 60079-0, equipment category according to Directive 2014/34/EU</w:t>
            </w:r>
            <w:r>
              <w:rPr>
                <w:b/>
                <w:bCs/>
                <w:vertAlign w:val="superscript"/>
              </w:rPr>
              <w:t>1</w:t>
            </w:r>
            <w:r w:rsidRPr="009D35B2">
              <w:t xml:space="preserve"> or at least equivalent), including explosion group and temperature class, type of protection and test body</w:t>
            </w:r>
            <w:r w:rsidRPr="00B52417">
              <w:rPr>
                <w:rFonts w:ascii="Times New Roman Gras" w:eastAsia="Calibri" w:hAnsi="Times New Roman Gras"/>
                <w:b/>
                <w:u w:val="single"/>
                <w:vertAlign w:val="superscript"/>
              </w:rPr>
              <w:t>(*)</w:t>
            </w:r>
            <w:r w:rsidRPr="009D35B2">
              <w:t>, in the case of electrical equipment for use in zone 0 or zone 1 and, in the case of non-electrical equipment for use in zone 0; (alternatively, a copy of the inspection certificate, for example the declaration of conformity under Directive 2014/34/EU</w:t>
            </w:r>
            <w:r>
              <w:rPr>
                <w:bCs/>
                <w:vertAlign w:val="superscript"/>
              </w:rPr>
              <w:t>1</w:t>
            </w:r>
            <w:r w:rsidRPr="009D35B2">
              <w:t>);</w:t>
            </w:r>
          </w:p>
        </w:tc>
        <w:tc>
          <w:tcPr>
            <w:tcW w:w="3657" w:type="dxa"/>
          </w:tcPr>
          <w:p w14:paraId="7F3A6616" w14:textId="77777777" w:rsidR="000F36AC" w:rsidRPr="006A582D" w:rsidRDefault="000F36AC" w:rsidP="009F4A45">
            <w:pPr>
              <w:spacing w:after="120"/>
              <w:rPr>
                <w:lang w:val="fr-FR"/>
              </w:rPr>
            </w:pPr>
            <w:r>
              <w:rPr>
                <w:lang w:val="fr-FR"/>
              </w:rPr>
              <w:t xml:space="preserve">– </w:t>
            </w:r>
            <w:r w:rsidRPr="006A582D">
              <w:rPr>
                <w:lang w:val="fr-FR"/>
              </w:rPr>
              <w:t>Installation/équipement, emplacement, marquage (niveau de protection contre les explosions selon la no</w:t>
            </w:r>
            <w:r>
              <w:rPr>
                <w:lang w:val="fr-FR"/>
              </w:rPr>
              <w:t>rme CEI 60079-0 ou catégorie d’é</w:t>
            </w:r>
            <w:r w:rsidRPr="006A582D">
              <w:rPr>
                <w:lang w:val="fr-FR"/>
              </w:rPr>
              <w:t>quip</w:t>
            </w:r>
            <w:r>
              <w:rPr>
                <w:lang w:val="fr-FR"/>
              </w:rPr>
              <w:t>e</w:t>
            </w:r>
            <w:r w:rsidRPr="006A582D">
              <w:rPr>
                <w:lang w:val="fr-FR"/>
              </w:rPr>
              <w:t xml:space="preserve">ment selon la directive </w:t>
            </w:r>
            <w:r>
              <w:rPr>
                <w:rFonts w:eastAsia="Calibri"/>
                <w:bCs/>
                <w:iCs/>
                <w:lang w:val="fr-FR"/>
              </w:rPr>
              <w:t>2014/34/UE</w:t>
            </w:r>
            <w:r w:rsidRPr="00B52417">
              <w:rPr>
                <w:rFonts w:eastAsia="Calibri"/>
                <w:bCs/>
                <w:iCs/>
                <w:vertAlign w:val="superscript"/>
                <w:lang w:val="fr-FR"/>
              </w:rPr>
              <w:t>1</w:t>
            </w:r>
            <w:r w:rsidRPr="006A582D">
              <w:rPr>
                <w:lang w:val="fr-FR"/>
              </w:rPr>
              <w:t>ou au moins équivalent), y compris le groupe d’explosion et la classe de température, le type de protection, l’organisme de contrôle</w:t>
            </w:r>
            <w:r w:rsidRPr="00B52417">
              <w:rPr>
                <w:rFonts w:ascii="Times New Roman Gras" w:eastAsia="Calibri" w:hAnsi="Times New Roman Gras"/>
                <w:b/>
                <w:u w:val="single"/>
                <w:vertAlign w:val="superscript"/>
                <w:lang w:val="fr-FR"/>
              </w:rPr>
              <w:t>(*)</w:t>
            </w:r>
            <w:r w:rsidRPr="006A582D">
              <w:rPr>
                <w:lang w:val="fr-FR"/>
              </w:rPr>
              <w:t xml:space="preserve"> dans le cas des équipements électriques destinés à être utilisés en zone 0 et en zone 1 ainsi que dans le cas des équipements non électriques destinés à être utilisés en zone 0; (ou, en guise d’alternative, copie de l’attestation de contrôle, par exemple de la déclaration de conformité selon la directive </w:t>
            </w:r>
            <w:r w:rsidRPr="006A582D">
              <w:rPr>
                <w:rFonts w:eastAsia="Calibri"/>
                <w:iCs/>
                <w:lang w:val="fr-FR"/>
              </w:rPr>
              <w:t>2014/34/UE</w:t>
            </w:r>
            <w:r>
              <w:rPr>
                <w:rFonts w:eastAsia="Calibri"/>
                <w:iCs/>
                <w:vertAlign w:val="superscript"/>
                <w:lang w:val="fr-FR"/>
              </w:rPr>
              <w:t>1</w:t>
            </w:r>
            <w:r w:rsidRPr="006A582D">
              <w:rPr>
                <w:lang w:val="fr-FR"/>
              </w:rPr>
              <w:t>);</w:t>
            </w:r>
          </w:p>
        </w:tc>
        <w:tc>
          <w:tcPr>
            <w:tcW w:w="3599" w:type="dxa"/>
          </w:tcPr>
          <w:p w14:paraId="7E6B5AA5" w14:textId="77777777" w:rsidR="000F36AC" w:rsidRPr="004C3D90" w:rsidRDefault="000F36AC" w:rsidP="009F4A45">
            <w:pPr>
              <w:spacing w:after="120"/>
              <w:rPr>
                <w:lang w:val="de-DE"/>
              </w:rPr>
            </w:pPr>
            <w:r w:rsidRPr="004C3D90">
              <w:rPr>
                <w:lang w:val="de-DE"/>
              </w:rPr>
              <w:t>- Anlage/Gerät, Aufstellungsort, Kennzeichnung (Geräteschutzniveau nach IEC 60079-0 oder</w:t>
            </w:r>
            <w:r>
              <w:rPr>
                <w:lang w:val="de-DE"/>
              </w:rPr>
              <w:t xml:space="preserve"> </w:t>
            </w:r>
            <w:r w:rsidRPr="004C3D90">
              <w:rPr>
                <w:lang w:val="de-DE"/>
              </w:rPr>
              <w:t>Kategorie nach Richtlinie 2014/34/EU</w:t>
            </w:r>
            <w:r w:rsidRPr="004C3D90">
              <w:rPr>
                <w:vertAlign w:val="superscript"/>
                <w:lang w:val="de-DE"/>
              </w:rPr>
              <w:t>1</w:t>
            </w:r>
            <w:r w:rsidRPr="004C3D90">
              <w:rPr>
                <w:lang w:val="de-DE"/>
              </w:rPr>
              <w:t>) oder mindestens gleichwertig) einschließlich Explosionsgruppe</w:t>
            </w:r>
            <w:r>
              <w:rPr>
                <w:lang w:val="de-DE"/>
              </w:rPr>
              <w:t xml:space="preserve"> </w:t>
            </w:r>
            <w:r w:rsidRPr="004C3D90">
              <w:rPr>
                <w:lang w:val="de-DE"/>
              </w:rPr>
              <w:t xml:space="preserve">und Temperaturklasse, Zündschutzart, </w:t>
            </w:r>
            <w:proofErr w:type="gramStart"/>
            <w:r w:rsidRPr="004C3D90">
              <w:rPr>
                <w:lang w:val="de-DE"/>
              </w:rPr>
              <w:t>Prüfstelle</w:t>
            </w:r>
            <w:r w:rsidRPr="00B52417">
              <w:rPr>
                <w:rFonts w:ascii="Times New Roman Gras" w:eastAsia="Calibri" w:hAnsi="Times New Roman Gras"/>
                <w:b/>
                <w:u w:val="single"/>
                <w:vertAlign w:val="superscript"/>
                <w:lang w:val="de-DE"/>
              </w:rPr>
              <w:t>(</w:t>
            </w:r>
            <w:proofErr w:type="gramEnd"/>
            <w:r w:rsidRPr="00B52417">
              <w:rPr>
                <w:rFonts w:ascii="Times New Roman Gras" w:eastAsia="Calibri" w:hAnsi="Times New Roman Gras"/>
                <w:b/>
                <w:u w:val="single"/>
                <w:vertAlign w:val="superscript"/>
                <w:lang w:val="de-DE"/>
              </w:rPr>
              <w:t>*)</w:t>
            </w:r>
            <w:r w:rsidRPr="004C3D90">
              <w:rPr>
                <w:lang w:val="de-DE"/>
              </w:rPr>
              <w:t xml:space="preserve"> bei elektrischen Geräten zum</w:t>
            </w:r>
            <w:r>
              <w:rPr>
                <w:lang w:val="de-DE"/>
              </w:rPr>
              <w:t xml:space="preserve"> </w:t>
            </w:r>
            <w:r w:rsidRPr="004C3D90">
              <w:rPr>
                <w:lang w:val="de-DE"/>
              </w:rPr>
              <w:t>Einsatz in Zone 0 und Zone 1 sowie bei nicht-elektrischen Geräten zum Einsatz in Zone 0;</w:t>
            </w:r>
            <w:r>
              <w:rPr>
                <w:lang w:val="de-DE"/>
              </w:rPr>
              <w:t xml:space="preserve"> </w:t>
            </w:r>
            <w:r w:rsidRPr="004C3D90">
              <w:rPr>
                <w:lang w:val="de-DE"/>
              </w:rPr>
              <w:t>(alternativ Kopie der Prüfbescheinigung z.B. Konformitätserklärung nach Richtlinie</w:t>
            </w:r>
            <w:r>
              <w:rPr>
                <w:lang w:val="de-DE"/>
              </w:rPr>
              <w:t xml:space="preserve"> </w:t>
            </w:r>
            <w:r w:rsidRPr="004C3D90">
              <w:rPr>
                <w:lang w:val="de-DE"/>
              </w:rPr>
              <w:t>2014/34/EU</w:t>
            </w:r>
            <w:r w:rsidRPr="004C3D90">
              <w:rPr>
                <w:vertAlign w:val="superscript"/>
                <w:lang w:val="de-DE"/>
              </w:rPr>
              <w:t>1</w:t>
            </w:r>
            <w:r w:rsidRPr="004C3D90">
              <w:rPr>
                <w:lang w:val="de-DE"/>
              </w:rPr>
              <w:t>))</w:t>
            </w:r>
          </w:p>
        </w:tc>
      </w:tr>
    </w:tbl>
    <w:p w14:paraId="381C3BD9" w14:textId="77777777" w:rsidR="000F36AC" w:rsidRDefault="000F36AC" w:rsidP="000F36AC">
      <w:pPr>
        <w:suppressAutoHyphens w:val="0"/>
        <w:autoSpaceDE w:val="0"/>
        <w:autoSpaceDN w:val="0"/>
        <w:adjustRightInd w:val="0"/>
        <w:spacing w:before="120" w:after="120"/>
        <w:ind w:left="567" w:firstLine="567"/>
        <w:rPr>
          <w:b/>
          <w:u w:val="single"/>
          <w:lang w:eastAsia="en-GB"/>
        </w:rPr>
      </w:pPr>
      <w:r w:rsidRPr="00B52417">
        <w:rPr>
          <w:rFonts w:eastAsia="Calibri"/>
          <w:b/>
          <w:u w:val="single"/>
        </w:rPr>
        <w:t xml:space="preserve">(*) </w:t>
      </w:r>
      <w:r>
        <w:rPr>
          <w:rFonts w:eastAsia="Calibri"/>
          <w:b/>
          <w:u w:val="single"/>
        </w:rPr>
        <w:tab/>
      </w:r>
      <w:r w:rsidRPr="00B52417">
        <w:rPr>
          <w:b/>
          <w:u w:val="single"/>
          <w:lang w:eastAsia="en-GB"/>
        </w:rPr>
        <w:t>No</w:t>
      </w:r>
      <w:r w:rsidRPr="00B52417">
        <w:rPr>
          <w:rFonts w:eastAsia="Calibri"/>
          <w:b/>
          <w:u w:val="single"/>
          <w:lang w:eastAsia="en-GB"/>
        </w:rPr>
        <w:t>ti</w:t>
      </w:r>
      <w:r w:rsidRPr="00B52417">
        <w:rPr>
          <w:b/>
          <w:u w:val="single"/>
          <w:lang w:eastAsia="en-GB"/>
        </w:rPr>
        <w:t>fied body, in the frame of Directive 2014/34/EU, or equivalent</w:t>
      </w:r>
    </w:p>
    <w:p w14:paraId="2E30CC2D" w14:textId="77777777" w:rsidR="000F36AC" w:rsidRPr="00B52417" w:rsidRDefault="000F36AC" w:rsidP="000F36AC">
      <w:pPr>
        <w:suppressAutoHyphens w:val="0"/>
        <w:autoSpaceDE w:val="0"/>
        <w:autoSpaceDN w:val="0"/>
        <w:adjustRightInd w:val="0"/>
        <w:spacing w:before="120" w:after="120"/>
        <w:ind w:left="567" w:firstLine="567"/>
        <w:rPr>
          <w:b/>
          <w:u w:val="single"/>
          <w:lang w:val="fr-FR"/>
        </w:rPr>
      </w:pPr>
      <w:r w:rsidRPr="00B52417">
        <w:rPr>
          <w:rFonts w:eastAsia="Calibri"/>
          <w:b/>
          <w:u w:val="single"/>
          <w:lang w:val="fr-FR"/>
        </w:rPr>
        <w:t xml:space="preserve">(*) </w:t>
      </w:r>
      <w:r w:rsidRPr="00B52417">
        <w:rPr>
          <w:rFonts w:eastAsia="Calibri"/>
          <w:b/>
          <w:u w:val="single"/>
          <w:lang w:val="fr-FR"/>
        </w:rPr>
        <w:tab/>
        <w:t xml:space="preserve">Organisme notifié, dans le cadre de la </w:t>
      </w:r>
      <w:r>
        <w:rPr>
          <w:rFonts w:eastAsia="Calibri"/>
          <w:b/>
          <w:u w:val="single"/>
          <w:lang w:val="fr-FR"/>
        </w:rPr>
        <w:t>Directive 2014/34/EU, ou équivalent</w:t>
      </w:r>
    </w:p>
    <w:p w14:paraId="211593BF" w14:textId="77777777" w:rsidR="000F36AC" w:rsidRPr="00B52417" w:rsidRDefault="000F36AC" w:rsidP="000F36AC">
      <w:pPr>
        <w:pStyle w:val="SingleTxtG"/>
        <w:spacing w:before="120"/>
        <w:rPr>
          <w:b/>
          <w:i/>
          <w:color w:val="FF0000"/>
          <w:u w:val="single"/>
        </w:rPr>
      </w:pPr>
      <w:r w:rsidRPr="00B52417">
        <w:rPr>
          <w:rFonts w:eastAsia="Calibri"/>
          <w:b/>
          <w:i/>
          <w:color w:val="FF0000"/>
          <w:highlight w:val="yellow"/>
          <w:u w:val="single"/>
        </w:rPr>
        <w:t xml:space="preserve">(*) </w:t>
      </w:r>
      <w:r w:rsidRPr="00B52417">
        <w:rPr>
          <w:rFonts w:eastAsia="Calibri"/>
          <w:b/>
          <w:i/>
          <w:color w:val="FF0000"/>
          <w:highlight w:val="yellow"/>
          <w:u w:val="single"/>
        </w:rPr>
        <w:tab/>
        <w:t>German wording to be established by Germany</w:t>
      </w:r>
    </w:p>
    <w:p w14:paraId="681B5039" w14:textId="55ABFE26" w:rsidR="00F51FBC" w:rsidRDefault="00F51FBC">
      <w:pPr>
        <w:suppressAutoHyphens w:val="0"/>
        <w:spacing w:line="240" w:lineRule="auto"/>
        <w:rPr>
          <w:b/>
        </w:rPr>
      </w:pPr>
    </w:p>
    <w:p w14:paraId="2517213C" w14:textId="77777777" w:rsidR="002C6022" w:rsidRDefault="002C6022" w:rsidP="00F51FBC">
      <w:pPr>
        <w:sectPr w:rsidR="002C6022" w:rsidSect="00F51FBC">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6CE93231" w14:textId="77777777" w:rsidR="00017D1D" w:rsidRDefault="00017D1D" w:rsidP="00017D1D">
      <w:pPr>
        <w:pStyle w:val="HChG"/>
      </w:pPr>
      <w:r>
        <w:lastRenderedPageBreak/>
        <w:tab/>
      </w:r>
      <w:r>
        <w:tab/>
        <w:t>Proposals</w:t>
      </w:r>
    </w:p>
    <w:p w14:paraId="4937715E" w14:textId="77777777" w:rsidR="00017D1D" w:rsidRPr="00B52417" w:rsidRDefault="00017D1D" w:rsidP="00017D1D">
      <w:pPr>
        <w:pStyle w:val="SingleTxtG"/>
      </w:pPr>
      <w:r>
        <w:t>9.</w:t>
      </w:r>
      <w:r>
        <w:tab/>
        <w:t xml:space="preserve">The Committee is invited to consider the proposals included in paragraphs 4, 7 and 8 above and </w:t>
      </w:r>
      <w:proofErr w:type="gramStart"/>
      <w:r>
        <w:t>take action</w:t>
      </w:r>
      <w:proofErr w:type="gramEnd"/>
      <w:r>
        <w:t xml:space="preserve"> as appropriate. </w:t>
      </w:r>
      <w:proofErr w:type="gramStart"/>
      <w:r>
        <w:t>In particular either</w:t>
      </w:r>
      <w:proofErr w:type="gramEnd"/>
      <w:r>
        <w:t xml:space="preserve"> allowing the co-sponsors to continue the discussions, or, if satisfactory, allowing them to transform the current informal document in a working document for the next session.</w:t>
      </w:r>
    </w:p>
    <w:p w14:paraId="15664D41" w14:textId="0998F1B8" w:rsidR="00F206C2" w:rsidRPr="00017D1D" w:rsidRDefault="00017D1D" w:rsidP="00017D1D">
      <w:pPr>
        <w:spacing w:before="240"/>
        <w:jc w:val="center"/>
        <w:rPr>
          <w:u w:val="single"/>
        </w:rPr>
      </w:pPr>
      <w:r>
        <w:rPr>
          <w:u w:val="single"/>
        </w:rPr>
        <w:tab/>
      </w:r>
      <w:r>
        <w:rPr>
          <w:u w:val="single"/>
        </w:rPr>
        <w:tab/>
      </w:r>
      <w:r>
        <w:rPr>
          <w:u w:val="single"/>
        </w:rPr>
        <w:tab/>
      </w:r>
    </w:p>
    <w:sectPr w:rsidR="00F206C2" w:rsidRPr="00017D1D" w:rsidSect="00464A30">
      <w:headerReference w:type="default" r:id="rId21"/>
      <w:endnotePr>
        <w:numFmt w:val="decimal"/>
      </w:endnotePr>
      <w:type w:val="oddPage"/>
      <w:pgSz w:w="11907" w:h="16840" w:code="9"/>
      <w:pgMar w:top="1418"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49A9" w14:textId="77777777" w:rsidR="000119E8" w:rsidRDefault="000119E8"/>
  </w:endnote>
  <w:endnote w:type="continuationSeparator" w:id="0">
    <w:p w14:paraId="494BCF66" w14:textId="77777777" w:rsidR="000119E8" w:rsidRDefault="000119E8"/>
  </w:endnote>
  <w:endnote w:type="continuationNotice" w:id="1">
    <w:p w14:paraId="158CF239" w14:textId="77777777" w:rsidR="000119E8" w:rsidRDefault="00011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D2BA" w14:textId="77777777" w:rsidR="007E3BFF" w:rsidRDefault="007E3B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1029" w14:textId="3C8BEF49" w:rsidR="00F51FBC" w:rsidRPr="00F51FBC" w:rsidRDefault="00F51FBC" w:rsidP="00F51FBC">
    <w:pPr>
      <w:pStyle w:val="Footer"/>
    </w:pPr>
    <w:r>
      <w:rPr>
        <w:noProof/>
      </w:rPr>
      <mc:AlternateContent>
        <mc:Choice Requires="wps">
          <w:drawing>
            <wp:anchor distT="0" distB="0" distL="114300" distR="114300" simplePos="0" relativeHeight="251661312" behindDoc="0" locked="0" layoutInCell="1" allowOverlap="1" wp14:anchorId="5F678861" wp14:editId="4BD10561">
              <wp:simplePos x="0" y="0"/>
              <wp:positionH relativeFrom="margin">
                <wp:posOffset>-431800</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E01739" w14:textId="77777777" w:rsidR="00F51FBC" w:rsidRPr="00D03F3E" w:rsidRDefault="00F51FBC" w:rsidP="00F51FBC">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Pr>
                              <w:b/>
                              <w:sz w:val="18"/>
                            </w:rPr>
                            <w:t>2</w:t>
                          </w:r>
                          <w:r w:rsidRPr="00D03F3E">
                            <w:rPr>
                              <w:b/>
                              <w:sz w:val="18"/>
                            </w:rPr>
                            <w:fldChar w:fldCharType="end"/>
                          </w:r>
                          <w:r>
                            <w:rPr>
                              <w:sz w:val="18"/>
                            </w:rPr>
                            <w:tab/>
                          </w:r>
                        </w:p>
                        <w:p w14:paraId="0D7F75A0" w14:textId="77777777" w:rsidR="00F51FBC" w:rsidRDefault="00F51F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678861" id="_x0000_t202" coordsize="21600,21600" o:spt="202" path="m,l,21600r21600,l21600,xe">
              <v:stroke joinstyle="miter"/>
              <v:path gradientshapeok="t" o:connecttype="rect"/>
            </v:shapetype>
            <v:shape id="Text Box 2"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7E01739" w14:textId="77777777" w:rsidR="00F51FBC" w:rsidRPr="00D03F3E" w:rsidRDefault="00F51FBC" w:rsidP="00F51FBC">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Pr>
                        <w:b/>
                        <w:sz w:val="18"/>
                      </w:rPr>
                      <w:t>2</w:t>
                    </w:r>
                    <w:r w:rsidRPr="00D03F3E">
                      <w:rPr>
                        <w:b/>
                        <w:sz w:val="18"/>
                      </w:rPr>
                      <w:fldChar w:fldCharType="end"/>
                    </w:r>
                    <w:r>
                      <w:rPr>
                        <w:sz w:val="18"/>
                      </w:rPr>
                      <w:tab/>
                    </w:r>
                  </w:p>
                  <w:p w14:paraId="0D7F75A0" w14:textId="77777777" w:rsidR="00F51FBC" w:rsidRDefault="00F51FB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0147"/>
      <w:docPartObj>
        <w:docPartGallery w:val="Page Numbers (Bottom of Page)"/>
        <w:docPartUnique/>
      </w:docPartObj>
    </w:sdtPr>
    <w:sdtEndPr>
      <w:rPr>
        <w:noProof/>
      </w:rPr>
    </w:sdtEndPr>
    <w:sdtContent>
      <w:p w14:paraId="46D94C26" w14:textId="70B8D394" w:rsidR="00BB1624" w:rsidRDefault="00BB1624" w:rsidP="0003617F">
        <w:pPr>
          <w:pStyle w:val="Footer"/>
          <w:jc w:val="right"/>
        </w:pPr>
        <w:r w:rsidRPr="0003617F">
          <w:rPr>
            <w:b/>
            <w:bCs/>
          </w:rPr>
          <w:fldChar w:fldCharType="begin"/>
        </w:r>
        <w:r w:rsidRPr="0003617F">
          <w:rPr>
            <w:b/>
            <w:bCs/>
          </w:rPr>
          <w:instrText xml:space="preserve"> PAGE   \* MERGEFORMAT </w:instrText>
        </w:r>
        <w:r w:rsidRPr="0003617F">
          <w:rPr>
            <w:b/>
            <w:bCs/>
          </w:rPr>
          <w:fldChar w:fldCharType="separate"/>
        </w:r>
        <w:r w:rsidRPr="0003617F">
          <w:rPr>
            <w:b/>
            <w:bCs/>
            <w:noProof/>
          </w:rPr>
          <w:t>2</w:t>
        </w:r>
        <w:r w:rsidRPr="0003617F">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E87D" w14:textId="77777777" w:rsidR="000119E8" w:rsidRPr="000B175B" w:rsidRDefault="000119E8" w:rsidP="000B175B">
      <w:pPr>
        <w:tabs>
          <w:tab w:val="right" w:pos="2155"/>
        </w:tabs>
        <w:spacing w:after="80"/>
        <w:ind w:left="680"/>
        <w:rPr>
          <w:u w:val="single"/>
        </w:rPr>
      </w:pPr>
      <w:r>
        <w:rPr>
          <w:u w:val="single"/>
        </w:rPr>
        <w:tab/>
      </w:r>
    </w:p>
  </w:footnote>
  <w:footnote w:type="continuationSeparator" w:id="0">
    <w:p w14:paraId="79D93AA8" w14:textId="77777777" w:rsidR="000119E8" w:rsidRPr="00FC68B7" w:rsidRDefault="000119E8" w:rsidP="00FC68B7">
      <w:pPr>
        <w:tabs>
          <w:tab w:val="left" w:pos="2155"/>
        </w:tabs>
        <w:spacing w:after="80"/>
        <w:ind w:left="680"/>
        <w:rPr>
          <w:u w:val="single"/>
        </w:rPr>
      </w:pPr>
      <w:r>
        <w:rPr>
          <w:u w:val="single"/>
        </w:rPr>
        <w:tab/>
      </w:r>
    </w:p>
  </w:footnote>
  <w:footnote w:type="continuationNotice" w:id="1">
    <w:p w14:paraId="7302DE20" w14:textId="77777777" w:rsidR="000119E8" w:rsidRDefault="00011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0849B838" w:rsidR="00045FBD" w:rsidRPr="00D03F3E" w:rsidRDefault="007C36C6">
    <w:pPr>
      <w:pStyle w:val="Header"/>
    </w:pPr>
    <w:r>
      <w:t>INF</w:t>
    </w:r>
    <w:r w:rsidR="00E323E7">
      <w:t>.</w:t>
    </w:r>
    <w:r w:rsidR="00045FBD">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7C47EF96" w:rsidR="00045FBD" w:rsidRPr="00D03F3E" w:rsidRDefault="00E323E7" w:rsidP="00D03F3E">
    <w:pPr>
      <w:pStyle w:val="Header"/>
      <w:jc w:val="right"/>
    </w:pPr>
    <w:r>
      <w:t>INF</w:t>
    </w:r>
    <w:r w:rsidR="00045FB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BADB" w14:textId="77777777" w:rsidR="007E3BFF" w:rsidRDefault="007E3B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CE6F" w14:textId="53B0C580" w:rsidR="00F51FBC" w:rsidRPr="00F51FBC" w:rsidRDefault="00F51FBC" w:rsidP="00F51FBC">
    <w:r>
      <w:rPr>
        <w:noProof/>
      </w:rPr>
      <mc:AlternateContent>
        <mc:Choice Requires="wps">
          <w:drawing>
            <wp:anchor distT="0" distB="0" distL="114300" distR="114300" simplePos="0" relativeHeight="251656192" behindDoc="0" locked="0" layoutInCell="1" allowOverlap="1" wp14:anchorId="3F95B1D7" wp14:editId="16D83ECE">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B6A2408" w14:textId="5DF94A33" w:rsidR="00F51FBC" w:rsidRPr="00D03F3E" w:rsidRDefault="00F51FBC" w:rsidP="00F51FBC">
                          <w:pPr>
                            <w:pStyle w:val="Header"/>
                          </w:pPr>
                          <w:r>
                            <w:t>INF.5</w:t>
                          </w:r>
                        </w:p>
                        <w:p w14:paraId="2FFB9963" w14:textId="77777777" w:rsidR="00F51FBC" w:rsidRDefault="00F51F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F95B1D7" id="_x0000_t202" coordsize="21600,21600" o:spt="202" path="m,l,21600r21600,l21600,xe">
              <v:stroke joinstyle="miter"/>
              <v:path gradientshapeok="t" o:connecttype="rect"/>
            </v:shapetype>
            <v:shape id="Text Box 1"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1B6A2408" w14:textId="5DF94A33" w:rsidR="00F51FBC" w:rsidRPr="00D03F3E" w:rsidRDefault="00F51FBC" w:rsidP="00F51FBC">
                    <w:pPr>
                      <w:pStyle w:val="Header"/>
                    </w:pPr>
                    <w:r>
                      <w:t>INF.5</w:t>
                    </w:r>
                  </w:p>
                  <w:p w14:paraId="2FFB9963" w14:textId="77777777" w:rsidR="00F51FBC" w:rsidRDefault="00F51FB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4497" w14:textId="77777777" w:rsidR="00FC2028" w:rsidRDefault="00FC2028" w:rsidP="007E3BFF">
    <w:pPr>
      <w:jc w:val="right"/>
      <w:rPr>
        <w:b/>
        <w:bCs/>
      </w:rPr>
    </w:pPr>
  </w:p>
  <w:p w14:paraId="2771B91C" w14:textId="22A6C713" w:rsidR="00F51FBC" w:rsidRPr="00D75F9D" w:rsidRDefault="00F51FBC" w:rsidP="007E3BFF">
    <w:pPr>
      <w:jc w:val="right"/>
      <w:rPr>
        <w:b/>
        <w:bCs/>
      </w:rPr>
    </w:pPr>
    <w:r w:rsidRPr="00D75F9D">
      <w:rPr>
        <w:b/>
        <w:bCs/>
        <w:noProof/>
      </w:rPr>
      <mc:AlternateContent>
        <mc:Choice Requires="wps">
          <w:drawing>
            <wp:anchor distT="0" distB="0" distL="114300" distR="114300" simplePos="0" relativeHeight="251657216" behindDoc="0" locked="0" layoutInCell="1" allowOverlap="1" wp14:anchorId="01E8A0DF" wp14:editId="570A90F4">
              <wp:simplePos x="0" y="0"/>
              <wp:positionH relativeFrom="page">
                <wp:posOffset>9935845</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2F9474A" w14:textId="4C48E827" w:rsidR="00F51FBC" w:rsidRPr="00D03F3E" w:rsidRDefault="00F51FBC" w:rsidP="00F51FBC">
                          <w:pPr>
                            <w:pStyle w:val="Header"/>
                            <w:jc w:val="right"/>
                          </w:pPr>
                          <w:r>
                            <w:t>INF.</w:t>
                          </w:r>
                          <w:r w:rsidR="000F36AC">
                            <w:t>5</w:t>
                          </w:r>
                        </w:p>
                        <w:p w14:paraId="2FE14402" w14:textId="77777777" w:rsidR="00F51FBC" w:rsidRDefault="00F51FB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1E8A0DF" id="_x0000_t202" coordsize="21600,21600" o:spt="202" path="m,l,21600r21600,l21600,xe">
              <v:stroke joinstyle="miter"/>
              <v:path gradientshapeok="t" o:connecttype="rect"/>
            </v:shapetype>
            <v:shape id="Text Box 3" o:spid="_x0000_s1027" type="#_x0000_t202" style="position:absolute;left:0;text-align:left;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52F9474A" w14:textId="4C48E827" w:rsidR="00F51FBC" w:rsidRPr="00D03F3E" w:rsidRDefault="00F51FBC" w:rsidP="00F51FBC">
                    <w:pPr>
                      <w:pStyle w:val="Header"/>
                      <w:jc w:val="right"/>
                    </w:pPr>
                    <w:r>
                      <w:t>INF.</w:t>
                    </w:r>
                    <w:r w:rsidR="000F36AC">
                      <w:t>5</w:t>
                    </w:r>
                  </w:p>
                  <w:p w14:paraId="2FE14402" w14:textId="77777777" w:rsidR="00F51FBC" w:rsidRDefault="00F51FBC"/>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9B9" w14:textId="77777777" w:rsidR="006C1D68" w:rsidRDefault="006C1D68" w:rsidP="00FA19F3">
    <w:pPr>
      <w:pBdr>
        <w:bottom w:val="single" w:sz="4" w:space="1" w:color="auto"/>
      </w:pBdr>
      <w:jc w:val="right"/>
      <w:rPr>
        <w:b/>
        <w:bCs/>
      </w:rPr>
    </w:pPr>
  </w:p>
  <w:p w14:paraId="6E6760A0" w14:textId="6953C005" w:rsidR="006C1D68" w:rsidRPr="00D75F9D" w:rsidRDefault="006C1D68" w:rsidP="00FA19F3">
    <w:pPr>
      <w:pBdr>
        <w:bottom w:val="single" w:sz="4" w:space="1" w:color="auto"/>
      </w:pBdr>
      <w:jc w:val="right"/>
      <w:rPr>
        <w:b/>
        <w:bCs/>
      </w:rPr>
    </w:pPr>
    <w:r w:rsidRPr="00D75F9D">
      <w:rPr>
        <w:b/>
        <w:bCs/>
      </w:rPr>
      <w:t>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9"/>
  </w:num>
  <w:num w:numId="16">
    <w:abstractNumId w:val="20"/>
  </w:num>
  <w:num w:numId="17">
    <w:abstractNumId w:val="15"/>
  </w:num>
  <w:num w:numId="18">
    <w:abstractNumId w:val="12"/>
  </w:num>
  <w:num w:numId="19">
    <w:abstractNumId w:val="1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19E8"/>
    <w:rsid w:val="00013244"/>
    <w:rsid w:val="00017D1D"/>
    <w:rsid w:val="00022E06"/>
    <w:rsid w:val="0002711F"/>
    <w:rsid w:val="000271D7"/>
    <w:rsid w:val="000310C3"/>
    <w:rsid w:val="00035EC3"/>
    <w:rsid w:val="0003617F"/>
    <w:rsid w:val="00036264"/>
    <w:rsid w:val="00040805"/>
    <w:rsid w:val="00041EF3"/>
    <w:rsid w:val="00045FBD"/>
    <w:rsid w:val="00046B1F"/>
    <w:rsid w:val="00050F6B"/>
    <w:rsid w:val="000520AC"/>
    <w:rsid w:val="00057307"/>
    <w:rsid w:val="00057E97"/>
    <w:rsid w:val="0006129A"/>
    <w:rsid w:val="00061F25"/>
    <w:rsid w:val="00067568"/>
    <w:rsid w:val="00067F5E"/>
    <w:rsid w:val="00072C8C"/>
    <w:rsid w:val="000733B5"/>
    <w:rsid w:val="00076C28"/>
    <w:rsid w:val="000815FA"/>
    <w:rsid w:val="00081815"/>
    <w:rsid w:val="000900E1"/>
    <w:rsid w:val="00092CAC"/>
    <w:rsid w:val="000931C0"/>
    <w:rsid w:val="000962D0"/>
    <w:rsid w:val="000A1BC9"/>
    <w:rsid w:val="000B0595"/>
    <w:rsid w:val="000B175B"/>
    <w:rsid w:val="000B17E5"/>
    <w:rsid w:val="000B3A0F"/>
    <w:rsid w:val="000B4EF7"/>
    <w:rsid w:val="000B4F65"/>
    <w:rsid w:val="000B6A35"/>
    <w:rsid w:val="000C00AB"/>
    <w:rsid w:val="000C0C5D"/>
    <w:rsid w:val="000C2C03"/>
    <w:rsid w:val="000C2D2E"/>
    <w:rsid w:val="000E0415"/>
    <w:rsid w:val="000E3383"/>
    <w:rsid w:val="000E69EB"/>
    <w:rsid w:val="000E735E"/>
    <w:rsid w:val="000F36AC"/>
    <w:rsid w:val="000F402E"/>
    <w:rsid w:val="00100C72"/>
    <w:rsid w:val="00100FD9"/>
    <w:rsid w:val="00101374"/>
    <w:rsid w:val="00102704"/>
    <w:rsid w:val="00105FA9"/>
    <w:rsid w:val="0010708C"/>
    <w:rsid w:val="001103AA"/>
    <w:rsid w:val="00112AB6"/>
    <w:rsid w:val="0011583A"/>
    <w:rsid w:val="00116117"/>
    <w:rsid w:val="0011666B"/>
    <w:rsid w:val="00116DD2"/>
    <w:rsid w:val="0012658A"/>
    <w:rsid w:val="00130B85"/>
    <w:rsid w:val="00131195"/>
    <w:rsid w:val="001323D9"/>
    <w:rsid w:val="00133318"/>
    <w:rsid w:val="00135D40"/>
    <w:rsid w:val="001405B1"/>
    <w:rsid w:val="00144E40"/>
    <w:rsid w:val="001468B2"/>
    <w:rsid w:val="00147248"/>
    <w:rsid w:val="00154561"/>
    <w:rsid w:val="001607C6"/>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7A9"/>
    <w:rsid w:val="001940AF"/>
    <w:rsid w:val="00195BDC"/>
    <w:rsid w:val="001962E3"/>
    <w:rsid w:val="001A1450"/>
    <w:rsid w:val="001A435D"/>
    <w:rsid w:val="001A6FC7"/>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B35"/>
    <w:rsid w:val="00256B43"/>
    <w:rsid w:val="002600A5"/>
    <w:rsid w:val="0026285E"/>
    <w:rsid w:val="00262BF9"/>
    <w:rsid w:val="0026302A"/>
    <w:rsid w:val="00267F5F"/>
    <w:rsid w:val="00272781"/>
    <w:rsid w:val="002731A1"/>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C174C"/>
    <w:rsid w:val="002C2778"/>
    <w:rsid w:val="002C4C32"/>
    <w:rsid w:val="002C5E26"/>
    <w:rsid w:val="002C6022"/>
    <w:rsid w:val="002C7DC6"/>
    <w:rsid w:val="002D4643"/>
    <w:rsid w:val="002D547D"/>
    <w:rsid w:val="002D6545"/>
    <w:rsid w:val="002E05CE"/>
    <w:rsid w:val="002E3A18"/>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0E44"/>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D30BA"/>
    <w:rsid w:val="003D4B23"/>
    <w:rsid w:val="003E1645"/>
    <w:rsid w:val="003E33BF"/>
    <w:rsid w:val="003E6C3C"/>
    <w:rsid w:val="003F07CA"/>
    <w:rsid w:val="003F50EC"/>
    <w:rsid w:val="004007E0"/>
    <w:rsid w:val="0040640F"/>
    <w:rsid w:val="00410C89"/>
    <w:rsid w:val="00416282"/>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4A30"/>
    <w:rsid w:val="004663A4"/>
    <w:rsid w:val="0047604D"/>
    <w:rsid w:val="0047699E"/>
    <w:rsid w:val="00477F33"/>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5332"/>
    <w:rsid w:val="004F6AFB"/>
    <w:rsid w:val="00504B2D"/>
    <w:rsid w:val="005077EC"/>
    <w:rsid w:val="00507C72"/>
    <w:rsid w:val="0051088A"/>
    <w:rsid w:val="005109BE"/>
    <w:rsid w:val="00510DA4"/>
    <w:rsid w:val="00511D2F"/>
    <w:rsid w:val="00512E26"/>
    <w:rsid w:val="0051386E"/>
    <w:rsid w:val="0051532C"/>
    <w:rsid w:val="0052136D"/>
    <w:rsid w:val="00524EA1"/>
    <w:rsid w:val="0052775E"/>
    <w:rsid w:val="005301B6"/>
    <w:rsid w:val="00535739"/>
    <w:rsid w:val="00537F71"/>
    <w:rsid w:val="00541726"/>
    <w:rsid w:val="005420F2"/>
    <w:rsid w:val="00550B06"/>
    <w:rsid w:val="00550EC4"/>
    <w:rsid w:val="0055254C"/>
    <w:rsid w:val="00554B9A"/>
    <w:rsid w:val="005628B6"/>
    <w:rsid w:val="0056600D"/>
    <w:rsid w:val="005668E6"/>
    <w:rsid w:val="00567EC7"/>
    <w:rsid w:val="00571086"/>
    <w:rsid w:val="0057287F"/>
    <w:rsid w:val="00572B32"/>
    <w:rsid w:val="00582AE7"/>
    <w:rsid w:val="00583619"/>
    <w:rsid w:val="0058371B"/>
    <w:rsid w:val="00590D54"/>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D1732"/>
    <w:rsid w:val="005D356C"/>
    <w:rsid w:val="005D357C"/>
    <w:rsid w:val="005D3A50"/>
    <w:rsid w:val="005D6EB9"/>
    <w:rsid w:val="005D7478"/>
    <w:rsid w:val="005D7857"/>
    <w:rsid w:val="005E25A1"/>
    <w:rsid w:val="005F216E"/>
    <w:rsid w:val="005F5371"/>
    <w:rsid w:val="005F5DA7"/>
    <w:rsid w:val="005F7B75"/>
    <w:rsid w:val="006001EE"/>
    <w:rsid w:val="00605042"/>
    <w:rsid w:val="0060632C"/>
    <w:rsid w:val="00607E9D"/>
    <w:rsid w:val="00610FBC"/>
    <w:rsid w:val="00611044"/>
    <w:rsid w:val="00611FC4"/>
    <w:rsid w:val="0061359B"/>
    <w:rsid w:val="006135CE"/>
    <w:rsid w:val="006176FB"/>
    <w:rsid w:val="00620692"/>
    <w:rsid w:val="0062388D"/>
    <w:rsid w:val="00632401"/>
    <w:rsid w:val="0063306C"/>
    <w:rsid w:val="00633142"/>
    <w:rsid w:val="006349C5"/>
    <w:rsid w:val="0063743A"/>
    <w:rsid w:val="00640B26"/>
    <w:rsid w:val="00642652"/>
    <w:rsid w:val="00643351"/>
    <w:rsid w:val="00652D0A"/>
    <w:rsid w:val="00660B28"/>
    <w:rsid w:val="006612E1"/>
    <w:rsid w:val="0066181B"/>
    <w:rsid w:val="00662BB6"/>
    <w:rsid w:val="006636D3"/>
    <w:rsid w:val="00663742"/>
    <w:rsid w:val="00663AD0"/>
    <w:rsid w:val="0066488C"/>
    <w:rsid w:val="00666F0A"/>
    <w:rsid w:val="006718D0"/>
    <w:rsid w:val="00676606"/>
    <w:rsid w:val="00682AAB"/>
    <w:rsid w:val="00683498"/>
    <w:rsid w:val="00683D34"/>
    <w:rsid w:val="00684C21"/>
    <w:rsid w:val="00687913"/>
    <w:rsid w:val="00692692"/>
    <w:rsid w:val="00697C41"/>
    <w:rsid w:val="006A2530"/>
    <w:rsid w:val="006A69ED"/>
    <w:rsid w:val="006A742A"/>
    <w:rsid w:val="006B0719"/>
    <w:rsid w:val="006B3FFD"/>
    <w:rsid w:val="006B42EA"/>
    <w:rsid w:val="006B48B3"/>
    <w:rsid w:val="006B6921"/>
    <w:rsid w:val="006B74BB"/>
    <w:rsid w:val="006C1D68"/>
    <w:rsid w:val="006C32B2"/>
    <w:rsid w:val="006C3589"/>
    <w:rsid w:val="006C78A2"/>
    <w:rsid w:val="006C7B8E"/>
    <w:rsid w:val="006D0E06"/>
    <w:rsid w:val="006D345C"/>
    <w:rsid w:val="006D37AF"/>
    <w:rsid w:val="006D51D0"/>
    <w:rsid w:val="006D5FB9"/>
    <w:rsid w:val="006D6303"/>
    <w:rsid w:val="006E0FEF"/>
    <w:rsid w:val="006E2068"/>
    <w:rsid w:val="006E564B"/>
    <w:rsid w:val="006E7191"/>
    <w:rsid w:val="006F4D5A"/>
    <w:rsid w:val="00702407"/>
    <w:rsid w:val="007034F9"/>
    <w:rsid w:val="00703577"/>
    <w:rsid w:val="00705894"/>
    <w:rsid w:val="00705B62"/>
    <w:rsid w:val="00706E9A"/>
    <w:rsid w:val="00710679"/>
    <w:rsid w:val="00712AA7"/>
    <w:rsid w:val="007168D4"/>
    <w:rsid w:val="00721027"/>
    <w:rsid w:val="007217C4"/>
    <w:rsid w:val="00724080"/>
    <w:rsid w:val="00725775"/>
    <w:rsid w:val="007258F6"/>
    <w:rsid w:val="00725CEA"/>
    <w:rsid w:val="0072632A"/>
    <w:rsid w:val="00727DE0"/>
    <w:rsid w:val="00732343"/>
    <w:rsid w:val="007327D5"/>
    <w:rsid w:val="007352A8"/>
    <w:rsid w:val="00736F82"/>
    <w:rsid w:val="0073719A"/>
    <w:rsid w:val="00742A4B"/>
    <w:rsid w:val="0074742B"/>
    <w:rsid w:val="0074787D"/>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4101"/>
    <w:rsid w:val="007A7144"/>
    <w:rsid w:val="007B514D"/>
    <w:rsid w:val="007B6BA5"/>
    <w:rsid w:val="007C3390"/>
    <w:rsid w:val="007C36C6"/>
    <w:rsid w:val="007C4F4B"/>
    <w:rsid w:val="007C5431"/>
    <w:rsid w:val="007C6052"/>
    <w:rsid w:val="007C73F8"/>
    <w:rsid w:val="007D22F7"/>
    <w:rsid w:val="007D3257"/>
    <w:rsid w:val="007E01E9"/>
    <w:rsid w:val="007E39FA"/>
    <w:rsid w:val="007E3BFF"/>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7812"/>
    <w:rsid w:val="0088008B"/>
    <w:rsid w:val="008878DE"/>
    <w:rsid w:val="00890119"/>
    <w:rsid w:val="00894427"/>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FFC"/>
    <w:rsid w:val="008E0678"/>
    <w:rsid w:val="008E37EF"/>
    <w:rsid w:val="008E5747"/>
    <w:rsid w:val="008F2977"/>
    <w:rsid w:val="008F31D2"/>
    <w:rsid w:val="008F6B41"/>
    <w:rsid w:val="009011F7"/>
    <w:rsid w:val="009121CF"/>
    <w:rsid w:val="009223CA"/>
    <w:rsid w:val="00925735"/>
    <w:rsid w:val="009266B2"/>
    <w:rsid w:val="009375C2"/>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90821"/>
    <w:rsid w:val="009A0830"/>
    <w:rsid w:val="009A0E8D"/>
    <w:rsid w:val="009A269E"/>
    <w:rsid w:val="009A43A9"/>
    <w:rsid w:val="009B0920"/>
    <w:rsid w:val="009B1484"/>
    <w:rsid w:val="009B26E7"/>
    <w:rsid w:val="009B5632"/>
    <w:rsid w:val="009C0397"/>
    <w:rsid w:val="009C0F0F"/>
    <w:rsid w:val="009C1508"/>
    <w:rsid w:val="009C1705"/>
    <w:rsid w:val="009C615F"/>
    <w:rsid w:val="009D35AA"/>
    <w:rsid w:val="009D4F57"/>
    <w:rsid w:val="009E015B"/>
    <w:rsid w:val="009E224F"/>
    <w:rsid w:val="009E6172"/>
    <w:rsid w:val="009E6DCF"/>
    <w:rsid w:val="009F066D"/>
    <w:rsid w:val="009F4F42"/>
    <w:rsid w:val="009F6181"/>
    <w:rsid w:val="009F6480"/>
    <w:rsid w:val="009F7871"/>
    <w:rsid w:val="00A00697"/>
    <w:rsid w:val="00A00A3F"/>
    <w:rsid w:val="00A01489"/>
    <w:rsid w:val="00A0608C"/>
    <w:rsid w:val="00A07F53"/>
    <w:rsid w:val="00A11D27"/>
    <w:rsid w:val="00A16E1C"/>
    <w:rsid w:val="00A27E37"/>
    <w:rsid w:val="00A3026E"/>
    <w:rsid w:val="00A3134B"/>
    <w:rsid w:val="00A326C3"/>
    <w:rsid w:val="00A338F1"/>
    <w:rsid w:val="00A34E4B"/>
    <w:rsid w:val="00A35BE0"/>
    <w:rsid w:val="00A36D07"/>
    <w:rsid w:val="00A3703C"/>
    <w:rsid w:val="00A37AC9"/>
    <w:rsid w:val="00A41B65"/>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114"/>
    <w:rsid w:val="00A94361"/>
    <w:rsid w:val="00A94463"/>
    <w:rsid w:val="00A972F7"/>
    <w:rsid w:val="00AA105B"/>
    <w:rsid w:val="00AA293C"/>
    <w:rsid w:val="00AB1516"/>
    <w:rsid w:val="00AB2DE5"/>
    <w:rsid w:val="00AC03B8"/>
    <w:rsid w:val="00AC3854"/>
    <w:rsid w:val="00AC4838"/>
    <w:rsid w:val="00AC772A"/>
    <w:rsid w:val="00AD1CC0"/>
    <w:rsid w:val="00AD351A"/>
    <w:rsid w:val="00AD78BE"/>
    <w:rsid w:val="00AE5115"/>
    <w:rsid w:val="00B02445"/>
    <w:rsid w:val="00B041E2"/>
    <w:rsid w:val="00B04D4C"/>
    <w:rsid w:val="00B116A8"/>
    <w:rsid w:val="00B135D5"/>
    <w:rsid w:val="00B30179"/>
    <w:rsid w:val="00B337FD"/>
    <w:rsid w:val="00B421C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28DE"/>
    <w:rsid w:val="00B83786"/>
    <w:rsid w:val="00B84692"/>
    <w:rsid w:val="00B86C67"/>
    <w:rsid w:val="00B900AD"/>
    <w:rsid w:val="00B9477C"/>
    <w:rsid w:val="00B94957"/>
    <w:rsid w:val="00BA062A"/>
    <w:rsid w:val="00BA6D63"/>
    <w:rsid w:val="00BA7513"/>
    <w:rsid w:val="00BB1624"/>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1EC4"/>
    <w:rsid w:val="00C03F52"/>
    <w:rsid w:val="00C1016B"/>
    <w:rsid w:val="00C11A03"/>
    <w:rsid w:val="00C13948"/>
    <w:rsid w:val="00C152B9"/>
    <w:rsid w:val="00C15C0A"/>
    <w:rsid w:val="00C22C0C"/>
    <w:rsid w:val="00C238C1"/>
    <w:rsid w:val="00C26946"/>
    <w:rsid w:val="00C4527F"/>
    <w:rsid w:val="00C463DD"/>
    <w:rsid w:val="00C4724C"/>
    <w:rsid w:val="00C53074"/>
    <w:rsid w:val="00C6049D"/>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5531"/>
    <w:rsid w:val="00CA64B5"/>
    <w:rsid w:val="00CB3C29"/>
    <w:rsid w:val="00CB3E03"/>
    <w:rsid w:val="00CB7DD8"/>
    <w:rsid w:val="00CC3982"/>
    <w:rsid w:val="00CC534B"/>
    <w:rsid w:val="00CD19D6"/>
    <w:rsid w:val="00CD419B"/>
    <w:rsid w:val="00CD4AA6"/>
    <w:rsid w:val="00CD4BB1"/>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48B6"/>
    <w:rsid w:val="00D25CEE"/>
    <w:rsid w:val="00D25FE2"/>
    <w:rsid w:val="00D274FF"/>
    <w:rsid w:val="00D306BD"/>
    <w:rsid w:val="00D36D96"/>
    <w:rsid w:val="00D43252"/>
    <w:rsid w:val="00D43BB6"/>
    <w:rsid w:val="00D45BBD"/>
    <w:rsid w:val="00D47EEA"/>
    <w:rsid w:val="00D51D19"/>
    <w:rsid w:val="00D53BD6"/>
    <w:rsid w:val="00D55BAE"/>
    <w:rsid w:val="00D62D6B"/>
    <w:rsid w:val="00D64C5D"/>
    <w:rsid w:val="00D67D40"/>
    <w:rsid w:val="00D74FB0"/>
    <w:rsid w:val="00D75766"/>
    <w:rsid w:val="00D75F9D"/>
    <w:rsid w:val="00D773DF"/>
    <w:rsid w:val="00D777F1"/>
    <w:rsid w:val="00D866D2"/>
    <w:rsid w:val="00D87941"/>
    <w:rsid w:val="00D9240A"/>
    <w:rsid w:val="00D9475A"/>
    <w:rsid w:val="00D95303"/>
    <w:rsid w:val="00D95F4C"/>
    <w:rsid w:val="00D978C6"/>
    <w:rsid w:val="00DA3C1C"/>
    <w:rsid w:val="00DB2AD8"/>
    <w:rsid w:val="00DC0D47"/>
    <w:rsid w:val="00DC2454"/>
    <w:rsid w:val="00DC2534"/>
    <w:rsid w:val="00DC2F18"/>
    <w:rsid w:val="00DC3666"/>
    <w:rsid w:val="00DC5317"/>
    <w:rsid w:val="00DD113C"/>
    <w:rsid w:val="00DD2C2C"/>
    <w:rsid w:val="00DD7770"/>
    <w:rsid w:val="00DF7937"/>
    <w:rsid w:val="00E0021B"/>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59A4"/>
    <w:rsid w:val="00E71BC8"/>
    <w:rsid w:val="00E7260F"/>
    <w:rsid w:val="00E73F5D"/>
    <w:rsid w:val="00E75A16"/>
    <w:rsid w:val="00E75B13"/>
    <w:rsid w:val="00E75F3D"/>
    <w:rsid w:val="00E77BBC"/>
    <w:rsid w:val="00E77CD9"/>
    <w:rsid w:val="00E77E4E"/>
    <w:rsid w:val="00E8624D"/>
    <w:rsid w:val="00E870B1"/>
    <w:rsid w:val="00E96630"/>
    <w:rsid w:val="00EA0DC7"/>
    <w:rsid w:val="00EB2AFD"/>
    <w:rsid w:val="00EB3AFE"/>
    <w:rsid w:val="00EB73FB"/>
    <w:rsid w:val="00EC4CC0"/>
    <w:rsid w:val="00EC6CC6"/>
    <w:rsid w:val="00ED345D"/>
    <w:rsid w:val="00ED38B0"/>
    <w:rsid w:val="00ED3B19"/>
    <w:rsid w:val="00ED6993"/>
    <w:rsid w:val="00ED70F5"/>
    <w:rsid w:val="00ED7A2A"/>
    <w:rsid w:val="00EE2261"/>
    <w:rsid w:val="00EF1D7F"/>
    <w:rsid w:val="00EF62B3"/>
    <w:rsid w:val="00F01FBE"/>
    <w:rsid w:val="00F02B6B"/>
    <w:rsid w:val="00F02BC3"/>
    <w:rsid w:val="00F10A4D"/>
    <w:rsid w:val="00F206C2"/>
    <w:rsid w:val="00F21483"/>
    <w:rsid w:val="00F26DA8"/>
    <w:rsid w:val="00F3040C"/>
    <w:rsid w:val="00F31E5F"/>
    <w:rsid w:val="00F46A4A"/>
    <w:rsid w:val="00F51FBC"/>
    <w:rsid w:val="00F52438"/>
    <w:rsid w:val="00F52D37"/>
    <w:rsid w:val="00F55775"/>
    <w:rsid w:val="00F57820"/>
    <w:rsid w:val="00F6100A"/>
    <w:rsid w:val="00F61D19"/>
    <w:rsid w:val="00F72661"/>
    <w:rsid w:val="00F73BA0"/>
    <w:rsid w:val="00F77013"/>
    <w:rsid w:val="00F81690"/>
    <w:rsid w:val="00F93781"/>
    <w:rsid w:val="00FA04ED"/>
    <w:rsid w:val="00FA19F3"/>
    <w:rsid w:val="00FA1BEC"/>
    <w:rsid w:val="00FA2EAF"/>
    <w:rsid w:val="00FA2EC4"/>
    <w:rsid w:val="00FA6BB7"/>
    <w:rsid w:val="00FB1239"/>
    <w:rsid w:val="00FB4A79"/>
    <w:rsid w:val="00FB613B"/>
    <w:rsid w:val="00FC0235"/>
    <w:rsid w:val="00FC2028"/>
    <w:rsid w:val="00FC68B7"/>
    <w:rsid w:val="00FC7FD2"/>
    <w:rsid w:val="00FD08C0"/>
    <w:rsid w:val="00FD1C37"/>
    <w:rsid w:val="00FD1D1E"/>
    <w:rsid w:val="00FD3F98"/>
    <w:rsid w:val="00FD5B3A"/>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table" w:customStyle="1" w:styleId="Grilledutableau1">
    <w:name w:val="Grille du tableau1"/>
    <w:basedOn w:val="TableNormal"/>
    <w:next w:val="TableGrid"/>
    <w:rsid w:val="00CB3C2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uiPriority w:val="99"/>
    <w:rsid w:val="00BB162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4.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Editorial</cp:lastModifiedBy>
  <cp:revision>46</cp:revision>
  <cp:lastPrinted>2022-12-01T11:34:00Z</cp:lastPrinted>
  <dcterms:created xsi:type="dcterms:W3CDTF">2022-11-30T15:25:00Z</dcterms:created>
  <dcterms:modified xsi:type="dcterms:W3CDTF">2022-12-01T11:34:00Z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