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14:paraId="27324BBB" w14:textId="77777777" w:rsidTr="000D5782">
        <w:trPr>
          <w:cantSplit/>
          <w:trHeight w:hRule="exact" w:val="851"/>
        </w:trPr>
        <w:tc>
          <w:tcPr>
            <w:tcW w:w="9639" w:type="dxa"/>
            <w:tcBorders>
              <w:bottom w:val="single" w:sz="4" w:space="0" w:color="auto"/>
            </w:tcBorders>
            <w:vAlign w:val="bottom"/>
          </w:tcPr>
          <w:p w14:paraId="56EB97FB" w14:textId="092B9DF5" w:rsidR="00EF0D81" w:rsidRPr="0099001C" w:rsidRDefault="00EF0D81" w:rsidP="00E76D3E">
            <w:pPr>
              <w:jc w:val="right"/>
              <w:rPr>
                <w:b/>
                <w:sz w:val="40"/>
                <w:szCs w:val="40"/>
              </w:rPr>
            </w:pPr>
            <w:r w:rsidRPr="0099001C">
              <w:rPr>
                <w:b/>
                <w:sz w:val="40"/>
                <w:szCs w:val="40"/>
              </w:rPr>
              <w:t>UN/SCEGHS/</w:t>
            </w:r>
            <w:r w:rsidR="00D73D34">
              <w:rPr>
                <w:b/>
                <w:sz w:val="40"/>
                <w:szCs w:val="40"/>
              </w:rPr>
              <w:t>43</w:t>
            </w:r>
            <w:r w:rsidRPr="0099001C">
              <w:rPr>
                <w:b/>
                <w:sz w:val="40"/>
                <w:szCs w:val="40"/>
              </w:rPr>
              <w:t>/INF.</w:t>
            </w:r>
            <w:r w:rsidR="003C50F7">
              <w:rPr>
                <w:b/>
                <w:sz w:val="40"/>
                <w:szCs w:val="40"/>
              </w:rPr>
              <w:t>34</w:t>
            </w:r>
          </w:p>
        </w:tc>
      </w:tr>
      <w:tr w:rsidR="00EF0D81" w14:paraId="4980032E" w14:textId="77777777" w:rsidTr="0010630E">
        <w:trPr>
          <w:cantSplit/>
          <w:trHeight w:hRule="exact" w:val="2846"/>
        </w:trPr>
        <w:tc>
          <w:tcPr>
            <w:tcW w:w="9639" w:type="dxa"/>
            <w:tcBorders>
              <w:top w:val="single" w:sz="4" w:space="0" w:color="auto"/>
            </w:tcBorders>
          </w:tcPr>
          <w:p w14:paraId="4F900CB7" w14:textId="77777777"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6444A2C4" w14:textId="59387B66"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3C50F7">
              <w:rPr>
                <w:b/>
                <w:lang w:val="en-US"/>
              </w:rPr>
              <w:t>5</w:t>
            </w:r>
            <w:r w:rsidR="008D3C1D">
              <w:rPr>
                <w:b/>
                <w:lang w:val="en-US"/>
              </w:rPr>
              <w:t xml:space="preserve"> </w:t>
            </w:r>
            <w:r w:rsidR="00027D95">
              <w:rPr>
                <w:b/>
                <w:lang w:val="en-US"/>
              </w:rPr>
              <w:t>Decembe</w:t>
            </w:r>
            <w:r w:rsidR="001F3957">
              <w:rPr>
                <w:b/>
                <w:lang w:val="en-US"/>
              </w:rPr>
              <w:t>r 2022</w:t>
            </w:r>
          </w:p>
          <w:p w14:paraId="382534B0" w14:textId="3B951319" w:rsidR="00EF0D81" w:rsidRPr="006E39A4" w:rsidRDefault="00DF4430" w:rsidP="000D5782">
            <w:pPr>
              <w:spacing w:before="120"/>
              <w:rPr>
                <w:b/>
              </w:rPr>
            </w:pPr>
            <w:r>
              <w:rPr>
                <w:b/>
              </w:rPr>
              <w:t>Forty-third</w:t>
            </w:r>
            <w:r w:rsidR="00EF0D81" w:rsidRPr="006E39A4">
              <w:rPr>
                <w:b/>
              </w:rPr>
              <w:t xml:space="preserve"> session</w:t>
            </w:r>
          </w:p>
          <w:p w14:paraId="0663049B" w14:textId="721C74E9" w:rsidR="00EF0D81" w:rsidRPr="006E39A4" w:rsidRDefault="00EF0D81" w:rsidP="000D5782">
            <w:r w:rsidRPr="006E39A4">
              <w:t xml:space="preserve">Geneva, </w:t>
            </w:r>
            <w:r w:rsidR="001F3957">
              <w:t>7-9</w:t>
            </w:r>
            <w:r>
              <w:t xml:space="preserve"> December </w:t>
            </w:r>
            <w:r w:rsidR="001F3957">
              <w:t>2022</w:t>
            </w:r>
          </w:p>
          <w:p w14:paraId="1FB4586C" w14:textId="5388B33E" w:rsidR="00EF0D81" w:rsidRDefault="00EF0D81" w:rsidP="000D5782">
            <w:r w:rsidRPr="006E39A4">
              <w:t xml:space="preserve">Item </w:t>
            </w:r>
            <w:r w:rsidR="000D77A1">
              <w:t xml:space="preserve">7 </w:t>
            </w:r>
            <w:r w:rsidRPr="006E39A4">
              <w:t>of the provisional agenda</w:t>
            </w:r>
          </w:p>
          <w:p w14:paraId="64B0DDDB" w14:textId="5B758FA7" w:rsidR="00EF0D81" w:rsidRPr="009E7ABD" w:rsidRDefault="00EF0D81" w:rsidP="000D5782">
            <w:pPr>
              <w:rPr>
                <w:b/>
              </w:rPr>
            </w:pPr>
            <w:r>
              <w:rPr>
                <w:b/>
              </w:rPr>
              <w:t xml:space="preserve">Programme of work for the biennium </w:t>
            </w:r>
            <w:r w:rsidR="001F3957">
              <w:rPr>
                <w:b/>
              </w:rPr>
              <w:t>202</w:t>
            </w:r>
            <w:r w:rsidR="001746BF">
              <w:rPr>
                <w:b/>
              </w:rPr>
              <w:t>3</w:t>
            </w:r>
            <w:r>
              <w:rPr>
                <w:b/>
              </w:rPr>
              <w:t>–</w:t>
            </w:r>
            <w:r w:rsidR="001F3957">
              <w:rPr>
                <w:b/>
              </w:rPr>
              <w:t>202</w:t>
            </w:r>
            <w:r w:rsidR="001746BF">
              <w:rPr>
                <w:b/>
              </w:rPr>
              <w:t>4</w:t>
            </w:r>
          </w:p>
          <w:p w14:paraId="703C045B" w14:textId="77777777" w:rsidR="00EF0D81" w:rsidRDefault="00EF0D81" w:rsidP="000D5782">
            <w:pPr>
              <w:spacing w:line="240" w:lineRule="exact"/>
            </w:pPr>
          </w:p>
        </w:tc>
      </w:tr>
    </w:tbl>
    <w:p w14:paraId="4F06D9BF" w14:textId="36346983" w:rsidR="00EF0D81" w:rsidRPr="00F66549" w:rsidRDefault="00EF0D81" w:rsidP="00EF0D81">
      <w:pPr>
        <w:pStyle w:val="HChG"/>
        <w:rPr>
          <w:rFonts w:eastAsia="MS Mincho"/>
        </w:rPr>
      </w:pPr>
      <w:r w:rsidRPr="00F66549">
        <w:rPr>
          <w:rFonts w:eastAsia="MS Mincho"/>
        </w:rPr>
        <w:tab/>
      </w:r>
      <w:r w:rsidRPr="00F66549">
        <w:rPr>
          <w:rFonts w:eastAsia="MS Mincho"/>
        </w:rPr>
        <w:tab/>
      </w:r>
      <w:r w:rsidR="00840B37">
        <w:rPr>
          <w:rFonts w:eastAsia="MS Mincho"/>
        </w:rPr>
        <w:t>Status report and p</w:t>
      </w:r>
      <w:r w:rsidRPr="00F66549">
        <w:rPr>
          <w:rFonts w:eastAsia="MS Mincho"/>
        </w:rPr>
        <w:t xml:space="preserve">roposal for the ongoing work of the informal </w:t>
      </w:r>
      <w:r>
        <w:rPr>
          <w:rFonts w:eastAsia="MS Mincho"/>
        </w:rPr>
        <w:t>c</w:t>
      </w:r>
      <w:r w:rsidRPr="00F66549">
        <w:rPr>
          <w:rFonts w:eastAsia="MS Mincho"/>
        </w:rPr>
        <w:t xml:space="preserve">orrespondence group on </w:t>
      </w:r>
      <w:r>
        <w:rPr>
          <w:rFonts w:eastAsia="MS Mincho"/>
        </w:rPr>
        <w:t>p</w:t>
      </w:r>
      <w:r w:rsidRPr="00F66549">
        <w:rPr>
          <w:rFonts w:eastAsia="MS Mincho"/>
        </w:rPr>
        <w:t xml:space="preserve">ractical </w:t>
      </w:r>
      <w:r>
        <w:rPr>
          <w:rFonts w:eastAsia="MS Mincho"/>
        </w:rPr>
        <w:t>c</w:t>
      </w:r>
      <w:r w:rsidRPr="00F66549">
        <w:rPr>
          <w:rFonts w:eastAsia="MS Mincho"/>
        </w:rPr>
        <w:t xml:space="preserve">lassification </w:t>
      </w:r>
      <w:r>
        <w:rPr>
          <w:rFonts w:eastAsia="MS Mincho"/>
        </w:rPr>
        <w:t>i</w:t>
      </w:r>
      <w:r w:rsidRPr="00F66549">
        <w:rPr>
          <w:rFonts w:eastAsia="MS Mincho"/>
        </w:rPr>
        <w:t>ssues</w:t>
      </w:r>
    </w:p>
    <w:p w14:paraId="54DC4CA7" w14:textId="77777777"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Transmitted by the expert from the United States of America on behalf of the informal correspondence group</w:t>
      </w:r>
    </w:p>
    <w:p w14:paraId="22757B76" w14:textId="77777777" w:rsidR="00EF0D81" w:rsidRPr="0051020A" w:rsidRDefault="00EF0D81" w:rsidP="00EF0D81">
      <w:pPr>
        <w:pStyle w:val="HChG"/>
      </w:pPr>
      <w:r>
        <w:tab/>
      </w:r>
      <w:r>
        <w:tab/>
      </w:r>
      <w:r w:rsidRPr="0051020A">
        <w:t>Purpose</w:t>
      </w:r>
    </w:p>
    <w:p w14:paraId="100E1AB6" w14:textId="7030EE23" w:rsidR="00EF0D81" w:rsidRDefault="003C50F7" w:rsidP="003C50F7">
      <w:pPr>
        <w:pStyle w:val="SingleTxtG"/>
        <w:tabs>
          <w:tab w:val="left" w:pos="1701"/>
        </w:tabs>
      </w:pPr>
      <w:r>
        <w:t>1.</w:t>
      </w:r>
      <w:r>
        <w:tab/>
      </w:r>
      <w:r w:rsidR="00EF0D81" w:rsidRPr="002429C2">
        <w:t xml:space="preserve">The purpose of this paper is to </w:t>
      </w:r>
      <w:r w:rsidR="0062123D">
        <w:t xml:space="preserve">provide and update on the work undertaken by the </w:t>
      </w:r>
      <w:r w:rsidR="00BD086F">
        <w:t>p</w:t>
      </w:r>
      <w:r w:rsidR="0062123D">
        <w:t xml:space="preserve">ractical </w:t>
      </w:r>
      <w:r w:rsidR="00BD086F">
        <w:t>c</w:t>
      </w:r>
      <w:r w:rsidR="0062123D">
        <w:t>l</w:t>
      </w:r>
      <w:r w:rsidR="006B2916">
        <w:t xml:space="preserve">assification </w:t>
      </w:r>
      <w:r w:rsidR="00BD086F">
        <w:t>i</w:t>
      </w:r>
      <w:r w:rsidR="006B2916">
        <w:t xml:space="preserve">ssues (PCI) informal correspondence group since the July </w:t>
      </w:r>
      <w:r w:rsidR="000151B4">
        <w:t xml:space="preserve">2022 Sub-committee meeting </w:t>
      </w:r>
      <w:r w:rsidR="000D77A1">
        <w:t>and</w:t>
      </w:r>
      <w:r w:rsidR="000151B4">
        <w:t xml:space="preserve"> to </w:t>
      </w:r>
      <w:r w:rsidR="00EF0D81" w:rsidRPr="002429C2">
        <w:t xml:space="preserve">present a proposal for the ongoing work </w:t>
      </w:r>
      <w:r w:rsidR="003672EF">
        <w:t>of the working gr</w:t>
      </w:r>
      <w:r w:rsidR="00581038">
        <w:t>oup</w:t>
      </w:r>
      <w:r w:rsidR="001746BF">
        <w:t xml:space="preserve"> for the 2023-2024 biennium</w:t>
      </w:r>
      <w:r w:rsidR="00EF0D81" w:rsidRPr="002429C2">
        <w:t>.</w:t>
      </w:r>
      <w:r w:rsidR="007F7110">
        <w:t xml:space="preserve"> </w:t>
      </w:r>
    </w:p>
    <w:p w14:paraId="63B2B7F8" w14:textId="2A470593" w:rsidR="00581038" w:rsidRPr="00A81C63" w:rsidRDefault="00581038" w:rsidP="00A81C63">
      <w:pPr>
        <w:pStyle w:val="SingleTxtG"/>
        <w:tabs>
          <w:tab w:val="left" w:pos="1701"/>
        </w:tabs>
        <w:rPr>
          <w:b/>
          <w:bCs/>
          <w:sz w:val="28"/>
          <w:szCs w:val="28"/>
        </w:rPr>
      </w:pPr>
      <w:r w:rsidRPr="00A81C63">
        <w:rPr>
          <w:b/>
          <w:bCs/>
          <w:sz w:val="28"/>
          <w:szCs w:val="28"/>
        </w:rPr>
        <w:t xml:space="preserve">Status </w:t>
      </w:r>
      <w:r w:rsidR="003C50F7">
        <w:rPr>
          <w:b/>
          <w:bCs/>
          <w:sz w:val="28"/>
          <w:szCs w:val="28"/>
        </w:rPr>
        <w:t>r</w:t>
      </w:r>
      <w:r w:rsidRPr="00A81C63">
        <w:rPr>
          <w:b/>
          <w:bCs/>
          <w:sz w:val="28"/>
          <w:szCs w:val="28"/>
        </w:rPr>
        <w:t>eport</w:t>
      </w:r>
    </w:p>
    <w:p w14:paraId="55D68C31" w14:textId="775A04E5" w:rsidR="002779D2" w:rsidRDefault="003C50F7" w:rsidP="003C50F7">
      <w:pPr>
        <w:pStyle w:val="SingleTxtG"/>
        <w:tabs>
          <w:tab w:val="left" w:pos="1701"/>
        </w:tabs>
      </w:pPr>
      <w:r>
        <w:t>2.</w:t>
      </w:r>
      <w:r>
        <w:tab/>
      </w:r>
      <w:r w:rsidR="00ED4094">
        <w:t xml:space="preserve">The PCI working group </w:t>
      </w:r>
      <w:r w:rsidR="00B42CB8">
        <w:t xml:space="preserve">met </w:t>
      </w:r>
      <w:r w:rsidR="00A34D19">
        <w:t xml:space="preserve">virtually on </w:t>
      </w:r>
      <w:r w:rsidR="002779D2">
        <w:t xml:space="preserve">September 8, </w:t>
      </w:r>
      <w:r w:rsidR="000722F7">
        <w:t>2022</w:t>
      </w:r>
      <w:r w:rsidR="002779D2">
        <w:t xml:space="preserve"> to review</w:t>
      </w:r>
      <w:r w:rsidR="00C85331">
        <w:t xml:space="preserve"> </w:t>
      </w:r>
      <w:r w:rsidR="00D724BB">
        <w:t xml:space="preserve">thought starters on issues </w:t>
      </w:r>
      <w:r w:rsidR="000C530F">
        <w:t xml:space="preserve">#2 and #7 </w:t>
      </w:r>
      <w:r w:rsidR="00D724BB">
        <w:t>that were referred to</w:t>
      </w:r>
      <w:r w:rsidR="000C530F">
        <w:t xml:space="preserve"> the PCI from the </w:t>
      </w:r>
      <w:r w:rsidR="00041BF7">
        <w:t xml:space="preserve">non-animal </w:t>
      </w:r>
      <w:r w:rsidR="00512714">
        <w:t>test informal working group</w:t>
      </w:r>
      <w:r w:rsidR="000C530F">
        <w:t xml:space="preserve">.  </w:t>
      </w:r>
      <w:r w:rsidR="00C85331">
        <w:t>Upon reaching agreement</w:t>
      </w:r>
      <w:r w:rsidR="00EF53FD">
        <w:t>,</w:t>
      </w:r>
      <w:r w:rsidR="00C85331">
        <w:t xml:space="preserve"> the </w:t>
      </w:r>
      <w:r w:rsidR="004C0FB3">
        <w:t xml:space="preserve">chair was charged with developing </w:t>
      </w:r>
      <w:r w:rsidR="00025C11">
        <w:t xml:space="preserve">a </w:t>
      </w:r>
      <w:r w:rsidR="004C0FB3">
        <w:t>working document</w:t>
      </w:r>
      <w:r w:rsidR="009D0D86">
        <w:t xml:space="preserve"> </w:t>
      </w:r>
      <w:r w:rsidR="00025C11">
        <w:t xml:space="preserve">(see </w:t>
      </w:r>
      <w:r w:rsidR="009D0D86">
        <w:t>ST/SG/AC.10/C.4/</w:t>
      </w:r>
      <w:r w:rsidR="00EF53FD">
        <w:t>2022/21</w:t>
      </w:r>
      <w:r w:rsidR="00025C11">
        <w:t>).</w:t>
      </w:r>
    </w:p>
    <w:p w14:paraId="73E307A4" w14:textId="12B36B44" w:rsidR="00581038" w:rsidRDefault="003C50F7" w:rsidP="003C50F7">
      <w:pPr>
        <w:pStyle w:val="SingleTxtG"/>
        <w:tabs>
          <w:tab w:val="left" w:pos="1701"/>
        </w:tabs>
      </w:pPr>
      <w:r>
        <w:t>3.</w:t>
      </w:r>
      <w:r>
        <w:tab/>
      </w:r>
      <w:r w:rsidR="00025C11">
        <w:t xml:space="preserve">The PCI also met on </w:t>
      </w:r>
      <w:r w:rsidR="00A34D19">
        <w:t>November</w:t>
      </w:r>
      <w:r w:rsidR="00543B95">
        <w:t xml:space="preserve"> 17, 2022</w:t>
      </w:r>
      <w:r w:rsidR="00041A98">
        <w:t>,</w:t>
      </w:r>
      <w:r w:rsidR="00320505">
        <w:t xml:space="preserve"> during which a presentation on the history of the GHS bridging principles was </w:t>
      </w:r>
      <w:r w:rsidR="00473A72">
        <w:t>provide</w:t>
      </w:r>
      <w:r w:rsidR="00041A98">
        <w:t>d</w:t>
      </w:r>
      <w:r w:rsidR="00473A72">
        <w:t xml:space="preserve"> </w:t>
      </w:r>
      <w:r w:rsidR="00041A98">
        <w:t>followed by</w:t>
      </w:r>
      <w:r w:rsidR="00473A72">
        <w:t xml:space="preserve"> </w:t>
      </w:r>
      <w:r w:rsidR="00543B95">
        <w:t xml:space="preserve">further </w:t>
      </w:r>
      <w:r w:rsidR="00473A72">
        <w:t xml:space="preserve">discussion on </w:t>
      </w:r>
      <w:r w:rsidR="00B42CB8">
        <w:t>work item (f)</w:t>
      </w:r>
      <w:r w:rsidR="000E69B9">
        <w:t xml:space="preserve"> (see INF.31</w:t>
      </w:r>
      <w:r w:rsidR="00BD086F">
        <w:t>, 39</w:t>
      </w:r>
      <w:r w:rsidR="00BD086F" w:rsidRPr="00BD086F">
        <w:rPr>
          <w:vertAlign w:val="superscript"/>
        </w:rPr>
        <w:t>th</w:t>
      </w:r>
      <w:r w:rsidR="00BD086F">
        <w:t xml:space="preserve"> session</w:t>
      </w:r>
      <w:r w:rsidR="000E69B9">
        <w:t>)</w:t>
      </w:r>
      <w:r w:rsidR="00473A72">
        <w:t xml:space="preserve">.  The working group </w:t>
      </w:r>
      <w:r w:rsidR="00BE0042">
        <w:t xml:space="preserve">also </w:t>
      </w:r>
      <w:r w:rsidR="005F161C">
        <w:t>discuss</w:t>
      </w:r>
      <w:r w:rsidR="00473A72">
        <w:t>ed</w:t>
      </w:r>
      <w:r w:rsidR="005F161C">
        <w:t xml:space="preserve"> </w:t>
      </w:r>
      <w:r w:rsidR="00916A1C">
        <w:t>proposal</w:t>
      </w:r>
      <w:r w:rsidR="00473A72">
        <w:t>s</w:t>
      </w:r>
      <w:r w:rsidR="00916A1C">
        <w:t xml:space="preserve"> for ongoing work</w:t>
      </w:r>
      <w:r w:rsidR="00473A72">
        <w:t xml:space="preserve"> </w:t>
      </w:r>
      <w:r w:rsidR="00041A98">
        <w:t>for</w:t>
      </w:r>
      <w:r w:rsidR="00473A72">
        <w:t xml:space="preserve"> the </w:t>
      </w:r>
      <w:r w:rsidR="00041A98">
        <w:t>2023-2024 biennium</w:t>
      </w:r>
      <w:r w:rsidR="00916A1C">
        <w:t xml:space="preserve">.  </w:t>
      </w:r>
    </w:p>
    <w:p w14:paraId="08237E7B" w14:textId="77777777" w:rsidR="00EF0D81" w:rsidRPr="00F66549" w:rsidRDefault="00EF0D81" w:rsidP="00EF0D81">
      <w:pPr>
        <w:pStyle w:val="HChG"/>
      </w:pPr>
      <w:r>
        <w:tab/>
      </w:r>
      <w:r>
        <w:tab/>
      </w:r>
      <w:r w:rsidRPr="00F66549">
        <w:t>Proposal for ongoing work</w:t>
      </w:r>
    </w:p>
    <w:p w14:paraId="54B7D74D" w14:textId="44C3A878" w:rsidR="00EF0D81" w:rsidRPr="002429C2" w:rsidRDefault="003C50F7" w:rsidP="003C50F7">
      <w:pPr>
        <w:pStyle w:val="SingleTxtG"/>
        <w:tabs>
          <w:tab w:val="left" w:pos="1701"/>
        </w:tabs>
      </w:pPr>
      <w:r w:rsidRPr="002429C2">
        <w:t>4.</w:t>
      </w:r>
      <w:r w:rsidRPr="002429C2">
        <w:tab/>
      </w:r>
      <w:r w:rsidR="00EF0D81" w:rsidRPr="002429C2">
        <w:t xml:space="preserve">The </w:t>
      </w:r>
      <w:r w:rsidR="00437989">
        <w:t xml:space="preserve">informal correspondence group proposes for the </w:t>
      </w:r>
      <w:r w:rsidR="006B241C">
        <w:t>202</w:t>
      </w:r>
      <w:r w:rsidR="001746BF">
        <w:t>3</w:t>
      </w:r>
      <w:r w:rsidR="00D50725">
        <w:t>-</w:t>
      </w:r>
      <w:r w:rsidR="006B241C">
        <w:t>202</w:t>
      </w:r>
      <w:r w:rsidR="001746BF">
        <w:t>4</w:t>
      </w:r>
      <w:r w:rsidR="006B241C">
        <w:t xml:space="preserve"> </w:t>
      </w:r>
      <w:r w:rsidR="00437989">
        <w:t>biennium items (</w:t>
      </w:r>
      <w:r w:rsidR="00E75739">
        <w:t>1</w:t>
      </w:r>
      <w:r w:rsidR="00437989">
        <w:t>) through (</w:t>
      </w:r>
      <w:r w:rsidR="00E75739">
        <w:t>4</w:t>
      </w:r>
      <w:r w:rsidR="00437989">
        <w:t>), which are carryover issues from the current biennium, and item</w:t>
      </w:r>
      <w:r w:rsidR="006D5921">
        <w:t>s</w:t>
      </w:r>
      <w:r w:rsidR="00437989">
        <w:t xml:space="preserve"> (</w:t>
      </w:r>
      <w:r w:rsidR="00E75739">
        <w:t>5</w:t>
      </w:r>
      <w:r w:rsidR="002C2031">
        <w:t>)</w:t>
      </w:r>
      <w:r w:rsidR="00437989">
        <w:t xml:space="preserve"> </w:t>
      </w:r>
      <w:r w:rsidR="006D5921">
        <w:t>and (</w:t>
      </w:r>
      <w:r w:rsidR="00E75739">
        <w:t>6</w:t>
      </w:r>
      <w:r w:rsidR="006D5921">
        <w:t xml:space="preserve">) </w:t>
      </w:r>
      <w:r w:rsidR="00437989">
        <w:t xml:space="preserve">which </w:t>
      </w:r>
      <w:r w:rsidR="006D5921">
        <w:t>are</w:t>
      </w:r>
      <w:r w:rsidR="00437989">
        <w:t xml:space="preserve"> new issu</w:t>
      </w:r>
      <w:r w:rsidR="007F7110">
        <w:t>e</w:t>
      </w:r>
      <w:r w:rsidR="006D5921">
        <w:t>s.</w:t>
      </w:r>
      <w:r w:rsidR="007F7110">
        <w:t xml:space="preserve"> </w:t>
      </w:r>
      <w:r w:rsidR="00437989">
        <w:t xml:space="preserve">  </w:t>
      </w:r>
    </w:p>
    <w:p w14:paraId="385408AB" w14:textId="21F0361B" w:rsidR="00EF0D81" w:rsidRDefault="003C50F7" w:rsidP="003C50F7">
      <w:pPr>
        <w:pStyle w:val="SingleTxtG"/>
        <w:tabs>
          <w:tab w:val="left" w:pos="2410"/>
        </w:tabs>
        <w:ind w:left="2410" w:hanging="709"/>
      </w:pPr>
      <w:r>
        <w:t>Item 1</w:t>
      </w:r>
      <w:r>
        <w:tab/>
      </w:r>
      <w:r w:rsidR="00EF0D81" w:rsidRPr="00742848">
        <w:t>Consider the need</w:t>
      </w:r>
      <w:r w:rsidR="002F2186">
        <w:t xml:space="preserve"> to include in GHS Annex 11</w:t>
      </w:r>
      <w:r w:rsidR="00EF0D81" w:rsidRPr="00742848">
        <w:t xml:space="preserve"> hazard communication associated with the hazards of flammable vapo</w:t>
      </w:r>
      <w:r w:rsidR="00A359E5">
        <w:t>u</w:t>
      </w:r>
      <w:r w:rsidR="00EF0D81" w:rsidRPr="00742848">
        <w:t>rs created in the headspace (</w:t>
      </w:r>
      <w:r w:rsidR="00EF0D81" w:rsidRPr="002429C2">
        <w:t>the unfilled space left above the contents in a sealed container</w:t>
      </w:r>
      <w:r w:rsidR="00EF0D81" w:rsidRPr="00742848">
        <w:t xml:space="preserve">) </w:t>
      </w:r>
      <w:r w:rsidR="00EF0D81">
        <w:t>for</w:t>
      </w:r>
      <w:r w:rsidR="00EF0D81" w:rsidRPr="00742848">
        <w:t xml:space="preserve"> solid and liquid substances or mixtures.</w:t>
      </w:r>
    </w:p>
    <w:p w14:paraId="0ADD4EC8" w14:textId="5582B972" w:rsidR="0007007F" w:rsidRPr="00437989" w:rsidRDefault="003C50F7" w:rsidP="00366CAD">
      <w:pPr>
        <w:pStyle w:val="SingleTxtG"/>
        <w:ind w:left="2410" w:hanging="709"/>
      </w:pPr>
      <w:r>
        <w:t>Item 2</w:t>
      </w:r>
      <w:r w:rsidRPr="00437989">
        <w:tab/>
      </w:r>
      <w:r w:rsidR="00B25231">
        <w:t xml:space="preserve">Consider the need for clarification of the existing criteria on bridging principles via editorial changes to the text and/ or the development of additional guidance/ example(s) illustrating the application of the bridging principles. This would include </w:t>
      </w:r>
      <w:r w:rsidR="00B25231" w:rsidRPr="0085674F">
        <w:t xml:space="preserve">inter alia </w:t>
      </w:r>
      <w:r w:rsidR="00B25231">
        <w:t>the definition of an ingredient in the context of bridging principles (i.e.</w:t>
      </w:r>
      <w:r w:rsidR="00632AE5">
        <w:t>,</w:t>
      </w:r>
      <w:r w:rsidR="00B25231">
        <w:t xml:space="preserve"> can an “ingredient” be composed of several substances or can it </w:t>
      </w:r>
      <w:r w:rsidR="00B25231">
        <w:lastRenderedPageBreak/>
        <w:t>be a mixture?),</w:t>
      </w:r>
      <w:r w:rsidR="000C727E">
        <w:t xml:space="preserve"> </w:t>
      </w:r>
      <w:r w:rsidR="0007007F" w:rsidRPr="00437989">
        <w:t xml:space="preserve">and explore </w:t>
      </w:r>
      <w:r w:rsidR="00D82B7B" w:rsidRPr="00437989">
        <w:t xml:space="preserve">if </w:t>
      </w:r>
      <w:r w:rsidR="0007007F" w:rsidRPr="00437989">
        <w:t>it is technically feasible</w:t>
      </w:r>
      <w:r w:rsidR="00D82B7B" w:rsidRPr="00437989">
        <w:t xml:space="preserve"> to apply the</w:t>
      </w:r>
      <w:r w:rsidR="0007007F" w:rsidRPr="00437989">
        <w:t xml:space="preserve"> concept of </w:t>
      </w:r>
      <w:r w:rsidR="00D82B7B" w:rsidRPr="00437989">
        <w:t xml:space="preserve">substance </w:t>
      </w:r>
      <w:r w:rsidR="0007007F" w:rsidRPr="00437989">
        <w:t>structure activity relationships</w:t>
      </w:r>
      <w:r w:rsidR="00D82B7B" w:rsidRPr="00437989">
        <w:t xml:space="preserve"> within the context of </w:t>
      </w:r>
      <w:r w:rsidR="0007007F" w:rsidRPr="00437989">
        <w:t>bridging principle</w:t>
      </w:r>
      <w:r w:rsidR="00D40033">
        <w:t>s</w:t>
      </w:r>
      <w:r w:rsidR="0007007F" w:rsidRPr="00437989">
        <w:t>.</w:t>
      </w:r>
    </w:p>
    <w:p w14:paraId="6D193103" w14:textId="1AFA1A8E" w:rsidR="00C1152B" w:rsidRDefault="00366CAD" w:rsidP="00366CAD">
      <w:pPr>
        <w:pStyle w:val="SingleTxtG"/>
        <w:ind w:left="2410" w:hanging="709"/>
      </w:pPr>
      <w:r>
        <w:t>Item 3</w:t>
      </w:r>
      <w:r w:rsidR="003C50F7">
        <w:tab/>
      </w:r>
      <w:r w:rsidR="00CD42DC">
        <w:t xml:space="preserve">Taking into account the scope of applicability of additivity and its limitations, consider whether it should be possible to apply additivity in certain cases to other health hazards, for which additivity is currently not explicitly mentioned, and if so, how to clarify this in the GHS (see rationale in </w:t>
      </w:r>
      <w:r w:rsidR="00A6348E">
        <w:t xml:space="preserve">informal document </w:t>
      </w:r>
      <w:r w:rsidR="00CD42DC">
        <w:t>INF.35</w:t>
      </w:r>
      <w:r w:rsidR="00AB1072">
        <w:t xml:space="preserve"> </w:t>
      </w:r>
      <w:r w:rsidR="00A6348E">
        <w:t xml:space="preserve">submitted at the </w:t>
      </w:r>
      <w:r w:rsidR="00AB1072">
        <w:t>thirty-second session</w:t>
      </w:r>
      <w:r w:rsidR="00CD42DC">
        <w:t>).</w:t>
      </w:r>
    </w:p>
    <w:p w14:paraId="4EC198DC" w14:textId="07D97C33" w:rsidR="007F7110" w:rsidRPr="00D3223C" w:rsidRDefault="00F24774" w:rsidP="00BD086F">
      <w:pPr>
        <w:pStyle w:val="SingleTxtG"/>
        <w:ind w:left="2410" w:hanging="709"/>
      </w:pPr>
      <w:r>
        <w:t>Item 4</w:t>
      </w:r>
      <w:r w:rsidR="003C50F7" w:rsidRPr="00D3223C">
        <w:tab/>
      </w:r>
      <w:r w:rsidR="007F7110" w:rsidRPr="00D3223C">
        <w:t>Develop and propose a scientifically sound procedure for the tiered approach for classification of mixtures in chapters 3.2 to 3.4 allowing use of the available data in the</w:t>
      </w:r>
      <w:r w:rsidR="00D40033" w:rsidRPr="00D3223C">
        <w:t xml:space="preserve"> most appropriate possible way (see </w:t>
      </w:r>
      <w:r w:rsidR="00AB1072" w:rsidRPr="00D3223C">
        <w:t xml:space="preserve">informal document </w:t>
      </w:r>
      <w:r w:rsidR="00D40033" w:rsidRPr="00D3223C">
        <w:t xml:space="preserve">INF.23 for proposed workstreams). </w:t>
      </w:r>
      <w:r w:rsidR="007F7110" w:rsidRPr="00D3223C">
        <w:t xml:space="preserve">A preliminary evaluation will be conducted: </w:t>
      </w:r>
    </w:p>
    <w:p w14:paraId="741208B6" w14:textId="233713FB" w:rsidR="007F7110" w:rsidRPr="00D3223C" w:rsidRDefault="007F7110" w:rsidP="00BD086F">
      <w:pPr>
        <w:pStyle w:val="SingleTxtG"/>
        <w:ind w:left="2835" w:hanging="425"/>
      </w:pPr>
      <w:r w:rsidRPr="00D3223C">
        <w:t>(</w:t>
      </w:r>
      <w:r w:rsidR="00AB1072" w:rsidRPr="00D3223C">
        <w:t>i</w:t>
      </w:r>
      <w:r w:rsidRPr="00D3223C">
        <w:t>)</w:t>
      </w:r>
      <w:r w:rsidRPr="00D3223C">
        <w:tab/>
        <w:t>including an analysis of the present strategies for all health hazards and aiming at identifying when and how bridging principles are best to be considered in the classification process;</w:t>
      </w:r>
    </w:p>
    <w:p w14:paraId="72E51152" w14:textId="7B992621" w:rsidR="007F7110" w:rsidRPr="00D3223C" w:rsidRDefault="007F7110" w:rsidP="00BD086F">
      <w:pPr>
        <w:pStyle w:val="SingleTxtG"/>
        <w:ind w:left="2835" w:hanging="425"/>
      </w:pPr>
      <w:r w:rsidRPr="00D3223C">
        <w:t>(</w:t>
      </w:r>
      <w:r w:rsidR="00AB1072" w:rsidRPr="00D3223C">
        <w:t>ii</w:t>
      </w:r>
      <w:r w:rsidRPr="00D3223C">
        <w:t>)</w:t>
      </w:r>
      <w:r w:rsidRPr="00D3223C">
        <w:tab/>
        <w:t>defining which requirements need to apply to data from similar mixtures to be useful for bridging purposes;</w:t>
      </w:r>
    </w:p>
    <w:p w14:paraId="33B461A5" w14:textId="6CAD4D23" w:rsidR="007F7110" w:rsidRPr="00D3223C" w:rsidRDefault="007F7110" w:rsidP="00BD086F">
      <w:pPr>
        <w:pStyle w:val="SingleTxtG"/>
        <w:ind w:left="2835" w:hanging="425"/>
      </w:pPr>
      <w:r w:rsidRPr="00D3223C">
        <w:t>(</w:t>
      </w:r>
      <w:r w:rsidR="00AB1072" w:rsidRPr="00D3223C">
        <w:t>iii</w:t>
      </w:r>
      <w:r w:rsidRPr="00D3223C">
        <w:t>)</w:t>
      </w:r>
      <w:r w:rsidRPr="00D3223C">
        <w:tab/>
        <w:t>exploring by comparison with the relevant sections of Chapter 1.3, to which extent improvements of the classification process for mixtures in chapters</w:t>
      </w:r>
      <w:r w:rsidR="00D3223C" w:rsidRPr="00D3223C">
        <w:t> </w:t>
      </w:r>
      <w:r w:rsidRPr="00D3223C">
        <w:t>3.2 to 3.4 are compatible with the rules in Chapter 1.3.</w:t>
      </w:r>
      <w:r w:rsidR="00D40033" w:rsidRPr="00D3223C">
        <w:t xml:space="preserve">  </w:t>
      </w:r>
      <w:r w:rsidRPr="00D3223C">
        <w:t>If deemed necessary, options for improvement will be identified and proposed.</w:t>
      </w:r>
      <w:r w:rsidR="00D40033" w:rsidRPr="00D3223C">
        <w:t xml:space="preserve"> </w:t>
      </w:r>
    </w:p>
    <w:p w14:paraId="7BB2B06F" w14:textId="3D7E765C" w:rsidR="000724E3" w:rsidRDefault="00BD086F" w:rsidP="00BD086F">
      <w:pPr>
        <w:pStyle w:val="SingleTxtG"/>
        <w:ind w:left="2410" w:hanging="709"/>
      </w:pPr>
      <w:r>
        <w:t>Item 5</w:t>
      </w:r>
      <w:r w:rsidR="003C50F7">
        <w:tab/>
      </w:r>
      <w:r w:rsidR="001603DA">
        <w:t>Asphy</w:t>
      </w:r>
      <w:r w:rsidR="00E77751">
        <w:t>xiation is a well-known</w:t>
      </w:r>
      <w:r w:rsidR="009F6591">
        <w:t xml:space="preserve"> hazard</w:t>
      </w:r>
      <w:r w:rsidR="00E77751">
        <w:t xml:space="preserve"> in the workplace </w:t>
      </w:r>
      <w:r w:rsidR="00FA18F4">
        <w:t>and</w:t>
      </w:r>
      <w:r w:rsidR="00E77751">
        <w:t xml:space="preserve"> is </w:t>
      </w:r>
      <w:r w:rsidR="009F6591">
        <w:t xml:space="preserve">not </w:t>
      </w:r>
      <w:r w:rsidR="0063296F">
        <w:t xml:space="preserve">currently </w:t>
      </w:r>
      <w:r w:rsidR="00814029">
        <w:t>included in the GHS.  C</w:t>
      </w:r>
      <w:r w:rsidR="00E632B8">
        <w:t xml:space="preserve">onsider </w:t>
      </w:r>
      <w:r w:rsidR="00C65B39">
        <w:t xml:space="preserve">developing a global approach to </w:t>
      </w:r>
      <w:r w:rsidR="00E632B8">
        <w:t>addressing simple asphyxiants</w:t>
      </w:r>
      <w:r w:rsidR="00927FB7">
        <w:t xml:space="preserve"> in</w:t>
      </w:r>
      <w:r w:rsidR="006E4A6A">
        <w:t xml:space="preserve"> </w:t>
      </w:r>
      <w:r w:rsidR="00BD532E">
        <w:t xml:space="preserve">Annex 11 </w:t>
      </w:r>
      <w:r w:rsidR="00927FB7">
        <w:t>of</w:t>
      </w:r>
      <w:r w:rsidR="006E4A6A">
        <w:t xml:space="preserve"> the GHS</w:t>
      </w:r>
      <w:r w:rsidR="00B61A3B">
        <w:t>.</w:t>
      </w:r>
      <w:r w:rsidR="00927FB7">
        <w:t xml:space="preserve"> </w:t>
      </w:r>
      <w:r w:rsidR="006E4A6A">
        <w:t xml:space="preserve"> </w:t>
      </w:r>
    </w:p>
    <w:p w14:paraId="70B78981" w14:textId="378F8C5A" w:rsidR="00063616" w:rsidRDefault="00BD086F" w:rsidP="00BD086F">
      <w:pPr>
        <w:pStyle w:val="SingleTxtG"/>
        <w:ind w:left="2410" w:hanging="709"/>
      </w:pPr>
      <w:r>
        <w:t xml:space="preserve">Item 6 </w:t>
      </w:r>
      <w:r w:rsidR="003C50F7">
        <w:tab/>
      </w:r>
      <w:r w:rsidR="00063616">
        <w:t>Ta</w:t>
      </w:r>
      <w:r w:rsidR="00063616" w:rsidRPr="00C32486">
        <w:t>king into consideration that Annex 8 has not been updated since 2003</w:t>
      </w:r>
      <w:r w:rsidR="00063616">
        <w:t>,</w:t>
      </w:r>
      <w:r w:rsidR="00063616" w:rsidRPr="00C32486">
        <w:t xml:space="preserve"> the PCI will review Annex 8 and discuss the best approach moving forward.  The group should consider if examples are still relevant</w:t>
      </w:r>
      <w:r w:rsidR="00063616">
        <w:t>,</w:t>
      </w:r>
      <w:r w:rsidR="00063616" w:rsidRPr="00C32486">
        <w:t xml:space="preserve"> or if Annex 8 can be deleted.  </w:t>
      </w:r>
      <w:r w:rsidR="00063616" w:rsidRPr="009009F3">
        <w:t>If the group decides examples are still relevant then it will either update</w:t>
      </w:r>
      <w:r w:rsidR="00063616">
        <w:t xml:space="preserve"> </w:t>
      </w:r>
      <w:r w:rsidR="00063616" w:rsidRPr="009009F3">
        <w:t xml:space="preserve">Annex 8 or prepare examples for inclusion </w:t>
      </w:r>
      <w:r w:rsidR="00063616">
        <w:t>o</w:t>
      </w:r>
      <w:r w:rsidR="00063616" w:rsidRPr="009009F3">
        <w:t xml:space="preserve">n the </w:t>
      </w:r>
      <w:r w:rsidR="00063616">
        <w:t>GHS Sub-committee’s “</w:t>
      </w:r>
      <w:r w:rsidR="00063616" w:rsidRPr="009009F3">
        <w:t>Guidance on the application of GHS criteria</w:t>
      </w:r>
      <w:r w:rsidR="00063616">
        <w:t>”</w:t>
      </w:r>
      <w:r w:rsidR="00063616" w:rsidRPr="009009F3">
        <w:t xml:space="preserve"> website, following the</w:t>
      </w:r>
      <w:r w:rsidR="008079E9">
        <w:t xml:space="preserve"> previous</w:t>
      </w:r>
      <w:r w:rsidR="00063616" w:rsidRPr="009009F3">
        <w:t xml:space="preserve"> approach used </w:t>
      </w:r>
      <w:r w:rsidR="00436053">
        <w:t xml:space="preserve">by the PCI </w:t>
      </w:r>
      <w:r w:rsidR="00F03C6D">
        <w:t xml:space="preserve">for </w:t>
      </w:r>
      <w:r w:rsidR="00063616" w:rsidRPr="009009F3">
        <w:t>mixtures examples. </w:t>
      </w:r>
    </w:p>
    <w:p w14:paraId="7A7A217E" w14:textId="77777777" w:rsidR="00EF0D81" w:rsidRPr="00F66549" w:rsidRDefault="00EF0D81" w:rsidP="00EF0D81">
      <w:pPr>
        <w:pStyle w:val="HChG"/>
      </w:pPr>
      <w:r>
        <w:tab/>
      </w:r>
      <w:r>
        <w:tab/>
      </w:r>
      <w:r w:rsidRPr="00F66549">
        <w:t>Conclusion</w:t>
      </w:r>
    </w:p>
    <w:p w14:paraId="3A63E412" w14:textId="1091F73A" w:rsidR="00EF0D81" w:rsidRDefault="003C50F7" w:rsidP="003C50F7">
      <w:pPr>
        <w:pStyle w:val="SingleTxtG"/>
        <w:tabs>
          <w:tab w:val="left" w:pos="1701"/>
        </w:tabs>
        <w:ind w:left="1704" w:hanging="570"/>
      </w:pPr>
      <w:r>
        <w:t>5.</w:t>
      </w:r>
      <w:r>
        <w:tab/>
      </w:r>
      <w:r w:rsidR="00EF0D81" w:rsidRPr="00F66549">
        <w:t xml:space="preserve">The </w:t>
      </w:r>
      <w:r w:rsidR="00C8432F">
        <w:t xml:space="preserve">PCI </w:t>
      </w:r>
      <w:r w:rsidR="003265C8">
        <w:t xml:space="preserve">informal </w:t>
      </w:r>
      <w:r w:rsidR="00EF0D81">
        <w:t>c</w:t>
      </w:r>
      <w:r w:rsidR="00EF0D81" w:rsidRPr="00F66549">
        <w:t xml:space="preserve">orrespondence </w:t>
      </w:r>
      <w:r w:rsidR="00EF0D81">
        <w:t>g</w:t>
      </w:r>
      <w:r w:rsidR="00EF0D81" w:rsidRPr="00F66549">
        <w:t xml:space="preserve">roup proposes these items for the </w:t>
      </w:r>
      <w:r w:rsidR="00EF0D81">
        <w:t>next</w:t>
      </w:r>
      <w:r w:rsidR="00EF0D81" w:rsidRPr="00F66549">
        <w:t xml:space="preserve"> biennium and </w:t>
      </w:r>
      <w:r w:rsidR="00C8432F">
        <w:t>invites</w:t>
      </w:r>
      <w:r w:rsidR="00EF0D81" w:rsidRPr="00F66549">
        <w:t xml:space="preserve"> the Sub</w:t>
      </w:r>
      <w:r w:rsidR="00EF0D81">
        <w:t>-C</w:t>
      </w:r>
      <w:r w:rsidR="00EF0D81" w:rsidRPr="00F66549">
        <w:t xml:space="preserve">ommittee </w:t>
      </w:r>
      <w:r w:rsidR="00C8432F">
        <w:t xml:space="preserve">to consider the recommended program of </w:t>
      </w:r>
      <w:r w:rsidR="00EF0D81" w:rsidRPr="00F66549">
        <w:t>work.</w:t>
      </w:r>
    </w:p>
    <w:p w14:paraId="253165C6" w14:textId="44B9B730" w:rsidR="00471A50" w:rsidRPr="00570FE1" w:rsidRDefault="00570FE1" w:rsidP="00570FE1">
      <w:pPr>
        <w:spacing w:before="240"/>
        <w:jc w:val="center"/>
        <w:rPr>
          <w:u w:val="single"/>
        </w:rPr>
      </w:pPr>
      <w:r>
        <w:rPr>
          <w:u w:val="single"/>
        </w:rPr>
        <w:tab/>
      </w:r>
      <w:r>
        <w:rPr>
          <w:u w:val="single"/>
        </w:rPr>
        <w:tab/>
      </w:r>
      <w:r>
        <w:rPr>
          <w:u w:val="single"/>
        </w:rPr>
        <w:tab/>
      </w:r>
    </w:p>
    <w:p w14:paraId="40249975" w14:textId="648C8B06" w:rsidR="000724E3" w:rsidRDefault="000724E3" w:rsidP="000724E3">
      <w:pPr>
        <w:ind w:left="720"/>
      </w:pPr>
    </w:p>
    <w:p w14:paraId="6EF0E4EB" w14:textId="2A8B0236" w:rsidR="00BF6190" w:rsidRDefault="00BF6190"/>
    <w:sectPr w:rsidR="00BF6190" w:rsidSect="00B15F72">
      <w:headerReference w:type="default" r:id="rId11"/>
      <w:footerReference w:type="default" r:id="rId12"/>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C0A3" w14:textId="77777777" w:rsidR="007D7290" w:rsidRDefault="007D7290" w:rsidP="00203584">
      <w:pPr>
        <w:spacing w:line="240" w:lineRule="auto"/>
      </w:pPr>
      <w:r>
        <w:separator/>
      </w:r>
    </w:p>
  </w:endnote>
  <w:endnote w:type="continuationSeparator" w:id="0">
    <w:p w14:paraId="74EFD201" w14:textId="77777777" w:rsidR="007D7290" w:rsidRDefault="007D7290" w:rsidP="00203584">
      <w:pPr>
        <w:spacing w:line="240" w:lineRule="auto"/>
      </w:pPr>
      <w:r>
        <w:continuationSeparator/>
      </w:r>
    </w:p>
  </w:endnote>
  <w:endnote w:type="continuationNotice" w:id="1">
    <w:p w14:paraId="6E2864E7" w14:textId="77777777" w:rsidR="007D7290" w:rsidRDefault="007D72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692498913"/>
      <w:docPartObj>
        <w:docPartGallery w:val="Page Numbers (Bottom of Page)"/>
        <w:docPartUnique/>
      </w:docPartObj>
    </w:sdtPr>
    <w:sdtEndPr>
      <w:rPr>
        <w:noProof/>
      </w:rPr>
    </w:sdtEndPr>
    <w:sdtContent>
      <w:p w14:paraId="713D892E" w14:textId="6EE260CD" w:rsidR="00B15F72" w:rsidRPr="00B15F72" w:rsidRDefault="00B15F72">
        <w:pPr>
          <w:pStyle w:val="Footer"/>
          <w:rPr>
            <w:b/>
            <w:bCs/>
            <w:sz w:val="18"/>
            <w:szCs w:val="18"/>
          </w:rPr>
        </w:pPr>
        <w:r w:rsidRPr="00B15F72">
          <w:rPr>
            <w:b/>
            <w:bCs/>
            <w:sz w:val="18"/>
            <w:szCs w:val="18"/>
          </w:rPr>
          <w:fldChar w:fldCharType="begin"/>
        </w:r>
        <w:r w:rsidRPr="00B15F72">
          <w:rPr>
            <w:b/>
            <w:bCs/>
            <w:sz w:val="18"/>
            <w:szCs w:val="18"/>
          </w:rPr>
          <w:instrText xml:space="preserve"> PAGE   \* MERGEFORMAT </w:instrText>
        </w:r>
        <w:r w:rsidRPr="00B15F72">
          <w:rPr>
            <w:b/>
            <w:bCs/>
            <w:sz w:val="18"/>
            <w:szCs w:val="18"/>
          </w:rPr>
          <w:fldChar w:fldCharType="separate"/>
        </w:r>
        <w:r w:rsidR="00F4343B">
          <w:rPr>
            <w:b/>
            <w:bCs/>
            <w:noProof/>
            <w:sz w:val="18"/>
            <w:szCs w:val="18"/>
          </w:rPr>
          <w:t>2</w:t>
        </w:r>
        <w:r w:rsidRPr="00B15F72">
          <w:rPr>
            <w:b/>
            <w:bCs/>
            <w:noProof/>
            <w:sz w:val="18"/>
            <w:szCs w:val="18"/>
          </w:rPr>
          <w:fldChar w:fldCharType="end"/>
        </w:r>
      </w:p>
    </w:sdtContent>
  </w:sdt>
  <w:p w14:paraId="70C926A4" w14:textId="77777777" w:rsidR="00B15F72" w:rsidRDefault="00B1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95F7" w14:textId="77777777" w:rsidR="007D7290" w:rsidRDefault="007D7290" w:rsidP="00203584">
      <w:pPr>
        <w:spacing w:line="240" w:lineRule="auto"/>
      </w:pPr>
      <w:r>
        <w:separator/>
      </w:r>
    </w:p>
  </w:footnote>
  <w:footnote w:type="continuationSeparator" w:id="0">
    <w:p w14:paraId="0ECF00FE" w14:textId="77777777" w:rsidR="007D7290" w:rsidRDefault="007D7290" w:rsidP="00203584">
      <w:pPr>
        <w:spacing w:line="240" w:lineRule="auto"/>
      </w:pPr>
      <w:r>
        <w:continuationSeparator/>
      </w:r>
    </w:p>
  </w:footnote>
  <w:footnote w:type="continuationNotice" w:id="1">
    <w:p w14:paraId="784FF736" w14:textId="77777777" w:rsidR="007D7290" w:rsidRDefault="007D72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A670" w14:textId="2B4430A4" w:rsidR="00570FE1" w:rsidRPr="00B15F72" w:rsidRDefault="00570FE1" w:rsidP="00B15F72">
    <w:pPr>
      <w:pStyle w:val="Header"/>
      <w:pBdr>
        <w:bottom w:val="single" w:sz="4" w:space="1" w:color="auto"/>
      </w:pBdr>
      <w:rPr>
        <w:b/>
        <w:bCs/>
        <w:lang w:val="fr-CH"/>
      </w:rPr>
    </w:pPr>
    <w:r w:rsidRPr="00B15F72">
      <w:rPr>
        <w:b/>
        <w:bCs/>
        <w:lang w:val="fr-CH"/>
      </w:rPr>
      <w:t>UN/SCEGHS/</w:t>
    </w:r>
    <w:r w:rsidR="00964600">
      <w:rPr>
        <w:b/>
        <w:bCs/>
        <w:lang w:val="fr-CH"/>
      </w:rPr>
      <w:t>43</w:t>
    </w:r>
    <w:r w:rsidRPr="00B15F72">
      <w:rPr>
        <w:b/>
        <w:bCs/>
        <w:lang w:val="fr-CH"/>
      </w:rPr>
      <w:t>/INF</w:t>
    </w:r>
    <w:r w:rsidR="00B15F72" w:rsidRPr="00B15F72">
      <w:rPr>
        <w:b/>
        <w:bCs/>
        <w:lang w:val="fr-CH"/>
      </w:rPr>
      <w:t>.</w:t>
    </w:r>
    <w:r w:rsidR="00BD086F">
      <w:rPr>
        <w:b/>
        <w:bCs/>
        <w:lang w:val="fr-CH"/>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26CB"/>
    <w:multiLevelType w:val="hybridMultilevel"/>
    <w:tmpl w:val="096E3D8C"/>
    <w:lvl w:ilvl="0" w:tplc="ACB88A6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5BB4BD4"/>
    <w:multiLevelType w:val="hybridMultilevel"/>
    <w:tmpl w:val="51CC6256"/>
    <w:lvl w:ilvl="0" w:tplc="BEC6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F0D3F8C"/>
    <w:multiLevelType w:val="hybridMultilevel"/>
    <w:tmpl w:val="2ABE4888"/>
    <w:lvl w:ilvl="0" w:tplc="04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7D951850"/>
    <w:multiLevelType w:val="hybridMultilevel"/>
    <w:tmpl w:val="630AFE74"/>
    <w:lvl w:ilvl="0" w:tplc="15F814A6">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1B4"/>
    <w:rsid w:val="00015CE8"/>
    <w:rsid w:val="00020662"/>
    <w:rsid w:val="00021E29"/>
    <w:rsid w:val="00025C11"/>
    <w:rsid w:val="00027D95"/>
    <w:rsid w:val="0004012A"/>
    <w:rsid w:val="00041A98"/>
    <w:rsid w:val="00041BF7"/>
    <w:rsid w:val="00063616"/>
    <w:rsid w:val="0007007F"/>
    <w:rsid w:val="00070993"/>
    <w:rsid w:val="000722F7"/>
    <w:rsid w:val="000724E3"/>
    <w:rsid w:val="000736C5"/>
    <w:rsid w:val="000800FD"/>
    <w:rsid w:val="00086E13"/>
    <w:rsid w:val="00091570"/>
    <w:rsid w:val="00091B98"/>
    <w:rsid w:val="0009606F"/>
    <w:rsid w:val="00097624"/>
    <w:rsid w:val="000A6520"/>
    <w:rsid w:val="000B17DB"/>
    <w:rsid w:val="000B405A"/>
    <w:rsid w:val="000C30A7"/>
    <w:rsid w:val="000C530F"/>
    <w:rsid w:val="000C55DB"/>
    <w:rsid w:val="000C727E"/>
    <w:rsid w:val="000D5782"/>
    <w:rsid w:val="000D77A1"/>
    <w:rsid w:val="000E5585"/>
    <w:rsid w:val="000E69B9"/>
    <w:rsid w:val="000F3F3C"/>
    <w:rsid w:val="000F4956"/>
    <w:rsid w:val="000F74D7"/>
    <w:rsid w:val="0010630E"/>
    <w:rsid w:val="00112440"/>
    <w:rsid w:val="001210C7"/>
    <w:rsid w:val="00123480"/>
    <w:rsid w:val="00130F0D"/>
    <w:rsid w:val="00137144"/>
    <w:rsid w:val="0015114B"/>
    <w:rsid w:val="001603DA"/>
    <w:rsid w:val="00165248"/>
    <w:rsid w:val="00166903"/>
    <w:rsid w:val="00172950"/>
    <w:rsid w:val="001746BF"/>
    <w:rsid w:val="00185FDB"/>
    <w:rsid w:val="001931DE"/>
    <w:rsid w:val="001A0A6A"/>
    <w:rsid w:val="001A34A6"/>
    <w:rsid w:val="001C6C57"/>
    <w:rsid w:val="001E2247"/>
    <w:rsid w:val="001E4C86"/>
    <w:rsid w:val="001E5D1C"/>
    <w:rsid w:val="001E7040"/>
    <w:rsid w:val="001F0449"/>
    <w:rsid w:val="001F0FE4"/>
    <w:rsid w:val="001F3957"/>
    <w:rsid w:val="001F4464"/>
    <w:rsid w:val="00203584"/>
    <w:rsid w:val="002132F5"/>
    <w:rsid w:val="0021479B"/>
    <w:rsid w:val="00227318"/>
    <w:rsid w:val="00246ABD"/>
    <w:rsid w:val="00267F3B"/>
    <w:rsid w:val="002779D2"/>
    <w:rsid w:val="00291992"/>
    <w:rsid w:val="002921C1"/>
    <w:rsid w:val="00293CEE"/>
    <w:rsid w:val="0029647F"/>
    <w:rsid w:val="002C2031"/>
    <w:rsid w:val="002C5C5B"/>
    <w:rsid w:val="002D27CF"/>
    <w:rsid w:val="002D3360"/>
    <w:rsid w:val="002E1751"/>
    <w:rsid w:val="002E5EB6"/>
    <w:rsid w:val="002F1D0F"/>
    <w:rsid w:val="002F2186"/>
    <w:rsid w:val="003018B2"/>
    <w:rsid w:val="00320505"/>
    <w:rsid w:val="00321778"/>
    <w:rsid w:val="003265C8"/>
    <w:rsid w:val="00333CA6"/>
    <w:rsid w:val="0033763B"/>
    <w:rsid w:val="00340648"/>
    <w:rsid w:val="003448EF"/>
    <w:rsid w:val="0036026F"/>
    <w:rsid w:val="003638B6"/>
    <w:rsid w:val="00366CAD"/>
    <w:rsid w:val="003672EF"/>
    <w:rsid w:val="00367868"/>
    <w:rsid w:val="00372B43"/>
    <w:rsid w:val="00373B3B"/>
    <w:rsid w:val="003756FE"/>
    <w:rsid w:val="00384FAD"/>
    <w:rsid w:val="00386215"/>
    <w:rsid w:val="003908A8"/>
    <w:rsid w:val="003A0A6D"/>
    <w:rsid w:val="003C23B4"/>
    <w:rsid w:val="003C50F7"/>
    <w:rsid w:val="003D09FD"/>
    <w:rsid w:val="003D2352"/>
    <w:rsid w:val="003F2B14"/>
    <w:rsid w:val="003F36D5"/>
    <w:rsid w:val="003F3E93"/>
    <w:rsid w:val="003F585F"/>
    <w:rsid w:val="004024DC"/>
    <w:rsid w:val="00404F46"/>
    <w:rsid w:val="00424D74"/>
    <w:rsid w:val="00431CC4"/>
    <w:rsid w:val="00436053"/>
    <w:rsid w:val="00436BD3"/>
    <w:rsid w:val="00437989"/>
    <w:rsid w:val="00440DD5"/>
    <w:rsid w:val="00443D2B"/>
    <w:rsid w:val="0044508C"/>
    <w:rsid w:val="004472C4"/>
    <w:rsid w:val="00451A2F"/>
    <w:rsid w:val="00456504"/>
    <w:rsid w:val="004578D4"/>
    <w:rsid w:val="0046610B"/>
    <w:rsid w:val="00471019"/>
    <w:rsid w:val="004719E8"/>
    <w:rsid w:val="00471A50"/>
    <w:rsid w:val="00473A72"/>
    <w:rsid w:val="00480BEA"/>
    <w:rsid w:val="0049209D"/>
    <w:rsid w:val="004A59A6"/>
    <w:rsid w:val="004B0F57"/>
    <w:rsid w:val="004B50D5"/>
    <w:rsid w:val="004B60A0"/>
    <w:rsid w:val="004C0FB3"/>
    <w:rsid w:val="004C229F"/>
    <w:rsid w:val="004D0125"/>
    <w:rsid w:val="004F0726"/>
    <w:rsid w:val="00500E46"/>
    <w:rsid w:val="00512714"/>
    <w:rsid w:val="00543703"/>
    <w:rsid w:val="00543B95"/>
    <w:rsid w:val="00556D99"/>
    <w:rsid w:val="00570FE1"/>
    <w:rsid w:val="00572D0E"/>
    <w:rsid w:val="00581038"/>
    <w:rsid w:val="00584FE2"/>
    <w:rsid w:val="00585D5C"/>
    <w:rsid w:val="0058670B"/>
    <w:rsid w:val="005945FA"/>
    <w:rsid w:val="00595167"/>
    <w:rsid w:val="005A28CD"/>
    <w:rsid w:val="005B453C"/>
    <w:rsid w:val="005B5C7B"/>
    <w:rsid w:val="005D2AB0"/>
    <w:rsid w:val="005D42CB"/>
    <w:rsid w:val="005D4FFD"/>
    <w:rsid w:val="005D590F"/>
    <w:rsid w:val="005D5A1E"/>
    <w:rsid w:val="005E03A0"/>
    <w:rsid w:val="005E4322"/>
    <w:rsid w:val="005F161C"/>
    <w:rsid w:val="005F68AF"/>
    <w:rsid w:val="005F78AC"/>
    <w:rsid w:val="0060128B"/>
    <w:rsid w:val="006021A6"/>
    <w:rsid w:val="00610495"/>
    <w:rsid w:val="00615FED"/>
    <w:rsid w:val="0062123D"/>
    <w:rsid w:val="00621594"/>
    <w:rsid w:val="00630D0C"/>
    <w:rsid w:val="0063296F"/>
    <w:rsid w:val="00632AE5"/>
    <w:rsid w:val="0064031E"/>
    <w:rsid w:val="0064194B"/>
    <w:rsid w:val="0064581B"/>
    <w:rsid w:val="00655375"/>
    <w:rsid w:val="00664474"/>
    <w:rsid w:val="00673BB6"/>
    <w:rsid w:val="00681C24"/>
    <w:rsid w:val="00694D62"/>
    <w:rsid w:val="006A6E42"/>
    <w:rsid w:val="006B00AF"/>
    <w:rsid w:val="006B1C47"/>
    <w:rsid w:val="006B21D5"/>
    <w:rsid w:val="006B241C"/>
    <w:rsid w:val="006B2916"/>
    <w:rsid w:val="006B4CF8"/>
    <w:rsid w:val="006D4A31"/>
    <w:rsid w:val="006D5921"/>
    <w:rsid w:val="006D73E4"/>
    <w:rsid w:val="006E4A6A"/>
    <w:rsid w:val="006E5B79"/>
    <w:rsid w:val="006F4017"/>
    <w:rsid w:val="006F7ABC"/>
    <w:rsid w:val="00700ABE"/>
    <w:rsid w:val="00702906"/>
    <w:rsid w:val="007153D2"/>
    <w:rsid w:val="00721288"/>
    <w:rsid w:val="00733342"/>
    <w:rsid w:val="00734580"/>
    <w:rsid w:val="007379C5"/>
    <w:rsid w:val="00760605"/>
    <w:rsid w:val="00781DDD"/>
    <w:rsid w:val="00797CFD"/>
    <w:rsid w:val="007B4F0C"/>
    <w:rsid w:val="007C7831"/>
    <w:rsid w:val="007D06A0"/>
    <w:rsid w:val="007D0C95"/>
    <w:rsid w:val="007D7290"/>
    <w:rsid w:val="007F7110"/>
    <w:rsid w:val="00800D54"/>
    <w:rsid w:val="008079E9"/>
    <w:rsid w:val="0081062F"/>
    <w:rsid w:val="00812A81"/>
    <w:rsid w:val="00814029"/>
    <w:rsid w:val="00840B37"/>
    <w:rsid w:val="00851A02"/>
    <w:rsid w:val="008560C3"/>
    <w:rsid w:val="0085674F"/>
    <w:rsid w:val="00856D26"/>
    <w:rsid w:val="008672B8"/>
    <w:rsid w:val="00877DD4"/>
    <w:rsid w:val="008905C4"/>
    <w:rsid w:val="00890977"/>
    <w:rsid w:val="00897C66"/>
    <w:rsid w:val="008A4DDD"/>
    <w:rsid w:val="008A51F0"/>
    <w:rsid w:val="008B3FF1"/>
    <w:rsid w:val="008B43E8"/>
    <w:rsid w:val="008C2F09"/>
    <w:rsid w:val="008D3C1D"/>
    <w:rsid w:val="008E3714"/>
    <w:rsid w:val="008F0381"/>
    <w:rsid w:val="008F08AE"/>
    <w:rsid w:val="009009F3"/>
    <w:rsid w:val="00905F95"/>
    <w:rsid w:val="00914479"/>
    <w:rsid w:val="00915E95"/>
    <w:rsid w:val="00916A1C"/>
    <w:rsid w:val="00927183"/>
    <w:rsid w:val="00927FB7"/>
    <w:rsid w:val="00941DC7"/>
    <w:rsid w:val="00942943"/>
    <w:rsid w:val="00947C80"/>
    <w:rsid w:val="0095027A"/>
    <w:rsid w:val="00960B73"/>
    <w:rsid w:val="00964600"/>
    <w:rsid w:val="00964DB3"/>
    <w:rsid w:val="00967F54"/>
    <w:rsid w:val="00971E3D"/>
    <w:rsid w:val="009808E7"/>
    <w:rsid w:val="00984379"/>
    <w:rsid w:val="00990121"/>
    <w:rsid w:val="009A4B51"/>
    <w:rsid w:val="009B3FEF"/>
    <w:rsid w:val="009C3E1E"/>
    <w:rsid w:val="009D0D86"/>
    <w:rsid w:val="009D2966"/>
    <w:rsid w:val="009F6591"/>
    <w:rsid w:val="00A04853"/>
    <w:rsid w:val="00A06FA3"/>
    <w:rsid w:val="00A07A61"/>
    <w:rsid w:val="00A23870"/>
    <w:rsid w:val="00A3459F"/>
    <w:rsid w:val="00A34D19"/>
    <w:rsid w:val="00A359E5"/>
    <w:rsid w:val="00A42B3E"/>
    <w:rsid w:val="00A431C6"/>
    <w:rsid w:val="00A45A83"/>
    <w:rsid w:val="00A4609C"/>
    <w:rsid w:val="00A60B83"/>
    <w:rsid w:val="00A6348E"/>
    <w:rsid w:val="00A63CDF"/>
    <w:rsid w:val="00A75A1F"/>
    <w:rsid w:val="00A81C63"/>
    <w:rsid w:val="00A81EDB"/>
    <w:rsid w:val="00A85DB3"/>
    <w:rsid w:val="00AA0289"/>
    <w:rsid w:val="00AB1072"/>
    <w:rsid w:val="00AB548F"/>
    <w:rsid w:val="00AC0DFB"/>
    <w:rsid w:val="00AE08EB"/>
    <w:rsid w:val="00AE1A09"/>
    <w:rsid w:val="00AF6D86"/>
    <w:rsid w:val="00B05ACE"/>
    <w:rsid w:val="00B127AA"/>
    <w:rsid w:val="00B15F72"/>
    <w:rsid w:val="00B23AF9"/>
    <w:rsid w:val="00B25231"/>
    <w:rsid w:val="00B41968"/>
    <w:rsid w:val="00B42A47"/>
    <w:rsid w:val="00B42CB8"/>
    <w:rsid w:val="00B45D7A"/>
    <w:rsid w:val="00B61A3B"/>
    <w:rsid w:val="00B668CA"/>
    <w:rsid w:val="00B72FE5"/>
    <w:rsid w:val="00B84376"/>
    <w:rsid w:val="00B91288"/>
    <w:rsid w:val="00BB4EB0"/>
    <w:rsid w:val="00BC21A7"/>
    <w:rsid w:val="00BD086F"/>
    <w:rsid w:val="00BD532E"/>
    <w:rsid w:val="00BE0042"/>
    <w:rsid w:val="00BE0EA6"/>
    <w:rsid w:val="00BE1FA4"/>
    <w:rsid w:val="00BF6190"/>
    <w:rsid w:val="00C0258D"/>
    <w:rsid w:val="00C0330F"/>
    <w:rsid w:val="00C0385B"/>
    <w:rsid w:val="00C1152B"/>
    <w:rsid w:val="00C12E23"/>
    <w:rsid w:val="00C21AE3"/>
    <w:rsid w:val="00C25D78"/>
    <w:rsid w:val="00C26282"/>
    <w:rsid w:val="00C32486"/>
    <w:rsid w:val="00C33E77"/>
    <w:rsid w:val="00C43907"/>
    <w:rsid w:val="00C5461B"/>
    <w:rsid w:val="00C569F4"/>
    <w:rsid w:val="00C65B39"/>
    <w:rsid w:val="00C65F6D"/>
    <w:rsid w:val="00C751F4"/>
    <w:rsid w:val="00C7713E"/>
    <w:rsid w:val="00C8432F"/>
    <w:rsid w:val="00C85331"/>
    <w:rsid w:val="00C8628F"/>
    <w:rsid w:val="00CA184F"/>
    <w:rsid w:val="00CA6715"/>
    <w:rsid w:val="00CA73D0"/>
    <w:rsid w:val="00CD42DC"/>
    <w:rsid w:val="00CD70C1"/>
    <w:rsid w:val="00CF3F91"/>
    <w:rsid w:val="00D01B62"/>
    <w:rsid w:val="00D02056"/>
    <w:rsid w:val="00D062DF"/>
    <w:rsid w:val="00D132EA"/>
    <w:rsid w:val="00D3223C"/>
    <w:rsid w:val="00D40033"/>
    <w:rsid w:val="00D40462"/>
    <w:rsid w:val="00D4532E"/>
    <w:rsid w:val="00D50725"/>
    <w:rsid w:val="00D559EB"/>
    <w:rsid w:val="00D724BB"/>
    <w:rsid w:val="00D73D34"/>
    <w:rsid w:val="00D82B7B"/>
    <w:rsid w:val="00D9436E"/>
    <w:rsid w:val="00DA7448"/>
    <w:rsid w:val="00DA7467"/>
    <w:rsid w:val="00DC5197"/>
    <w:rsid w:val="00DD3735"/>
    <w:rsid w:val="00DF3705"/>
    <w:rsid w:val="00DF4430"/>
    <w:rsid w:val="00DF6B2B"/>
    <w:rsid w:val="00E0474E"/>
    <w:rsid w:val="00E054F6"/>
    <w:rsid w:val="00E11618"/>
    <w:rsid w:val="00E16F65"/>
    <w:rsid w:val="00E20A5D"/>
    <w:rsid w:val="00E44FAB"/>
    <w:rsid w:val="00E57A82"/>
    <w:rsid w:val="00E632B8"/>
    <w:rsid w:val="00E64098"/>
    <w:rsid w:val="00E66943"/>
    <w:rsid w:val="00E75739"/>
    <w:rsid w:val="00E76D3E"/>
    <w:rsid w:val="00E77751"/>
    <w:rsid w:val="00E81527"/>
    <w:rsid w:val="00E911A3"/>
    <w:rsid w:val="00E94AD5"/>
    <w:rsid w:val="00E96C4C"/>
    <w:rsid w:val="00EA0BCA"/>
    <w:rsid w:val="00EA7A22"/>
    <w:rsid w:val="00EC3FDA"/>
    <w:rsid w:val="00ED4094"/>
    <w:rsid w:val="00EF0D81"/>
    <w:rsid w:val="00EF11EF"/>
    <w:rsid w:val="00EF53FD"/>
    <w:rsid w:val="00F03C6D"/>
    <w:rsid w:val="00F04159"/>
    <w:rsid w:val="00F0689D"/>
    <w:rsid w:val="00F15E8F"/>
    <w:rsid w:val="00F24774"/>
    <w:rsid w:val="00F37398"/>
    <w:rsid w:val="00F4343B"/>
    <w:rsid w:val="00F77CF4"/>
    <w:rsid w:val="00F835EE"/>
    <w:rsid w:val="00FA0465"/>
    <w:rsid w:val="00FA18F4"/>
    <w:rsid w:val="00FC3F12"/>
    <w:rsid w:val="00FC6661"/>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7698"/>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qFormat/>
    <w:rsid w:val="007F7110"/>
    <w:rPr>
      <w:lang w:eastAsia="en-US"/>
    </w:rPr>
  </w:style>
  <w:style w:type="paragraph" w:styleId="FootnoteText">
    <w:name w:val="footnote text"/>
    <w:basedOn w:val="Normal"/>
    <w:link w:val="FootnoteTextChar"/>
    <w:uiPriority w:val="99"/>
    <w:semiHidden/>
    <w:unhideWhenUsed/>
    <w:rsid w:val="00E64098"/>
    <w:pPr>
      <w:spacing w:line="240" w:lineRule="auto"/>
    </w:pPr>
  </w:style>
  <w:style w:type="character" w:customStyle="1" w:styleId="FootnoteTextChar">
    <w:name w:val="Footnote Text Char"/>
    <w:basedOn w:val="DefaultParagraphFont"/>
    <w:link w:val="FootnoteText"/>
    <w:uiPriority w:val="99"/>
    <w:semiHidden/>
    <w:rsid w:val="00E6409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64098"/>
    <w:rPr>
      <w:vertAlign w:val="superscript"/>
    </w:rPr>
  </w:style>
  <w:style w:type="character" w:styleId="CommentReference">
    <w:name w:val="annotation reference"/>
    <w:basedOn w:val="DefaultParagraphFont"/>
    <w:uiPriority w:val="99"/>
    <w:semiHidden/>
    <w:unhideWhenUsed/>
    <w:rsid w:val="00A81EDB"/>
    <w:rPr>
      <w:sz w:val="16"/>
      <w:szCs w:val="16"/>
    </w:rPr>
  </w:style>
  <w:style w:type="paragraph" w:styleId="CommentText">
    <w:name w:val="annotation text"/>
    <w:basedOn w:val="Normal"/>
    <w:link w:val="CommentTextChar"/>
    <w:uiPriority w:val="99"/>
    <w:unhideWhenUsed/>
    <w:rsid w:val="00A81EDB"/>
    <w:pPr>
      <w:spacing w:line="240" w:lineRule="auto"/>
    </w:pPr>
  </w:style>
  <w:style w:type="character" w:customStyle="1" w:styleId="CommentTextChar">
    <w:name w:val="Comment Text Char"/>
    <w:basedOn w:val="DefaultParagraphFont"/>
    <w:link w:val="CommentText"/>
    <w:uiPriority w:val="99"/>
    <w:rsid w:val="00A81ED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1EDB"/>
    <w:rPr>
      <w:b/>
      <w:bCs/>
    </w:rPr>
  </w:style>
  <w:style w:type="character" w:customStyle="1" w:styleId="CommentSubjectChar">
    <w:name w:val="Comment Subject Char"/>
    <w:basedOn w:val="CommentTextChar"/>
    <w:link w:val="CommentSubject"/>
    <w:uiPriority w:val="99"/>
    <w:semiHidden/>
    <w:rsid w:val="00A81EDB"/>
    <w:rPr>
      <w:rFonts w:ascii="Times New Roman" w:eastAsia="Times New Roman" w:hAnsi="Times New Roman" w:cs="Times New Roman"/>
      <w:b/>
      <w:bCs/>
      <w:sz w:val="20"/>
      <w:szCs w:val="20"/>
      <w:lang w:val="en-GB"/>
    </w:rPr>
  </w:style>
  <w:style w:type="paragraph" w:styleId="Revision">
    <w:name w:val="Revision"/>
    <w:hidden/>
    <w:uiPriority w:val="99"/>
    <w:semiHidden/>
    <w:rsid w:val="00424D7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1E6B1-9F67-4A82-BB1F-86B2E350E48A}">
  <ds:schemaRefs>
    <ds:schemaRef ds:uri="http://schemas.openxmlformats.org/officeDocument/2006/bibliography"/>
  </ds:schemaRefs>
</ds:datastoreItem>
</file>

<file path=customXml/itemProps2.xml><?xml version="1.0" encoding="utf-8"?>
<ds:datastoreItem xmlns:ds="http://schemas.openxmlformats.org/officeDocument/2006/customXml" ds:itemID="{5E215D2B-13B6-4E7D-8026-491D4FE789D8}">
  <ds:schemaRefs>
    <ds:schemaRef ds:uri="http://schemas.microsoft.com/sharepoint/v3/contenttype/forms"/>
  </ds:schemaRefs>
</ds:datastoreItem>
</file>

<file path=customXml/itemProps3.xml><?xml version="1.0" encoding="utf-8"?>
<ds:datastoreItem xmlns:ds="http://schemas.openxmlformats.org/officeDocument/2006/customXml" ds:itemID="{1F89024B-0574-4F30-8633-99F531FE587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462D009-62A0-4496-8AF0-4445EAE7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Rosa Garcia Couto</cp:lastModifiedBy>
  <cp:revision>13</cp:revision>
  <cp:lastPrinted>2022-12-05T09:41:00Z</cp:lastPrinted>
  <dcterms:created xsi:type="dcterms:W3CDTF">2022-12-04T19:50:00Z</dcterms:created>
  <dcterms:modified xsi:type="dcterms:W3CDTF">2022-12-05T09:41:00Z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0x010100DBF555C7709FAF41B041D375951A48D8</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