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DB555E" w14:paraId="733BC40E" w14:textId="77777777" w:rsidTr="00FA63B2">
        <w:trPr>
          <w:cantSplit/>
          <w:trHeight w:hRule="exact" w:val="851"/>
        </w:trPr>
        <w:tc>
          <w:tcPr>
            <w:tcW w:w="9072" w:type="dxa"/>
            <w:tcBorders>
              <w:bottom w:val="single" w:sz="4" w:space="0" w:color="auto"/>
            </w:tcBorders>
            <w:vAlign w:val="bottom"/>
          </w:tcPr>
          <w:p w14:paraId="30457239" w14:textId="028357C5" w:rsidR="00717408" w:rsidRPr="003E71C6" w:rsidRDefault="00FA63B2" w:rsidP="00D660CB">
            <w:pPr>
              <w:jc w:val="right"/>
              <w:rPr>
                <w:b/>
                <w:sz w:val="40"/>
                <w:szCs w:val="40"/>
                <w:lang w:val="fr-FR"/>
              </w:rPr>
            </w:pPr>
            <w:r w:rsidRPr="003E71C6">
              <w:rPr>
                <w:b/>
                <w:sz w:val="40"/>
                <w:szCs w:val="40"/>
                <w:lang w:val="fr-FR"/>
              </w:rPr>
              <w:t>UN/SCEGHS/</w:t>
            </w:r>
            <w:r w:rsidR="00260117" w:rsidRPr="003E71C6">
              <w:rPr>
                <w:b/>
                <w:sz w:val="40"/>
                <w:szCs w:val="40"/>
                <w:lang w:val="fr-FR"/>
              </w:rPr>
              <w:t>4</w:t>
            </w:r>
            <w:r w:rsidR="005326D3">
              <w:rPr>
                <w:b/>
                <w:sz w:val="40"/>
                <w:szCs w:val="40"/>
                <w:lang w:val="fr-FR"/>
              </w:rPr>
              <w:t>3</w:t>
            </w:r>
            <w:r w:rsidRPr="003E71C6">
              <w:rPr>
                <w:b/>
                <w:sz w:val="40"/>
                <w:szCs w:val="40"/>
                <w:lang w:val="fr-FR"/>
              </w:rPr>
              <w:t>/INF.</w:t>
            </w:r>
            <w:r w:rsidR="00D54FAC">
              <w:rPr>
                <w:b/>
                <w:sz w:val="40"/>
                <w:szCs w:val="40"/>
                <w:lang w:val="fr-FR"/>
              </w:rPr>
              <w:t>32</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4FA0D0D8" w:rsidR="00717408" w:rsidRPr="00951EBC" w:rsidRDefault="00FA63B2" w:rsidP="00AF6447">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D54FAC" w:rsidRPr="00AF6447">
              <w:rPr>
                <w:b/>
                <w:bCs/>
              </w:rPr>
              <w:t xml:space="preserve">2 </w:t>
            </w:r>
            <w:r w:rsidR="00AF6447" w:rsidRPr="00AF6447">
              <w:rPr>
                <w:b/>
                <w:bCs/>
              </w:rPr>
              <w:t xml:space="preserve">December </w:t>
            </w:r>
            <w:r w:rsidR="009B11B2" w:rsidRPr="00AF6447">
              <w:rPr>
                <w:b/>
                <w:bCs/>
              </w:rPr>
              <w:t>202</w:t>
            </w:r>
            <w:r w:rsidR="00C50ACF" w:rsidRPr="00AF6447">
              <w:rPr>
                <w:b/>
                <w:bCs/>
              </w:rPr>
              <w:t>2</w:t>
            </w:r>
          </w:p>
          <w:p w14:paraId="4F6387B0" w14:textId="0B9A1535" w:rsidR="000B6ACF" w:rsidRDefault="003C425A" w:rsidP="000B6ACF">
            <w:pPr>
              <w:spacing w:before="120"/>
              <w:rPr>
                <w:b/>
              </w:rPr>
            </w:pPr>
            <w:bookmarkStart w:id="0" w:name="_Hlk35441056"/>
            <w:r>
              <w:rPr>
                <w:b/>
              </w:rPr>
              <w:t>Fort</w:t>
            </w:r>
            <w:r w:rsidR="00372FC7">
              <w:rPr>
                <w:b/>
              </w:rPr>
              <w:t>y</w:t>
            </w:r>
            <w:r w:rsidR="008E5A03">
              <w:rPr>
                <w:b/>
              </w:rPr>
              <w:t>-</w:t>
            </w:r>
            <w:r w:rsidR="00372FC7">
              <w:rPr>
                <w:b/>
              </w:rPr>
              <w:t>third</w:t>
            </w:r>
            <w:r w:rsidR="000B6ACF">
              <w:rPr>
                <w:b/>
              </w:rPr>
              <w:t xml:space="preserve"> session</w:t>
            </w:r>
          </w:p>
          <w:bookmarkEnd w:id="0"/>
          <w:p w14:paraId="629A7D1E" w14:textId="7643FA4D" w:rsidR="003C425A" w:rsidRPr="009103F3" w:rsidRDefault="003C425A" w:rsidP="003C425A">
            <w:pPr>
              <w:spacing w:before="40"/>
            </w:pPr>
            <w:r w:rsidRPr="009103F3">
              <w:t xml:space="preserve">Geneva, </w:t>
            </w:r>
            <w:r w:rsidR="00D34069">
              <w:t>7</w:t>
            </w:r>
            <w:r w:rsidRPr="009103F3">
              <w:t>-</w:t>
            </w:r>
            <w:r w:rsidR="00D34069">
              <w:t>9 December</w:t>
            </w:r>
            <w:r w:rsidRPr="009103F3">
              <w:t xml:space="preserve"> 202</w:t>
            </w:r>
            <w:r w:rsidR="00D34069">
              <w:t>2</w:t>
            </w:r>
          </w:p>
          <w:p w14:paraId="5BBEE255" w14:textId="276D33EC" w:rsidR="003C425A" w:rsidRPr="0030509D" w:rsidRDefault="003C425A" w:rsidP="003C425A">
            <w:pPr>
              <w:spacing w:before="40"/>
            </w:pPr>
            <w:r w:rsidRPr="0030509D">
              <w:t xml:space="preserve">Item </w:t>
            </w:r>
            <w:r w:rsidR="00125C3E">
              <w:t>7</w:t>
            </w:r>
            <w:r w:rsidRPr="0030509D">
              <w:t xml:space="preserve"> of the provisional agenda</w:t>
            </w:r>
          </w:p>
          <w:p w14:paraId="7F67E7DF" w14:textId="529C52E6" w:rsidR="00717408" w:rsidRPr="009B7C35" w:rsidRDefault="00D07F09" w:rsidP="003C425A">
            <w:pPr>
              <w:spacing w:line="240" w:lineRule="exact"/>
              <w:rPr>
                <w:b/>
                <w:bCs/>
              </w:rPr>
            </w:pPr>
            <w:r>
              <w:rPr>
                <w:b/>
                <w:bCs/>
              </w:rPr>
              <w:t>Programme of work for the biennium 2023-2024</w:t>
            </w:r>
          </w:p>
        </w:tc>
      </w:tr>
    </w:tbl>
    <w:p w14:paraId="08053253" w14:textId="025C772E" w:rsidR="00451105" w:rsidRPr="00BA5DB5" w:rsidRDefault="00BA5DB5" w:rsidP="00BA5DB5">
      <w:pPr>
        <w:pStyle w:val="HChG"/>
        <w:spacing w:before="120"/>
      </w:pPr>
      <w:r w:rsidRPr="00BA5DB5">
        <w:rPr>
          <w:rFonts w:eastAsiaTheme="minorEastAsia"/>
          <w:b w:val="0"/>
          <w:color w:val="000000"/>
          <w:sz w:val="24"/>
          <w:szCs w:val="24"/>
          <w:lang w:eastAsia="zh-CN"/>
        </w:rPr>
        <w:t xml:space="preserve"> </w:t>
      </w:r>
      <w:r>
        <w:rPr>
          <w:rFonts w:eastAsiaTheme="minorEastAsia"/>
          <w:b w:val="0"/>
          <w:color w:val="000000"/>
          <w:sz w:val="24"/>
          <w:szCs w:val="24"/>
          <w:lang w:eastAsia="zh-CN"/>
        </w:rPr>
        <w:tab/>
      </w:r>
      <w:r>
        <w:rPr>
          <w:rFonts w:eastAsiaTheme="minorEastAsia"/>
          <w:b w:val="0"/>
          <w:color w:val="000000"/>
          <w:sz w:val="24"/>
          <w:szCs w:val="24"/>
          <w:lang w:eastAsia="zh-CN"/>
        </w:rPr>
        <w:tab/>
      </w:r>
      <w:r w:rsidR="00561616" w:rsidRPr="00750E41">
        <w:rPr>
          <w:rFonts w:eastAsiaTheme="minorEastAsia"/>
          <w:bCs/>
          <w:color w:val="000000"/>
          <w:szCs w:val="28"/>
          <w:lang w:eastAsia="zh-CN"/>
        </w:rPr>
        <w:t>Terms of reference and</w:t>
      </w:r>
      <w:r w:rsidR="00561616" w:rsidRPr="00750E41">
        <w:rPr>
          <w:rFonts w:eastAsiaTheme="minorEastAsia"/>
          <w:bCs/>
          <w:color w:val="000000"/>
          <w:sz w:val="24"/>
          <w:szCs w:val="24"/>
          <w:lang w:eastAsia="zh-CN"/>
        </w:rPr>
        <w:t xml:space="preserve"> </w:t>
      </w:r>
      <w:r w:rsidR="00561616">
        <w:rPr>
          <w:rFonts w:eastAsiaTheme="minorEastAsia"/>
          <w:bCs/>
          <w:color w:val="000000"/>
          <w:szCs w:val="28"/>
          <w:lang w:eastAsia="zh-CN"/>
        </w:rPr>
        <w:t>p</w:t>
      </w:r>
      <w:r w:rsidR="005F57D7">
        <w:rPr>
          <w:rFonts w:eastAsiaTheme="minorEastAsia"/>
          <w:bCs/>
          <w:color w:val="000000"/>
          <w:szCs w:val="28"/>
          <w:lang w:eastAsia="zh-CN"/>
        </w:rPr>
        <w:t>rogram of work</w:t>
      </w:r>
      <w:r w:rsidRPr="00BA5DB5">
        <w:rPr>
          <w:rFonts w:eastAsiaTheme="minorEastAsia"/>
          <w:bCs/>
          <w:color w:val="000000"/>
          <w:szCs w:val="28"/>
          <w:lang w:eastAsia="zh-CN"/>
        </w:rPr>
        <w:t xml:space="preserve"> for the informal working group on practical labelling issues for biennium 202</w:t>
      </w:r>
      <w:r>
        <w:rPr>
          <w:rFonts w:eastAsiaTheme="minorEastAsia"/>
          <w:bCs/>
          <w:color w:val="000000"/>
          <w:szCs w:val="28"/>
          <w:lang w:eastAsia="zh-CN"/>
        </w:rPr>
        <w:t>3</w:t>
      </w:r>
      <w:r w:rsidRPr="00BA5DB5">
        <w:rPr>
          <w:rFonts w:eastAsiaTheme="minorEastAsia"/>
          <w:bCs/>
          <w:color w:val="000000"/>
          <w:szCs w:val="28"/>
          <w:lang w:eastAsia="zh-CN"/>
        </w:rPr>
        <w:t>-202</w:t>
      </w:r>
      <w:r>
        <w:rPr>
          <w:rFonts w:eastAsiaTheme="minorEastAsia"/>
          <w:bCs/>
          <w:color w:val="000000"/>
          <w:szCs w:val="28"/>
          <w:lang w:eastAsia="zh-CN"/>
        </w:rPr>
        <w:t>4</w:t>
      </w:r>
    </w:p>
    <w:p w14:paraId="1C6BC2B3" w14:textId="4E9EF78E" w:rsidR="00451105" w:rsidRDefault="00440F59" w:rsidP="00440F59">
      <w:pPr>
        <w:pStyle w:val="H1G"/>
      </w:pPr>
      <w:r>
        <w:tab/>
      </w:r>
      <w:r>
        <w:tab/>
      </w:r>
      <w:r w:rsidR="00451105" w:rsidRPr="00E73501">
        <w:t xml:space="preserve">Transmitted by </w:t>
      </w:r>
      <w:r w:rsidR="00600E60" w:rsidRPr="00600E60">
        <w:t>the European Chemical Industry Council (Cefic) on behalf of the informal working group</w:t>
      </w:r>
    </w:p>
    <w:p w14:paraId="764E82D7" w14:textId="3BCB6B09" w:rsidR="00451105" w:rsidRDefault="00440F59" w:rsidP="00440F59">
      <w:pPr>
        <w:pStyle w:val="HChG"/>
      </w:pPr>
      <w:r>
        <w:tab/>
      </w:r>
      <w:r>
        <w:tab/>
      </w:r>
      <w:r w:rsidR="00600E60">
        <w:t>Background</w:t>
      </w:r>
    </w:p>
    <w:p w14:paraId="04AE3DE7" w14:textId="557A1281" w:rsidR="00451105" w:rsidRDefault="00AF6447" w:rsidP="00DE2AC7">
      <w:pPr>
        <w:pStyle w:val="SingleTxtG"/>
        <w:tabs>
          <w:tab w:val="left" w:pos="1701"/>
        </w:tabs>
      </w:pPr>
      <w:r>
        <w:t>1.</w:t>
      </w:r>
      <w:r>
        <w:tab/>
      </w:r>
      <w:r w:rsidR="00DB3A16" w:rsidRPr="00DB3A16">
        <w:t>At its thirty-</w:t>
      </w:r>
      <w:r w:rsidR="00DB3A16">
        <w:t>ninth</w:t>
      </w:r>
      <w:r w:rsidR="00DB3A16" w:rsidRPr="00DB3A16">
        <w:t xml:space="preserve"> meeting, the Sub-Committee </w:t>
      </w:r>
      <w:r w:rsidR="00713DE4">
        <w:t>renew</w:t>
      </w:r>
      <w:r w:rsidR="00DB3A16">
        <w:t xml:space="preserve">ed </w:t>
      </w:r>
      <w:r w:rsidR="00713DE4">
        <w:t xml:space="preserve">the terms of reference of the </w:t>
      </w:r>
      <w:r w:rsidR="00713DE4" w:rsidRPr="00713DE4">
        <w:t>informal working group on practical labelling issues</w:t>
      </w:r>
      <w:r w:rsidR="00413DD8">
        <w:t>,</w:t>
      </w:r>
      <w:r w:rsidR="00713DE4">
        <w:t xml:space="preserve"> wh</w:t>
      </w:r>
      <w:r w:rsidR="00413DD8">
        <w:t>ich</w:t>
      </w:r>
      <w:r w:rsidR="00713DE4">
        <w:t xml:space="preserve"> was asked to c</w:t>
      </w:r>
      <w:r w:rsidR="00DB3A16" w:rsidRPr="00DB3A16">
        <w:t>onsider the opportunities that digitali</w:t>
      </w:r>
      <w:r w:rsidR="002D3FE8">
        <w:t>s</w:t>
      </w:r>
      <w:r w:rsidR="00DB3A16" w:rsidRPr="00DB3A16">
        <w:t>ation may bring to convey GHS hazard information and make proposals to address them.</w:t>
      </w:r>
      <w:r w:rsidR="00403F73">
        <w:t xml:space="preserve"> </w:t>
      </w:r>
    </w:p>
    <w:p w14:paraId="745C143B" w14:textId="485A9104" w:rsidR="00FA2AC0" w:rsidRDefault="00AF6447" w:rsidP="00DE2AC7">
      <w:pPr>
        <w:pStyle w:val="SingleTxtG"/>
        <w:tabs>
          <w:tab w:val="left" w:pos="1701"/>
        </w:tabs>
        <w:rPr>
          <w:rFonts w:eastAsiaTheme="minorEastAsia"/>
          <w:color w:val="000000"/>
          <w:lang w:eastAsia="zh-CN"/>
        </w:rPr>
      </w:pPr>
      <w:r>
        <w:rPr>
          <w:rFonts w:eastAsiaTheme="minorEastAsia"/>
          <w:color w:val="000000"/>
          <w:lang w:eastAsia="zh-CN"/>
        </w:rPr>
        <w:t>2.</w:t>
      </w:r>
      <w:r>
        <w:rPr>
          <w:rFonts w:eastAsiaTheme="minorEastAsia"/>
          <w:color w:val="000000"/>
          <w:lang w:eastAsia="zh-CN"/>
        </w:rPr>
        <w:tab/>
      </w:r>
      <w:r w:rsidR="00FA2AC0" w:rsidRPr="00FA2AC0">
        <w:rPr>
          <w:rFonts w:eastAsiaTheme="minorEastAsia"/>
          <w:color w:val="000000"/>
          <w:lang w:eastAsia="zh-CN"/>
        </w:rPr>
        <w:t xml:space="preserve">During the present biennium the working group </w:t>
      </w:r>
      <w:r w:rsidR="001E540B">
        <w:rPr>
          <w:rFonts w:eastAsiaTheme="minorEastAsia"/>
          <w:color w:val="000000"/>
          <w:lang w:eastAsia="zh-CN"/>
        </w:rPr>
        <w:t>has started updating</w:t>
      </w:r>
      <w:r w:rsidR="00FA2AC0">
        <w:rPr>
          <w:rFonts w:eastAsiaTheme="minorEastAsia"/>
          <w:color w:val="000000"/>
          <w:lang w:eastAsia="zh-CN"/>
        </w:rPr>
        <w:t xml:space="preserve"> and consolidated previous</w:t>
      </w:r>
      <w:r w:rsidR="00FA2AC0" w:rsidRPr="00FA2AC0">
        <w:rPr>
          <w:rFonts w:eastAsiaTheme="minorEastAsia"/>
          <w:color w:val="000000"/>
          <w:lang w:eastAsia="zh-CN"/>
        </w:rPr>
        <w:t xml:space="preserve"> thought starters in order to allow to review the existing digital means of communication that can be used to convey GHS hazard information to users and to explore the background and benefits of, as well as the concerns with, the digitalisation of hazard information for chemical products. </w:t>
      </w:r>
    </w:p>
    <w:p w14:paraId="31CC6FEC" w14:textId="25102D24" w:rsidR="00265A69" w:rsidRDefault="00DE2AC7" w:rsidP="00AF6447">
      <w:pPr>
        <w:pStyle w:val="HChG"/>
        <w:rPr>
          <w:rFonts w:eastAsiaTheme="minorEastAsia"/>
          <w:lang w:eastAsia="zh-CN"/>
        </w:rPr>
      </w:pPr>
      <w:r>
        <w:rPr>
          <w:rFonts w:eastAsiaTheme="minorEastAsia"/>
          <w:lang w:eastAsia="zh-CN"/>
        </w:rPr>
        <w:tab/>
      </w:r>
      <w:r>
        <w:rPr>
          <w:rFonts w:eastAsiaTheme="minorEastAsia"/>
          <w:lang w:eastAsia="zh-CN"/>
        </w:rPr>
        <w:tab/>
      </w:r>
      <w:r w:rsidR="00265A69" w:rsidRPr="00265A69">
        <w:rPr>
          <w:rFonts w:eastAsiaTheme="minorEastAsia"/>
          <w:lang w:eastAsia="zh-CN"/>
        </w:rPr>
        <w:t xml:space="preserve">Terms of reference </w:t>
      </w:r>
    </w:p>
    <w:p w14:paraId="76037E26" w14:textId="7471AF2F" w:rsidR="00265A69" w:rsidRPr="00265A69" w:rsidRDefault="00AF6447" w:rsidP="00DE2AC7">
      <w:pPr>
        <w:pStyle w:val="SingleTxtG"/>
        <w:tabs>
          <w:tab w:val="left" w:pos="1701"/>
        </w:tabs>
        <w:rPr>
          <w:rFonts w:eastAsiaTheme="minorEastAsia"/>
          <w:color w:val="000000"/>
          <w:lang w:eastAsia="zh-CN"/>
        </w:rPr>
      </w:pPr>
      <w:r w:rsidRPr="00265A69">
        <w:rPr>
          <w:rFonts w:eastAsiaTheme="minorEastAsia"/>
          <w:color w:val="000000"/>
          <w:lang w:eastAsia="zh-CN"/>
        </w:rPr>
        <w:t>3.</w:t>
      </w:r>
      <w:r w:rsidRPr="00265A69">
        <w:rPr>
          <w:rFonts w:eastAsiaTheme="minorEastAsia"/>
          <w:color w:val="000000"/>
          <w:lang w:eastAsia="zh-CN"/>
        </w:rPr>
        <w:tab/>
      </w:r>
      <w:r w:rsidR="00265A69" w:rsidRPr="00265A69">
        <w:rPr>
          <w:rFonts w:eastAsiaTheme="minorEastAsia"/>
          <w:color w:val="000000"/>
          <w:lang w:eastAsia="zh-CN"/>
        </w:rPr>
        <w:t xml:space="preserve">The terms of reference of the informal working group on practical labelling issues, as reminded hereafter, are proposed for renewal: </w:t>
      </w:r>
    </w:p>
    <w:p w14:paraId="7F0B6605" w14:textId="3EC59015" w:rsidR="00265A69" w:rsidRPr="00DE2AC7" w:rsidRDefault="00265A69" w:rsidP="00DE2AC7">
      <w:pPr>
        <w:pStyle w:val="SingleTxtG"/>
        <w:ind w:left="2268" w:hanging="567"/>
        <w:rPr>
          <w:rFonts w:eastAsiaTheme="minorEastAsia"/>
          <w:color w:val="000000"/>
          <w:lang w:eastAsia="zh-CN"/>
        </w:rPr>
      </w:pPr>
      <w:r w:rsidRPr="00DE2AC7">
        <w:rPr>
          <w:rFonts w:eastAsiaTheme="minorEastAsia"/>
          <w:color w:val="000000"/>
          <w:lang w:eastAsia="zh-CN"/>
        </w:rPr>
        <w:t xml:space="preserve">(a) </w:t>
      </w:r>
      <w:r w:rsidR="00DE2AC7">
        <w:rPr>
          <w:rFonts w:eastAsiaTheme="minorEastAsia"/>
          <w:color w:val="000000"/>
          <w:lang w:eastAsia="zh-CN"/>
        </w:rPr>
        <w:tab/>
      </w:r>
      <w:r w:rsidRPr="00DE2AC7">
        <w:rPr>
          <w:rFonts w:eastAsiaTheme="minorEastAsia"/>
          <w:color w:val="000000"/>
          <w:lang w:eastAsia="zh-CN"/>
        </w:rPr>
        <w:t xml:space="preserve">To address hazard communication issues arising from the use of GHS label elements, i.e. by developing guidance and examples that are outside of the scope of the informal working group on the improvement of annexes 1 to 3. </w:t>
      </w:r>
    </w:p>
    <w:p w14:paraId="5ED1CC8C" w14:textId="3C3553F7" w:rsidR="00265A69" w:rsidRPr="00DE2AC7" w:rsidRDefault="00265A69" w:rsidP="00DE2AC7">
      <w:pPr>
        <w:pStyle w:val="SingleTxtG"/>
        <w:ind w:left="2268" w:hanging="567"/>
        <w:rPr>
          <w:rFonts w:eastAsiaTheme="minorEastAsia"/>
          <w:color w:val="000000"/>
          <w:lang w:eastAsia="zh-CN"/>
        </w:rPr>
      </w:pPr>
      <w:r w:rsidRPr="00DE2AC7">
        <w:rPr>
          <w:rFonts w:eastAsiaTheme="minorEastAsia"/>
          <w:color w:val="000000"/>
          <w:lang w:eastAsia="zh-CN"/>
        </w:rPr>
        <w:t xml:space="preserve">(b) </w:t>
      </w:r>
      <w:r w:rsidR="00DE2AC7">
        <w:rPr>
          <w:rFonts w:eastAsiaTheme="minorEastAsia"/>
          <w:color w:val="000000"/>
          <w:lang w:eastAsia="zh-CN"/>
        </w:rPr>
        <w:tab/>
      </w:r>
      <w:r w:rsidRPr="00DE2AC7">
        <w:rPr>
          <w:rFonts w:eastAsiaTheme="minorEastAsia"/>
          <w:color w:val="000000"/>
          <w:lang w:eastAsia="zh-CN"/>
        </w:rPr>
        <w:t>Consider the opportunities that digitalization may bring to convey GHS hazard information and make proposals to address them.</w:t>
      </w:r>
    </w:p>
    <w:p w14:paraId="0D4BB072" w14:textId="7D2DFD9F" w:rsidR="002446B2" w:rsidRPr="002446B2" w:rsidRDefault="00462A16" w:rsidP="00DE2AC7">
      <w:pPr>
        <w:pStyle w:val="HChG"/>
        <w:rPr>
          <w:rFonts w:eastAsiaTheme="minorEastAsia"/>
          <w:lang w:eastAsia="zh-CN"/>
        </w:rPr>
      </w:pPr>
      <w:r w:rsidRPr="002446B2">
        <w:tab/>
      </w:r>
      <w:r w:rsidR="00DE2AC7">
        <w:tab/>
      </w:r>
      <w:r w:rsidR="002446B2" w:rsidRPr="002446B2">
        <w:rPr>
          <w:rFonts w:eastAsiaTheme="minorEastAsia"/>
          <w:lang w:eastAsia="zh-CN"/>
        </w:rPr>
        <w:t>Proposed work programme for 202</w:t>
      </w:r>
      <w:r w:rsidR="002446B2">
        <w:rPr>
          <w:rFonts w:eastAsiaTheme="minorEastAsia"/>
          <w:lang w:eastAsia="zh-CN"/>
        </w:rPr>
        <w:t>3</w:t>
      </w:r>
      <w:r w:rsidR="002446B2" w:rsidRPr="002446B2">
        <w:rPr>
          <w:rFonts w:eastAsiaTheme="minorEastAsia"/>
          <w:lang w:eastAsia="zh-CN"/>
        </w:rPr>
        <w:t>-202</w:t>
      </w:r>
      <w:r w:rsidR="002446B2">
        <w:rPr>
          <w:rFonts w:eastAsiaTheme="minorEastAsia"/>
          <w:lang w:eastAsia="zh-CN"/>
        </w:rPr>
        <w:t>4</w:t>
      </w:r>
    </w:p>
    <w:p w14:paraId="2BBCB239" w14:textId="20C303B3" w:rsidR="002446B2" w:rsidRPr="002446B2" w:rsidRDefault="00AF6447" w:rsidP="00DE2AC7">
      <w:pPr>
        <w:pStyle w:val="SingleTxtG"/>
        <w:tabs>
          <w:tab w:val="left" w:pos="1701"/>
        </w:tabs>
        <w:rPr>
          <w:rFonts w:eastAsiaTheme="minorEastAsia"/>
          <w:color w:val="000000"/>
          <w:lang w:eastAsia="zh-CN"/>
        </w:rPr>
      </w:pPr>
      <w:r w:rsidRPr="002446B2">
        <w:rPr>
          <w:rFonts w:eastAsiaTheme="minorEastAsia"/>
          <w:color w:val="000000"/>
          <w:lang w:eastAsia="zh-CN"/>
        </w:rPr>
        <w:t>4.</w:t>
      </w:r>
      <w:r w:rsidRPr="002446B2">
        <w:rPr>
          <w:rFonts w:eastAsiaTheme="minorEastAsia"/>
          <w:color w:val="000000"/>
          <w:lang w:eastAsia="zh-CN"/>
        </w:rPr>
        <w:tab/>
      </w:r>
      <w:r w:rsidR="002446B2" w:rsidRPr="002446B2">
        <w:rPr>
          <w:rFonts w:eastAsiaTheme="minorEastAsia"/>
          <w:color w:val="000000"/>
          <w:lang w:eastAsia="zh-CN"/>
        </w:rPr>
        <w:t>It is proposed that, during the biennium 202</w:t>
      </w:r>
      <w:r w:rsidR="002446B2">
        <w:rPr>
          <w:rFonts w:eastAsiaTheme="minorEastAsia"/>
          <w:color w:val="000000"/>
          <w:lang w:eastAsia="zh-CN"/>
        </w:rPr>
        <w:t>3</w:t>
      </w:r>
      <w:r w:rsidR="002446B2" w:rsidRPr="002446B2">
        <w:rPr>
          <w:rFonts w:eastAsiaTheme="minorEastAsia"/>
          <w:color w:val="000000"/>
          <w:lang w:eastAsia="zh-CN"/>
        </w:rPr>
        <w:t>-202</w:t>
      </w:r>
      <w:r w:rsidR="002446B2">
        <w:rPr>
          <w:rFonts w:eastAsiaTheme="minorEastAsia"/>
          <w:color w:val="000000"/>
          <w:lang w:eastAsia="zh-CN"/>
        </w:rPr>
        <w:t>4</w:t>
      </w:r>
      <w:r w:rsidR="002446B2" w:rsidRPr="002446B2">
        <w:rPr>
          <w:rFonts w:eastAsiaTheme="minorEastAsia"/>
          <w:color w:val="000000"/>
          <w:lang w:eastAsia="zh-CN"/>
        </w:rPr>
        <w:t xml:space="preserve">, the informal working group will cover the following activities: </w:t>
      </w:r>
    </w:p>
    <w:p w14:paraId="4CFB0368" w14:textId="27C2532D" w:rsidR="00EC50CD" w:rsidRPr="00624121" w:rsidRDefault="002446B2" w:rsidP="003D5F07">
      <w:pPr>
        <w:pStyle w:val="SingleTxtG"/>
        <w:ind w:left="2268" w:hanging="567"/>
        <w:rPr>
          <w:rFonts w:eastAsiaTheme="minorEastAsia"/>
          <w:lang w:eastAsia="zh-CN"/>
        </w:rPr>
      </w:pPr>
      <w:r w:rsidRPr="002446B2">
        <w:rPr>
          <w:rFonts w:eastAsiaTheme="minorEastAsia"/>
          <w:lang w:eastAsia="zh-CN"/>
        </w:rPr>
        <w:t xml:space="preserve">(a) </w:t>
      </w:r>
      <w:r w:rsidR="003D5F07">
        <w:rPr>
          <w:rFonts w:eastAsiaTheme="minorEastAsia"/>
          <w:lang w:eastAsia="zh-CN"/>
        </w:rPr>
        <w:tab/>
      </w:r>
      <w:r w:rsidRPr="002446B2">
        <w:rPr>
          <w:rFonts w:eastAsiaTheme="minorEastAsia"/>
          <w:lang w:eastAsia="zh-CN"/>
        </w:rPr>
        <w:t>Update, as agreed at the thirty</w:t>
      </w:r>
      <w:r w:rsidR="00DE2AC7">
        <w:rPr>
          <w:rFonts w:eastAsiaTheme="minorEastAsia"/>
          <w:lang w:eastAsia="zh-CN"/>
        </w:rPr>
        <w:t>-</w:t>
      </w:r>
      <w:r w:rsidR="00EC50CD">
        <w:rPr>
          <w:rFonts w:eastAsiaTheme="minorEastAsia"/>
          <w:lang w:eastAsia="zh-CN"/>
        </w:rPr>
        <w:t xml:space="preserve">nineth </w:t>
      </w:r>
      <w:r w:rsidRPr="002446B2">
        <w:rPr>
          <w:rFonts w:eastAsiaTheme="minorEastAsia"/>
          <w:lang w:eastAsia="zh-CN"/>
        </w:rPr>
        <w:t xml:space="preserve">session, the </w:t>
      </w:r>
      <w:r w:rsidRPr="00624121">
        <w:rPr>
          <w:rFonts w:eastAsiaTheme="minorEastAsia"/>
          <w:lang w:eastAsia="zh-CN"/>
        </w:rPr>
        <w:t xml:space="preserve">examples </w:t>
      </w:r>
      <w:r w:rsidR="00145002" w:rsidRPr="00624121">
        <w:rPr>
          <w:rFonts w:eastAsiaTheme="minorEastAsia"/>
          <w:lang w:eastAsia="zh-CN"/>
        </w:rPr>
        <w:t xml:space="preserve">1 to </w:t>
      </w:r>
      <w:r w:rsidR="00037AE3">
        <w:rPr>
          <w:rFonts w:eastAsiaTheme="minorEastAsia"/>
          <w:lang w:eastAsia="zh-CN"/>
        </w:rPr>
        <w:t>7</w:t>
      </w:r>
      <w:r w:rsidR="00145002" w:rsidRPr="00624121">
        <w:rPr>
          <w:rFonts w:eastAsiaTheme="minorEastAsia"/>
          <w:lang w:eastAsia="zh-CN"/>
        </w:rPr>
        <w:t xml:space="preserve"> </w:t>
      </w:r>
      <w:r w:rsidRPr="00624121">
        <w:rPr>
          <w:rFonts w:eastAsiaTheme="minorEastAsia"/>
          <w:lang w:eastAsia="zh-CN"/>
        </w:rPr>
        <w:t>in Annex 7 while keeping their layout and deleting explicit chemical names</w:t>
      </w:r>
      <w:r w:rsidR="003D5F07">
        <w:rPr>
          <w:rFonts w:eastAsiaTheme="minorEastAsia"/>
          <w:lang w:eastAsia="zh-CN"/>
        </w:rPr>
        <w:t>.</w:t>
      </w:r>
    </w:p>
    <w:p w14:paraId="1FB2FE8C" w14:textId="6424ABF1" w:rsidR="002446B2" w:rsidRDefault="002446B2" w:rsidP="003D5F07">
      <w:pPr>
        <w:pStyle w:val="SingleTxtG"/>
        <w:ind w:left="2268" w:hanging="567"/>
        <w:rPr>
          <w:rFonts w:eastAsiaTheme="minorEastAsia"/>
          <w:lang w:eastAsia="zh-CN"/>
        </w:rPr>
      </w:pPr>
      <w:r w:rsidRPr="002446B2">
        <w:rPr>
          <w:rFonts w:eastAsiaTheme="minorEastAsia"/>
          <w:lang w:eastAsia="zh-CN"/>
        </w:rPr>
        <w:lastRenderedPageBreak/>
        <w:t>(b)</w:t>
      </w:r>
      <w:r w:rsidR="003D5F07">
        <w:rPr>
          <w:rFonts w:eastAsiaTheme="minorEastAsia"/>
          <w:lang w:eastAsia="zh-CN"/>
        </w:rPr>
        <w:tab/>
      </w:r>
      <w:r w:rsidRPr="002446B2">
        <w:rPr>
          <w:rFonts w:eastAsiaTheme="minorEastAsia"/>
          <w:lang w:eastAsia="zh-CN"/>
        </w:rPr>
        <w:t>Consider the generation and inclusion of explicit labelling examples as guidance to be published on the GHS guidance webpage.</w:t>
      </w:r>
    </w:p>
    <w:p w14:paraId="1395335B" w14:textId="738DDA2E" w:rsidR="00250F5B" w:rsidRPr="00250F5B" w:rsidRDefault="00250F5B" w:rsidP="003D5F07">
      <w:pPr>
        <w:pStyle w:val="SingleTxtG"/>
        <w:ind w:left="2268" w:hanging="567"/>
        <w:rPr>
          <w:rFonts w:eastAsiaTheme="minorEastAsia"/>
          <w:lang w:eastAsia="zh-CN"/>
        </w:rPr>
      </w:pPr>
      <w:r w:rsidRPr="00250F5B">
        <w:rPr>
          <w:rFonts w:eastAsiaTheme="minorEastAsia"/>
          <w:lang w:eastAsia="zh-CN"/>
        </w:rPr>
        <w:t xml:space="preserve">(c) </w:t>
      </w:r>
      <w:r w:rsidR="003D5F07">
        <w:rPr>
          <w:rFonts w:eastAsiaTheme="minorEastAsia"/>
          <w:lang w:eastAsia="zh-CN"/>
        </w:rPr>
        <w:tab/>
      </w:r>
      <w:r w:rsidRPr="00250F5B">
        <w:rPr>
          <w:rFonts w:eastAsiaTheme="minorEastAsia"/>
          <w:lang w:eastAsia="zh-CN"/>
        </w:rPr>
        <w:t>Collect initiatives on the use of digitalisation to convey hazard information on chemicals</w:t>
      </w:r>
      <w:r w:rsidR="004734EE">
        <w:rPr>
          <w:rFonts w:eastAsiaTheme="minorEastAsia"/>
          <w:lang w:eastAsia="zh-CN"/>
        </w:rPr>
        <w:t xml:space="preserve">, including </w:t>
      </w:r>
      <w:r w:rsidR="003D5F07">
        <w:rPr>
          <w:rFonts w:eastAsiaTheme="minorEastAsia"/>
          <w:lang w:eastAsia="zh-CN"/>
        </w:rPr>
        <w:t xml:space="preserve">the European Union </w:t>
      </w:r>
      <w:r w:rsidR="004734EE">
        <w:rPr>
          <w:rFonts w:eastAsiaTheme="minorEastAsia"/>
          <w:lang w:eastAsia="zh-CN"/>
        </w:rPr>
        <w:t xml:space="preserve">initiative for digitalisation and simplification under </w:t>
      </w:r>
      <w:r w:rsidR="003D5F07">
        <w:rPr>
          <w:rFonts w:eastAsiaTheme="minorEastAsia"/>
          <w:lang w:eastAsia="zh-CN"/>
        </w:rPr>
        <w:t>Classification Labelling and Packaging Regulation (</w:t>
      </w:r>
      <w:r w:rsidR="004734EE">
        <w:rPr>
          <w:rFonts w:eastAsiaTheme="minorEastAsia"/>
          <w:lang w:eastAsia="zh-CN"/>
        </w:rPr>
        <w:t>CLP</w:t>
      </w:r>
      <w:r w:rsidR="003D5F07">
        <w:rPr>
          <w:rFonts w:eastAsiaTheme="minorEastAsia"/>
          <w:lang w:eastAsia="zh-CN"/>
        </w:rPr>
        <w:t>)</w:t>
      </w:r>
      <w:r w:rsidR="004734EE">
        <w:rPr>
          <w:rFonts w:eastAsiaTheme="minorEastAsia"/>
          <w:lang w:eastAsia="zh-CN"/>
        </w:rPr>
        <w:t xml:space="preserve"> revision</w:t>
      </w:r>
      <w:r w:rsidRPr="00250F5B">
        <w:rPr>
          <w:rFonts w:eastAsiaTheme="minorEastAsia"/>
          <w:lang w:eastAsia="zh-CN"/>
        </w:rPr>
        <w:t xml:space="preserve">. </w:t>
      </w:r>
    </w:p>
    <w:p w14:paraId="5DDFF31D" w14:textId="62272D1F" w:rsidR="00250F5B" w:rsidRPr="003D5F07" w:rsidRDefault="00250F5B" w:rsidP="003D5F07">
      <w:pPr>
        <w:pStyle w:val="SingleTxtG"/>
        <w:ind w:left="2268" w:hanging="567"/>
        <w:rPr>
          <w:rFonts w:eastAsiaTheme="minorEastAsia"/>
          <w:lang w:eastAsia="zh-CN"/>
        </w:rPr>
      </w:pPr>
      <w:r w:rsidRPr="003D5F07">
        <w:rPr>
          <w:rFonts w:eastAsiaTheme="minorEastAsia"/>
          <w:lang w:eastAsia="zh-CN"/>
        </w:rPr>
        <w:t xml:space="preserve">(d) </w:t>
      </w:r>
      <w:r w:rsidR="003D5F07">
        <w:rPr>
          <w:rFonts w:eastAsiaTheme="minorEastAsia"/>
          <w:lang w:eastAsia="zh-CN"/>
        </w:rPr>
        <w:tab/>
      </w:r>
      <w:r w:rsidRPr="003D5F07">
        <w:rPr>
          <w:rFonts w:eastAsiaTheme="minorEastAsia"/>
          <w:lang w:eastAsia="zh-CN"/>
        </w:rPr>
        <w:t xml:space="preserve">Explore the following aspects: </w:t>
      </w:r>
    </w:p>
    <w:p w14:paraId="737E7D31" w14:textId="59DBC310" w:rsidR="00250F5B" w:rsidRPr="00250F5B" w:rsidRDefault="00250F5B" w:rsidP="003D5F07">
      <w:pPr>
        <w:pStyle w:val="SingleTxtG"/>
        <w:ind w:left="2835" w:hanging="567"/>
        <w:rPr>
          <w:rFonts w:eastAsiaTheme="minorEastAsia"/>
          <w:lang w:eastAsia="zh-CN"/>
        </w:rPr>
      </w:pPr>
      <w:r w:rsidRPr="00250F5B">
        <w:rPr>
          <w:rFonts w:eastAsiaTheme="minorEastAsia"/>
          <w:lang w:eastAsia="zh-CN"/>
        </w:rPr>
        <w:t>(</w:t>
      </w:r>
      <w:proofErr w:type="spellStart"/>
      <w:r w:rsidRPr="00250F5B">
        <w:rPr>
          <w:rFonts w:eastAsiaTheme="minorEastAsia"/>
          <w:lang w:eastAsia="zh-CN"/>
        </w:rPr>
        <w:t>i</w:t>
      </w:r>
      <w:proofErr w:type="spellEnd"/>
      <w:r w:rsidRPr="00250F5B">
        <w:rPr>
          <w:rFonts w:eastAsiaTheme="minorEastAsia"/>
          <w:lang w:eastAsia="zh-CN"/>
        </w:rPr>
        <w:t xml:space="preserve">) </w:t>
      </w:r>
      <w:r w:rsidR="003D5F07">
        <w:rPr>
          <w:rFonts w:eastAsiaTheme="minorEastAsia"/>
          <w:lang w:eastAsia="zh-CN"/>
        </w:rPr>
        <w:tab/>
      </w:r>
      <w:r w:rsidRPr="00250F5B">
        <w:rPr>
          <w:rFonts w:eastAsiaTheme="minorEastAsia"/>
          <w:lang w:eastAsia="zh-CN"/>
        </w:rPr>
        <w:t xml:space="preserve">Access to digitalised information in different jurisdictions; </w:t>
      </w:r>
    </w:p>
    <w:p w14:paraId="5695C2F3" w14:textId="5ED729FB" w:rsidR="00250F5B" w:rsidRPr="00250F5B" w:rsidRDefault="00250F5B" w:rsidP="003D5F07">
      <w:pPr>
        <w:pStyle w:val="SingleTxtG"/>
        <w:ind w:left="2835" w:hanging="567"/>
        <w:rPr>
          <w:rFonts w:eastAsiaTheme="minorEastAsia"/>
          <w:lang w:eastAsia="zh-CN"/>
        </w:rPr>
      </w:pPr>
      <w:r w:rsidRPr="00250F5B">
        <w:rPr>
          <w:rFonts w:eastAsiaTheme="minorEastAsia"/>
          <w:lang w:eastAsia="zh-CN"/>
        </w:rPr>
        <w:t xml:space="preserve">(ii) </w:t>
      </w:r>
      <w:r w:rsidR="003D5F07">
        <w:rPr>
          <w:rFonts w:eastAsiaTheme="minorEastAsia"/>
          <w:lang w:eastAsia="zh-CN"/>
        </w:rPr>
        <w:tab/>
      </w:r>
      <w:r w:rsidRPr="00250F5B">
        <w:rPr>
          <w:rFonts w:eastAsiaTheme="minorEastAsia"/>
          <w:lang w:eastAsia="zh-CN"/>
        </w:rPr>
        <w:t xml:space="preserve">The extent of harmonisation required to avoid uncontrolled situations; </w:t>
      </w:r>
    </w:p>
    <w:p w14:paraId="4A64D1BF" w14:textId="7F7274F8" w:rsidR="00250F5B" w:rsidRPr="00250F5B" w:rsidRDefault="00250F5B" w:rsidP="003D5F07">
      <w:pPr>
        <w:pStyle w:val="SingleTxtG"/>
        <w:ind w:left="2835" w:hanging="567"/>
        <w:rPr>
          <w:rFonts w:eastAsiaTheme="minorEastAsia"/>
          <w:lang w:eastAsia="zh-CN"/>
        </w:rPr>
      </w:pPr>
      <w:r w:rsidRPr="00250F5B">
        <w:rPr>
          <w:rFonts w:eastAsiaTheme="minorEastAsia"/>
          <w:lang w:eastAsia="zh-CN"/>
        </w:rPr>
        <w:t xml:space="preserve">(iii) </w:t>
      </w:r>
      <w:r w:rsidR="003D5F07">
        <w:rPr>
          <w:rFonts w:eastAsiaTheme="minorEastAsia"/>
          <w:lang w:eastAsia="zh-CN"/>
        </w:rPr>
        <w:tab/>
      </w:r>
      <w:r w:rsidRPr="00250F5B">
        <w:rPr>
          <w:rFonts w:eastAsiaTheme="minorEastAsia"/>
          <w:lang w:eastAsia="zh-CN"/>
        </w:rPr>
        <w:t xml:space="preserve">Data privacy for the end user; </w:t>
      </w:r>
    </w:p>
    <w:p w14:paraId="18CF74B1" w14:textId="64FE58C9" w:rsidR="00250F5B" w:rsidRPr="00250F5B" w:rsidRDefault="00250F5B" w:rsidP="003D5F07">
      <w:pPr>
        <w:pStyle w:val="SingleTxtG"/>
        <w:ind w:left="2835" w:hanging="567"/>
        <w:rPr>
          <w:rFonts w:eastAsiaTheme="minorEastAsia"/>
          <w:lang w:eastAsia="zh-CN"/>
        </w:rPr>
      </w:pPr>
      <w:r w:rsidRPr="00250F5B">
        <w:rPr>
          <w:rFonts w:eastAsiaTheme="minorEastAsia"/>
          <w:lang w:eastAsia="zh-CN"/>
        </w:rPr>
        <w:t xml:space="preserve">(iv) </w:t>
      </w:r>
      <w:r w:rsidR="003D5F07">
        <w:rPr>
          <w:rFonts w:eastAsiaTheme="minorEastAsia"/>
          <w:lang w:eastAsia="zh-CN"/>
        </w:rPr>
        <w:tab/>
      </w:r>
      <w:r w:rsidRPr="00250F5B">
        <w:rPr>
          <w:rFonts w:eastAsiaTheme="minorEastAsia"/>
          <w:lang w:eastAsia="zh-CN"/>
        </w:rPr>
        <w:t xml:space="preserve">Data compatibility across different systems; </w:t>
      </w:r>
    </w:p>
    <w:p w14:paraId="69BC57C8" w14:textId="0CA0F941" w:rsidR="00250F5B" w:rsidRPr="005F57D7" w:rsidRDefault="00250F5B" w:rsidP="003D5F07">
      <w:pPr>
        <w:pStyle w:val="SingleTxtG"/>
        <w:ind w:left="2835" w:hanging="567"/>
        <w:rPr>
          <w:rFonts w:eastAsiaTheme="minorEastAsia"/>
          <w:lang w:val="fr-BE" w:eastAsia="zh-CN"/>
        </w:rPr>
      </w:pPr>
      <w:r w:rsidRPr="005F57D7">
        <w:rPr>
          <w:rFonts w:eastAsiaTheme="minorEastAsia"/>
          <w:lang w:val="fr-BE" w:eastAsia="zh-CN"/>
        </w:rPr>
        <w:t xml:space="preserve">(v) </w:t>
      </w:r>
      <w:r w:rsidR="003D5F07">
        <w:rPr>
          <w:rFonts w:eastAsiaTheme="minorEastAsia"/>
          <w:lang w:val="fr-BE" w:eastAsia="zh-CN"/>
        </w:rPr>
        <w:tab/>
      </w:r>
      <w:proofErr w:type="spellStart"/>
      <w:r w:rsidRPr="005F57D7">
        <w:rPr>
          <w:rFonts w:eastAsiaTheme="minorEastAsia"/>
          <w:lang w:val="fr-BE" w:eastAsia="zh-CN"/>
        </w:rPr>
        <w:t>Supplemental</w:t>
      </w:r>
      <w:proofErr w:type="spellEnd"/>
      <w:r w:rsidRPr="005F57D7">
        <w:rPr>
          <w:rFonts w:eastAsiaTheme="minorEastAsia"/>
          <w:lang w:val="fr-BE" w:eastAsia="zh-CN"/>
        </w:rPr>
        <w:t xml:space="preserve"> information versus label information. </w:t>
      </w:r>
    </w:p>
    <w:p w14:paraId="3182137C" w14:textId="3A634BE1" w:rsidR="00250F5B" w:rsidRDefault="00250F5B" w:rsidP="003D5F07">
      <w:pPr>
        <w:pStyle w:val="SingleTxtG"/>
        <w:ind w:left="2268" w:hanging="567"/>
        <w:rPr>
          <w:rFonts w:eastAsiaTheme="minorEastAsia"/>
          <w:lang w:eastAsia="zh-CN"/>
        </w:rPr>
      </w:pPr>
      <w:r w:rsidRPr="00250F5B">
        <w:rPr>
          <w:rFonts w:eastAsiaTheme="minorEastAsia"/>
          <w:lang w:eastAsia="zh-CN"/>
        </w:rPr>
        <w:t xml:space="preserve">(e) </w:t>
      </w:r>
      <w:r w:rsidR="003D5F07">
        <w:rPr>
          <w:rFonts w:eastAsiaTheme="minorEastAsia"/>
          <w:lang w:eastAsia="zh-CN"/>
        </w:rPr>
        <w:tab/>
      </w:r>
      <w:r w:rsidRPr="00250F5B">
        <w:rPr>
          <w:rFonts w:eastAsiaTheme="minorEastAsia"/>
          <w:lang w:eastAsia="zh-CN"/>
        </w:rPr>
        <w:t xml:space="preserve">Consider the development of general principles and criteria on the provision of this information digitally. </w:t>
      </w:r>
    </w:p>
    <w:p w14:paraId="1C386B4C" w14:textId="0E62D706" w:rsidR="002D01B9" w:rsidRDefault="00250F5B" w:rsidP="003D5F07">
      <w:pPr>
        <w:pStyle w:val="SingleTxtG"/>
        <w:ind w:left="2268" w:hanging="567"/>
        <w:rPr>
          <w:rFonts w:eastAsiaTheme="minorEastAsia"/>
          <w:lang w:eastAsia="zh-CN"/>
        </w:rPr>
      </w:pPr>
      <w:r w:rsidRPr="00250F5B">
        <w:rPr>
          <w:rFonts w:eastAsiaTheme="minorEastAsia"/>
          <w:lang w:eastAsia="zh-CN"/>
        </w:rPr>
        <w:t xml:space="preserve">(f) </w:t>
      </w:r>
      <w:r w:rsidR="003D5F07">
        <w:rPr>
          <w:rFonts w:eastAsiaTheme="minorEastAsia"/>
          <w:lang w:eastAsia="zh-CN"/>
        </w:rPr>
        <w:tab/>
      </w:r>
      <w:r w:rsidRPr="00250F5B">
        <w:rPr>
          <w:rFonts w:eastAsiaTheme="minorEastAsia"/>
          <w:lang w:eastAsia="zh-CN"/>
        </w:rPr>
        <w:t xml:space="preserve">Develop guidance and examples wherever appropriate. </w:t>
      </w:r>
    </w:p>
    <w:p w14:paraId="025BABDB" w14:textId="00DFC452" w:rsidR="002446B2" w:rsidRDefault="00A83D17" w:rsidP="003D5F07">
      <w:pPr>
        <w:pStyle w:val="SingleTxtG"/>
        <w:ind w:left="2268" w:hanging="567"/>
        <w:rPr>
          <w:rFonts w:eastAsiaTheme="minorEastAsia"/>
          <w:lang w:eastAsia="zh-CN"/>
        </w:rPr>
      </w:pPr>
      <w:r>
        <w:rPr>
          <w:rFonts w:eastAsiaTheme="minorEastAsia"/>
          <w:lang w:eastAsia="zh-CN"/>
        </w:rPr>
        <w:t xml:space="preserve">(g) </w:t>
      </w:r>
      <w:r w:rsidR="003D5F07">
        <w:rPr>
          <w:rFonts w:eastAsiaTheme="minorEastAsia"/>
          <w:lang w:eastAsia="zh-CN"/>
        </w:rPr>
        <w:tab/>
      </w:r>
      <w:r w:rsidR="002D01B9">
        <w:rPr>
          <w:rFonts w:eastAsiaTheme="minorEastAsia"/>
          <w:lang w:eastAsia="zh-CN"/>
        </w:rPr>
        <w:t xml:space="preserve">Develop </w:t>
      </w:r>
      <w:r w:rsidR="00250F5B" w:rsidRPr="00250F5B">
        <w:rPr>
          <w:rFonts w:eastAsiaTheme="minorEastAsia"/>
          <w:lang w:eastAsia="zh-CN"/>
        </w:rPr>
        <w:t>backup solutions for users who are unable to connect to digital information.</w:t>
      </w:r>
    </w:p>
    <w:p w14:paraId="66436E46" w14:textId="43EA63BF" w:rsidR="003D5F07" w:rsidRPr="003D5F07" w:rsidRDefault="003D5F07" w:rsidP="003D5F07">
      <w:pPr>
        <w:spacing w:before="240"/>
        <w:jc w:val="center"/>
        <w:rPr>
          <w:rFonts w:eastAsiaTheme="minorEastAsia"/>
          <w:u w:val="single"/>
          <w:lang w:eastAsia="zh-CN"/>
        </w:rPr>
      </w:pPr>
      <w:r>
        <w:rPr>
          <w:rFonts w:eastAsiaTheme="minorEastAsia"/>
          <w:u w:val="single"/>
          <w:lang w:eastAsia="zh-CN"/>
        </w:rPr>
        <w:tab/>
      </w:r>
      <w:r>
        <w:rPr>
          <w:rFonts w:eastAsiaTheme="minorEastAsia"/>
          <w:u w:val="single"/>
          <w:lang w:eastAsia="zh-CN"/>
        </w:rPr>
        <w:tab/>
      </w:r>
      <w:r>
        <w:rPr>
          <w:rFonts w:eastAsiaTheme="minorEastAsia"/>
          <w:u w:val="single"/>
          <w:lang w:eastAsia="zh-CN"/>
        </w:rPr>
        <w:tab/>
      </w:r>
    </w:p>
    <w:p w14:paraId="1B6EC13C" w14:textId="237B27AD" w:rsidR="00F1238A" w:rsidRDefault="00F1238A" w:rsidP="003D5F07">
      <w:pPr>
        <w:autoSpaceDE w:val="0"/>
        <w:autoSpaceDN w:val="0"/>
        <w:jc w:val="center"/>
        <w:rPr>
          <w:rFonts w:ascii="Arial" w:hAnsi="Arial" w:cs="Arial"/>
          <w:color w:val="000000"/>
          <w:lang w:val="en-US" w:eastAsia="zh-CN"/>
        </w:rPr>
      </w:pPr>
    </w:p>
    <w:p w14:paraId="3FFC8733" w14:textId="02F7E834" w:rsidR="00462A16" w:rsidRPr="00F1238A" w:rsidRDefault="00462A16" w:rsidP="002446B2">
      <w:pPr>
        <w:pStyle w:val="H1G"/>
        <w:rPr>
          <w:rStyle w:val="SingleTxtGCar"/>
          <w:u w:val="single"/>
          <w:lang w:val="en-US"/>
        </w:rPr>
      </w:pPr>
    </w:p>
    <w:p w14:paraId="29F2AB92" w14:textId="495C5BE9" w:rsidR="00B61D97" w:rsidRDefault="00B61D97">
      <w:pPr>
        <w:suppressAutoHyphens w:val="0"/>
        <w:spacing w:line="240" w:lineRule="auto"/>
        <w:rPr>
          <w:rStyle w:val="SingleTxtGCar"/>
        </w:rPr>
      </w:pPr>
    </w:p>
    <w:p w14:paraId="75E0BA6A" w14:textId="77777777" w:rsidR="00462A16" w:rsidRPr="00462A16" w:rsidRDefault="00462A16" w:rsidP="00B61D97">
      <w:pPr>
        <w:suppressAutoHyphens w:val="0"/>
        <w:spacing w:line="240" w:lineRule="auto"/>
        <w:rPr>
          <w:rStyle w:val="SingleTxtGCar"/>
        </w:rPr>
      </w:pPr>
    </w:p>
    <w:sectPr w:rsidR="00462A16" w:rsidRPr="00462A16"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639F" w14:textId="77777777" w:rsidR="00B81AD2" w:rsidRDefault="00B81AD2" w:rsidP="00760F29">
      <w:pPr>
        <w:spacing w:line="240" w:lineRule="auto"/>
      </w:pPr>
      <w:r>
        <w:separator/>
      </w:r>
    </w:p>
  </w:endnote>
  <w:endnote w:type="continuationSeparator" w:id="0">
    <w:p w14:paraId="5EFC7243" w14:textId="77777777" w:rsidR="00B81AD2" w:rsidRDefault="00B81AD2"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35379399"/>
      <w:docPartObj>
        <w:docPartGallery w:val="Page Numbers (Bottom of Page)"/>
        <w:docPartUnique/>
      </w:docPartObj>
    </w:sdtPr>
    <w:sdtEndPr>
      <w:rPr>
        <w:noProof/>
      </w:rPr>
    </w:sdtEndPr>
    <w:sdtContent>
      <w:p w14:paraId="39452942" w14:textId="77777777" w:rsidR="004E5D18" w:rsidRPr="00952862" w:rsidRDefault="00A31103">
        <w:pPr>
          <w:pStyle w:val="Footer"/>
          <w:rPr>
            <w:b/>
            <w:bCs/>
          </w:rPr>
        </w:pPr>
        <w:r w:rsidRPr="00952862">
          <w:rPr>
            <w:b/>
            <w:bCs/>
          </w:rPr>
          <w:fldChar w:fldCharType="begin"/>
        </w:r>
        <w:r w:rsidRPr="00952862">
          <w:rPr>
            <w:b/>
            <w:bCs/>
          </w:rPr>
          <w:instrText xml:space="preserve"> PAGE   \* MERGEFORMAT </w:instrText>
        </w:r>
        <w:r w:rsidRPr="00952862">
          <w:rPr>
            <w:b/>
            <w:bCs/>
          </w:rPr>
          <w:fldChar w:fldCharType="separate"/>
        </w:r>
        <w:r w:rsidRPr="00952862">
          <w:rPr>
            <w:b/>
            <w:bCs/>
            <w:noProof/>
          </w:rPr>
          <w:t>2</w:t>
        </w:r>
        <w:r w:rsidRPr="00952862">
          <w:rPr>
            <w:b/>
            <w:bCs/>
            <w:noProof/>
          </w:rPr>
          <w:fldChar w:fldCharType="end"/>
        </w:r>
      </w:p>
    </w:sdtContent>
  </w:sdt>
  <w:p w14:paraId="2D4C9FAC" w14:textId="77777777" w:rsidR="004E5D18" w:rsidRDefault="00B81AD2"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898E" w14:textId="77777777" w:rsidR="00B81AD2" w:rsidRDefault="00B81AD2" w:rsidP="00760F29">
      <w:pPr>
        <w:spacing w:line="240" w:lineRule="auto"/>
      </w:pPr>
      <w:r>
        <w:separator/>
      </w:r>
    </w:p>
  </w:footnote>
  <w:footnote w:type="continuationSeparator" w:id="0">
    <w:p w14:paraId="0F073293" w14:textId="77777777" w:rsidR="00B81AD2" w:rsidRDefault="00B81AD2"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4E25DDE3" w:rsidR="004E5D18" w:rsidRPr="001E5919" w:rsidRDefault="00A31103" w:rsidP="001E5919">
    <w:pPr>
      <w:pStyle w:val="Header"/>
      <w:rPr>
        <w:lang w:val="fr-FR"/>
      </w:rPr>
    </w:pPr>
    <w:r>
      <w:rPr>
        <w:lang w:val="fr-FR"/>
      </w:rPr>
      <w:t>UN/SCEGHS/4</w:t>
    </w:r>
    <w:r w:rsidR="001F5FF3">
      <w:rPr>
        <w:lang w:val="fr-FR"/>
      </w:rPr>
      <w:t>3</w:t>
    </w:r>
    <w:r>
      <w:rPr>
        <w:lang w:val="fr-FR"/>
      </w:rPr>
      <w:t>/INF.</w:t>
    </w:r>
    <w:r w:rsidR="006A5F4F">
      <w:rPr>
        <w:lang w:val="fr-FR"/>
      </w:rPr>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7770DAFB" w:rsidR="004E5D18" w:rsidRPr="001E5919" w:rsidRDefault="00A31103" w:rsidP="001E5919">
    <w:pPr>
      <w:pStyle w:val="Header"/>
      <w:jc w:val="right"/>
      <w:rPr>
        <w:lang w:val="fr-FR"/>
      </w:rPr>
    </w:pPr>
    <w:r>
      <w:rPr>
        <w:lang w:val="fr-FR"/>
      </w:rPr>
      <w:t>UN/SCEGHS/40/</w:t>
    </w:r>
    <w:proofErr w:type="spellStart"/>
    <w:r>
      <w:rPr>
        <w:lang w:val="fr-FR"/>
      </w:rPr>
      <w:t>INF.</w:t>
    </w:r>
    <w:r w:rsidR="0017334D">
      <w:rPr>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4E5D18" w:rsidRPr="00C969C0" w:rsidRDefault="00B81AD2"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70C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345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1C12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089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860B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ECA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E16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129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E43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A04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73A3F"/>
    <w:multiLevelType w:val="hybridMultilevel"/>
    <w:tmpl w:val="8A4E512A"/>
    <w:lvl w:ilvl="0" w:tplc="FFFFFFFF">
      <w:start w:val="1"/>
      <w:numFmt w:val="decimal"/>
      <w:lvlText w:val="%1."/>
      <w:lvlJc w:val="left"/>
      <w:pPr>
        <w:ind w:left="1704" w:hanging="57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1255B8"/>
    <w:multiLevelType w:val="hybridMultilevel"/>
    <w:tmpl w:val="6A7ECFA4"/>
    <w:lvl w:ilvl="0" w:tplc="51301B48">
      <w:start w:val="1"/>
      <w:numFmt w:val="decimal"/>
      <w:lvlText w:val="%1."/>
      <w:lvlJc w:val="left"/>
      <w:pPr>
        <w:ind w:left="1704" w:hanging="570"/>
      </w:pPr>
      <w:rPr>
        <w:rFonts w:hint="default"/>
      </w:rPr>
    </w:lvl>
    <w:lvl w:ilvl="1" w:tplc="040C001B">
      <w:start w:val="1"/>
      <w:numFmt w:val="lowerRoman"/>
      <w:lvlText w:val="%2."/>
      <w:lvlJc w:val="righ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2764B2B"/>
    <w:multiLevelType w:val="hybridMultilevel"/>
    <w:tmpl w:val="A3683D9C"/>
    <w:lvl w:ilvl="0" w:tplc="51301B48">
      <w:start w:val="1"/>
      <w:numFmt w:val="decimal"/>
      <w:lvlText w:val="%1."/>
      <w:lvlJc w:val="left"/>
      <w:pPr>
        <w:ind w:left="1704" w:hanging="57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32B690A"/>
    <w:multiLevelType w:val="hybridMultilevel"/>
    <w:tmpl w:val="0510B868"/>
    <w:lvl w:ilvl="0" w:tplc="77EE69CE">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7"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8650D"/>
    <w:multiLevelType w:val="hybridMultilevel"/>
    <w:tmpl w:val="1BA4C928"/>
    <w:lvl w:ilvl="0" w:tplc="FFFFFFFF">
      <w:start w:val="1"/>
      <w:numFmt w:val="decimal"/>
      <w:lvlText w:val="%1."/>
      <w:lvlJc w:val="left"/>
      <w:pPr>
        <w:ind w:left="1704" w:hanging="57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10"/>
  </w:num>
  <w:num w:numId="4">
    <w:abstractNumId w:val="23"/>
  </w:num>
  <w:num w:numId="5">
    <w:abstractNumId w:val="20"/>
  </w:num>
  <w:num w:numId="6">
    <w:abstractNumId w:val="19"/>
  </w:num>
  <w:num w:numId="7">
    <w:abstractNumId w:val="14"/>
  </w:num>
  <w:num w:numId="8">
    <w:abstractNumId w:val="22"/>
  </w:num>
  <w:num w:numId="9">
    <w:abstractNumId w:val="18"/>
  </w:num>
  <w:num w:numId="10">
    <w:abstractNumId w:val="21"/>
  </w:num>
  <w:num w:numId="11">
    <w:abstractNumId w:val="21"/>
  </w:num>
  <w:num w:numId="12">
    <w:abstractNumId w:val="21"/>
  </w:num>
  <w:num w:numId="13">
    <w:abstractNumId w:val="21"/>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6"/>
  </w:num>
  <w:num w:numId="28">
    <w:abstractNumId w:val="13"/>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214BC"/>
    <w:rsid w:val="0003079A"/>
    <w:rsid w:val="00037AE3"/>
    <w:rsid w:val="0005783F"/>
    <w:rsid w:val="0006039D"/>
    <w:rsid w:val="00067AF0"/>
    <w:rsid w:val="000B4585"/>
    <w:rsid w:val="000B6ACF"/>
    <w:rsid w:val="000E1E26"/>
    <w:rsid w:val="000E372D"/>
    <w:rsid w:val="000E48C8"/>
    <w:rsid w:val="0010085C"/>
    <w:rsid w:val="00125C3E"/>
    <w:rsid w:val="00145002"/>
    <w:rsid w:val="0014664A"/>
    <w:rsid w:val="001506E7"/>
    <w:rsid w:val="001720A7"/>
    <w:rsid w:val="0017334D"/>
    <w:rsid w:val="00180A29"/>
    <w:rsid w:val="001851B2"/>
    <w:rsid w:val="001B057F"/>
    <w:rsid w:val="001C1DB6"/>
    <w:rsid w:val="001C5FE4"/>
    <w:rsid w:val="001E540B"/>
    <w:rsid w:val="001F5FF3"/>
    <w:rsid w:val="002006B8"/>
    <w:rsid w:val="00223F9F"/>
    <w:rsid w:val="00225747"/>
    <w:rsid w:val="00225CCB"/>
    <w:rsid w:val="00226CEA"/>
    <w:rsid w:val="00233E6B"/>
    <w:rsid w:val="00236385"/>
    <w:rsid w:val="0024310D"/>
    <w:rsid w:val="002446B2"/>
    <w:rsid w:val="00247BCA"/>
    <w:rsid w:val="00250F5B"/>
    <w:rsid w:val="0025233A"/>
    <w:rsid w:val="00260117"/>
    <w:rsid w:val="00264BEA"/>
    <w:rsid w:val="00265A69"/>
    <w:rsid w:val="00275729"/>
    <w:rsid w:val="002761CA"/>
    <w:rsid w:val="00276B4C"/>
    <w:rsid w:val="0028150B"/>
    <w:rsid w:val="002A01A8"/>
    <w:rsid w:val="002A0771"/>
    <w:rsid w:val="002B02C4"/>
    <w:rsid w:val="002B4FB4"/>
    <w:rsid w:val="002D01B9"/>
    <w:rsid w:val="002D3FE8"/>
    <w:rsid w:val="00300BEE"/>
    <w:rsid w:val="0030509D"/>
    <w:rsid w:val="00313097"/>
    <w:rsid w:val="0031549A"/>
    <w:rsid w:val="00334962"/>
    <w:rsid w:val="00350308"/>
    <w:rsid w:val="00371089"/>
    <w:rsid w:val="00371FAD"/>
    <w:rsid w:val="00372FC7"/>
    <w:rsid w:val="0039433C"/>
    <w:rsid w:val="003A228D"/>
    <w:rsid w:val="003A2A96"/>
    <w:rsid w:val="003A3245"/>
    <w:rsid w:val="003B097A"/>
    <w:rsid w:val="003B0E7F"/>
    <w:rsid w:val="003B12BB"/>
    <w:rsid w:val="003B2653"/>
    <w:rsid w:val="003C10B9"/>
    <w:rsid w:val="003C425A"/>
    <w:rsid w:val="003C4B75"/>
    <w:rsid w:val="003D5F07"/>
    <w:rsid w:val="003E64B9"/>
    <w:rsid w:val="003E71C6"/>
    <w:rsid w:val="00403F73"/>
    <w:rsid w:val="0040625C"/>
    <w:rsid w:val="00406A6B"/>
    <w:rsid w:val="0041347D"/>
    <w:rsid w:val="00413DD8"/>
    <w:rsid w:val="00440F59"/>
    <w:rsid w:val="00451105"/>
    <w:rsid w:val="00452F42"/>
    <w:rsid w:val="00462A16"/>
    <w:rsid w:val="004734EE"/>
    <w:rsid w:val="00481409"/>
    <w:rsid w:val="004957C8"/>
    <w:rsid w:val="0049600D"/>
    <w:rsid w:val="004A6008"/>
    <w:rsid w:val="004B350A"/>
    <w:rsid w:val="004B5A77"/>
    <w:rsid w:val="004C135A"/>
    <w:rsid w:val="004D3744"/>
    <w:rsid w:val="004D49FD"/>
    <w:rsid w:val="004D628B"/>
    <w:rsid w:val="004E0CC0"/>
    <w:rsid w:val="004E7435"/>
    <w:rsid w:val="00507FDD"/>
    <w:rsid w:val="00522D72"/>
    <w:rsid w:val="005326D3"/>
    <w:rsid w:val="00561616"/>
    <w:rsid w:val="00561E93"/>
    <w:rsid w:val="005632F6"/>
    <w:rsid w:val="00574027"/>
    <w:rsid w:val="005746FD"/>
    <w:rsid w:val="00592369"/>
    <w:rsid w:val="005B4916"/>
    <w:rsid w:val="005C0B65"/>
    <w:rsid w:val="005E79BB"/>
    <w:rsid w:val="005F57D7"/>
    <w:rsid w:val="005F7AE9"/>
    <w:rsid w:val="00600E60"/>
    <w:rsid w:val="0061276A"/>
    <w:rsid w:val="0062268F"/>
    <w:rsid w:val="00624121"/>
    <w:rsid w:val="0062617C"/>
    <w:rsid w:val="00630265"/>
    <w:rsid w:val="00633F54"/>
    <w:rsid w:val="0066098D"/>
    <w:rsid w:val="00661DE9"/>
    <w:rsid w:val="00662503"/>
    <w:rsid w:val="00663534"/>
    <w:rsid w:val="00686B73"/>
    <w:rsid w:val="006A2C7D"/>
    <w:rsid w:val="006A5F4F"/>
    <w:rsid w:val="006D1552"/>
    <w:rsid w:val="006D3E76"/>
    <w:rsid w:val="006E0172"/>
    <w:rsid w:val="007053FA"/>
    <w:rsid w:val="00705D5B"/>
    <w:rsid w:val="00713DE4"/>
    <w:rsid w:val="00717408"/>
    <w:rsid w:val="00750E41"/>
    <w:rsid w:val="00752042"/>
    <w:rsid w:val="00760F29"/>
    <w:rsid w:val="00773E30"/>
    <w:rsid w:val="00787CA8"/>
    <w:rsid w:val="00794044"/>
    <w:rsid w:val="007A5031"/>
    <w:rsid w:val="007C1E4D"/>
    <w:rsid w:val="007C61DB"/>
    <w:rsid w:val="007D6912"/>
    <w:rsid w:val="007F1D3F"/>
    <w:rsid w:val="008008D2"/>
    <w:rsid w:val="00800A2B"/>
    <w:rsid w:val="00815DB6"/>
    <w:rsid w:val="00820224"/>
    <w:rsid w:val="00822F3B"/>
    <w:rsid w:val="00831443"/>
    <w:rsid w:val="0085283D"/>
    <w:rsid w:val="00862DAD"/>
    <w:rsid w:val="00886A15"/>
    <w:rsid w:val="008924C9"/>
    <w:rsid w:val="008B1F10"/>
    <w:rsid w:val="008E3900"/>
    <w:rsid w:val="008E5A03"/>
    <w:rsid w:val="0091235B"/>
    <w:rsid w:val="00930761"/>
    <w:rsid w:val="00930F93"/>
    <w:rsid w:val="0094508F"/>
    <w:rsid w:val="0094551F"/>
    <w:rsid w:val="009727AF"/>
    <w:rsid w:val="009802FA"/>
    <w:rsid w:val="00984A1C"/>
    <w:rsid w:val="009855D0"/>
    <w:rsid w:val="00986486"/>
    <w:rsid w:val="009B02C1"/>
    <w:rsid w:val="009B11B2"/>
    <w:rsid w:val="009B3F89"/>
    <w:rsid w:val="009B4291"/>
    <w:rsid w:val="009B7C35"/>
    <w:rsid w:val="009C6587"/>
    <w:rsid w:val="009E1F11"/>
    <w:rsid w:val="009E245E"/>
    <w:rsid w:val="009E42E4"/>
    <w:rsid w:val="00A31103"/>
    <w:rsid w:val="00A40447"/>
    <w:rsid w:val="00A55BFD"/>
    <w:rsid w:val="00A57ACB"/>
    <w:rsid w:val="00A63E04"/>
    <w:rsid w:val="00A71576"/>
    <w:rsid w:val="00A72105"/>
    <w:rsid w:val="00A83A4A"/>
    <w:rsid w:val="00A83D17"/>
    <w:rsid w:val="00A85FC4"/>
    <w:rsid w:val="00A873F4"/>
    <w:rsid w:val="00A91B52"/>
    <w:rsid w:val="00AA3464"/>
    <w:rsid w:val="00AA3D2B"/>
    <w:rsid w:val="00AB7B24"/>
    <w:rsid w:val="00AE0FEB"/>
    <w:rsid w:val="00AE7D93"/>
    <w:rsid w:val="00AF56C8"/>
    <w:rsid w:val="00AF6447"/>
    <w:rsid w:val="00AF779F"/>
    <w:rsid w:val="00B0492A"/>
    <w:rsid w:val="00B21C0B"/>
    <w:rsid w:val="00B22004"/>
    <w:rsid w:val="00B34B5E"/>
    <w:rsid w:val="00B56E76"/>
    <w:rsid w:val="00B61D97"/>
    <w:rsid w:val="00B64854"/>
    <w:rsid w:val="00B72E96"/>
    <w:rsid w:val="00B77E3D"/>
    <w:rsid w:val="00B81AD2"/>
    <w:rsid w:val="00B85035"/>
    <w:rsid w:val="00B94B1C"/>
    <w:rsid w:val="00BA5DB5"/>
    <w:rsid w:val="00BF0E50"/>
    <w:rsid w:val="00BF5874"/>
    <w:rsid w:val="00C13576"/>
    <w:rsid w:val="00C13F89"/>
    <w:rsid w:val="00C30C79"/>
    <w:rsid w:val="00C50ACF"/>
    <w:rsid w:val="00C5116F"/>
    <w:rsid w:val="00C5390E"/>
    <w:rsid w:val="00C55F0A"/>
    <w:rsid w:val="00C605E1"/>
    <w:rsid w:val="00C60AE5"/>
    <w:rsid w:val="00C64CCA"/>
    <w:rsid w:val="00C65283"/>
    <w:rsid w:val="00C90E4D"/>
    <w:rsid w:val="00C93C89"/>
    <w:rsid w:val="00C969C0"/>
    <w:rsid w:val="00CA28D8"/>
    <w:rsid w:val="00CA5128"/>
    <w:rsid w:val="00CA7831"/>
    <w:rsid w:val="00CB1516"/>
    <w:rsid w:val="00CE031D"/>
    <w:rsid w:val="00CE5143"/>
    <w:rsid w:val="00CF5E7D"/>
    <w:rsid w:val="00D07F09"/>
    <w:rsid w:val="00D12087"/>
    <w:rsid w:val="00D20E3C"/>
    <w:rsid w:val="00D34069"/>
    <w:rsid w:val="00D54FAC"/>
    <w:rsid w:val="00D660CB"/>
    <w:rsid w:val="00D670CE"/>
    <w:rsid w:val="00D767FB"/>
    <w:rsid w:val="00D841B8"/>
    <w:rsid w:val="00DB3A16"/>
    <w:rsid w:val="00DB521F"/>
    <w:rsid w:val="00DB555E"/>
    <w:rsid w:val="00DD396E"/>
    <w:rsid w:val="00DE2AC7"/>
    <w:rsid w:val="00DE37D5"/>
    <w:rsid w:val="00E002DD"/>
    <w:rsid w:val="00E132F0"/>
    <w:rsid w:val="00E15AE8"/>
    <w:rsid w:val="00E1727E"/>
    <w:rsid w:val="00E20730"/>
    <w:rsid w:val="00E26063"/>
    <w:rsid w:val="00E2733B"/>
    <w:rsid w:val="00E319C2"/>
    <w:rsid w:val="00E449C3"/>
    <w:rsid w:val="00E4597B"/>
    <w:rsid w:val="00E5537B"/>
    <w:rsid w:val="00E84C42"/>
    <w:rsid w:val="00E86FBA"/>
    <w:rsid w:val="00E93287"/>
    <w:rsid w:val="00E97BCE"/>
    <w:rsid w:val="00EA3F81"/>
    <w:rsid w:val="00EA5B52"/>
    <w:rsid w:val="00EC50CD"/>
    <w:rsid w:val="00EF53CF"/>
    <w:rsid w:val="00F01DF9"/>
    <w:rsid w:val="00F1238A"/>
    <w:rsid w:val="00F22714"/>
    <w:rsid w:val="00F27F2C"/>
    <w:rsid w:val="00F414FF"/>
    <w:rsid w:val="00F41B6B"/>
    <w:rsid w:val="00F5588A"/>
    <w:rsid w:val="00F653E6"/>
    <w:rsid w:val="00F717DC"/>
    <w:rsid w:val="00F84D75"/>
    <w:rsid w:val="00F85DE2"/>
    <w:rsid w:val="00FA095E"/>
    <w:rsid w:val="00FA0F0E"/>
    <w:rsid w:val="00FA2AC0"/>
    <w:rsid w:val="00FA63B2"/>
    <w:rsid w:val="00FB0F9F"/>
    <w:rsid w:val="00FE179E"/>
    <w:rsid w:val="00FF2AA2"/>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styleId="UnresolvedMention">
    <w:name w:val="Unresolved Mention"/>
    <w:basedOn w:val="DefaultParagraphFont"/>
    <w:uiPriority w:val="99"/>
    <w:semiHidden/>
    <w:unhideWhenUsed/>
    <w:rsid w:val="000E48C8"/>
    <w:rPr>
      <w:color w:val="605E5C"/>
      <w:shd w:val="clear" w:color="auto" w:fill="E1DFDD"/>
    </w:rPr>
  </w:style>
  <w:style w:type="paragraph" w:styleId="Revision">
    <w:name w:val="Revision"/>
    <w:hidden/>
    <w:uiPriority w:val="99"/>
    <w:semiHidden/>
    <w:rsid w:val="009B4291"/>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10362">
      <w:bodyDiv w:val="1"/>
      <w:marLeft w:val="0"/>
      <w:marRight w:val="0"/>
      <w:marTop w:val="0"/>
      <w:marBottom w:val="0"/>
      <w:divBdr>
        <w:top w:val="none" w:sz="0" w:space="0" w:color="auto"/>
        <w:left w:val="none" w:sz="0" w:space="0" w:color="auto"/>
        <w:bottom w:val="none" w:sz="0" w:space="0" w:color="auto"/>
        <w:right w:val="none" w:sz="0" w:space="0" w:color="auto"/>
      </w:divBdr>
    </w:div>
    <w:div w:id="15726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007DA-2D75-489F-9588-5433FEAF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5834247-6F58-4884-B2FF-26F6269CB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467</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12</cp:revision>
  <dcterms:created xsi:type="dcterms:W3CDTF">2022-12-02T09:03:00Z</dcterms:created>
  <dcterms:modified xsi:type="dcterms:W3CDTF">2022-12-02T11:05:00Z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