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C26033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31F229F9" w:rsidR="00717408" w:rsidRPr="00C26033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C26033">
              <w:rPr>
                <w:b/>
                <w:sz w:val="40"/>
                <w:szCs w:val="40"/>
              </w:rPr>
              <w:t>UN/SCEGHS/</w:t>
            </w:r>
            <w:r w:rsidR="00260117" w:rsidRPr="00C26033">
              <w:rPr>
                <w:b/>
                <w:sz w:val="40"/>
                <w:szCs w:val="40"/>
              </w:rPr>
              <w:t>4</w:t>
            </w:r>
            <w:r w:rsidR="00647244" w:rsidRPr="00C26033">
              <w:rPr>
                <w:b/>
                <w:sz w:val="40"/>
                <w:szCs w:val="40"/>
              </w:rPr>
              <w:t>3</w:t>
            </w:r>
            <w:r w:rsidRPr="00C26033">
              <w:rPr>
                <w:b/>
                <w:sz w:val="40"/>
                <w:szCs w:val="40"/>
              </w:rPr>
              <w:t>/INF.</w:t>
            </w:r>
            <w:r w:rsidR="00AD6475" w:rsidRPr="00C26033">
              <w:rPr>
                <w:b/>
                <w:sz w:val="40"/>
                <w:szCs w:val="40"/>
              </w:rPr>
              <w:t>3</w:t>
            </w:r>
            <w:r w:rsidR="00A46C9A" w:rsidRPr="00C26033">
              <w:rPr>
                <w:b/>
                <w:sz w:val="40"/>
                <w:szCs w:val="40"/>
              </w:rPr>
              <w:t>1</w:t>
            </w:r>
          </w:p>
        </w:tc>
      </w:tr>
      <w:tr w:rsidR="00717408" w14:paraId="50374DD2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tbl>
            <w:tblPr>
              <w:tblpPr w:leftFromText="142" w:rightFromText="142" w:vertAnchor="page" w:horzAnchor="page" w:tblpX="1419" w:tblpY="568"/>
              <w:tblOverlap w:val="never"/>
              <w:tblW w:w="907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72"/>
            </w:tblGrid>
            <w:tr w:rsidR="00A46C9A" w14:paraId="20451D11" w14:textId="77777777" w:rsidTr="009906D8">
              <w:trPr>
                <w:cantSplit/>
                <w:trHeight w:hRule="exact" w:val="3114"/>
              </w:trPr>
              <w:tc>
                <w:tcPr>
                  <w:tcW w:w="9072" w:type="dxa"/>
                  <w:tcBorders>
                    <w:top w:val="single" w:sz="4" w:space="0" w:color="auto"/>
                  </w:tcBorders>
                </w:tcPr>
                <w:p w14:paraId="5FD04D53" w14:textId="77777777" w:rsidR="00A46C9A" w:rsidRPr="00951EBC" w:rsidRDefault="00A46C9A" w:rsidP="00A46C9A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951EBC">
                    <w:rPr>
                      <w:b/>
                      <w:sz w:val="24"/>
                      <w:szCs w:val="24"/>
                    </w:rPr>
                    <w:t>Committee of Experts on the Transport of Dangerous Goods</w:t>
                  </w:r>
                  <w:r w:rsidRPr="00951EBC">
                    <w:rPr>
                      <w:b/>
                      <w:sz w:val="24"/>
                      <w:szCs w:val="24"/>
                    </w:rPr>
                    <w:br/>
                    <w:t>and on the Globally Harmonized System of Classification</w:t>
                  </w:r>
                  <w:r w:rsidRPr="00951EBC">
                    <w:rPr>
                      <w:b/>
                      <w:sz w:val="24"/>
                      <w:szCs w:val="24"/>
                    </w:rPr>
                    <w:br/>
                    <w:t>and Labelling of Chemicals</w:t>
                  </w:r>
                </w:p>
                <w:p w14:paraId="5533575F" w14:textId="0F34E7B2" w:rsidR="00A46C9A" w:rsidRPr="00951EBC" w:rsidRDefault="00A46C9A" w:rsidP="00A46C9A">
                  <w:pPr>
                    <w:tabs>
                      <w:tab w:val="left" w:pos="7380"/>
                    </w:tabs>
                    <w:spacing w:before="120"/>
                  </w:pPr>
                  <w:r w:rsidRPr="00691F20">
                    <w:rPr>
                      <w:b/>
                      <w:lang w:val="en-US"/>
                    </w:rPr>
                    <w:t>Sub-Committee of Experts on the Globally Harmonized</w:t>
                  </w:r>
                  <w:r w:rsidRPr="00691F20">
                    <w:rPr>
                      <w:b/>
                      <w:lang w:val="en-US"/>
                    </w:rPr>
                    <w:br/>
                    <w:t>System of Classification and Labelling of Chemicals</w:t>
                  </w:r>
                  <w:r w:rsidRPr="00951EBC">
                    <w:t xml:space="preserve"> </w:t>
                  </w:r>
                  <w:r w:rsidRPr="00951EBC">
                    <w:tab/>
                  </w:r>
                  <w:r w:rsidR="0045457F">
                    <w:rPr>
                      <w:b/>
                      <w:bCs/>
                    </w:rPr>
                    <w:t>2</w:t>
                  </w:r>
                  <w:r w:rsidRPr="00060D23">
                    <w:rPr>
                      <w:b/>
                      <w:bCs/>
                    </w:rPr>
                    <w:t xml:space="preserve"> </w:t>
                  </w:r>
                  <w:r w:rsidR="0045457F">
                    <w:rPr>
                      <w:b/>
                      <w:bCs/>
                    </w:rPr>
                    <w:t>December</w:t>
                  </w:r>
                  <w:r w:rsidRPr="00060D23">
                    <w:rPr>
                      <w:b/>
                      <w:bCs/>
                    </w:rPr>
                    <w:t xml:space="preserve"> 2022</w:t>
                  </w:r>
                </w:p>
                <w:p w14:paraId="2DABB8C5" w14:textId="77777777" w:rsidR="00A46C9A" w:rsidRDefault="00A46C9A" w:rsidP="00A46C9A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Forty-third session</w:t>
                  </w:r>
                </w:p>
                <w:p w14:paraId="2FDC2E91" w14:textId="77777777" w:rsidR="00A46C9A" w:rsidRDefault="00A46C9A" w:rsidP="00A46C9A">
                  <w:r w:rsidRPr="009B4D10">
                    <w:t xml:space="preserve">Geneva, </w:t>
                  </w:r>
                  <w:r>
                    <w:t>7</w:t>
                  </w:r>
                  <w:r w:rsidRPr="009B4D10">
                    <w:t>-</w:t>
                  </w:r>
                  <w:r>
                    <w:t>9</w:t>
                  </w:r>
                  <w:r w:rsidRPr="009B4D10">
                    <w:t xml:space="preserve"> </w:t>
                  </w:r>
                  <w:r>
                    <w:t xml:space="preserve">December </w:t>
                  </w:r>
                  <w:r w:rsidRPr="009B4D10">
                    <w:t>2022</w:t>
                  </w:r>
                  <w:r>
                    <w:t xml:space="preserve"> </w:t>
                  </w:r>
                </w:p>
                <w:p w14:paraId="2CF331B7" w14:textId="77777777" w:rsidR="00A46C9A" w:rsidRPr="00655BD4" w:rsidRDefault="00A46C9A" w:rsidP="00A46C9A">
                  <w:r w:rsidRPr="00655BD4">
                    <w:t>Item</w:t>
                  </w:r>
                  <w:r>
                    <w:t xml:space="preserve"> 2</w:t>
                  </w:r>
                  <w:r w:rsidRPr="00655BD4">
                    <w:t xml:space="preserve"> of the provisional agenda</w:t>
                  </w:r>
                </w:p>
                <w:p w14:paraId="08C7066F" w14:textId="77777777" w:rsidR="00A46C9A" w:rsidRPr="002F3C76" w:rsidRDefault="00A46C9A" w:rsidP="00A46C9A">
                  <w:pPr>
                    <w:spacing w:line="240" w:lineRule="exact"/>
                    <w:rPr>
                      <w:b/>
                      <w:bCs/>
                    </w:rPr>
                  </w:pPr>
                  <w:r w:rsidRPr="002F3C76">
                    <w:rPr>
                      <w:b/>
                      <w:bCs/>
                    </w:rPr>
                    <w:t xml:space="preserve">Recommendations made by the Sub-Committee </w:t>
                  </w:r>
                </w:p>
                <w:p w14:paraId="564E98B4" w14:textId="77777777" w:rsidR="00A46C9A" w:rsidRDefault="00A46C9A" w:rsidP="00A46C9A">
                  <w:pPr>
                    <w:spacing w:line="240" w:lineRule="exact"/>
                  </w:pPr>
                  <w:r w:rsidRPr="002F3C76">
                    <w:rPr>
                      <w:b/>
                      <w:bCs/>
                    </w:rPr>
                    <w:t>at its fortieth, forty-first and forty-second sessions</w:t>
                  </w:r>
                </w:p>
              </w:tc>
            </w:tr>
          </w:tbl>
          <w:p w14:paraId="1678C954" w14:textId="77777777" w:rsidR="00A46C9A" w:rsidRPr="00CB7CF2" w:rsidRDefault="00A46C9A" w:rsidP="00A46C9A">
            <w:pPr>
              <w:pStyle w:val="HChG"/>
              <w:rPr>
                <w:rFonts w:eastAsia="MS Mincho"/>
                <w:lang w:eastAsia="ja-JP"/>
              </w:rPr>
            </w:pPr>
            <w:r w:rsidRPr="009E7ABD">
              <w:rPr>
                <w:rFonts w:eastAsia="MS Mincho"/>
                <w:lang w:val="en-US" w:eastAsia="ja-JP"/>
              </w:rPr>
              <w:tab/>
            </w:r>
            <w:r w:rsidRPr="009103F3">
              <w:rPr>
                <w:rFonts w:eastAsia="MS Mincho"/>
                <w:lang w:eastAsia="ja-JP"/>
              </w:rPr>
              <w:tab/>
            </w:r>
            <w:r>
              <w:rPr>
                <w:rFonts w:eastAsia="MS Mincho"/>
                <w:lang w:eastAsia="ja-JP"/>
              </w:rPr>
              <w:t xml:space="preserve">Correction to </w:t>
            </w:r>
            <w:r w:rsidRPr="003A57D5">
              <w:t xml:space="preserve">ST/SG/AC.10/C.4/2022/13 </w:t>
            </w:r>
            <w:r>
              <w:rPr>
                <w:rFonts w:eastAsia="MS Mincho"/>
                <w:lang w:eastAsia="ja-JP"/>
              </w:rPr>
              <w:t xml:space="preserve"> </w:t>
            </w:r>
          </w:p>
          <w:p w14:paraId="7F67E7DF" w14:textId="6FFD3467" w:rsidR="00717408" w:rsidRDefault="00717408" w:rsidP="003D74EA">
            <w:pPr>
              <w:spacing w:line="240" w:lineRule="exact"/>
            </w:pPr>
          </w:p>
        </w:tc>
      </w:tr>
    </w:tbl>
    <w:p w14:paraId="3DBE1F1D" w14:textId="4742A1FE" w:rsidR="00512E3F" w:rsidRPr="00CB7CF2" w:rsidRDefault="00760F29" w:rsidP="00512E3F">
      <w:pPr>
        <w:pStyle w:val="HChG"/>
        <w:ind w:right="379"/>
        <w:jc w:val="both"/>
        <w:rPr>
          <w:rFonts w:eastAsia="MS Mincho"/>
          <w:lang w:eastAsia="ja-JP"/>
        </w:rPr>
      </w:pPr>
      <w:r w:rsidRPr="009E7ABD">
        <w:rPr>
          <w:rFonts w:eastAsia="MS Mincho"/>
          <w:lang w:val="en-US" w:eastAsia="ja-JP"/>
        </w:rPr>
        <w:tab/>
      </w:r>
      <w:r w:rsidR="00E97BCE" w:rsidRPr="009103F3">
        <w:rPr>
          <w:rFonts w:eastAsia="MS Mincho"/>
          <w:lang w:eastAsia="ja-JP"/>
        </w:rPr>
        <w:tab/>
      </w:r>
      <w:r w:rsidR="00A46C9A">
        <w:rPr>
          <w:rFonts w:eastAsia="MS Mincho"/>
          <w:lang w:eastAsia="ja-JP"/>
        </w:rPr>
        <w:t>Correction to ST/SG/AC.10/C.4/2022/</w:t>
      </w:r>
      <w:r w:rsidR="006C1DF9">
        <w:rPr>
          <w:rFonts w:eastAsia="MS Mincho"/>
          <w:lang w:eastAsia="ja-JP"/>
        </w:rPr>
        <w:t>13</w:t>
      </w:r>
    </w:p>
    <w:p w14:paraId="41BC6A49" w14:textId="248C7199" w:rsidR="00512E3F" w:rsidRPr="00CB7CF2" w:rsidRDefault="00512E3F" w:rsidP="00512E3F">
      <w:pPr>
        <w:pStyle w:val="H1G"/>
        <w:ind w:right="379"/>
        <w:jc w:val="both"/>
      </w:pPr>
      <w:r w:rsidRPr="00CB7CF2">
        <w:tab/>
      </w:r>
      <w:r w:rsidRPr="00CB7CF2">
        <w:tab/>
      </w:r>
      <w:r w:rsidR="006C1DF9">
        <w:t>Note</w:t>
      </w:r>
      <w:r w:rsidRPr="00CB7CF2">
        <w:t xml:space="preserve"> by </w:t>
      </w:r>
      <w:r w:rsidR="006C1DF9">
        <w:t>the secretariat</w:t>
      </w:r>
    </w:p>
    <w:p w14:paraId="744648AF" w14:textId="1CF51893" w:rsidR="00512E3F" w:rsidRDefault="0039465F" w:rsidP="0039465F">
      <w:pPr>
        <w:pStyle w:val="SingleTxtG"/>
        <w:tabs>
          <w:tab w:val="left" w:pos="1701"/>
        </w:tabs>
        <w:ind w:right="521"/>
        <w:rPr>
          <w:rFonts w:eastAsia="MS Mincho"/>
          <w:lang w:eastAsia="ja-JP"/>
        </w:rPr>
      </w:pPr>
      <w:r>
        <w:t>1.</w:t>
      </w:r>
      <w:r>
        <w:tab/>
      </w:r>
      <w:r w:rsidR="00DF3A78">
        <w:t xml:space="preserve">The secretariat has been informed </w:t>
      </w:r>
      <w:r w:rsidR="001311CD">
        <w:t xml:space="preserve">that an amendment adopted by the Sub-Committee at its fortieth session has been overlooked in the list of consolidated amendments in document </w:t>
      </w:r>
      <w:r w:rsidR="001311CD">
        <w:rPr>
          <w:rFonts w:eastAsia="MS Mincho"/>
          <w:lang w:eastAsia="ja-JP"/>
        </w:rPr>
        <w:t>ST/SG/AC.10/C.4/2022/13.</w:t>
      </w:r>
    </w:p>
    <w:p w14:paraId="6CC9B206" w14:textId="5F591EE0" w:rsidR="001311CD" w:rsidRDefault="0039465F" w:rsidP="0039465F">
      <w:pPr>
        <w:pStyle w:val="SingleTxtG"/>
        <w:tabs>
          <w:tab w:val="left" w:pos="1701"/>
        </w:tabs>
        <w:ind w:right="521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>
        <w:rPr>
          <w:rFonts w:eastAsia="MS Mincho"/>
          <w:lang w:eastAsia="ja-JP"/>
        </w:rPr>
        <w:tab/>
      </w:r>
      <w:r w:rsidR="001311CD">
        <w:rPr>
          <w:rFonts w:eastAsia="MS Mincho"/>
          <w:lang w:eastAsia="ja-JP"/>
        </w:rPr>
        <w:t xml:space="preserve">The report of the Sub-Committee on its fortieth session </w:t>
      </w:r>
      <w:r w:rsidR="00470089">
        <w:rPr>
          <w:rFonts w:eastAsia="MS Mincho"/>
          <w:lang w:eastAsia="ja-JP"/>
        </w:rPr>
        <w:t>(ST/SG/AC.10/C.4/80)</w:t>
      </w:r>
      <w:r w:rsidR="00470089">
        <w:rPr>
          <w:rStyle w:val="FootnoteReference"/>
          <w:rFonts w:eastAsia="MS Mincho"/>
          <w:lang w:eastAsia="ja-JP"/>
        </w:rPr>
        <w:footnoteReference w:id="1"/>
      </w:r>
      <w:r w:rsidR="00470089">
        <w:rPr>
          <w:rFonts w:eastAsia="MS Mincho"/>
          <w:lang w:eastAsia="ja-JP"/>
        </w:rPr>
        <w:t xml:space="preserve"> </w:t>
      </w:r>
      <w:r w:rsidR="00AD3ACA">
        <w:rPr>
          <w:rFonts w:eastAsia="MS Mincho"/>
          <w:lang w:eastAsia="ja-JP"/>
        </w:rPr>
        <w:t xml:space="preserve">does reflect </w:t>
      </w:r>
      <w:r w:rsidR="006B45C5">
        <w:rPr>
          <w:rFonts w:eastAsia="MS Mincho"/>
          <w:lang w:eastAsia="ja-JP"/>
        </w:rPr>
        <w:t xml:space="preserve">in paragraph </w:t>
      </w:r>
      <w:r w:rsidR="00FD6F14">
        <w:rPr>
          <w:rFonts w:eastAsia="MS Mincho"/>
          <w:lang w:eastAsia="ja-JP"/>
        </w:rPr>
        <w:t xml:space="preserve">16 </w:t>
      </w:r>
      <w:r w:rsidR="00AD3ACA">
        <w:rPr>
          <w:rFonts w:eastAsia="MS Mincho"/>
          <w:lang w:eastAsia="ja-JP"/>
        </w:rPr>
        <w:t>the adoption of the proposals in document ST/SG/AC.10/C.4</w:t>
      </w:r>
      <w:r w:rsidR="006B45C5">
        <w:rPr>
          <w:rFonts w:eastAsia="MS Mincho"/>
          <w:lang w:eastAsia="ja-JP"/>
        </w:rPr>
        <w:t>/2021/5 (as amended by informal document INF.</w:t>
      </w:r>
      <w:r w:rsidR="00A41619">
        <w:rPr>
          <w:rFonts w:eastAsia="MS Mincho"/>
          <w:lang w:eastAsia="ja-JP"/>
        </w:rPr>
        <w:t>22</w:t>
      </w:r>
      <w:r w:rsidR="006B45C5">
        <w:rPr>
          <w:rFonts w:eastAsia="MS Mincho"/>
          <w:lang w:eastAsia="ja-JP"/>
        </w:rPr>
        <w:t>)</w:t>
      </w:r>
      <w:r w:rsidR="001D3D66">
        <w:rPr>
          <w:rFonts w:eastAsia="MS Mincho"/>
          <w:lang w:eastAsia="ja-JP"/>
        </w:rPr>
        <w:t xml:space="preserve">. The proposals in ST/SG/AC.10/C.4/2021/5 </w:t>
      </w:r>
      <w:r w:rsidR="00FD6F14">
        <w:rPr>
          <w:rFonts w:eastAsia="MS Mincho"/>
          <w:lang w:eastAsia="ja-JP"/>
        </w:rPr>
        <w:t xml:space="preserve">included a consequential amendment to </w:t>
      </w:r>
      <w:r w:rsidR="009E085B">
        <w:rPr>
          <w:rFonts w:eastAsia="MS Mincho"/>
          <w:lang w:eastAsia="ja-JP"/>
        </w:rPr>
        <w:t>C</w:t>
      </w:r>
      <w:r w:rsidR="00FD6F14">
        <w:rPr>
          <w:rFonts w:eastAsia="MS Mincho"/>
          <w:lang w:eastAsia="ja-JP"/>
        </w:rPr>
        <w:t xml:space="preserve">hapter 1.2 of the GHS to insert a definition for </w:t>
      </w:r>
      <w:r w:rsidR="00DC1479">
        <w:rPr>
          <w:rFonts w:eastAsia="MS Mincho"/>
          <w:lang w:eastAsia="ja-JP"/>
        </w:rPr>
        <w:t>“integrated approach on testing and assessment</w:t>
      </w:r>
      <w:r w:rsidR="0045457F">
        <w:rPr>
          <w:rFonts w:eastAsia="MS Mincho"/>
          <w:lang w:eastAsia="ja-JP"/>
        </w:rPr>
        <w:t>”</w:t>
      </w:r>
      <w:r w:rsidR="00DC1479">
        <w:rPr>
          <w:rFonts w:eastAsia="MS Mincho"/>
          <w:lang w:eastAsia="ja-JP"/>
        </w:rPr>
        <w:t xml:space="preserve"> (IATA). However, this amendment </w:t>
      </w:r>
      <w:r w:rsidR="00F9549B">
        <w:rPr>
          <w:rFonts w:eastAsia="MS Mincho"/>
          <w:lang w:eastAsia="ja-JP"/>
        </w:rPr>
        <w:t xml:space="preserve">was inadvertently omitted </w:t>
      </w:r>
      <w:r w:rsidR="00DC1479">
        <w:rPr>
          <w:rFonts w:eastAsia="MS Mincho"/>
          <w:lang w:eastAsia="ja-JP"/>
        </w:rPr>
        <w:t xml:space="preserve">in the annex to the report and was subsequently </w:t>
      </w:r>
      <w:r w:rsidR="004E78AD">
        <w:rPr>
          <w:rFonts w:eastAsia="MS Mincho"/>
          <w:lang w:eastAsia="ja-JP"/>
        </w:rPr>
        <w:t xml:space="preserve">not included </w:t>
      </w:r>
      <w:r w:rsidR="00DC1479">
        <w:rPr>
          <w:rFonts w:eastAsia="MS Mincho"/>
          <w:lang w:eastAsia="ja-JP"/>
        </w:rPr>
        <w:t xml:space="preserve">in the consolidated list of amendments in </w:t>
      </w:r>
      <w:r w:rsidR="00DC1479" w:rsidRPr="00DC1479">
        <w:rPr>
          <w:rFonts w:eastAsia="MS Mincho"/>
          <w:lang w:eastAsia="ja-JP"/>
        </w:rPr>
        <w:t>ST/SG/AC.10/C.4/2022/13</w:t>
      </w:r>
      <w:r w:rsidR="00DC1479">
        <w:rPr>
          <w:rFonts w:eastAsia="MS Mincho"/>
          <w:lang w:eastAsia="ja-JP"/>
        </w:rPr>
        <w:t>.</w:t>
      </w:r>
    </w:p>
    <w:p w14:paraId="51BBE3E0" w14:textId="0757C3DD" w:rsidR="004E78AD" w:rsidRDefault="0039465F" w:rsidP="0039465F">
      <w:pPr>
        <w:pStyle w:val="SingleTxtG"/>
        <w:tabs>
          <w:tab w:val="left" w:pos="1701"/>
        </w:tabs>
        <w:ind w:right="521"/>
        <w:rPr>
          <w:rFonts w:eastAsia="MS Mincho"/>
          <w:lang w:eastAsia="ja-JP"/>
        </w:rPr>
      </w:pPr>
      <w:r>
        <w:rPr>
          <w:rFonts w:eastAsia="MS Mincho"/>
          <w:lang w:eastAsia="ja-JP"/>
        </w:rPr>
        <w:t>3.</w:t>
      </w:r>
      <w:r>
        <w:rPr>
          <w:rFonts w:eastAsia="MS Mincho"/>
          <w:lang w:eastAsia="ja-JP"/>
        </w:rPr>
        <w:tab/>
      </w:r>
      <w:r w:rsidR="005106A5">
        <w:rPr>
          <w:rFonts w:eastAsia="MS Mincho"/>
          <w:lang w:eastAsia="ja-JP"/>
        </w:rPr>
        <w:t xml:space="preserve">The Sub-Committee is invited to consider the following correction to the list of amendments in </w:t>
      </w:r>
      <w:r w:rsidR="005106A5" w:rsidRPr="00DC1479">
        <w:rPr>
          <w:rFonts w:eastAsia="MS Mincho"/>
          <w:lang w:eastAsia="ja-JP"/>
        </w:rPr>
        <w:t>ST/SG/AC.10/C.4/2022/13</w:t>
      </w:r>
      <w:r w:rsidR="005C12CF">
        <w:rPr>
          <w:rFonts w:eastAsia="MS Mincho"/>
          <w:lang w:eastAsia="ja-JP"/>
        </w:rPr>
        <w:t>, in accordance with the decision taken at its fortieth session.</w:t>
      </w:r>
    </w:p>
    <w:p w14:paraId="4BD94776" w14:textId="04B6ED52" w:rsidR="00577E25" w:rsidRDefault="0039465F" w:rsidP="00DF3A78">
      <w:pPr>
        <w:pStyle w:val="SingleTxtG"/>
        <w:ind w:right="521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</w:t>
      </w:r>
      <w:r>
        <w:rPr>
          <w:rFonts w:eastAsia="MS Mincho"/>
          <w:lang w:eastAsia="ja-JP"/>
        </w:rPr>
        <w:tab/>
      </w:r>
      <w:r w:rsidR="00577E25">
        <w:rPr>
          <w:rFonts w:eastAsia="MS Mincho"/>
          <w:lang w:eastAsia="ja-JP"/>
        </w:rPr>
        <w:t xml:space="preserve">The secretariat will consolidate the amendments in </w:t>
      </w:r>
      <w:r w:rsidR="00577E25" w:rsidRPr="00DC1479">
        <w:rPr>
          <w:rFonts w:eastAsia="MS Mincho"/>
          <w:lang w:eastAsia="ja-JP"/>
        </w:rPr>
        <w:t>ST/SG/AC.10/C.4/2022/13</w:t>
      </w:r>
      <w:r w:rsidR="00577E25">
        <w:rPr>
          <w:rFonts w:eastAsia="MS Mincho"/>
          <w:lang w:eastAsia="ja-JP"/>
        </w:rPr>
        <w:t>, as corrected, together with the amendments adopted by the Sub-Committee at its forty-third session in an annex to the report of the Committee of Experts that will be circulated under the symbol ST/SG/AC.10/</w:t>
      </w:r>
      <w:r w:rsidR="00AA34A8">
        <w:rPr>
          <w:rFonts w:eastAsia="MS Mincho"/>
          <w:lang w:eastAsia="ja-JP"/>
        </w:rPr>
        <w:t>50/Add.3.</w:t>
      </w:r>
      <w:r w:rsidR="00AA34A8">
        <w:rPr>
          <w:rStyle w:val="FootnoteReference"/>
          <w:rFonts w:eastAsia="MS Mincho"/>
          <w:lang w:eastAsia="ja-JP"/>
        </w:rPr>
        <w:footnoteReference w:id="2"/>
      </w:r>
    </w:p>
    <w:p w14:paraId="04FA49F5" w14:textId="00051084" w:rsidR="005C12CF" w:rsidRDefault="005C12CF" w:rsidP="005C12CF">
      <w:pPr>
        <w:pStyle w:val="HChG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>Proposal</w:t>
      </w:r>
    </w:p>
    <w:p w14:paraId="7AEF75DF" w14:textId="4043E030" w:rsidR="005C12CF" w:rsidRDefault="0039465F" w:rsidP="00601743">
      <w:pPr>
        <w:ind w:left="1134" w:right="545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5.</w:t>
      </w:r>
      <w:r>
        <w:rPr>
          <w:rFonts w:eastAsia="MS Mincho"/>
          <w:lang w:eastAsia="ja-JP"/>
        </w:rPr>
        <w:tab/>
      </w:r>
      <w:r w:rsidR="0099082E">
        <w:rPr>
          <w:rFonts w:eastAsia="MS Mincho"/>
          <w:lang w:eastAsia="ja-JP"/>
        </w:rPr>
        <w:t>Insert the following amendment in the list of consolidated amendments to the ninth revised edition of the GHS:</w:t>
      </w:r>
    </w:p>
    <w:p w14:paraId="0A087556" w14:textId="77777777" w:rsidR="0099082E" w:rsidRDefault="0099082E" w:rsidP="0099082E">
      <w:pPr>
        <w:ind w:left="1134"/>
        <w:rPr>
          <w:rFonts w:eastAsia="MS Mincho"/>
          <w:lang w:eastAsia="ja-JP"/>
        </w:rPr>
      </w:pPr>
    </w:p>
    <w:p w14:paraId="6FAE1B6A" w14:textId="61D5DB73" w:rsidR="0044204F" w:rsidRPr="0044204F" w:rsidRDefault="0044204F" w:rsidP="0099082E">
      <w:pPr>
        <w:pStyle w:val="SingleTxtG"/>
        <w:ind w:right="521"/>
        <w:rPr>
          <w:rFonts w:eastAsia="MS Mincho"/>
          <w:b/>
          <w:bCs/>
          <w:lang w:eastAsia="ja-JP"/>
        </w:rPr>
      </w:pPr>
      <w:r>
        <w:rPr>
          <w:rFonts w:eastAsia="MS Mincho"/>
          <w:lang w:eastAsia="ja-JP"/>
        </w:rPr>
        <w:t>“</w:t>
      </w:r>
      <w:r w:rsidRPr="0044204F">
        <w:rPr>
          <w:rFonts w:eastAsia="MS Mincho"/>
          <w:b/>
          <w:bCs/>
          <w:lang w:eastAsia="ja-JP"/>
        </w:rPr>
        <w:t>Chapter 1.2</w:t>
      </w:r>
    </w:p>
    <w:p w14:paraId="7A67C5A5" w14:textId="044D542F" w:rsidR="005C12CF" w:rsidRDefault="0099082E" w:rsidP="0099082E">
      <w:pPr>
        <w:pStyle w:val="SingleTxtG"/>
        <w:ind w:right="521"/>
        <w:rPr>
          <w:rFonts w:eastAsia="MS Mincho"/>
          <w:lang w:eastAsia="ja-JP"/>
        </w:rPr>
      </w:pPr>
      <w:r>
        <w:rPr>
          <w:rFonts w:eastAsia="MS Mincho"/>
          <w:lang w:eastAsia="ja-JP"/>
        </w:rPr>
        <w:t>Insert the following definition in the alphabetical order</w:t>
      </w:r>
      <w:r w:rsidR="0044204F">
        <w:rPr>
          <w:rFonts w:eastAsia="MS Mincho"/>
          <w:lang w:eastAsia="ja-JP"/>
        </w:rPr>
        <w:t>:</w:t>
      </w:r>
    </w:p>
    <w:p w14:paraId="02CCD1F1" w14:textId="3B126182" w:rsidR="0044204F" w:rsidRDefault="008E7B47" w:rsidP="0099082E">
      <w:pPr>
        <w:pStyle w:val="SingleTxtG"/>
        <w:ind w:right="521"/>
      </w:pPr>
      <w:r>
        <w:t>“</w:t>
      </w:r>
      <w:r w:rsidRPr="009F089F">
        <w:rPr>
          <w:b/>
          <w:bCs/>
          <w:i/>
          <w:iCs/>
        </w:rPr>
        <w:t>IATA</w:t>
      </w:r>
      <w:r>
        <w:t xml:space="preserve"> means “Integrated Approach on Testing and Assessment”;”</w:t>
      </w:r>
    </w:p>
    <w:p w14:paraId="63EFEF3A" w14:textId="3DCC5EAF" w:rsidR="00760F29" w:rsidRPr="00760F29" w:rsidRDefault="009F089F" w:rsidP="009F089F">
      <w:pPr>
        <w:spacing w:before="240"/>
        <w:jc w:val="center"/>
        <w:rPr>
          <w:u w:val="single"/>
        </w:rPr>
      </w:pPr>
      <w:r>
        <w:rPr>
          <w:rFonts w:eastAsia="MS Mincho"/>
          <w:u w:val="single"/>
          <w:lang w:eastAsia="ja-JP"/>
        </w:rPr>
        <w:tab/>
      </w:r>
      <w:r>
        <w:rPr>
          <w:rFonts w:eastAsia="MS Mincho"/>
          <w:u w:val="single"/>
          <w:lang w:eastAsia="ja-JP"/>
        </w:rPr>
        <w:tab/>
      </w:r>
      <w:r>
        <w:rPr>
          <w:rFonts w:eastAsia="MS Mincho"/>
          <w:u w:val="single"/>
          <w:lang w:eastAsia="ja-JP"/>
        </w:rPr>
        <w:tab/>
      </w:r>
    </w:p>
    <w:sectPr w:rsidR="00760F29" w:rsidRPr="00760F29" w:rsidSect="003946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98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0B1A" w14:textId="77777777" w:rsidR="005214E7" w:rsidRDefault="005214E7" w:rsidP="00760F29">
      <w:pPr>
        <w:spacing w:line="240" w:lineRule="auto"/>
      </w:pPr>
      <w:r>
        <w:separator/>
      </w:r>
    </w:p>
  </w:endnote>
  <w:endnote w:type="continuationSeparator" w:id="0">
    <w:p w14:paraId="2C7BDF03" w14:textId="77777777" w:rsidR="005214E7" w:rsidRDefault="005214E7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841143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4544BF83" w14:textId="77777777" w:rsidR="00574027" w:rsidRPr="00AA3D2B" w:rsidRDefault="00574027">
        <w:pPr>
          <w:pStyle w:val="Footer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 w:rsidR="00D660CB">
          <w:rPr>
            <w:b/>
            <w:noProof/>
            <w:sz w:val="18"/>
          </w:rPr>
          <w:t>6</w:t>
        </w:r>
        <w:r w:rsidRPr="00AA3D2B">
          <w:rPr>
            <w:b/>
            <w:noProof/>
            <w:sz w:val="18"/>
          </w:rPr>
          <w:fldChar w:fldCharType="end"/>
        </w:r>
      </w:p>
    </w:sdtContent>
  </w:sdt>
  <w:p w14:paraId="0BBA00FE" w14:textId="77777777" w:rsidR="00512CA8" w:rsidRDefault="00512CA8"/>
  <w:p w14:paraId="0557C469" w14:textId="77777777" w:rsidR="00512CA8" w:rsidRDefault="00512C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527124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6EFD7E8D" w14:textId="77777777" w:rsidR="00574027" w:rsidRPr="00AA3D2B" w:rsidRDefault="00574027">
        <w:pPr>
          <w:pStyle w:val="Footer"/>
          <w:jc w:val="right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 w:rsidR="00D660CB">
          <w:rPr>
            <w:b/>
            <w:noProof/>
            <w:sz w:val="18"/>
          </w:rPr>
          <w:t>5</w:t>
        </w:r>
        <w:r w:rsidRPr="00AA3D2B">
          <w:rPr>
            <w:b/>
            <w:noProof/>
            <w:sz w:val="18"/>
          </w:rPr>
          <w:fldChar w:fldCharType="end"/>
        </w:r>
      </w:p>
    </w:sdtContent>
  </w:sdt>
  <w:p w14:paraId="29C5B1D1" w14:textId="77777777" w:rsidR="00512CA8" w:rsidRDefault="00512CA8"/>
  <w:p w14:paraId="2D1265E8" w14:textId="77777777" w:rsidR="00512CA8" w:rsidRDefault="00512C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4F50" w14:textId="77777777" w:rsidR="005214E7" w:rsidRDefault="005214E7" w:rsidP="00760F29">
      <w:pPr>
        <w:spacing w:line="240" w:lineRule="auto"/>
      </w:pPr>
      <w:r>
        <w:separator/>
      </w:r>
    </w:p>
  </w:footnote>
  <w:footnote w:type="continuationSeparator" w:id="0">
    <w:p w14:paraId="29E403CC" w14:textId="77777777" w:rsidR="005214E7" w:rsidRDefault="005214E7" w:rsidP="00760F29">
      <w:pPr>
        <w:spacing w:line="240" w:lineRule="auto"/>
      </w:pPr>
      <w:r>
        <w:continuationSeparator/>
      </w:r>
    </w:p>
  </w:footnote>
  <w:footnote w:id="1">
    <w:p w14:paraId="47B63ECE" w14:textId="1A20F29A" w:rsidR="00470089" w:rsidRPr="0045457F" w:rsidRDefault="001D3D66">
      <w:pPr>
        <w:pStyle w:val="FootnoteText"/>
      </w:pPr>
      <w:r>
        <w:tab/>
      </w:r>
      <w:r w:rsidR="00470089">
        <w:rPr>
          <w:rStyle w:val="FootnoteReference"/>
        </w:rPr>
        <w:footnoteRef/>
      </w:r>
      <w:r w:rsidR="00470089">
        <w:t xml:space="preserve"> </w:t>
      </w:r>
      <w:r>
        <w:tab/>
      </w:r>
      <w:r w:rsidRPr="001D3D66">
        <w:t>https://unece.org/sites/default/files/2021-07/ST-SG-AC10-C4-80e.pdf</w:t>
      </w:r>
    </w:p>
  </w:footnote>
  <w:footnote w:id="2">
    <w:p w14:paraId="4538C26E" w14:textId="68FAB60D" w:rsidR="00AA34A8" w:rsidRPr="0045457F" w:rsidRDefault="00AA34A8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AA34A8">
        <w:t>https://unece.org/info/Transport/Dangerous-Goods/events/369883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70A1" w14:textId="11F1849D" w:rsidR="00574027" w:rsidRPr="00CE031D" w:rsidRDefault="00574027" w:rsidP="00AA3D2B">
    <w:pPr>
      <w:pStyle w:val="Header"/>
      <w:rPr>
        <w:szCs w:val="18"/>
      </w:rPr>
    </w:pPr>
    <w:r w:rsidRPr="00F47212">
      <w:rPr>
        <w:szCs w:val="18"/>
        <w:highlight w:val="yellow"/>
      </w:rPr>
      <w:t>UN/SCE</w:t>
    </w:r>
    <w:r w:rsidR="00F47212" w:rsidRPr="00F47212">
      <w:rPr>
        <w:szCs w:val="18"/>
        <w:highlight w:val="yellow"/>
      </w:rPr>
      <w:t>GHS</w:t>
    </w:r>
    <w:r w:rsidRPr="00F47212">
      <w:rPr>
        <w:szCs w:val="18"/>
        <w:highlight w:val="yellow"/>
      </w:rPr>
      <w:t>/4</w:t>
    </w:r>
    <w:r w:rsidR="00101999">
      <w:rPr>
        <w:szCs w:val="18"/>
        <w:highlight w:val="yellow"/>
      </w:rPr>
      <w:t>3/</w:t>
    </w:r>
    <w:r w:rsidRPr="00F47212">
      <w:rPr>
        <w:szCs w:val="18"/>
        <w:highlight w:val="yellow"/>
      </w:rPr>
      <w:t>INF.</w:t>
    </w:r>
    <w:r w:rsidR="00AD6475">
      <w:rPr>
        <w:szCs w:val="18"/>
      </w:rPr>
      <w:t>3</w:t>
    </w:r>
  </w:p>
  <w:p w14:paraId="018D7C53" w14:textId="77777777" w:rsidR="00574027" w:rsidRPr="0062617C" w:rsidRDefault="00574027" w:rsidP="0062617C">
    <w:pPr>
      <w:pStyle w:val="Header"/>
      <w:pBdr>
        <w:bottom w:val="none" w:sz="0" w:space="0" w:color="auto"/>
      </w:pBd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A23957" wp14:editId="729F1E4E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6DE3E" w14:textId="77777777" w:rsidR="00574027" w:rsidRDefault="00574027" w:rsidP="0062617C">
                          <w:pPr>
                            <w:pStyle w:val="Header"/>
                          </w:pPr>
                          <w:r>
                            <w:t>UN/SCETDG/49/INF.xx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2395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78pt;margin-top:.6pt;width:17pt;height:48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" stroked="f">
              <v:textbox style="layout-flow:vertical" inset="0,0,0,0">
                <w:txbxContent>
                  <w:p w14:paraId="7536DE3E" w14:textId="77777777" w:rsidR="00574027" w:rsidRDefault="00574027" w:rsidP="0062617C">
                    <w:pPr>
                      <w:pStyle w:val="Header"/>
                    </w:pPr>
                    <w:r>
                      <w:t>UN/SCETDG/49/INF.xx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68C38276" w14:textId="77777777" w:rsidR="00512CA8" w:rsidRDefault="00512CA8"/>
  <w:p w14:paraId="1965A9B4" w14:textId="77777777" w:rsidR="00512CA8" w:rsidRDefault="00512C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EA7F" w14:textId="77777777" w:rsidR="00574027" w:rsidRPr="00CE031D" w:rsidRDefault="00574027" w:rsidP="00AA3D2B">
    <w:pPr>
      <w:pStyle w:val="Header"/>
      <w:jc w:val="right"/>
      <w:rPr>
        <w:szCs w:val="18"/>
      </w:rPr>
    </w:pPr>
    <w:r w:rsidRPr="00CE031D">
      <w:rPr>
        <w:szCs w:val="18"/>
      </w:rPr>
      <w:t>UN/SCE</w:t>
    </w:r>
    <w:r w:rsidR="00D660CB">
      <w:rPr>
        <w:szCs w:val="18"/>
      </w:rPr>
      <w:t>GHS</w:t>
    </w:r>
    <w:r w:rsidRPr="00CE031D">
      <w:rPr>
        <w:szCs w:val="18"/>
      </w:rPr>
      <w:t>/</w:t>
    </w:r>
    <w:r w:rsidR="00D660CB">
      <w:rPr>
        <w:szCs w:val="18"/>
      </w:rPr>
      <w:t>33</w:t>
    </w:r>
    <w:r w:rsidRPr="00CE031D">
      <w:rPr>
        <w:szCs w:val="18"/>
      </w:rPr>
      <w:t>/INF.</w:t>
    </w:r>
    <w:r w:rsidR="00D660CB">
      <w:rPr>
        <w:szCs w:val="18"/>
      </w:rPr>
      <w:t>xx</w:t>
    </w:r>
  </w:p>
  <w:p w14:paraId="2A0AEDCB" w14:textId="77777777" w:rsidR="00574027" w:rsidRPr="00CE031D" w:rsidRDefault="00574027" w:rsidP="0062617C">
    <w:pPr>
      <w:pStyle w:val="Header"/>
      <w:pBdr>
        <w:bottom w:val="none" w:sz="0" w:space="0" w:color="auto"/>
      </w:pBd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C83A48F" wp14:editId="5D5A78CA">
              <wp:simplePos x="0" y="0"/>
              <wp:positionH relativeFrom="page">
                <wp:posOffset>9728200</wp:posOffset>
              </wp:positionH>
              <wp:positionV relativeFrom="margin">
                <wp:posOffset>64770</wp:posOffset>
              </wp:positionV>
              <wp:extent cx="215900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A0A0B" w14:textId="77777777" w:rsidR="00574027" w:rsidRDefault="00574027" w:rsidP="0062617C">
                          <w:pPr>
                            <w:pStyle w:val="Header"/>
                            <w:jc w:val="right"/>
                          </w:pPr>
                          <w:r>
                            <w:t>UN/SCETDG/49/INF.xx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3A48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766pt;margin-top:5.1pt;width:17pt;height:481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" stroked="f">
              <v:textbox style="layout-flow:vertical" inset="0,0,0,0">
                <w:txbxContent>
                  <w:p w14:paraId="799A0A0B" w14:textId="77777777" w:rsidR="00574027" w:rsidRDefault="00574027" w:rsidP="0062617C">
                    <w:pPr>
                      <w:pStyle w:val="Header"/>
                      <w:jc w:val="right"/>
                    </w:pPr>
                    <w:r>
                      <w:t>UN/SCETDG/49/INF.xx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6990627" w14:textId="77777777" w:rsidR="00512CA8" w:rsidRDefault="00512CA8"/>
  <w:p w14:paraId="03F28A43" w14:textId="77777777" w:rsidR="00512CA8" w:rsidRDefault="00512C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DB1C" w14:textId="77777777" w:rsidR="00D57610" w:rsidRDefault="00D57610" w:rsidP="00D5761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A87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FE7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DE9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ECF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76E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38E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00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68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A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04C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7"/>
  </w:num>
  <w:num w:numId="5">
    <w:abstractNumId w:val="14"/>
  </w:num>
  <w:num w:numId="6">
    <w:abstractNumId w:val="13"/>
  </w:num>
  <w:num w:numId="7">
    <w:abstractNumId w:val="11"/>
  </w:num>
  <w:num w:numId="8">
    <w:abstractNumId w:val="16"/>
  </w:num>
  <w:num w:numId="9">
    <w:abstractNumId w:val="12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08"/>
    <w:rsid w:val="000214BC"/>
    <w:rsid w:val="0003079A"/>
    <w:rsid w:val="0006039D"/>
    <w:rsid w:val="000B6ACF"/>
    <w:rsid w:val="000F5997"/>
    <w:rsid w:val="00101999"/>
    <w:rsid w:val="001311CD"/>
    <w:rsid w:val="001B057F"/>
    <w:rsid w:val="001C5FE4"/>
    <w:rsid w:val="001D3D66"/>
    <w:rsid w:val="00223F9F"/>
    <w:rsid w:val="00225747"/>
    <w:rsid w:val="00226CEA"/>
    <w:rsid w:val="00236385"/>
    <w:rsid w:val="00244E9C"/>
    <w:rsid w:val="00260117"/>
    <w:rsid w:val="0028150B"/>
    <w:rsid w:val="00371089"/>
    <w:rsid w:val="0039465F"/>
    <w:rsid w:val="003A2A96"/>
    <w:rsid w:val="003A3245"/>
    <w:rsid w:val="003B2653"/>
    <w:rsid w:val="003C10B9"/>
    <w:rsid w:val="003C425A"/>
    <w:rsid w:val="003D74EA"/>
    <w:rsid w:val="003E64B9"/>
    <w:rsid w:val="00406A6B"/>
    <w:rsid w:val="004108A7"/>
    <w:rsid w:val="0044204F"/>
    <w:rsid w:val="0045457F"/>
    <w:rsid w:val="00470089"/>
    <w:rsid w:val="004B5A77"/>
    <w:rsid w:val="004E7435"/>
    <w:rsid w:val="004E78AD"/>
    <w:rsid w:val="005106A5"/>
    <w:rsid w:val="00512CA8"/>
    <w:rsid w:val="00512E3F"/>
    <w:rsid w:val="005214E7"/>
    <w:rsid w:val="00522D72"/>
    <w:rsid w:val="00574027"/>
    <w:rsid w:val="00577E25"/>
    <w:rsid w:val="00592369"/>
    <w:rsid w:val="005C0B65"/>
    <w:rsid w:val="005C12CF"/>
    <w:rsid w:val="005E79BB"/>
    <w:rsid w:val="005F7AE9"/>
    <w:rsid w:val="00601743"/>
    <w:rsid w:val="0062617C"/>
    <w:rsid w:val="00630265"/>
    <w:rsid w:val="00633F54"/>
    <w:rsid w:val="00647244"/>
    <w:rsid w:val="00686B73"/>
    <w:rsid w:val="006A2C7D"/>
    <w:rsid w:val="006B45C5"/>
    <w:rsid w:val="006C1DF9"/>
    <w:rsid w:val="006D3E76"/>
    <w:rsid w:val="00717408"/>
    <w:rsid w:val="00760F29"/>
    <w:rsid w:val="007A5031"/>
    <w:rsid w:val="007C1E4D"/>
    <w:rsid w:val="007C61DB"/>
    <w:rsid w:val="007D47BB"/>
    <w:rsid w:val="007E0B86"/>
    <w:rsid w:val="007F1D3F"/>
    <w:rsid w:val="00822F3B"/>
    <w:rsid w:val="008D54D0"/>
    <w:rsid w:val="008E7B47"/>
    <w:rsid w:val="00930F93"/>
    <w:rsid w:val="0094551F"/>
    <w:rsid w:val="009855D0"/>
    <w:rsid w:val="0099082E"/>
    <w:rsid w:val="009B11B2"/>
    <w:rsid w:val="009E085B"/>
    <w:rsid w:val="009E1F11"/>
    <w:rsid w:val="009E245E"/>
    <w:rsid w:val="009E42E4"/>
    <w:rsid w:val="009F089F"/>
    <w:rsid w:val="009F552B"/>
    <w:rsid w:val="00A41619"/>
    <w:rsid w:val="00A46C9A"/>
    <w:rsid w:val="00A55BFD"/>
    <w:rsid w:val="00A57ACB"/>
    <w:rsid w:val="00A83A4A"/>
    <w:rsid w:val="00A91B52"/>
    <w:rsid w:val="00AA34A8"/>
    <w:rsid w:val="00AA3D2B"/>
    <w:rsid w:val="00AA6BD9"/>
    <w:rsid w:val="00AD3ACA"/>
    <w:rsid w:val="00AD6475"/>
    <w:rsid w:val="00B64854"/>
    <w:rsid w:val="00B77E3D"/>
    <w:rsid w:val="00B85035"/>
    <w:rsid w:val="00BF0E50"/>
    <w:rsid w:val="00C13576"/>
    <w:rsid w:val="00C13F89"/>
    <w:rsid w:val="00C21DFE"/>
    <w:rsid w:val="00C26033"/>
    <w:rsid w:val="00C60AE5"/>
    <w:rsid w:val="00C64CCA"/>
    <w:rsid w:val="00C65283"/>
    <w:rsid w:val="00C97ECF"/>
    <w:rsid w:val="00CA28D8"/>
    <w:rsid w:val="00CA3BB9"/>
    <w:rsid w:val="00CA5128"/>
    <w:rsid w:val="00CE031D"/>
    <w:rsid w:val="00D57610"/>
    <w:rsid w:val="00D660CB"/>
    <w:rsid w:val="00D841B8"/>
    <w:rsid w:val="00DB521F"/>
    <w:rsid w:val="00DC1479"/>
    <w:rsid w:val="00DD396E"/>
    <w:rsid w:val="00DF3A78"/>
    <w:rsid w:val="00E15AE8"/>
    <w:rsid w:val="00E1727E"/>
    <w:rsid w:val="00E7454A"/>
    <w:rsid w:val="00E97BCE"/>
    <w:rsid w:val="00EA3F81"/>
    <w:rsid w:val="00EA5B52"/>
    <w:rsid w:val="00F22714"/>
    <w:rsid w:val="00F27F2C"/>
    <w:rsid w:val="00F41B6B"/>
    <w:rsid w:val="00F47212"/>
    <w:rsid w:val="00F8338C"/>
    <w:rsid w:val="00F84D75"/>
    <w:rsid w:val="00F9549B"/>
    <w:rsid w:val="00F970C4"/>
    <w:rsid w:val="00FA63B2"/>
    <w:rsid w:val="00FD6F14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1DCCC7"/>
  <w15:docId w15:val="{28BF58E0-68D0-4E51-804D-0C6FD19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uiPriority w:val="99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BB150-6975-4088-9F31-83C3C5F7E88A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85ec44e-1bab-4c0b-9df0-6ba128686f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14967D-801F-4849-BAFC-2C529185C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4D8E0-6F6E-425D-A4FB-09BF9B49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Rosa Garcia Couto</cp:lastModifiedBy>
  <cp:revision>4</cp:revision>
  <dcterms:created xsi:type="dcterms:W3CDTF">2022-12-01T18:16:00Z</dcterms:created>
  <dcterms:modified xsi:type="dcterms:W3CDTF">2022-12-01T18:29:00Z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  <property fmtid="{D5CDD505-2E9C-101B-9397-08002B2CF9AE}" pid="4" name="Office of Origin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