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CE5EDB" w14:paraId="5ADD4112" w14:textId="77777777" w:rsidTr="006476E1">
        <w:trPr>
          <w:trHeight w:val="851"/>
        </w:trPr>
        <w:tc>
          <w:tcPr>
            <w:tcW w:w="1259" w:type="dxa"/>
            <w:tcBorders>
              <w:top w:val="nil"/>
              <w:left w:val="nil"/>
              <w:bottom w:val="single" w:sz="4" w:space="0" w:color="auto"/>
              <w:right w:val="nil"/>
            </w:tcBorders>
          </w:tcPr>
          <w:p w14:paraId="3B248E6A" w14:textId="77777777" w:rsidR="00E52109" w:rsidRPr="00CE5EDB" w:rsidRDefault="00E52109" w:rsidP="004858F5"/>
        </w:tc>
        <w:tc>
          <w:tcPr>
            <w:tcW w:w="2236" w:type="dxa"/>
            <w:tcBorders>
              <w:top w:val="nil"/>
              <w:left w:val="nil"/>
              <w:bottom w:val="single" w:sz="4" w:space="0" w:color="auto"/>
              <w:right w:val="nil"/>
            </w:tcBorders>
            <w:vAlign w:val="bottom"/>
          </w:tcPr>
          <w:p w14:paraId="047843BD" w14:textId="77777777" w:rsidR="00E52109" w:rsidRPr="00CE5EDB" w:rsidRDefault="00E52109" w:rsidP="006476E1">
            <w:pPr>
              <w:spacing w:after="80" w:line="300" w:lineRule="exact"/>
              <w:rPr>
                <w:sz w:val="28"/>
                <w:szCs w:val="28"/>
              </w:rPr>
            </w:pPr>
            <w:r w:rsidRPr="00CE5EDB">
              <w:rPr>
                <w:sz w:val="28"/>
                <w:szCs w:val="28"/>
              </w:rPr>
              <w:t>United Nations</w:t>
            </w:r>
          </w:p>
        </w:tc>
        <w:tc>
          <w:tcPr>
            <w:tcW w:w="6144" w:type="dxa"/>
            <w:gridSpan w:val="2"/>
            <w:tcBorders>
              <w:top w:val="nil"/>
              <w:left w:val="nil"/>
              <w:bottom w:val="single" w:sz="4" w:space="0" w:color="auto"/>
              <w:right w:val="nil"/>
            </w:tcBorders>
            <w:vAlign w:val="bottom"/>
          </w:tcPr>
          <w:p w14:paraId="14CB6B3A" w14:textId="06A1EB66" w:rsidR="00E52109" w:rsidRPr="00CE5EDB" w:rsidRDefault="00D54292" w:rsidP="00D54292">
            <w:pPr>
              <w:suppressAutoHyphens w:val="0"/>
              <w:jc w:val="right"/>
            </w:pPr>
            <w:r w:rsidRPr="00CE5EDB">
              <w:rPr>
                <w:sz w:val="40"/>
              </w:rPr>
              <w:t>ST</w:t>
            </w:r>
            <w:r w:rsidRPr="00CE5EDB">
              <w:t>/SG/AC.10/C.3/1</w:t>
            </w:r>
            <w:r w:rsidR="007E4C73">
              <w:t>2</w:t>
            </w:r>
            <w:r w:rsidR="00DF3264">
              <w:t>2</w:t>
            </w:r>
            <w:r w:rsidR="00F96A32" w:rsidRPr="00CE5EDB">
              <w:t>/Add.1</w:t>
            </w:r>
          </w:p>
        </w:tc>
      </w:tr>
      <w:tr w:rsidR="00E52109" w:rsidRPr="00CE5EDB" w14:paraId="51EA04E4" w14:textId="77777777" w:rsidTr="006476E1">
        <w:trPr>
          <w:trHeight w:val="2835"/>
        </w:trPr>
        <w:tc>
          <w:tcPr>
            <w:tcW w:w="1259" w:type="dxa"/>
            <w:tcBorders>
              <w:top w:val="single" w:sz="4" w:space="0" w:color="auto"/>
              <w:left w:val="nil"/>
              <w:bottom w:val="single" w:sz="12" w:space="0" w:color="auto"/>
              <w:right w:val="nil"/>
            </w:tcBorders>
          </w:tcPr>
          <w:p w14:paraId="751647CC" w14:textId="77777777" w:rsidR="00E52109" w:rsidRPr="00CE5EDB" w:rsidRDefault="00E52109" w:rsidP="006476E1">
            <w:pPr>
              <w:spacing w:before="120"/>
              <w:jc w:val="center"/>
            </w:pPr>
            <w:r w:rsidRPr="00CE5EDB">
              <w:rPr>
                <w:noProof/>
                <w:lang w:eastAsia="fr-CH"/>
              </w:rPr>
              <w:drawing>
                <wp:inline distT="0" distB="0" distL="0" distR="0" wp14:anchorId="0AA605B7" wp14:editId="1E35F1A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2CD4B67" w14:textId="77777777" w:rsidR="00E52109" w:rsidRPr="00CE5EDB" w:rsidRDefault="00D94B05" w:rsidP="006476E1">
            <w:pPr>
              <w:spacing w:before="120" w:line="420" w:lineRule="exact"/>
              <w:rPr>
                <w:b/>
                <w:sz w:val="40"/>
                <w:szCs w:val="40"/>
              </w:rPr>
            </w:pPr>
            <w:r w:rsidRPr="00CE5EDB">
              <w:rPr>
                <w:b/>
                <w:sz w:val="40"/>
                <w:szCs w:val="40"/>
              </w:rPr>
              <w:t>Secretariat</w:t>
            </w:r>
          </w:p>
        </w:tc>
        <w:tc>
          <w:tcPr>
            <w:tcW w:w="2930" w:type="dxa"/>
            <w:tcBorders>
              <w:top w:val="single" w:sz="4" w:space="0" w:color="auto"/>
              <w:left w:val="nil"/>
              <w:bottom w:val="single" w:sz="12" w:space="0" w:color="auto"/>
              <w:right w:val="nil"/>
            </w:tcBorders>
          </w:tcPr>
          <w:p w14:paraId="0866B9C7" w14:textId="77777777" w:rsidR="00D94B05" w:rsidRPr="00CE5EDB" w:rsidRDefault="00D54292" w:rsidP="00D54292">
            <w:pPr>
              <w:suppressAutoHyphens w:val="0"/>
              <w:spacing w:before="240" w:line="240" w:lineRule="exact"/>
            </w:pPr>
            <w:r w:rsidRPr="00CE5EDB">
              <w:t>Distr.: General</w:t>
            </w:r>
          </w:p>
          <w:p w14:paraId="09E4298D" w14:textId="77E13013" w:rsidR="00D54292" w:rsidRPr="00CE5EDB" w:rsidRDefault="00077D40" w:rsidP="00D54292">
            <w:pPr>
              <w:suppressAutoHyphens w:val="0"/>
              <w:spacing w:line="240" w:lineRule="exact"/>
            </w:pPr>
            <w:r>
              <w:t>2</w:t>
            </w:r>
            <w:r w:rsidR="00BC67DE">
              <w:t>1</w:t>
            </w:r>
            <w:r w:rsidR="00DF3264">
              <w:t xml:space="preserve"> December</w:t>
            </w:r>
            <w:r w:rsidR="009B3686">
              <w:t xml:space="preserve"> </w:t>
            </w:r>
            <w:r w:rsidR="00D54292" w:rsidRPr="00CE5EDB">
              <w:t>202</w:t>
            </w:r>
            <w:r w:rsidR="00F8251A">
              <w:t>2</w:t>
            </w:r>
          </w:p>
          <w:p w14:paraId="49BD34EA" w14:textId="5886359A" w:rsidR="00D54292" w:rsidRPr="00CE5EDB" w:rsidRDefault="006D5CA9" w:rsidP="00D54292">
            <w:pPr>
              <w:suppressAutoHyphens w:val="0"/>
              <w:spacing w:line="240" w:lineRule="exact"/>
            </w:pPr>
            <w:r>
              <w:t>English</w:t>
            </w:r>
          </w:p>
          <w:p w14:paraId="48D296A5" w14:textId="073DD3B9" w:rsidR="00D54292" w:rsidRPr="00CE5EDB" w:rsidRDefault="00D54292" w:rsidP="00D54292">
            <w:pPr>
              <w:suppressAutoHyphens w:val="0"/>
              <w:spacing w:line="240" w:lineRule="exact"/>
            </w:pPr>
            <w:r w:rsidRPr="00CE5EDB">
              <w:t>Original: English</w:t>
            </w:r>
            <w:r w:rsidR="006D5CA9">
              <w:t xml:space="preserve"> and French</w:t>
            </w:r>
          </w:p>
        </w:tc>
      </w:tr>
    </w:tbl>
    <w:p w14:paraId="37A52417" w14:textId="77777777" w:rsidR="005B322C" w:rsidRPr="006500BA" w:rsidRDefault="005B322C" w:rsidP="005B322C">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56664C4" w14:textId="77777777" w:rsidR="005B322C" w:rsidRPr="006500BA" w:rsidRDefault="005B322C" w:rsidP="005B322C">
      <w:pPr>
        <w:spacing w:before="120"/>
        <w:rPr>
          <w:rFonts w:ascii="Helv" w:hAnsi="Helv" w:cs="Helv"/>
          <w:b/>
          <w:color w:val="000000"/>
        </w:rPr>
      </w:pPr>
      <w:r w:rsidRPr="006500BA">
        <w:rPr>
          <w:b/>
        </w:rPr>
        <w:t xml:space="preserve">Sub-Committee of Experts on the </w:t>
      </w:r>
      <w:r>
        <w:rPr>
          <w:b/>
        </w:rPr>
        <w:t>Transport of Dangerous Goods</w:t>
      </w:r>
    </w:p>
    <w:p w14:paraId="543487F2" w14:textId="273543C7" w:rsidR="005B322C" w:rsidRPr="00837B90" w:rsidRDefault="005B322C" w:rsidP="005B322C">
      <w:pPr>
        <w:pStyle w:val="HChG"/>
        <w:spacing w:before="240" w:after="120"/>
      </w:pPr>
      <w:r w:rsidRPr="00837B90">
        <w:tab/>
      </w:r>
      <w:r w:rsidRPr="00837B90">
        <w:tab/>
        <w:t xml:space="preserve">Report of the Sub-Committee of Experts on the Transport of Dangerous Goods on its </w:t>
      </w:r>
      <w:r>
        <w:t>sixt</w:t>
      </w:r>
      <w:r w:rsidRPr="00837B90">
        <w:t>y-</w:t>
      </w:r>
      <w:r>
        <w:t>first</w:t>
      </w:r>
      <w:r w:rsidRPr="00837B90">
        <w:t xml:space="preserve"> session</w:t>
      </w:r>
    </w:p>
    <w:p w14:paraId="7E503975" w14:textId="77777777" w:rsidR="005B322C" w:rsidRDefault="005B322C" w:rsidP="005B322C">
      <w:pPr>
        <w:pStyle w:val="H23G"/>
        <w:spacing w:before="120" w:after="240"/>
        <w:rPr>
          <w:b w:val="0"/>
        </w:rPr>
      </w:pPr>
      <w:r w:rsidRPr="00837B90">
        <w:tab/>
      </w:r>
      <w:r w:rsidRPr="00837B90">
        <w:tab/>
      </w:r>
      <w:r w:rsidRPr="00837B90">
        <w:rPr>
          <w:b w:val="0"/>
        </w:rPr>
        <w:t xml:space="preserve">held in Geneva from </w:t>
      </w:r>
      <w:r>
        <w:rPr>
          <w:b w:val="0"/>
        </w:rPr>
        <w:t>28 November to 6 December 2022</w:t>
      </w:r>
    </w:p>
    <w:p w14:paraId="11A83143" w14:textId="7FD5F503" w:rsidR="00161F88" w:rsidRPr="00161F88" w:rsidRDefault="00161F88" w:rsidP="00161F88">
      <w:pPr>
        <w:pStyle w:val="H1G"/>
      </w:pPr>
      <w:r>
        <w:tab/>
      </w:r>
      <w:r>
        <w:tab/>
        <w:t>Addendum</w:t>
      </w:r>
    </w:p>
    <w:p w14:paraId="66B948F2" w14:textId="77777777" w:rsidR="005B322C" w:rsidRPr="00FF6872" w:rsidRDefault="005B322C" w:rsidP="00AA7A02">
      <w:pPr>
        <w:spacing w:before="360" w:line="200" w:lineRule="atLeast"/>
        <w:rPr>
          <w:sz w:val="28"/>
          <w:lang w:val="fr-CH"/>
        </w:rPr>
      </w:pPr>
      <w:r w:rsidRPr="00FF6872">
        <w:rPr>
          <w:sz w:val="28"/>
          <w:lang w:val="fr-CH"/>
        </w:rPr>
        <w:t>Contents</w:t>
      </w:r>
    </w:p>
    <w:p w14:paraId="3F2E1733" w14:textId="77777777" w:rsidR="00EC3668" w:rsidRDefault="00EC3668" w:rsidP="00A509A9">
      <w:pPr>
        <w:tabs>
          <w:tab w:val="right" w:pos="850"/>
          <w:tab w:val="left" w:pos="1134"/>
          <w:tab w:val="left" w:pos="1559"/>
          <w:tab w:val="left" w:pos="1984"/>
          <w:tab w:val="left" w:leader="dot" w:pos="7654"/>
          <w:tab w:val="right" w:pos="8929"/>
          <w:tab w:val="right" w:pos="9638"/>
        </w:tabs>
        <w:spacing w:before="360" w:after="360"/>
      </w:pPr>
      <w:r>
        <w:t>Annexes</w:t>
      </w:r>
    </w:p>
    <w:p w14:paraId="663CDB50" w14:textId="14A882F7" w:rsidR="00EC3668" w:rsidRPr="00C65B5D" w:rsidRDefault="00EC3668" w:rsidP="00EC3668">
      <w:pPr>
        <w:tabs>
          <w:tab w:val="right" w:pos="850"/>
          <w:tab w:val="left" w:pos="1134"/>
          <w:tab w:val="left" w:pos="1984"/>
          <w:tab w:val="left" w:leader="dot" w:pos="8931"/>
          <w:tab w:val="right" w:pos="9638"/>
        </w:tabs>
        <w:spacing w:after="120"/>
        <w:ind w:left="1134" w:hanging="1134"/>
        <w:rPr>
          <w:highlight w:val="yellow"/>
        </w:rPr>
      </w:pPr>
      <w:r w:rsidRPr="00297CBA">
        <w:tab/>
      </w:r>
      <w:r w:rsidRPr="008774CE">
        <w:t>I.</w:t>
      </w:r>
      <w:r w:rsidRPr="008774CE">
        <w:tab/>
      </w:r>
      <w:r w:rsidRPr="009C566A">
        <w:t>Draft amendments to the twent</w:t>
      </w:r>
      <w:r>
        <w:t>y-second r</w:t>
      </w:r>
      <w:r w:rsidRPr="009C566A">
        <w:t xml:space="preserve">evised edition of Recommendations </w:t>
      </w:r>
      <w:r>
        <w:br/>
      </w:r>
      <w:r w:rsidRPr="009C566A">
        <w:t>on the Transport of Dangerous Goods, Model Regulations (ST/SG/AC.10/1/Rev.2</w:t>
      </w:r>
      <w:r>
        <w:t>2</w:t>
      </w:r>
      <w:r w:rsidRPr="009C566A">
        <w:t>)</w:t>
      </w:r>
      <w:r w:rsidRPr="008774CE">
        <w:rPr>
          <w:rStyle w:val="FootnoteReference"/>
        </w:rPr>
        <w:footnoteReference w:id="2"/>
      </w:r>
      <w:r>
        <w:tab/>
      </w:r>
      <w:r>
        <w:tab/>
      </w:r>
      <w:r w:rsidR="004C20D2">
        <w:t>2</w:t>
      </w:r>
    </w:p>
    <w:p w14:paraId="47B67975" w14:textId="49AF111C" w:rsidR="00EC3668" w:rsidRPr="00C54901" w:rsidRDefault="00EC3668" w:rsidP="00EC3668">
      <w:pPr>
        <w:tabs>
          <w:tab w:val="right" w:pos="850"/>
          <w:tab w:val="left" w:pos="1134"/>
          <w:tab w:val="left" w:pos="1984"/>
          <w:tab w:val="left" w:leader="dot" w:pos="8931"/>
          <w:tab w:val="right" w:pos="9638"/>
        </w:tabs>
        <w:spacing w:after="120"/>
        <w:ind w:left="1134" w:hanging="1134"/>
        <w:rPr>
          <w:highlight w:val="yellow"/>
        </w:rPr>
      </w:pPr>
      <w:r w:rsidRPr="008774CE">
        <w:tab/>
        <w:t>II.</w:t>
      </w:r>
      <w:r w:rsidRPr="008774CE">
        <w:tab/>
      </w:r>
      <w:r w:rsidR="00282BFB" w:rsidRPr="008F7B6D">
        <w:t xml:space="preserve">Draft amendments to the Manual of Tests and Criteria </w:t>
      </w:r>
      <w:r w:rsidR="00282BFB">
        <w:br/>
      </w:r>
      <w:r w:rsidR="00282BFB" w:rsidRPr="008F7B6D">
        <w:t>(ST/SG/AC.10/11/Rev.7 and Amend.1)</w:t>
      </w:r>
      <w:r w:rsidRPr="008774CE">
        <w:rPr>
          <w:vertAlign w:val="superscript"/>
        </w:rPr>
        <w:t>1</w:t>
      </w:r>
      <w:r>
        <w:tab/>
      </w:r>
      <w:r>
        <w:tab/>
      </w:r>
      <w:r w:rsidR="00282BFB">
        <w:t>13</w:t>
      </w:r>
    </w:p>
    <w:p w14:paraId="3E5E5ED6" w14:textId="119DAB59" w:rsidR="00EC3668" w:rsidRPr="00C54901" w:rsidRDefault="00EC3668" w:rsidP="00EC3668">
      <w:pPr>
        <w:tabs>
          <w:tab w:val="right" w:pos="850"/>
          <w:tab w:val="left" w:pos="1134"/>
          <w:tab w:val="left" w:pos="1984"/>
          <w:tab w:val="left" w:leader="dot" w:pos="8931"/>
          <w:tab w:val="right" w:pos="9638"/>
        </w:tabs>
        <w:spacing w:after="120" w:line="240" w:lineRule="auto"/>
        <w:ind w:left="1134" w:hanging="1134"/>
        <w:rPr>
          <w:highlight w:val="yellow"/>
        </w:rPr>
      </w:pPr>
      <w:r w:rsidRPr="008774CE">
        <w:tab/>
        <w:t>III.</w:t>
      </w:r>
      <w:r w:rsidRPr="008774CE">
        <w:tab/>
      </w:r>
      <w:r w:rsidR="00D94C5B">
        <w:t>Modifications to the sixth version of the Guiding Principles for the Development of the Model Regulations on the Transport of Dangerous Goods [English only]</w:t>
      </w:r>
      <w:r w:rsidRPr="008774CE">
        <w:rPr>
          <w:vertAlign w:val="superscript"/>
        </w:rPr>
        <w:t>1</w:t>
      </w:r>
      <w:r>
        <w:tab/>
      </w:r>
      <w:r>
        <w:tab/>
      </w:r>
      <w:r w:rsidR="00D94C5B">
        <w:t>1</w:t>
      </w:r>
      <w:r w:rsidR="007522B9">
        <w:t>6</w:t>
      </w:r>
    </w:p>
    <w:p w14:paraId="288761DC" w14:textId="77777777" w:rsidR="00AB624E" w:rsidRPr="00CE5EDB" w:rsidRDefault="00AB624E" w:rsidP="00155726">
      <w:pPr>
        <w:tabs>
          <w:tab w:val="right" w:pos="850"/>
          <w:tab w:val="left" w:pos="1134"/>
          <w:tab w:val="left" w:pos="1984"/>
          <w:tab w:val="left" w:leader="dot" w:pos="8931"/>
          <w:tab w:val="right" w:pos="9638"/>
        </w:tabs>
        <w:spacing w:after="120"/>
        <w:ind w:left="1134" w:hanging="1134"/>
      </w:pPr>
    </w:p>
    <w:p w14:paraId="3AD6C31C" w14:textId="77777777" w:rsidR="00155726" w:rsidRDefault="00155726" w:rsidP="00155726">
      <w:pPr>
        <w:suppressAutoHyphens w:val="0"/>
        <w:kinsoku/>
        <w:overflowPunct/>
        <w:autoSpaceDE/>
        <w:autoSpaceDN/>
        <w:adjustRightInd/>
        <w:snapToGrid/>
        <w:spacing w:after="200" w:line="276" w:lineRule="auto"/>
      </w:pPr>
      <w:r w:rsidRPr="00CE5EDB">
        <w:br w:type="page"/>
      </w:r>
    </w:p>
    <w:p w14:paraId="4B8E974E" w14:textId="77777777" w:rsidR="00077D40" w:rsidRPr="001C5029" w:rsidRDefault="00077D40" w:rsidP="00077D40">
      <w:pPr>
        <w:pStyle w:val="HChG"/>
        <w:rPr>
          <w:i/>
          <w:iCs/>
        </w:rPr>
      </w:pPr>
      <w:r w:rsidRPr="001C5029">
        <w:lastRenderedPageBreak/>
        <w:tab/>
        <w:t>I.</w:t>
      </w:r>
      <w:r w:rsidRPr="001C5029">
        <w:tab/>
        <w:t>Draft amendments to the twenty-second revised edition of the Recommendations on the Transport of Dangerous Goods, Model Regulations (ST/SG/AC.10/1/Rev.22)</w:t>
      </w:r>
    </w:p>
    <w:p w14:paraId="384F6B3F" w14:textId="77777777" w:rsidR="00077D40" w:rsidRDefault="00077D40" w:rsidP="00077D40">
      <w:pPr>
        <w:pStyle w:val="H1G"/>
      </w:pPr>
      <w:r>
        <w:tab/>
      </w:r>
      <w:r>
        <w:tab/>
        <w:t>Chapter 1.2</w:t>
      </w:r>
    </w:p>
    <w:p w14:paraId="59D2168B" w14:textId="77777777" w:rsidR="00077D40" w:rsidRDefault="00077D40" w:rsidP="00077D40">
      <w:pPr>
        <w:pStyle w:val="SingleTxtG"/>
        <w:ind w:left="2268" w:hanging="1134"/>
      </w:pPr>
      <w:r>
        <w:t>1.2.1</w:t>
      </w:r>
      <w:r>
        <w:tab/>
        <w:t>Amend the definition of “</w:t>
      </w:r>
      <w:r>
        <w:rPr>
          <w:i/>
          <w:iCs/>
        </w:rPr>
        <w:t>Recycled plastics material</w:t>
      </w:r>
      <w:r>
        <w:t>” to read as follows:</w:t>
      </w:r>
    </w:p>
    <w:p w14:paraId="6BB7B759" w14:textId="77777777" w:rsidR="00077D40" w:rsidRDefault="00077D40" w:rsidP="00077D40">
      <w:pPr>
        <w:pStyle w:val="SingleTxtG"/>
      </w:pPr>
      <w:r>
        <w:t>“</w:t>
      </w:r>
      <w:r>
        <w:rPr>
          <w:i/>
          <w:iCs/>
        </w:rPr>
        <w:t>Recycled plastics material</w:t>
      </w:r>
      <w:r>
        <w:t xml:space="preserve"> means material recovered from used industrial packagings or from other plastics material that has been pre-sorted and prepared for processing into new packagings, including IBCs. The specific properties of the recycled material used for production of new packagings, including IBCs, shall be assured and documented regularly as part of a quality assurance programme recognized by the competent authority. The quality assurance programme shall include a record of proper pre-sorting and verification that each batch of recycled plastics material, which is of homogeneous composition, is consistent with the material specifications (melt flow rate, density, and tensile property) of the design type manufactured from such recycled material. This necessarily includes knowledge about the plastics material from which the recycled plastics have been derived, as well as awareness of the prior use, including prior contents, of the plastics material if that prior use might reduce the capability of new packagings, including IBCs, produced using that material. In addition, the packaging or IBC manufacturer's quality assurance programme under 6.1.1.4 or 6.5.4.1 shall include performance of the appropriate mechanical design type tests in 6.1.5 or 6.5.6 on packagings or IBCs, manufactured from each batch of recycled plastics material. In this testing, stacking performance may be verified by appropriate dynamic compression testing rather than static load testing.”</w:t>
      </w:r>
    </w:p>
    <w:p w14:paraId="0201BDE8" w14:textId="77777777" w:rsidR="00077D40" w:rsidRDefault="00077D40" w:rsidP="00077D40">
      <w:pPr>
        <w:pStyle w:val="SingleTxtG"/>
        <w:ind w:left="2268" w:hanging="1134"/>
      </w:pPr>
      <w:r>
        <w:tab/>
        <w:t>In the note under the definition, in the first sentence, replace “to be followed” by “which may be followed”.</w:t>
      </w:r>
    </w:p>
    <w:p w14:paraId="17DF2867" w14:textId="77777777" w:rsidR="00077D40" w:rsidRDefault="00077D40" w:rsidP="00077D40">
      <w:pPr>
        <w:pStyle w:val="SingleTxtG"/>
        <w:rPr>
          <w:i/>
          <w:iCs/>
        </w:rPr>
      </w:pPr>
      <w:r>
        <w:rPr>
          <w:i/>
          <w:iCs/>
        </w:rPr>
        <w:t>(Reference document: informal document INF.57)</w:t>
      </w:r>
    </w:p>
    <w:p w14:paraId="671DB6F5" w14:textId="77777777" w:rsidR="00077D40" w:rsidRDefault="00077D40" w:rsidP="00077D40">
      <w:pPr>
        <w:pStyle w:val="H1G"/>
      </w:pPr>
      <w:r>
        <w:tab/>
      </w:r>
      <w:r>
        <w:tab/>
        <w:t>Chapter 2.1</w:t>
      </w:r>
    </w:p>
    <w:p w14:paraId="7A00C70B" w14:textId="77777777" w:rsidR="00077D40" w:rsidRDefault="00077D40" w:rsidP="00077D40">
      <w:pPr>
        <w:pStyle w:val="SingleTxtG"/>
        <w:ind w:left="2268" w:hanging="1134"/>
      </w:pPr>
      <w:r>
        <w:t>2.1.1.3</w:t>
      </w:r>
      <w:r>
        <w:tab/>
        <w:t>In (b), replace “a substance or a mixture of substances” by “an explosive substance”.</w:t>
      </w:r>
    </w:p>
    <w:p w14:paraId="0AE0DC5F" w14:textId="77777777" w:rsidR="00077D40" w:rsidRDefault="00077D40" w:rsidP="00077D40">
      <w:pPr>
        <w:pStyle w:val="SingleTxtG"/>
        <w:ind w:left="2268" w:hanging="1134"/>
      </w:pPr>
      <w:r>
        <w:tab/>
        <w:t>At the end, add a new subparagraph to read as follows:</w:t>
      </w:r>
    </w:p>
    <w:p w14:paraId="6F72E739" w14:textId="77777777" w:rsidR="00077D40" w:rsidRPr="00944EAC" w:rsidRDefault="00077D40" w:rsidP="00077D40">
      <w:pPr>
        <w:pStyle w:val="SingleTxtG"/>
        <w:ind w:left="2268" w:hanging="1134"/>
        <w:rPr>
          <w:lang w:val="en-US"/>
        </w:rPr>
      </w:pPr>
      <w:r>
        <w:t>“</w:t>
      </w:r>
      <w:r>
        <w:tab/>
        <w:t>(e)</w:t>
      </w:r>
      <w:r>
        <w:tab/>
      </w:r>
      <w:r w:rsidRPr="004212DC">
        <w:rPr>
          <w:i/>
          <w:iCs/>
        </w:rPr>
        <w:t>Explosive or pyrotechnic effect</w:t>
      </w:r>
      <w:r w:rsidRPr="004212DC">
        <w:t xml:space="preserve"> means</w:t>
      </w:r>
      <w:r>
        <w:t xml:space="preserve">, </w:t>
      </w:r>
      <w:r w:rsidRPr="004212DC">
        <w:t>in the context of 2.1.1.1 (c)</w:t>
      </w:r>
      <w:r>
        <w:t>,</w:t>
      </w:r>
      <w:r w:rsidRPr="004212DC">
        <w:t xml:space="preserve"> an effect produced by self-sustaining exothermic chemical reactions including shock, blast, fragmentation, projection, heat, light, sound, gas and smoke.</w:t>
      </w:r>
      <w:r>
        <w:t>”</w:t>
      </w:r>
    </w:p>
    <w:p w14:paraId="261D772F" w14:textId="77777777" w:rsidR="00077D40" w:rsidRPr="00843762" w:rsidRDefault="00077D40" w:rsidP="00077D40">
      <w:pPr>
        <w:pStyle w:val="SingleTxtG"/>
        <w:rPr>
          <w:i/>
          <w:iCs/>
        </w:rPr>
      </w:pPr>
      <w:r w:rsidRPr="00804977">
        <w:rPr>
          <w:i/>
          <w:iCs/>
        </w:rPr>
        <w:t>(Reference document: ST/SG/AC.10/C.3/20</w:t>
      </w:r>
      <w:r>
        <w:rPr>
          <w:i/>
          <w:iCs/>
        </w:rPr>
        <w:t>22</w:t>
      </w:r>
      <w:r w:rsidRPr="00804977">
        <w:rPr>
          <w:i/>
          <w:iCs/>
        </w:rPr>
        <w:t>/</w:t>
      </w:r>
      <w:r>
        <w:rPr>
          <w:i/>
          <w:iCs/>
        </w:rPr>
        <w:t>47, with editorial changes in the English version</w:t>
      </w:r>
      <w:r w:rsidRPr="00804977">
        <w:rPr>
          <w:i/>
          <w:iCs/>
        </w:rPr>
        <w:t>)</w:t>
      </w:r>
    </w:p>
    <w:p w14:paraId="53721B1E" w14:textId="77777777" w:rsidR="00077D40" w:rsidRDefault="00077D40" w:rsidP="00077D40">
      <w:pPr>
        <w:pStyle w:val="H1G"/>
      </w:pPr>
      <w:r>
        <w:tab/>
      </w:r>
      <w:r>
        <w:tab/>
        <w:t>Chapter 2.4</w:t>
      </w:r>
    </w:p>
    <w:p w14:paraId="5B872DF5" w14:textId="77777777" w:rsidR="00077D40" w:rsidRDefault="00077D40" w:rsidP="00077D40">
      <w:pPr>
        <w:pStyle w:val="SingleTxtG"/>
        <w:ind w:left="2268" w:hanging="1134"/>
      </w:pPr>
      <w:r>
        <w:t>2.4.2.2.1</w:t>
      </w:r>
      <w:r>
        <w:tab/>
        <w:t>Add a new 2.4.2.2.1.3 to read as follows:</w:t>
      </w:r>
    </w:p>
    <w:p w14:paraId="6BFAE498" w14:textId="77777777" w:rsidR="00077D40" w:rsidRDefault="00077D40" w:rsidP="00077D40">
      <w:pPr>
        <w:pStyle w:val="SingleTxtG"/>
        <w:ind w:left="2268" w:hanging="1134"/>
      </w:pPr>
      <w:r>
        <w:t>“2.4.2.2.1.3</w:t>
      </w:r>
      <w:r>
        <w:tab/>
      </w:r>
      <w:r w:rsidRPr="008C11CC">
        <w:rPr>
          <w:i/>
          <w:iCs/>
        </w:rPr>
        <w:t>Metal powders</w:t>
      </w:r>
      <w:r w:rsidRPr="0050301E">
        <w:t xml:space="preserve"> are powders of metals or metal alloys.</w:t>
      </w:r>
      <w:r>
        <w:t>”</w:t>
      </w:r>
    </w:p>
    <w:p w14:paraId="13209E32" w14:textId="77777777" w:rsidR="00077D40" w:rsidRDefault="00077D40" w:rsidP="00077D40">
      <w:pPr>
        <w:pStyle w:val="SingleTxtG"/>
        <w:rPr>
          <w:i/>
          <w:iCs/>
        </w:rPr>
      </w:pPr>
      <w:r>
        <w:rPr>
          <w:i/>
          <w:iCs/>
        </w:rPr>
        <w:t>(Reference document: informal document INF.44, editorially revised)</w:t>
      </w:r>
    </w:p>
    <w:p w14:paraId="6561AB1F" w14:textId="77777777" w:rsidR="00077D40" w:rsidRDefault="00077D40" w:rsidP="00077D40">
      <w:pPr>
        <w:pStyle w:val="SingleTxtG"/>
        <w:ind w:left="2268" w:hanging="1134"/>
      </w:pPr>
      <w:r>
        <w:t>2.4.2.2.2.1</w:t>
      </w:r>
      <w:r>
        <w:tab/>
        <w:t>In the second sentence, replace “P</w:t>
      </w:r>
      <w:r w:rsidRPr="003E3060">
        <w:t>owders of metals or metal-alloys</w:t>
      </w:r>
      <w:r>
        <w:t>” by</w:t>
      </w:r>
      <w:r w:rsidRPr="003E3060">
        <w:t xml:space="preserve"> </w:t>
      </w:r>
      <w:r>
        <w:t>“M</w:t>
      </w:r>
      <w:r w:rsidRPr="003E3060">
        <w:t>etal powders</w:t>
      </w:r>
      <w:r>
        <w:t>”.</w:t>
      </w:r>
    </w:p>
    <w:p w14:paraId="6EEE9E9F" w14:textId="77777777" w:rsidR="00077D40" w:rsidRDefault="00077D40" w:rsidP="00077D40">
      <w:pPr>
        <w:pStyle w:val="SingleTxtG"/>
        <w:rPr>
          <w:i/>
          <w:iCs/>
        </w:rPr>
      </w:pPr>
      <w:r>
        <w:rPr>
          <w:i/>
          <w:iCs/>
        </w:rPr>
        <w:t>(Reference document: informal document INF.44)</w:t>
      </w:r>
    </w:p>
    <w:p w14:paraId="53483C36" w14:textId="77777777" w:rsidR="00077D40" w:rsidRDefault="00077D40" w:rsidP="00077D40">
      <w:pPr>
        <w:pStyle w:val="SingleTxtG"/>
        <w:ind w:left="2268" w:hanging="1134"/>
      </w:pPr>
      <w:r>
        <w:t>2.4.2.2.3.1</w:t>
      </w:r>
      <w:r>
        <w:tab/>
        <w:t>In the third sentence, replace “p</w:t>
      </w:r>
      <w:r w:rsidRPr="003E3060">
        <w:t>owders of metals or metal-alloys</w:t>
      </w:r>
      <w:r>
        <w:t>” by</w:t>
      </w:r>
      <w:r w:rsidRPr="003E3060">
        <w:t xml:space="preserve"> </w:t>
      </w:r>
      <w:r>
        <w:t>“m</w:t>
      </w:r>
      <w:r w:rsidRPr="003E3060">
        <w:t>etal powders</w:t>
      </w:r>
      <w:r>
        <w:t>”.</w:t>
      </w:r>
    </w:p>
    <w:p w14:paraId="153AC69A" w14:textId="77777777" w:rsidR="00077D40" w:rsidRDefault="00077D40" w:rsidP="00077D40">
      <w:pPr>
        <w:pStyle w:val="SingleTxtG"/>
        <w:rPr>
          <w:i/>
          <w:iCs/>
        </w:rPr>
      </w:pPr>
      <w:r>
        <w:rPr>
          <w:i/>
          <w:iCs/>
        </w:rPr>
        <w:t>(Reference document: informal document INF.44)</w:t>
      </w:r>
    </w:p>
    <w:p w14:paraId="0AE1B367" w14:textId="77777777" w:rsidR="00077D40" w:rsidRDefault="00077D40" w:rsidP="00077D40">
      <w:pPr>
        <w:pStyle w:val="H1G"/>
      </w:pPr>
      <w:r>
        <w:tab/>
      </w:r>
      <w:r>
        <w:tab/>
        <w:t>Chapter 2.7</w:t>
      </w:r>
    </w:p>
    <w:p w14:paraId="0FAC2567" w14:textId="77777777" w:rsidR="00077D40" w:rsidRDefault="00077D40" w:rsidP="00077D40">
      <w:pPr>
        <w:pStyle w:val="SingleTxtG"/>
        <w:ind w:left="2268" w:hanging="1134"/>
      </w:pPr>
      <w:r>
        <w:t>2.7.1.3</w:t>
      </w:r>
      <w:r>
        <w:tab/>
        <w:t>In the definition for “</w:t>
      </w:r>
      <w:r>
        <w:rPr>
          <w:i/>
          <w:iCs/>
        </w:rPr>
        <w:t>Specific activity of a radionuclide</w:t>
      </w:r>
      <w:r>
        <w:t>”, at the end, add the following new note:</w:t>
      </w:r>
    </w:p>
    <w:p w14:paraId="5A238F9F" w14:textId="77777777" w:rsidR="00077D40" w:rsidRPr="00673968" w:rsidRDefault="00077D40" w:rsidP="00077D40">
      <w:pPr>
        <w:pStyle w:val="SingleTxtG"/>
        <w:rPr>
          <w:lang w:val="en-US"/>
        </w:rPr>
      </w:pPr>
      <w:r>
        <w:rPr>
          <w:lang w:val="en-US"/>
        </w:rPr>
        <w:t>“</w:t>
      </w:r>
      <w:r w:rsidRPr="00692768">
        <w:rPr>
          <w:b/>
          <w:bCs/>
          <w:i/>
          <w:iCs/>
          <w:lang w:val="en-US"/>
        </w:rPr>
        <w:t>NOTE:</w:t>
      </w:r>
      <w:r w:rsidRPr="00692768">
        <w:rPr>
          <w:i/>
          <w:iCs/>
          <w:lang w:val="en-US"/>
        </w:rPr>
        <w:tab/>
        <w:t xml:space="preserve">The terms </w:t>
      </w:r>
      <w:r>
        <w:rPr>
          <w:i/>
          <w:iCs/>
          <w:lang w:val="en-US"/>
        </w:rPr>
        <w:t>"</w:t>
      </w:r>
      <w:r w:rsidRPr="00692768">
        <w:rPr>
          <w:i/>
          <w:iCs/>
          <w:lang w:val="en-US"/>
        </w:rPr>
        <w:t>activity concentration</w:t>
      </w:r>
      <w:r>
        <w:rPr>
          <w:i/>
          <w:iCs/>
          <w:lang w:val="en-US"/>
        </w:rPr>
        <w:t>"</w:t>
      </w:r>
      <w:r w:rsidRPr="00692768">
        <w:rPr>
          <w:i/>
          <w:iCs/>
          <w:lang w:val="en-US"/>
        </w:rPr>
        <w:t xml:space="preserve"> and </w:t>
      </w:r>
      <w:r>
        <w:rPr>
          <w:i/>
          <w:iCs/>
          <w:lang w:val="en-US"/>
        </w:rPr>
        <w:t>"</w:t>
      </w:r>
      <w:r w:rsidRPr="00692768">
        <w:rPr>
          <w:i/>
          <w:iCs/>
          <w:lang w:val="en-US"/>
        </w:rPr>
        <w:t>specific activity</w:t>
      </w:r>
      <w:r>
        <w:rPr>
          <w:i/>
          <w:iCs/>
          <w:lang w:val="en-US"/>
        </w:rPr>
        <w:t>"</w:t>
      </w:r>
      <w:r w:rsidRPr="00692768">
        <w:rPr>
          <w:i/>
          <w:iCs/>
          <w:lang w:val="en-US"/>
        </w:rPr>
        <w:t xml:space="preserve"> are synonymous for the purpose of these Regulations.</w:t>
      </w:r>
      <w:r w:rsidRPr="00036ECA">
        <w:rPr>
          <w:lang w:val="en-US"/>
        </w:rPr>
        <w:t>”</w:t>
      </w:r>
    </w:p>
    <w:p w14:paraId="2149B13D" w14:textId="77777777" w:rsidR="00077D40" w:rsidRPr="00843762" w:rsidRDefault="00077D40" w:rsidP="00077D40">
      <w:pPr>
        <w:pStyle w:val="SingleTxtG"/>
        <w:rPr>
          <w:i/>
          <w:iCs/>
        </w:rPr>
      </w:pPr>
      <w:r w:rsidRPr="00804977">
        <w:rPr>
          <w:i/>
          <w:iCs/>
        </w:rPr>
        <w:t>(Reference document: ST/SG/AC.10/C.3/20</w:t>
      </w:r>
      <w:r>
        <w:rPr>
          <w:i/>
          <w:iCs/>
        </w:rPr>
        <w:t>22</w:t>
      </w:r>
      <w:r w:rsidRPr="00804977">
        <w:rPr>
          <w:i/>
          <w:iCs/>
        </w:rPr>
        <w:t>/</w:t>
      </w:r>
      <w:r>
        <w:rPr>
          <w:i/>
          <w:iCs/>
        </w:rPr>
        <w:t>46</w:t>
      </w:r>
      <w:r w:rsidRPr="00804977">
        <w:rPr>
          <w:i/>
          <w:iCs/>
        </w:rPr>
        <w:t>)</w:t>
      </w:r>
    </w:p>
    <w:p w14:paraId="232128E9" w14:textId="77777777" w:rsidR="00077D40" w:rsidRDefault="00077D40" w:rsidP="00077D40">
      <w:pPr>
        <w:pStyle w:val="H1G"/>
      </w:pPr>
      <w:r>
        <w:tab/>
      </w:r>
      <w:r>
        <w:tab/>
        <w:t>Chapter 2.9</w:t>
      </w:r>
    </w:p>
    <w:p w14:paraId="4A2B2B84" w14:textId="77777777" w:rsidR="00077D40" w:rsidRDefault="00077D40" w:rsidP="00077D40">
      <w:pPr>
        <w:pStyle w:val="SingleTxtG"/>
        <w:ind w:left="2268" w:hanging="1134"/>
      </w:pPr>
      <w:r>
        <w:t>2.9.2</w:t>
      </w:r>
      <w:r>
        <w:tab/>
        <w:t>In the section for “</w:t>
      </w:r>
      <w:r>
        <w:rPr>
          <w:b/>
          <w:bCs/>
          <w:i/>
          <w:iCs/>
        </w:rPr>
        <w:t>Other substances or articles presenting a danger during transport, but not meeting the definitions of another class</w:t>
      </w:r>
      <w:r>
        <w:t>”, add the following new entries:</w:t>
      </w:r>
    </w:p>
    <w:p w14:paraId="75313B9F" w14:textId="77777777" w:rsidR="00077D40" w:rsidRDefault="00077D40" w:rsidP="00077D40">
      <w:pPr>
        <w:pStyle w:val="SingleTxtG"/>
        <w:ind w:left="2268" w:hanging="1134"/>
      </w:pPr>
      <w:r>
        <w:t>“3556</w:t>
      </w:r>
      <w:r>
        <w:tab/>
        <w:t xml:space="preserve">VEHICLE, LITHIUM ION BATTERY POWERED </w:t>
      </w:r>
    </w:p>
    <w:p w14:paraId="7CC92657" w14:textId="77777777" w:rsidR="00077D40" w:rsidRDefault="00077D40" w:rsidP="00077D40">
      <w:pPr>
        <w:pStyle w:val="SingleTxtG"/>
        <w:ind w:left="2268" w:hanging="1134"/>
      </w:pPr>
      <w:r>
        <w:t>3557</w:t>
      </w:r>
      <w:r>
        <w:tab/>
      </w:r>
      <w:r>
        <w:tab/>
        <w:t>VEHICLE, LITHIUM METAL BATTERY POWERED</w:t>
      </w:r>
    </w:p>
    <w:p w14:paraId="4BD0C0E1" w14:textId="77777777" w:rsidR="00077D40" w:rsidRDefault="00077D40" w:rsidP="00077D40">
      <w:pPr>
        <w:pStyle w:val="SingleTxtG"/>
        <w:ind w:left="2268" w:hanging="1134"/>
      </w:pPr>
      <w:r>
        <w:t>3558</w:t>
      </w:r>
      <w:r>
        <w:tab/>
      </w:r>
      <w:r>
        <w:tab/>
        <w:t>VEHICLE, SODIUM ION BATTERY POWERED”.</w:t>
      </w:r>
    </w:p>
    <w:p w14:paraId="22845986" w14:textId="77777777" w:rsidR="00077D40" w:rsidRDefault="00077D40" w:rsidP="00077D40">
      <w:pPr>
        <w:pStyle w:val="SingleTxtG"/>
        <w:rPr>
          <w:i/>
          <w:iCs/>
        </w:rPr>
      </w:pPr>
      <w:r>
        <w:rPr>
          <w:i/>
          <w:iCs/>
        </w:rPr>
        <w:t>(Reference document: informal document INF.51/Rev.1)</w:t>
      </w:r>
    </w:p>
    <w:p w14:paraId="4A6B1EBB" w14:textId="77777777" w:rsidR="00077D40" w:rsidRDefault="00077D40" w:rsidP="00077D40">
      <w:pPr>
        <w:pStyle w:val="H1G"/>
      </w:pPr>
      <w:r>
        <w:tab/>
      </w:r>
      <w:r>
        <w:tab/>
        <w:t>Chapter 3.1</w:t>
      </w:r>
    </w:p>
    <w:p w14:paraId="0A86B67E" w14:textId="77777777" w:rsidR="00077D40" w:rsidRPr="001E11D3" w:rsidRDefault="00077D40" w:rsidP="00077D40">
      <w:pPr>
        <w:pStyle w:val="SingleTxtG"/>
        <w:ind w:left="2268" w:hanging="1134"/>
        <w:rPr>
          <w:lang w:val="en-US"/>
        </w:rPr>
      </w:pPr>
      <w:r>
        <w:t>3.1.2.2</w:t>
      </w:r>
      <w:r>
        <w:tab/>
        <w:t xml:space="preserve">In the first sentence, delete </w:t>
      </w:r>
      <w:r>
        <w:rPr>
          <w:lang w:val="en-US"/>
        </w:rPr>
        <w:t>“"and" or”.</w:t>
      </w:r>
    </w:p>
    <w:p w14:paraId="6D13A8FB" w14:textId="77777777" w:rsidR="00077D40" w:rsidRPr="00843762" w:rsidRDefault="00077D40" w:rsidP="00077D40">
      <w:pPr>
        <w:pStyle w:val="SingleTxtG"/>
        <w:rPr>
          <w:i/>
          <w:iCs/>
        </w:rPr>
      </w:pPr>
      <w:r w:rsidRPr="00804977">
        <w:rPr>
          <w:i/>
          <w:iCs/>
        </w:rPr>
        <w:t>(Reference document: ST/SG/AC.10/C.3/20</w:t>
      </w:r>
      <w:r>
        <w:rPr>
          <w:i/>
          <w:iCs/>
        </w:rPr>
        <w:t>22</w:t>
      </w:r>
      <w:r w:rsidRPr="00804977">
        <w:rPr>
          <w:i/>
          <w:iCs/>
        </w:rPr>
        <w:t>/</w:t>
      </w:r>
      <w:r>
        <w:rPr>
          <w:i/>
          <w:iCs/>
        </w:rPr>
        <w:t>65</w:t>
      </w:r>
      <w:r w:rsidRPr="00804977">
        <w:rPr>
          <w:i/>
          <w:iCs/>
        </w:rPr>
        <w:t>)</w:t>
      </w:r>
    </w:p>
    <w:p w14:paraId="2646A1A4" w14:textId="77777777" w:rsidR="00077D40" w:rsidRDefault="00077D40" w:rsidP="00077D40">
      <w:pPr>
        <w:pStyle w:val="H1G"/>
      </w:pPr>
      <w:r>
        <w:tab/>
      </w:r>
      <w:r>
        <w:tab/>
        <w:t>Chapter 3.2, dangerous goods list</w:t>
      </w:r>
    </w:p>
    <w:p w14:paraId="7EB3DF2D" w14:textId="77777777" w:rsidR="00077D40" w:rsidRPr="00283D44" w:rsidRDefault="00077D40" w:rsidP="00077D40">
      <w:pPr>
        <w:pStyle w:val="SingleTxtG"/>
        <w:rPr>
          <w:lang w:val="en-US"/>
        </w:rPr>
      </w:pPr>
      <w:r>
        <w:t>For UN 0331, in column (11), delete “TP1”.</w:t>
      </w:r>
    </w:p>
    <w:p w14:paraId="5585AFF1" w14:textId="77777777" w:rsidR="00077D40" w:rsidRPr="00843762" w:rsidRDefault="00077D40" w:rsidP="00077D40">
      <w:pPr>
        <w:pStyle w:val="SingleTxtG"/>
        <w:rPr>
          <w:i/>
          <w:iCs/>
        </w:rPr>
      </w:pPr>
      <w:r w:rsidRPr="00804977">
        <w:rPr>
          <w:i/>
          <w:iCs/>
        </w:rPr>
        <w:t>(Reference document: ST/SG/AC.10/C.3/20</w:t>
      </w:r>
      <w:r>
        <w:rPr>
          <w:i/>
          <w:iCs/>
        </w:rPr>
        <w:t>22</w:t>
      </w:r>
      <w:r w:rsidRPr="00804977">
        <w:rPr>
          <w:i/>
          <w:iCs/>
        </w:rPr>
        <w:t>/</w:t>
      </w:r>
      <w:r>
        <w:rPr>
          <w:i/>
          <w:iCs/>
        </w:rPr>
        <w:t>77, proposal 1</w:t>
      </w:r>
      <w:r w:rsidRPr="00804977">
        <w:rPr>
          <w:i/>
          <w:iCs/>
        </w:rPr>
        <w:t>)</w:t>
      </w:r>
    </w:p>
    <w:p w14:paraId="04BB8E4A" w14:textId="77777777" w:rsidR="00077D40" w:rsidRDefault="00077D40" w:rsidP="00077D40">
      <w:pPr>
        <w:pStyle w:val="SingleTxtG"/>
        <w:rPr>
          <w:lang w:val="en-US"/>
        </w:rPr>
      </w:pPr>
      <w:r>
        <w:t>For UN Nos. 1006, 1013, 1046 and 1066, in column (6), add “406”.</w:t>
      </w:r>
    </w:p>
    <w:p w14:paraId="2A4E6947" w14:textId="77777777" w:rsidR="00077D40" w:rsidRDefault="00077D40" w:rsidP="00077D40">
      <w:pPr>
        <w:pStyle w:val="SingleTxtG"/>
        <w:rPr>
          <w:i/>
          <w:iCs/>
        </w:rPr>
      </w:pPr>
      <w:r>
        <w:rPr>
          <w:i/>
          <w:iCs/>
        </w:rPr>
        <w:t>(Reference document: informal document INF.52)</w:t>
      </w:r>
    </w:p>
    <w:p w14:paraId="1D298BB5" w14:textId="77777777" w:rsidR="00077D40" w:rsidRPr="00283D44" w:rsidRDefault="00077D40" w:rsidP="00077D40">
      <w:pPr>
        <w:pStyle w:val="SingleTxtG"/>
        <w:rPr>
          <w:lang w:val="en-US"/>
        </w:rPr>
      </w:pPr>
      <w:r>
        <w:t xml:space="preserve">For UN Nos. </w:t>
      </w:r>
      <w:r w:rsidRPr="003243D5">
        <w:t xml:space="preserve">1204, 2059, 2555, 2556, 2907, 3064, 3319, 3343, 3344 </w:t>
      </w:r>
      <w:r>
        <w:t>and</w:t>
      </w:r>
      <w:r w:rsidRPr="003243D5">
        <w:t xml:space="preserve"> 3357</w:t>
      </w:r>
      <w:r>
        <w:t>, in column (6), add “28”.</w:t>
      </w:r>
    </w:p>
    <w:p w14:paraId="5DE15A18" w14:textId="77777777" w:rsidR="00077D40" w:rsidRPr="00843762" w:rsidRDefault="00077D40" w:rsidP="00077D40">
      <w:pPr>
        <w:pStyle w:val="SingleTxtG"/>
        <w:rPr>
          <w:i/>
          <w:iCs/>
        </w:rPr>
      </w:pPr>
      <w:r w:rsidRPr="00804977">
        <w:rPr>
          <w:i/>
          <w:iCs/>
        </w:rPr>
        <w:t xml:space="preserve">(Reference document: </w:t>
      </w:r>
      <w:r>
        <w:rPr>
          <w:i/>
          <w:iCs/>
        </w:rPr>
        <w:t>informal document INF.48</w:t>
      </w:r>
      <w:r w:rsidRPr="00804977">
        <w:rPr>
          <w:i/>
          <w:iCs/>
        </w:rPr>
        <w:t>)</w:t>
      </w:r>
    </w:p>
    <w:p w14:paraId="294A4587" w14:textId="77777777" w:rsidR="00077D40" w:rsidRDefault="00077D40" w:rsidP="00077D40">
      <w:pPr>
        <w:pStyle w:val="SingleTxtG"/>
        <w:rPr>
          <w:lang w:val="en-US"/>
        </w:rPr>
      </w:pPr>
      <w:r>
        <w:t>For UN Nos. 1391 and 3482, in column (10), add “T13” and in column (11), add “TP2 TP7 TP42”.</w:t>
      </w:r>
    </w:p>
    <w:p w14:paraId="215A1AB8" w14:textId="77777777" w:rsidR="00077D40" w:rsidRDefault="00077D40" w:rsidP="00077D40">
      <w:pPr>
        <w:pStyle w:val="SingleTxtG"/>
        <w:rPr>
          <w:i/>
          <w:iCs/>
        </w:rPr>
      </w:pPr>
      <w:r>
        <w:rPr>
          <w:i/>
          <w:iCs/>
        </w:rPr>
        <w:t>(Reference document: informal document INF.56)</w:t>
      </w:r>
    </w:p>
    <w:p w14:paraId="18BFD40C" w14:textId="77777777" w:rsidR="00077D40" w:rsidRDefault="00077D40" w:rsidP="00077D40">
      <w:pPr>
        <w:pStyle w:val="SingleTxtG"/>
        <w:rPr>
          <w:lang w:val="en-US"/>
        </w:rPr>
      </w:pPr>
      <w:r>
        <w:t xml:space="preserve">For UN 1835, PG II, in column (2), replace “SOLUTION” by “AQUEOUS SOLUTION </w:t>
      </w:r>
      <w:r w:rsidRPr="00FA08F0">
        <w:t>with more than 2.5</w:t>
      </w:r>
      <w:r>
        <w:t> </w:t>
      </w:r>
      <w:r w:rsidRPr="00FA08F0">
        <w:t>% but less than 25</w:t>
      </w:r>
      <w:r>
        <w:t> </w:t>
      </w:r>
      <w:r w:rsidRPr="00FA08F0">
        <w:t>% tetramethylammonium hydroxide</w:t>
      </w:r>
      <w:r>
        <w:t>”, in column (4), add “6.1” and in column (6) add “279 408 409”.</w:t>
      </w:r>
    </w:p>
    <w:p w14:paraId="1236839D" w14:textId="77777777" w:rsidR="00077D40" w:rsidRDefault="00077D40" w:rsidP="00077D40">
      <w:pPr>
        <w:pStyle w:val="SingleTxtG"/>
        <w:rPr>
          <w:i/>
          <w:iCs/>
        </w:rPr>
      </w:pPr>
      <w:r>
        <w:rPr>
          <w:i/>
          <w:iCs/>
        </w:rPr>
        <w:t>(Reference document: informal document INF.54)</w:t>
      </w:r>
    </w:p>
    <w:p w14:paraId="5063DACD" w14:textId="77777777" w:rsidR="00077D40" w:rsidRDefault="00077D40" w:rsidP="00077D40">
      <w:pPr>
        <w:pStyle w:val="SingleTxtG"/>
        <w:rPr>
          <w:lang w:val="en-US"/>
        </w:rPr>
      </w:pPr>
      <w:r>
        <w:t xml:space="preserve">For UN 1835, PG III, in column (2), replace “SOLUTION” by “AQUEOUS SOLUTION </w:t>
      </w:r>
      <w:r w:rsidRPr="00FA08F0">
        <w:t>with</w:t>
      </w:r>
      <w:r>
        <w:t xml:space="preserve"> not</w:t>
      </w:r>
      <w:r w:rsidRPr="00FA08F0">
        <w:t xml:space="preserve"> more than 2.5</w:t>
      </w:r>
      <w:r>
        <w:t> </w:t>
      </w:r>
      <w:r w:rsidRPr="00FA08F0">
        <w:t>% tetramethylammonium hydroxide</w:t>
      </w:r>
      <w:r>
        <w:t>” and in column (6) add “408 409”.</w:t>
      </w:r>
    </w:p>
    <w:p w14:paraId="21CDD03A" w14:textId="77777777" w:rsidR="00077D40" w:rsidRDefault="00077D40" w:rsidP="00077D40">
      <w:pPr>
        <w:pStyle w:val="SingleTxtG"/>
        <w:rPr>
          <w:i/>
          <w:iCs/>
        </w:rPr>
      </w:pPr>
      <w:r>
        <w:rPr>
          <w:i/>
          <w:iCs/>
        </w:rPr>
        <w:t>(Reference document: informal document INF.54)</w:t>
      </w:r>
    </w:p>
    <w:p w14:paraId="6FBA0E2B" w14:textId="77777777" w:rsidR="00077D40" w:rsidRPr="00283D44" w:rsidRDefault="00077D40" w:rsidP="00077D40">
      <w:pPr>
        <w:pStyle w:val="SingleTxtG"/>
        <w:rPr>
          <w:lang w:val="en-US"/>
        </w:rPr>
      </w:pPr>
      <w:r>
        <w:t>For UN 3270, in column (6), add “403”.</w:t>
      </w:r>
    </w:p>
    <w:p w14:paraId="4FBE844D" w14:textId="77777777" w:rsidR="00077D40" w:rsidRPr="00843762" w:rsidRDefault="00077D40" w:rsidP="00077D40">
      <w:pPr>
        <w:pStyle w:val="SingleTxtG"/>
        <w:rPr>
          <w:i/>
          <w:iCs/>
        </w:rPr>
      </w:pPr>
      <w:r w:rsidRPr="00804977">
        <w:rPr>
          <w:i/>
          <w:iCs/>
        </w:rPr>
        <w:t>(Reference document: ST/SG/AC.10/C.3/20</w:t>
      </w:r>
      <w:r>
        <w:rPr>
          <w:i/>
          <w:iCs/>
        </w:rPr>
        <w:t>22</w:t>
      </w:r>
      <w:r w:rsidRPr="00804977">
        <w:rPr>
          <w:i/>
          <w:iCs/>
        </w:rPr>
        <w:t>/</w:t>
      </w:r>
      <w:r>
        <w:rPr>
          <w:i/>
          <w:iCs/>
        </w:rPr>
        <w:t>59</w:t>
      </w:r>
      <w:r w:rsidRPr="00804977">
        <w:rPr>
          <w:i/>
          <w:iCs/>
        </w:rPr>
        <w:t>)</w:t>
      </w:r>
    </w:p>
    <w:p w14:paraId="5AE66167" w14:textId="77777777" w:rsidR="00077D40" w:rsidRDefault="00077D40" w:rsidP="00077D40">
      <w:pPr>
        <w:pStyle w:val="SingleTxtG"/>
        <w:rPr>
          <w:lang w:val="en-US"/>
        </w:rPr>
      </w:pPr>
      <w:r>
        <w:t>For UN 3423, in column (3), replace “8” by “6.1”, in column (4), add “8”, in column (5), replace “II” by “I”, in column (6), add “279 409”, in column (7a), replace “1 kg” by “0”, in column (7b), replace “E2” by “E5”, in column (8), replace “IBC08” by “IBC99”, in column (9), delete “B2, B4” and in column (10), replace “T2” by “T6”.</w:t>
      </w:r>
    </w:p>
    <w:p w14:paraId="533387AE" w14:textId="77777777" w:rsidR="00077D40" w:rsidRDefault="00077D40" w:rsidP="00077D40">
      <w:pPr>
        <w:pStyle w:val="SingleTxtG"/>
        <w:rPr>
          <w:i/>
          <w:iCs/>
        </w:rPr>
      </w:pPr>
      <w:r>
        <w:rPr>
          <w:i/>
          <w:iCs/>
        </w:rPr>
        <w:t>(Reference document: informal document INF.54)</w:t>
      </w:r>
    </w:p>
    <w:p w14:paraId="7AE90130" w14:textId="77777777" w:rsidR="00077D40" w:rsidRDefault="00077D40" w:rsidP="00077D40">
      <w:pPr>
        <w:pStyle w:val="SingleTxtG"/>
        <w:ind w:left="2268" w:hanging="1134"/>
      </w:pPr>
      <w:r>
        <w:t>Add the following new entries:</w:t>
      </w:r>
    </w:p>
    <w:tbl>
      <w:tblPr>
        <w:tblStyle w:val="TableGrid"/>
        <w:tblW w:w="9645" w:type="dxa"/>
        <w:tblInd w:w="-5" w:type="dxa"/>
        <w:tblLayout w:type="fixed"/>
        <w:tblLook w:val="04A0" w:firstRow="1" w:lastRow="0" w:firstColumn="1" w:lastColumn="0" w:noHBand="0" w:noVBand="1"/>
      </w:tblPr>
      <w:tblGrid>
        <w:gridCol w:w="568"/>
        <w:gridCol w:w="2697"/>
        <w:gridCol w:w="567"/>
        <w:gridCol w:w="567"/>
        <w:gridCol w:w="567"/>
        <w:gridCol w:w="851"/>
        <w:gridCol w:w="567"/>
        <w:gridCol w:w="709"/>
        <w:gridCol w:w="851"/>
        <w:gridCol w:w="567"/>
        <w:gridCol w:w="567"/>
        <w:gridCol w:w="567"/>
      </w:tblGrid>
      <w:tr w:rsidR="00077D40" w14:paraId="4418D322" w14:textId="77777777" w:rsidTr="006932FB">
        <w:tc>
          <w:tcPr>
            <w:tcW w:w="568" w:type="dxa"/>
            <w:tcBorders>
              <w:top w:val="single" w:sz="4" w:space="0" w:color="auto"/>
              <w:left w:val="single" w:sz="4" w:space="0" w:color="auto"/>
              <w:bottom w:val="single" w:sz="4" w:space="0" w:color="auto"/>
              <w:right w:val="single" w:sz="4" w:space="0" w:color="auto"/>
            </w:tcBorders>
            <w:hideMark/>
          </w:tcPr>
          <w:p w14:paraId="57DF8C9E" w14:textId="77777777" w:rsidR="00077D40" w:rsidRDefault="00077D40" w:rsidP="006932FB">
            <w:pPr>
              <w:pStyle w:val="SingleTxtG"/>
              <w:ind w:left="0" w:right="19"/>
              <w:jc w:val="center"/>
              <w:rPr>
                <w:b/>
                <w:bCs/>
                <w:sz w:val="16"/>
                <w:szCs w:val="16"/>
              </w:rPr>
            </w:pPr>
            <w:r>
              <w:rPr>
                <w:b/>
                <w:bCs/>
                <w:sz w:val="16"/>
                <w:szCs w:val="16"/>
              </w:rPr>
              <w:t>(1)</w:t>
            </w:r>
          </w:p>
        </w:tc>
        <w:tc>
          <w:tcPr>
            <w:tcW w:w="2697" w:type="dxa"/>
            <w:tcBorders>
              <w:top w:val="single" w:sz="4" w:space="0" w:color="auto"/>
              <w:left w:val="single" w:sz="4" w:space="0" w:color="auto"/>
              <w:bottom w:val="single" w:sz="4" w:space="0" w:color="auto"/>
              <w:right w:val="single" w:sz="4" w:space="0" w:color="auto"/>
            </w:tcBorders>
            <w:hideMark/>
          </w:tcPr>
          <w:p w14:paraId="36225EBE" w14:textId="77777777" w:rsidR="00077D40" w:rsidRDefault="00077D40" w:rsidP="006932FB">
            <w:pPr>
              <w:pStyle w:val="SingleTxtG"/>
              <w:ind w:left="0" w:right="19"/>
              <w:jc w:val="center"/>
              <w:rPr>
                <w:b/>
                <w:bCs/>
                <w:sz w:val="16"/>
                <w:szCs w:val="16"/>
              </w:rPr>
            </w:pPr>
            <w:r>
              <w:rPr>
                <w:b/>
                <w:bCs/>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5F997497" w14:textId="77777777" w:rsidR="00077D40" w:rsidRDefault="00077D40" w:rsidP="006932FB">
            <w:pPr>
              <w:pStyle w:val="SingleTxtG"/>
              <w:ind w:left="0" w:right="19"/>
              <w:jc w:val="center"/>
              <w:rPr>
                <w:b/>
                <w:bCs/>
                <w:sz w:val="16"/>
                <w:szCs w:val="16"/>
              </w:rPr>
            </w:pPr>
            <w:r>
              <w:rPr>
                <w:b/>
                <w:bCs/>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14:paraId="1D1AAF55" w14:textId="77777777" w:rsidR="00077D40" w:rsidRDefault="00077D40" w:rsidP="006932FB">
            <w:pPr>
              <w:pStyle w:val="SingleTxtG"/>
              <w:ind w:left="0" w:right="19"/>
              <w:jc w:val="center"/>
              <w:rPr>
                <w:b/>
                <w:bCs/>
                <w:sz w:val="16"/>
                <w:szCs w:val="16"/>
              </w:rPr>
            </w:pPr>
            <w:r>
              <w:rPr>
                <w:b/>
                <w:bCs/>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14:paraId="23C507A1" w14:textId="77777777" w:rsidR="00077D40" w:rsidRDefault="00077D40" w:rsidP="006932FB">
            <w:pPr>
              <w:pStyle w:val="SingleTxtG"/>
              <w:ind w:left="0" w:right="19"/>
              <w:jc w:val="center"/>
              <w:rPr>
                <w:b/>
                <w:bCs/>
                <w:sz w:val="16"/>
                <w:szCs w:val="16"/>
              </w:rPr>
            </w:pPr>
            <w:r>
              <w:rPr>
                <w:b/>
                <w:bCs/>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14:paraId="58C2645C" w14:textId="77777777" w:rsidR="00077D40" w:rsidRDefault="00077D40" w:rsidP="006932FB">
            <w:pPr>
              <w:pStyle w:val="SingleTxtG"/>
              <w:ind w:left="0" w:right="19"/>
              <w:jc w:val="center"/>
              <w:rPr>
                <w:b/>
                <w:bCs/>
                <w:sz w:val="16"/>
                <w:szCs w:val="16"/>
              </w:rPr>
            </w:pPr>
            <w:r>
              <w:rPr>
                <w:b/>
                <w:bCs/>
                <w:sz w:val="16"/>
                <w:szCs w:val="16"/>
              </w:rPr>
              <w:t>(6)</w:t>
            </w:r>
          </w:p>
        </w:tc>
        <w:tc>
          <w:tcPr>
            <w:tcW w:w="567" w:type="dxa"/>
            <w:tcBorders>
              <w:top w:val="single" w:sz="4" w:space="0" w:color="auto"/>
              <w:left w:val="single" w:sz="4" w:space="0" w:color="auto"/>
              <w:bottom w:val="single" w:sz="4" w:space="0" w:color="auto"/>
              <w:right w:val="single" w:sz="4" w:space="0" w:color="auto"/>
            </w:tcBorders>
            <w:hideMark/>
          </w:tcPr>
          <w:p w14:paraId="3490F218" w14:textId="77777777" w:rsidR="00077D40" w:rsidRDefault="00077D40" w:rsidP="006932FB">
            <w:pPr>
              <w:pStyle w:val="SingleTxtG"/>
              <w:ind w:left="0" w:right="19"/>
              <w:jc w:val="center"/>
              <w:rPr>
                <w:b/>
                <w:bCs/>
                <w:sz w:val="16"/>
                <w:szCs w:val="16"/>
              </w:rPr>
            </w:pPr>
            <w:r>
              <w:rPr>
                <w:b/>
                <w:bCs/>
                <w:sz w:val="16"/>
                <w:szCs w:val="16"/>
              </w:rPr>
              <w:t>(7a)</w:t>
            </w:r>
          </w:p>
        </w:tc>
        <w:tc>
          <w:tcPr>
            <w:tcW w:w="709" w:type="dxa"/>
            <w:tcBorders>
              <w:top w:val="single" w:sz="4" w:space="0" w:color="auto"/>
              <w:left w:val="single" w:sz="4" w:space="0" w:color="auto"/>
              <w:bottom w:val="single" w:sz="4" w:space="0" w:color="auto"/>
              <w:right w:val="single" w:sz="4" w:space="0" w:color="auto"/>
            </w:tcBorders>
            <w:hideMark/>
          </w:tcPr>
          <w:p w14:paraId="37A43FF0" w14:textId="77777777" w:rsidR="00077D40" w:rsidRDefault="00077D40" w:rsidP="006932FB">
            <w:pPr>
              <w:pStyle w:val="SingleTxtG"/>
              <w:ind w:left="0" w:right="19"/>
              <w:jc w:val="center"/>
              <w:rPr>
                <w:b/>
                <w:bCs/>
                <w:sz w:val="16"/>
                <w:szCs w:val="16"/>
              </w:rPr>
            </w:pPr>
            <w:r>
              <w:rPr>
                <w:b/>
                <w:bCs/>
                <w:sz w:val="16"/>
                <w:szCs w:val="16"/>
              </w:rPr>
              <w:t>(7b)</w:t>
            </w:r>
          </w:p>
        </w:tc>
        <w:tc>
          <w:tcPr>
            <w:tcW w:w="851" w:type="dxa"/>
            <w:tcBorders>
              <w:top w:val="single" w:sz="4" w:space="0" w:color="auto"/>
              <w:left w:val="single" w:sz="4" w:space="0" w:color="auto"/>
              <w:bottom w:val="single" w:sz="4" w:space="0" w:color="auto"/>
              <w:right w:val="single" w:sz="4" w:space="0" w:color="auto"/>
            </w:tcBorders>
            <w:hideMark/>
          </w:tcPr>
          <w:p w14:paraId="33359D06" w14:textId="77777777" w:rsidR="00077D40" w:rsidRDefault="00077D40" w:rsidP="006932FB">
            <w:pPr>
              <w:pStyle w:val="SingleTxtG"/>
              <w:ind w:left="0" w:right="19"/>
              <w:jc w:val="center"/>
              <w:rPr>
                <w:b/>
                <w:bCs/>
                <w:sz w:val="16"/>
                <w:szCs w:val="16"/>
              </w:rPr>
            </w:pPr>
            <w:r>
              <w:rPr>
                <w:b/>
                <w:bCs/>
                <w:sz w:val="16"/>
                <w:szCs w:val="16"/>
              </w:rPr>
              <w:t>(8)</w:t>
            </w:r>
          </w:p>
        </w:tc>
        <w:tc>
          <w:tcPr>
            <w:tcW w:w="567" w:type="dxa"/>
            <w:tcBorders>
              <w:top w:val="single" w:sz="4" w:space="0" w:color="auto"/>
              <w:left w:val="single" w:sz="4" w:space="0" w:color="auto"/>
              <w:bottom w:val="single" w:sz="4" w:space="0" w:color="auto"/>
              <w:right w:val="single" w:sz="4" w:space="0" w:color="auto"/>
            </w:tcBorders>
            <w:hideMark/>
          </w:tcPr>
          <w:p w14:paraId="2AD5C9EB" w14:textId="77777777" w:rsidR="00077D40" w:rsidRDefault="00077D40" w:rsidP="006932FB">
            <w:pPr>
              <w:pStyle w:val="SingleTxtG"/>
              <w:ind w:left="0" w:right="19"/>
              <w:jc w:val="center"/>
              <w:rPr>
                <w:b/>
                <w:bCs/>
                <w:sz w:val="16"/>
                <w:szCs w:val="16"/>
              </w:rPr>
            </w:pPr>
            <w:r>
              <w:rPr>
                <w:b/>
                <w:bCs/>
                <w:sz w:val="16"/>
                <w:szCs w:val="16"/>
              </w:rPr>
              <w:t>(9)</w:t>
            </w:r>
          </w:p>
        </w:tc>
        <w:tc>
          <w:tcPr>
            <w:tcW w:w="567" w:type="dxa"/>
            <w:tcBorders>
              <w:top w:val="single" w:sz="4" w:space="0" w:color="auto"/>
              <w:left w:val="single" w:sz="4" w:space="0" w:color="auto"/>
              <w:bottom w:val="single" w:sz="4" w:space="0" w:color="auto"/>
              <w:right w:val="single" w:sz="4" w:space="0" w:color="auto"/>
            </w:tcBorders>
            <w:hideMark/>
          </w:tcPr>
          <w:p w14:paraId="66B014EF" w14:textId="77777777" w:rsidR="00077D40" w:rsidRDefault="00077D40" w:rsidP="006932FB">
            <w:pPr>
              <w:pStyle w:val="SingleTxtG"/>
              <w:ind w:left="0" w:right="19"/>
              <w:jc w:val="center"/>
              <w:rPr>
                <w:b/>
                <w:bCs/>
                <w:sz w:val="16"/>
                <w:szCs w:val="16"/>
              </w:rPr>
            </w:pPr>
            <w:r>
              <w:rPr>
                <w:b/>
                <w:bCs/>
                <w:sz w:val="16"/>
                <w:szCs w:val="16"/>
              </w:rPr>
              <w:t>(10)</w:t>
            </w:r>
          </w:p>
        </w:tc>
        <w:tc>
          <w:tcPr>
            <w:tcW w:w="567" w:type="dxa"/>
            <w:tcBorders>
              <w:top w:val="single" w:sz="4" w:space="0" w:color="auto"/>
              <w:left w:val="single" w:sz="4" w:space="0" w:color="auto"/>
              <w:bottom w:val="single" w:sz="4" w:space="0" w:color="auto"/>
              <w:right w:val="single" w:sz="4" w:space="0" w:color="auto"/>
            </w:tcBorders>
            <w:hideMark/>
          </w:tcPr>
          <w:p w14:paraId="0C20097E" w14:textId="77777777" w:rsidR="00077D40" w:rsidRDefault="00077D40" w:rsidP="006932FB">
            <w:pPr>
              <w:pStyle w:val="SingleTxtG"/>
              <w:ind w:left="0" w:right="19"/>
              <w:jc w:val="center"/>
              <w:rPr>
                <w:b/>
                <w:bCs/>
                <w:sz w:val="16"/>
                <w:szCs w:val="16"/>
              </w:rPr>
            </w:pPr>
            <w:r>
              <w:rPr>
                <w:b/>
                <w:bCs/>
                <w:sz w:val="16"/>
                <w:szCs w:val="16"/>
              </w:rPr>
              <w:t>(11)</w:t>
            </w:r>
          </w:p>
        </w:tc>
      </w:tr>
      <w:tr w:rsidR="00077D40" w14:paraId="30CE3F3B" w14:textId="77777777" w:rsidTr="006932FB">
        <w:tc>
          <w:tcPr>
            <w:tcW w:w="568" w:type="dxa"/>
            <w:tcBorders>
              <w:top w:val="single" w:sz="4" w:space="0" w:color="auto"/>
              <w:left w:val="single" w:sz="4" w:space="0" w:color="auto"/>
              <w:bottom w:val="single" w:sz="4" w:space="0" w:color="auto"/>
              <w:right w:val="single" w:sz="4" w:space="0" w:color="auto"/>
            </w:tcBorders>
          </w:tcPr>
          <w:p w14:paraId="07688736" w14:textId="77777777" w:rsidR="00077D40" w:rsidRDefault="00077D40" w:rsidP="006932FB">
            <w:pPr>
              <w:pStyle w:val="SingleTxtG"/>
              <w:ind w:left="-57" w:right="-57"/>
              <w:jc w:val="center"/>
              <w:rPr>
                <w:sz w:val="16"/>
                <w:szCs w:val="16"/>
              </w:rPr>
            </w:pPr>
            <w:r>
              <w:rPr>
                <w:sz w:val="16"/>
                <w:szCs w:val="16"/>
                <w:lang w:val="en-GB"/>
              </w:rPr>
              <w:t>0514</w:t>
            </w:r>
          </w:p>
        </w:tc>
        <w:tc>
          <w:tcPr>
            <w:tcW w:w="2697" w:type="dxa"/>
            <w:tcBorders>
              <w:top w:val="single" w:sz="4" w:space="0" w:color="auto"/>
              <w:left w:val="single" w:sz="4" w:space="0" w:color="auto"/>
              <w:bottom w:val="single" w:sz="4" w:space="0" w:color="auto"/>
              <w:right w:val="single" w:sz="4" w:space="0" w:color="auto"/>
            </w:tcBorders>
          </w:tcPr>
          <w:p w14:paraId="5017DD83" w14:textId="77777777" w:rsidR="00077D40" w:rsidRDefault="00077D40" w:rsidP="006932FB">
            <w:pPr>
              <w:pStyle w:val="SingleTxtG"/>
              <w:ind w:left="0" w:right="19"/>
              <w:jc w:val="left"/>
              <w:rPr>
                <w:sz w:val="16"/>
                <w:szCs w:val="16"/>
              </w:rPr>
            </w:pPr>
            <w:r>
              <w:rPr>
                <w:sz w:val="16"/>
                <w:szCs w:val="16"/>
                <w:lang w:val="en-GB"/>
              </w:rPr>
              <w:t>FIRE SUPPRESSANT DISPERSING DEVICES</w:t>
            </w:r>
          </w:p>
        </w:tc>
        <w:tc>
          <w:tcPr>
            <w:tcW w:w="567" w:type="dxa"/>
            <w:tcBorders>
              <w:top w:val="single" w:sz="4" w:space="0" w:color="auto"/>
              <w:left w:val="single" w:sz="4" w:space="0" w:color="auto"/>
              <w:bottom w:val="single" w:sz="4" w:space="0" w:color="auto"/>
              <w:right w:val="single" w:sz="4" w:space="0" w:color="auto"/>
            </w:tcBorders>
          </w:tcPr>
          <w:p w14:paraId="3E99BB96" w14:textId="77777777" w:rsidR="00077D40" w:rsidRDefault="00077D40" w:rsidP="006932FB">
            <w:pPr>
              <w:pStyle w:val="SingleTxtG"/>
              <w:ind w:left="0" w:right="19"/>
              <w:jc w:val="center"/>
              <w:rPr>
                <w:sz w:val="16"/>
                <w:szCs w:val="16"/>
              </w:rPr>
            </w:pPr>
            <w:r>
              <w:rPr>
                <w:sz w:val="16"/>
                <w:szCs w:val="16"/>
                <w:lang w:val="en-GB"/>
              </w:rPr>
              <w:t>1.4S</w:t>
            </w:r>
          </w:p>
        </w:tc>
        <w:tc>
          <w:tcPr>
            <w:tcW w:w="567" w:type="dxa"/>
            <w:tcBorders>
              <w:top w:val="single" w:sz="4" w:space="0" w:color="auto"/>
              <w:left w:val="single" w:sz="4" w:space="0" w:color="auto"/>
              <w:bottom w:val="single" w:sz="4" w:space="0" w:color="auto"/>
              <w:right w:val="single" w:sz="4" w:space="0" w:color="auto"/>
            </w:tcBorders>
          </w:tcPr>
          <w:p w14:paraId="2ABE50E5" w14:textId="77777777" w:rsidR="00077D40" w:rsidRDefault="00077D40" w:rsidP="006932FB">
            <w:pPr>
              <w:pStyle w:val="SingleTxtG"/>
              <w:ind w:left="0" w:right="1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22E24" w14:textId="77777777" w:rsidR="00077D40" w:rsidRDefault="00077D40" w:rsidP="006932FB">
            <w:pPr>
              <w:pStyle w:val="SingleTxtG"/>
              <w:ind w:left="0" w:right="19"/>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A2109D3" w14:textId="77777777" w:rsidR="00077D40" w:rsidRPr="00850D04" w:rsidRDefault="00077D40" w:rsidP="006932FB">
            <w:pPr>
              <w:pStyle w:val="SingleTxtG"/>
              <w:ind w:left="0" w:right="19"/>
              <w:jc w:val="center"/>
              <w:rPr>
                <w:sz w:val="16"/>
                <w:szCs w:val="16"/>
                <w:u w:val="single"/>
              </w:rPr>
            </w:pPr>
            <w:r w:rsidRPr="00850D04">
              <w:rPr>
                <w:sz w:val="16"/>
                <w:szCs w:val="16"/>
                <w:lang w:val="en-GB"/>
              </w:rPr>
              <w:t>407</w:t>
            </w:r>
          </w:p>
        </w:tc>
        <w:tc>
          <w:tcPr>
            <w:tcW w:w="567" w:type="dxa"/>
            <w:tcBorders>
              <w:top w:val="single" w:sz="4" w:space="0" w:color="auto"/>
              <w:left w:val="single" w:sz="4" w:space="0" w:color="auto"/>
              <w:bottom w:val="single" w:sz="4" w:space="0" w:color="auto"/>
              <w:right w:val="single" w:sz="4" w:space="0" w:color="auto"/>
            </w:tcBorders>
          </w:tcPr>
          <w:p w14:paraId="2082A8F7" w14:textId="77777777" w:rsidR="00077D40" w:rsidRPr="00850D04" w:rsidRDefault="00077D40" w:rsidP="006932FB">
            <w:pPr>
              <w:pStyle w:val="SingleTxtG"/>
              <w:ind w:left="0" w:right="19"/>
              <w:jc w:val="center"/>
              <w:rPr>
                <w:sz w:val="16"/>
                <w:szCs w:val="16"/>
              </w:rPr>
            </w:pPr>
            <w:r w:rsidRPr="00850D04">
              <w:rPr>
                <w:sz w:val="16"/>
                <w:szCs w:val="16"/>
                <w:lang w:val="en-GB"/>
              </w:rPr>
              <w:t>0</w:t>
            </w:r>
          </w:p>
        </w:tc>
        <w:tc>
          <w:tcPr>
            <w:tcW w:w="709" w:type="dxa"/>
            <w:tcBorders>
              <w:top w:val="single" w:sz="4" w:space="0" w:color="auto"/>
              <w:left w:val="single" w:sz="4" w:space="0" w:color="auto"/>
              <w:bottom w:val="single" w:sz="4" w:space="0" w:color="auto"/>
              <w:right w:val="single" w:sz="4" w:space="0" w:color="auto"/>
            </w:tcBorders>
          </w:tcPr>
          <w:p w14:paraId="4F98BFE1" w14:textId="77777777" w:rsidR="00077D40" w:rsidRDefault="00077D40" w:rsidP="006932FB">
            <w:pPr>
              <w:pStyle w:val="SingleTxtG"/>
              <w:ind w:left="0" w:right="19"/>
              <w:jc w:val="center"/>
              <w:rPr>
                <w:sz w:val="16"/>
                <w:szCs w:val="16"/>
              </w:rPr>
            </w:pPr>
            <w:r>
              <w:rPr>
                <w:sz w:val="16"/>
                <w:szCs w:val="16"/>
                <w:lang w:val="en-GB"/>
              </w:rPr>
              <w:t>E0</w:t>
            </w:r>
          </w:p>
        </w:tc>
        <w:tc>
          <w:tcPr>
            <w:tcW w:w="851" w:type="dxa"/>
            <w:tcBorders>
              <w:top w:val="single" w:sz="4" w:space="0" w:color="auto"/>
              <w:left w:val="single" w:sz="4" w:space="0" w:color="auto"/>
              <w:bottom w:val="single" w:sz="4" w:space="0" w:color="auto"/>
              <w:right w:val="single" w:sz="4" w:space="0" w:color="auto"/>
            </w:tcBorders>
          </w:tcPr>
          <w:p w14:paraId="320604C3" w14:textId="77777777" w:rsidR="00077D40" w:rsidRDefault="00077D40" w:rsidP="006932FB">
            <w:pPr>
              <w:pStyle w:val="SingleTxtG"/>
              <w:ind w:left="0" w:right="19"/>
              <w:jc w:val="center"/>
              <w:rPr>
                <w:sz w:val="16"/>
                <w:szCs w:val="16"/>
              </w:rPr>
            </w:pPr>
            <w:r>
              <w:rPr>
                <w:sz w:val="16"/>
                <w:szCs w:val="16"/>
                <w:lang w:val="en-GB"/>
              </w:rPr>
              <w:t>P135</w:t>
            </w:r>
          </w:p>
        </w:tc>
        <w:tc>
          <w:tcPr>
            <w:tcW w:w="567" w:type="dxa"/>
            <w:tcBorders>
              <w:top w:val="single" w:sz="4" w:space="0" w:color="auto"/>
              <w:left w:val="single" w:sz="4" w:space="0" w:color="auto"/>
              <w:bottom w:val="single" w:sz="4" w:space="0" w:color="auto"/>
              <w:right w:val="single" w:sz="4" w:space="0" w:color="auto"/>
            </w:tcBorders>
          </w:tcPr>
          <w:p w14:paraId="2BF18781" w14:textId="77777777" w:rsidR="00077D40" w:rsidRDefault="00077D40" w:rsidP="006932FB">
            <w:pPr>
              <w:pStyle w:val="SingleTxtG"/>
              <w:ind w:left="0" w:right="1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6BE83175" w14:textId="77777777" w:rsidR="00077D40" w:rsidRDefault="00077D40" w:rsidP="006932FB">
            <w:pPr>
              <w:pStyle w:val="SingleTxtG"/>
              <w:ind w:left="0" w:right="1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45BE4E4A" w14:textId="77777777" w:rsidR="00077D40" w:rsidRDefault="00077D40" w:rsidP="006932FB">
            <w:pPr>
              <w:pStyle w:val="SingleTxtG"/>
              <w:ind w:left="0" w:right="19"/>
              <w:jc w:val="center"/>
              <w:rPr>
                <w:sz w:val="16"/>
                <w:szCs w:val="16"/>
              </w:rPr>
            </w:pPr>
          </w:p>
        </w:tc>
      </w:tr>
      <w:tr w:rsidR="00077D40" w14:paraId="415EF533" w14:textId="77777777" w:rsidTr="006932FB">
        <w:tc>
          <w:tcPr>
            <w:tcW w:w="568" w:type="dxa"/>
            <w:tcBorders>
              <w:top w:val="single" w:sz="4" w:space="0" w:color="auto"/>
              <w:left w:val="single" w:sz="4" w:space="0" w:color="auto"/>
              <w:bottom w:val="single" w:sz="4" w:space="0" w:color="auto"/>
              <w:right w:val="single" w:sz="4" w:space="0" w:color="auto"/>
            </w:tcBorders>
          </w:tcPr>
          <w:p w14:paraId="735C85CF" w14:textId="77777777" w:rsidR="00077D40" w:rsidRDefault="00077D40" w:rsidP="006932FB">
            <w:pPr>
              <w:pStyle w:val="SingleTxtG"/>
              <w:ind w:left="-57" w:right="-57"/>
              <w:jc w:val="center"/>
              <w:rPr>
                <w:sz w:val="16"/>
                <w:szCs w:val="16"/>
              </w:rPr>
            </w:pPr>
            <w:r>
              <w:rPr>
                <w:sz w:val="16"/>
                <w:szCs w:val="16"/>
              </w:rPr>
              <w:t>1835</w:t>
            </w:r>
          </w:p>
        </w:tc>
        <w:tc>
          <w:tcPr>
            <w:tcW w:w="2697" w:type="dxa"/>
            <w:tcBorders>
              <w:top w:val="single" w:sz="4" w:space="0" w:color="auto"/>
              <w:left w:val="single" w:sz="4" w:space="0" w:color="auto"/>
              <w:bottom w:val="single" w:sz="4" w:space="0" w:color="auto"/>
              <w:right w:val="single" w:sz="4" w:space="0" w:color="auto"/>
            </w:tcBorders>
          </w:tcPr>
          <w:p w14:paraId="3F864C10" w14:textId="77777777" w:rsidR="00077D40" w:rsidRDefault="00077D40" w:rsidP="006932FB">
            <w:pPr>
              <w:pStyle w:val="SingleTxtG"/>
              <w:ind w:left="0" w:right="19"/>
              <w:jc w:val="left"/>
              <w:rPr>
                <w:snapToGrid w:val="0"/>
                <w:sz w:val="16"/>
                <w:szCs w:val="16"/>
              </w:rPr>
            </w:pPr>
            <w:r w:rsidRPr="008A686B">
              <w:rPr>
                <w:sz w:val="16"/>
                <w:szCs w:val="16"/>
                <w:lang w:val="en-GB"/>
              </w:rPr>
              <w:t>TETRAMETHYLAMMONIUM</w:t>
            </w:r>
            <w:r w:rsidRPr="008A686B">
              <w:rPr>
                <w:sz w:val="16"/>
                <w:szCs w:val="16"/>
              </w:rPr>
              <w:t xml:space="preserve"> HYDROXIDE AQUEOUS SOLUTION with not less than 25</w:t>
            </w:r>
            <w:r>
              <w:rPr>
                <w:sz w:val="16"/>
                <w:szCs w:val="16"/>
              </w:rPr>
              <w:t> </w:t>
            </w:r>
            <w:r w:rsidRPr="008A686B">
              <w:rPr>
                <w:sz w:val="16"/>
                <w:szCs w:val="16"/>
              </w:rPr>
              <w:t>% tetramethylammonium hydroxide</w:t>
            </w:r>
          </w:p>
        </w:tc>
        <w:tc>
          <w:tcPr>
            <w:tcW w:w="567" w:type="dxa"/>
            <w:tcBorders>
              <w:top w:val="single" w:sz="4" w:space="0" w:color="auto"/>
              <w:left w:val="single" w:sz="4" w:space="0" w:color="auto"/>
              <w:bottom w:val="single" w:sz="4" w:space="0" w:color="auto"/>
              <w:right w:val="single" w:sz="4" w:space="0" w:color="auto"/>
            </w:tcBorders>
          </w:tcPr>
          <w:p w14:paraId="1E20D104" w14:textId="77777777" w:rsidR="00077D40" w:rsidRDefault="00077D40" w:rsidP="006932FB">
            <w:pPr>
              <w:pStyle w:val="SingleTxtG"/>
              <w:ind w:left="0" w:right="19"/>
              <w:jc w:val="center"/>
              <w:rPr>
                <w:sz w:val="16"/>
                <w:szCs w:val="16"/>
              </w:rPr>
            </w:pPr>
            <w:r>
              <w:rPr>
                <w:sz w:val="16"/>
                <w:szCs w:val="16"/>
              </w:rPr>
              <w:t>6.1</w:t>
            </w:r>
          </w:p>
        </w:tc>
        <w:tc>
          <w:tcPr>
            <w:tcW w:w="567" w:type="dxa"/>
            <w:tcBorders>
              <w:top w:val="single" w:sz="4" w:space="0" w:color="auto"/>
              <w:left w:val="single" w:sz="4" w:space="0" w:color="auto"/>
              <w:bottom w:val="single" w:sz="4" w:space="0" w:color="auto"/>
              <w:right w:val="single" w:sz="4" w:space="0" w:color="auto"/>
            </w:tcBorders>
          </w:tcPr>
          <w:p w14:paraId="6BFF39B4" w14:textId="77777777" w:rsidR="00077D40" w:rsidRDefault="00077D40" w:rsidP="006932FB">
            <w:pPr>
              <w:pStyle w:val="SingleTxtG"/>
              <w:ind w:left="0" w:right="19"/>
              <w:jc w:val="center"/>
              <w:rPr>
                <w:sz w:val="16"/>
                <w:szCs w:val="16"/>
              </w:rPr>
            </w:pPr>
            <w:r>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9559186" w14:textId="77777777" w:rsidR="00077D40" w:rsidRDefault="00077D40" w:rsidP="006932FB">
            <w:pPr>
              <w:pStyle w:val="SingleTxtG"/>
              <w:ind w:left="0" w:right="19"/>
              <w:jc w:val="center"/>
              <w:rPr>
                <w:sz w:val="16"/>
                <w:szCs w:val="16"/>
              </w:rPr>
            </w:pPr>
            <w:r>
              <w:rPr>
                <w:sz w:val="16"/>
                <w:szCs w:val="16"/>
              </w:rPr>
              <w:t>I</w:t>
            </w:r>
          </w:p>
        </w:tc>
        <w:tc>
          <w:tcPr>
            <w:tcW w:w="851" w:type="dxa"/>
            <w:tcBorders>
              <w:top w:val="single" w:sz="4" w:space="0" w:color="auto"/>
              <w:left w:val="single" w:sz="4" w:space="0" w:color="auto"/>
              <w:bottom w:val="single" w:sz="4" w:space="0" w:color="auto"/>
              <w:right w:val="single" w:sz="4" w:space="0" w:color="auto"/>
            </w:tcBorders>
          </w:tcPr>
          <w:p w14:paraId="22BC8125" w14:textId="77777777" w:rsidR="00077D40" w:rsidRDefault="00077D40" w:rsidP="006932FB">
            <w:pPr>
              <w:pStyle w:val="SingleTxtG"/>
              <w:ind w:left="0" w:right="19"/>
              <w:jc w:val="center"/>
              <w:rPr>
                <w:sz w:val="16"/>
                <w:szCs w:val="16"/>
              </w:rPr>
            </w:pPr>
            <w:r>
              <w:rPr>
                <w:sz w:val="16"/>
                <w:szCs w:val="16"/>
              </w:rPr>
              <w:t>279</w:t>
            </w:r>
            <w:r>
              <w:rPr>
                <w:sz w:val="16"/>
                <w:szCs w:val="16"/>
              </w:rPr>
              <w:br/>
              <w:t>408</w:t>
            </w:r>
            <w:r>
              <w:rPr>
                <w:sz w:val="16"/>
                <w:szCs w:val="16"/>
              </w:rPr>
              <w:br/>
              <w:t>409</w:t>
            </w:r>
          </w:p>
        </w:tc>
        <w:tc>
          <w:tcPr>
            <w:tcW w:w="567" w:type="dxa"/>
            <w:tcBorders>
              <w:top w:val="single" w:sz="4" w:space="0" w:color="auto"/>
              <w:left w:val="single" w:sz="4" w:space="0" w:color="auto"/>
              <w:bottom w:val="single" w:sz="4" w:space="0" w:color="auto"/>
              <w:right w:val="single" w:sz="4" w:space="0" w:color="auto"/>
            </w:tcBorders>
          </w:tcPr>
          <w:p w14:paraId="34B33C83" w14:textId="77777777" w:rsidR="00077D40" w:rsidRDefault="00077D40" w:rsidP="006932FB">
            <w:pPr>
              <w:pStyle w:val="SingleTxtG"/>
              <w:ind w:left="0" w:right="19"/>
              <w:jc w:val="center"/>
              <w:rPr>
                <w:sz w:val="16"/>
                <w:szCs w:val="16"/>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253FC9" w14:textId="77777777" w:rsidR="00077D40" w:rsidRDefault="00077D40" w:rsidP="006932FB">
            <w:pPr>
              <w:pStyle w:val="SingleTxtG"/>
              <w:ind w:left="0" w:right="19"/>
              <w:jc w:val="center"/>
              <w:rPr>
                <w:sz w:val="16"/>
                <w:szCs w:val="16"/>
              </w:rPr>
            </w:pPr>
            <w:r>
              <w:rPr>
                <w:sz w:val="16"/>
                <w:szCs w:val="16"/>
              </w:rPr>
              <w:t>E5</w:t>
            </w:r>
          </w:p>
        </w:tc>
        <w:tc>
          <w:tcPr>
            <w:tcW w:w="851" w:type="dxa"/>
            <w:tcBorders>
              <w:top w:val="single" w:sz="4" w:space="0" w:color="auto"/>
              <w:left w:val="single" w:sz="4" w:space="0" w:color="auto"/>
              <w:bottom w:val="single" w:sz="4" w:space="0" w:color="auto"/>
              <w:right w:val="single" w:sz="4" w:space="0" w:color="auto"/>
            </w:tcBorders>
          </w:tcPr>
          <w:p w14:paraId="3F0CE5D3" w14:textId="77777777" w:rsidR="00077D40" w:rsidRDefault="00077D40" w:rsidP="006932FB">
            <w:pPr>
              <w:pStyle w:val="SingleTxtG"/>
              <w:ind w:left="0" w:right="19"/>
              <w:jc w:val="center"/>
              <w:rPr>
                <w:sz w:val="16"/>
                <w:szCs w:val="16"/>
              </w:rPr>
            </w:pPr>
            <w:r>
              <w:rPr>
                <w:sz w:val="16"/>
                <w:szCs w:val="16"/>
              </w:rPr>
              <w:t>P001</w:t>
            </w:r>
          </w:p>
        </w:tc>
        <w:tc>
          <w:tcPr>
            <w:tcW w:w="567" w:type="dxa"/>
            <w:tcBorders>
              <w:top w:val="single" w:sz="4" w:space="0" w:color="auto"/>
              <w:left w:val="single" w:sz="4" w:space="0" w:color="auto"/>
              <w:bottom w:val="single" w:sz="4" w:space="0" w:color="auto"/>
              <w:right w:val="single" w:sz="4" w:space="0" w:color="auto"/>
            </w:tcBorders>
          </w:tcPr>
          <w:p w14:paraId="6CD9A764" w14:textId="77777777" w:rsidR="00077D40" w:rsidRDefault="00077D40" w:rsidP="006932FB">
            <w:pPr>
              <w:pStyle w:val="SingleTxtG"/>
              <w:ind w:left="0" w:right="1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74F79C10" w14:textId="77777777" w:rsidR="00077D40" w:rsidRDefault="00077D40" w:rsidP="006932FB">
            <w:pPr>
              <w:pStyle w:val="SingleTxtG"/>
              <w:ind w:left="0" w:right="19"/>
              <w:jc w:val="center"/>
              <w:rPr>
                <w:sz w:val="16"/>
                <w:szCs w:val="16"/>
              </w:rPr>
            </w:pPr>
            <w:r>
              <w:rPr>
                <w:sz w:val="16"/>
                <w:szCs w:val="16"/>
              </w:rPr>
              <w:t>T14</w:t>
            </w:r>
          </w:p>
        </w:tc>
        <w:tc>
          <w:tcPr>
            <w:tcW w:w="567" w:type="dxa"/>
            <w:tcBorders>
              <w:top w:val="single" w:sz="4" w:space="0" w:color="auto"/>
              <w:left w:val="single" w:sz="4" w:space="0" w:color="auto"/>
              <w:bottom w:val="single" w:sz="4" w:space="0" w:color="auto"/>
              <w:right w:val="single" w:sz="4" w:space="0" w:color="auto"/>
            </w:tcBorders>
          </w:tcPr>
          <w:p w14:paraId="5A2B1203" w14:textId="77777777" w:rsidR="00077D40" w:rsidRDefault="00077D40" w:rsidP="006932FB">
            <w:pPr>
              <w:pStyle w:val="SingleTxtG"/>
              <w:ind w:left="0" w:right="19"/>
              <w:jc w:val="center"/>
              <w:rPr>
                <w:sz w:val="16"/>
                <w:szCs w:val="16"/>
              </w:rPr>
            </w:pPr>
            <w:r>
              <w:rPr>
                <w:sz w:val="16"/>
                <w:szCs w:val="16"/>
              </w:rPr>
              <w:t>TP2</w:t>
            </w:r>
          </w:p>
        </w:tc>
      </w:tr>
      <w:tr w:rsidR="00077D40" w14:paraId="564FB801" w14:textId="77777777" w:rsidTr="006932FB">
        <w:tc>
          <w:tcPr>
            <w:tcW w:w="568" w:type="dxa"/>
            <w:tcBorders>
              <w:top w:val="single" w:sz="4" w:space="0" w:color="auto"/>
              <w:left w:val="single" w:sz="4" w:space="0" w:color="auto"/>
              <w:bottom w:val="single" w:sz="4" w:space="0" w:color="auto"/>
              <w:right w:val="single" w:sz="4" w:space="0" w:color="auto"/>
            </w:tcBorders>
          </w:tcPr>
          <w:p w14:paraId="72F185E2" w14:textId="77777777" w:rsidR="00077D40" w:rsidRDefault="00077D40" w:rsidP="006932FB">
            <w:pPr>
              <w:pStyle w:val="SingleTxtG"/>
              <w:ind w:left="-57" w:right="-57"/>
              <w:jc w:val="center"/>
              <w:rPr>
                <w:sz w:val="16"/>
                <w:szCs w:val="16"/>
              </w:rPr>
            </w:pPr>
            <w:r>
              <w:rPr>
                <w:sz w:val="16"/>
                <w:szCs w:val="16"/>
              </w:rPr>
              <w:t>3556</w:t>
            </w:r>
          </w:p>
        </w:tc>
        <w:tc>
          <w:tcPr>
            <w:tcW w:w="2697" w:type="dxa"/>
            <w:tcBorders>
              <w:top w:val="single" w:sz="4" w:space="0" w:color="auto"/>
              <w:left w:val="single" w:sz="4" w:space="0" w:color="auto"/>
              <w:bottom w:val="single" w:sz="4" w:space="0" w:color="auto"/>
              <w:right w:val="single" w:sz="4" w:space="0" w:color="auto"/>
            </w:tcBorders>
          </w:tcPr>
          <w:p w14:paraId="36AA1F92" w14:textId="77777777" w:rsidR="00077D40" w:rsidRDefault="00077D40" w:rsidP="006932FB">
            <w:pPr>
              <w:pStyle w:val="SingleTxtG"/>
              <w:ind w:left="0" w:right="19"/>
              <w:jc w:val="left"/>
              <w:rPr>
                <w:snapToGrid w:val="0"/>
                <w:sz w:val="16"/>
                <w:szCs w:val="16"/>
              </w:rPr>
            </w:pPr>
            <w:r>
              <w:rPr>
                <w:snapToGrid w:val="0"/>
                <w:sz w:val="16"/>
                <w:szCs w:val="16"/>
              </w:rPr>
              <w:t xml:space="preserve">VEHICLE, LITHIUM ION BATTERY POWERED </w:t>
            </w:r>
          </w:p>
        </w:tc>
        <w:tc>
          <w:tcPr>
            <w:tcW w:w="567" w:type="dxa"/>
            <w:tcBorders>
              <w:top w:val="single" w:sz="4" w:space="0" w:color="auto"/>
              <w:left w:val="single" w:sz="4" w:space="0" w:color="auto"/>
              <w:bottom w:val="single" w:sz="4" w:space="0" w:color="auto"/>
              <w:right w:val="single" w:sz="4" w:space="0" w:color="auto"/>
            </w:tcBorders>
          </w:tcPr>
          <w:p w14:paraId="3789F03E" w14:textId="77777777" w:rsidR="00077D40" w:rsidRDefault="00077D40" w:rsidP="006932FB">
            <w:pPr>
              <w:pStyle w:val="SingleTxtG"/>
              <w:ind w:left="0" w:right="19"/>
              <w:jc w:val="center"/>
              <w:rPr>
                <w:sz w:val="16"/>
                <w:szCs w:val="16"/>
              </w:rPr>
            </w:pPr>
            <w:r>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41D249F3" w14:textId="77777777" w:rsidR="00077D40" w:rsidRDefault="00077D40" w:rsidP="006932FB">
            <w:pPr>
              <w:pStyle w:val="SingleTxtG"/>
              <w:ind w:left="0" w:right="1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3B6BB76F" w14:textId="77777777" w:rsidR="00077D40" w:rsidRDefault="00077D40" w:rsidP="006932FB">
            <w:pPr>
              <w:pStyle w:val="SingleTxtG"/>
              <w:ind w:left="0" w:right="19"/>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E68F418" w14:textId="77777777" w:rsidR="00077D40" w:rsidRDefault="00077D40" w:rsidP="006932FB">
            <w:pPr>
              <w:pStyle w:val="SingleTxtG"/>
              <w:ind w:left="0" w:right="19"/>
              <w:jc w:val="center"/>
              <w:rPr>
                <w:sz w:val="16"/>
                <w:szCs w:val="16"/>
              </w:rPr>
            </w:pPr>
            <w:r>
              <w:rPr>
                <w:sz w:val="16"/>
                <w:szCs w:val="16"/>
              </w:rPr>
              <w:t>384</w:t>
            </w:r>
            <w:r>
              <w:rPr>
                <w:sz w:val="16"/>
                <w:szCs w:val="16"/>
              </w:rPr>
              <w:br/>
              <w:t>388</w:t>
            </w:r>
            <w:r>
              <w:rPr>
                <w:sz w:val="16"/>
                <w:szCs w:val="16"/>
              </w:rPr>
              <w:br/>
              <w:t>405</w:t>
            </w:r>
          </w:p>
        </w:tc>
        <w:tc>
          <w:tcPr>
            <w:tcW w:w="567" w:type="dxa"/>
            <w:tcBorders>
              <w:top w:val="single" w:sz="4" w:space="0" w:color="auto"/>
              <w:left w:val="single" w:sz="4" w:space="0" w:color="auto"/>
              <w:bottom w:val="single" w:sz="4" w:space="0" w:color="auto"/>
              <w:right w:val="single" w:sz="4" w:space="0" w:color="auto"/>
            </w:tcBorders>
          </w:tcPr>
          <w:p w14:paraId="0B68FD3C" w14:textId="77777777" w:rsidR="00077D40" w:rsidRDefault="00077D40" w:rsidP="006932FB">
            <w:pPr>
              <w:pStyle w:val="SingleTxtG"/>
              <w:ind w:left="0" w:right="19"/>
              <w:jc w:val="center"/>
              <w:rPr>
                <w:sz w:val="16"/>
                <w:szCs w:val="16"/>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C7A955" w14:textId="77777777" w:rsidR="00077D40" w:rsidRDefault="00077D40" w:rsidP="006932FB">
            <w:pPr>
              <w:pStyle w:val="SingleTxtG"/>
              <w:ind w:left="0" w:right="19"/>
              <w:jc w:val="center"/>
              <w:rPr>
                <w:sz w:val="16"/>
                <w:szCs w:val="16"/>
              </w:rPr>
            </w:pPr>
            <w:r>
              <w:rPr>
                <w:sz w:val="16"/>
                <w:szCs w:val="16"/>
              </w:rPr>
              <w:t>E0</w:t>
            </w:r>
          </w:p>
        </w:tc>
        <w:tc>
          <w:tcPr>
            <w:tcW w:w="851" w:type="dxa"/>
            <w:tcBorders>
              <w:top w:val="single" w:sz="4" w:space="0" w:color="auto"/>
              <w:left w:val="single" w:sz="4" w:space="0" w:color="auto"/>
              <w:bottom w:val="single" w:sz="4" w:space="0" w:color="auto"/>
              <w:right w:val="single" w:sz="4" w:space="0" w:color="auto"/>
            </w:tcBorders>
          </w:tcPr>
          <w:p w14:paraId="67B8071B" w14:textId="77777777" w:rsidR="00077D40" w:rsidRDefault="00077D40" w:rsidP="006932FB">
            <w:pPr>
              <w:pStyle w:val="SingleTxtG"/>
              <w:ind w:left="0" w:right="19"/>
              <w:jc w:val="center"/>
              <w:rPr>
                <w:sz w:val="16"/>
                <w:szCs w:val="16"/>
              </w:rPr>
            </w:pPr>
            <w:r>
              <w:rPr>
                <w:sz w:val="16"/>
                <w:szCs w:val="16"/>
              </w:rPr>
              <w:t>P912</w:t>
            </w:r>
          </w:p>
        </w:tc>
        <w:tc>
          <w:tcPr>
            <w:tcW w:w="567" w:type="dxa"/>
            <w:tcBorders>
              <w:top w:val="single" w:sz="4" w:space="0" w:color="auto"/>
              <w:left w:val="single" w:sz="4" w:space="0" w:color="auto"/>
              <w:bottom w:val="single" w:sz="4" w:space="0" w:color="auto"/>
              <w:right w:val="single" w:sz="4" w:space="0" w:color="auto"/>
            </w:tcBorders>
          </w:tcPr>
          <w:p w14:paraId="19F57FDC" w14:textId="77777777" w:rsidR="00077D40" w:rsidRDefault="00077D40" w:rsidP="006932FB">
            <w:pPr>
              <w:pStyle w:val="SingleTxtG"/>
              <w:ind w:left="0" w:right="1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7A36E7B8" w14:textId="77777777" w:rsidR="00077D40" w:rsidRDefault="00077D40" w:rsidP="006932FB">
            <w:pPr>
              <w:pStyle w:val="SingleTxtG"/>
              <w:ind w:left="0" w:right="1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27648504" w14:textId="77777777" w:rsidR="00077D40" w:rsidRDefault="00077D40" w:rsidP="006932FB">
            <w:pPr>
              <w:pStyle w:val="SingleTxtG"/>
              <w:ind w:left="0" w:right="19"/>
              <w:jc w:val="center"/>
              <w:rPr>
                <w:sz w:val="16"/>
                <w:szCs w:val="16"/>
              </w:rPr>
            </w:pPr>
          </w:p>
        </w:tc>
      </w:tr>
      <w:tr w:rsidR="00077D40" w14:paraId="3CE706D7" w14:textId="77777777" w:rsidTr="006932FB">
        <w:tc>
          <w:tcPr>
            <w:tcW w:w="568" w:type="dxa"/>
            <w:tcBorders>
              <w:top w:val="single" w:sz="4" w:space="0" w:color="auto"/>
              <w:left w:val="single" w:sz="4" w:space="0" w:color="auto"/>
              <w:bottom w:val="single" w:sz="4" w:space="0" w:color="auto"/>
              <w:right w:val="single" w:sz="4" w:space="0" w:color="auto"/>
            </w:tcBorders>
            <w:hideMark/>
          </w:tcPr>
          <w:p w14:paraId="4B52D821" w14:textId="77777777" w:rsidR="00077D40" w:rsidRDefault="00077D40" w:rsidP="006932FB">
            <w:pPr>
              <w:pStyle w:val="SingleTxtG"/>
              <w:ind w:left="-57" w:right="-57"/>
              <w:jc w:val="center"/>
              <w:rPr>
                <w:sz w:val="16"/>
                <w:szCs w:val="16"/>
              </w:rPr>
            </w:pPr>
            <w:r>
              <w:rPr>
                <w:sz w:val="16"/>
                <w:szCs w:val="16"/>
              </w:rPr>
              <w:t>3557</w:t>
            </w:r>
          </w:p>
        </w:tc>
        <w:tc>
          <w:tcPr>
            <w:tcW w:w="2697" w:type="dxa"/>
            <w:tcBorders>
              <w:top w:val="single" w:sz="4" w:space="0" w:color="auto"/>
              <w:left w:val="single" w:sz="4" w:space="0" w:color="auto"/>
              <w:bottom w:val="single" w:sz="4" w:space="0" w:color="auto"/>
              <w:right w:val="single" w:sz="4" w:space="0" w:color="auto"/>
            </w:tcBorders>
            <w:hideMark/>
          </w:tcPr>
          <w:p w14:paraId="443A34B1" w14:textId="77777777" w:rsidR="00077D40" w:rsidRDefault="00077D40" w:rsidP="006932FB">
            <w:pPr>
              <w:pStyle w:val="SingleTxtG"/>
              <w:ind w:left="0" w:right="19"/>
              <w:jc w:val="left"/>
              <w:rPr>
                <w:snapToGrid w:val="0"/>
                <w:sz w:val="16"/>
                <w:szCs w:val="16"/>
              </w:rPr>
            </w:pPr>
            <w:r>
              <w:rPr>
                <w:snapToGrid w:val="0"/>
                <w:sz w:val="16"/>
                <w:szCs w:val="16"/>
              </w:rPr>
              <w:t xml:space="preserve">VEHICLE, LITHIUM METAL BATTERY POWERED </w:t>
            </w:r>
          </w:p>
        </w:tc>
        <w:tc>
          <w:tcPr>
            <w:tcW w:w="567" w:type="dxa"/>
            <w:tcBorders>
              <w:top w:val="single" w:sz="4" w:space="0" w:color="auto"/>
              <w:left w:val="single" w:sz="4" w:space="0" w:color="auto"/>
              <w:bottom w:val="single" w:sz="4" w:space="0" w:color="auto"/>
              <w:right w:val="single" w:sz="4" w:space="0" w:color="auto"/>
            </w:tcBorders>
            <w:hideMark/>
          </w:tcPr>
          <w:p w14:paraId="080447D1" w14:textId="77777777" w:rsidR="00077D40" w:rsidRDefault="00077D40" w:rsidP="006932FB">
            <w:pPr>
              <w:pStyle w:val="SingleTxtG"/>
              <w:ind w:left="0" w:right="19"/>
              <w:jc w:val="center"/>
              <w:rPr>
                <w:sz w:val="16"/>
                <w:szCs w:val="16"/>
              </w:rPr>
            </w:pPr>
            <w:r>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743C46A" w14:textId="77777777" w:rsidR="00077D40" w:rsidRDefault="00077D40" w:rsidP="006932FB">
            <w:pPr>
              <w:pStyle w:val="SingleTxtG"/>
              <w:ind w:left="0" w:right="1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6DD2E5C8" w14:textId="77777777" w:rsidR="00077D40" w:rsidRDefault="00077D40" w:rsidP="006932FB">
            <w:pPr>
              <w:pStyle w:val="SingleTxtG"/>
              <w:ind w:left="0" w:right="19"/>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4EC60A3D" w14:textId="77777777" w:rsidR="00077D40" w:rsidRDefault="00077D40" w:rsidP="006932FB">
            <w:pPr>
              <w:pStyle w:val="SingleTxtG"/>
              <w:ind w:left="0" w:right="19"/>
              <w:jc w:val="center"/>
              <w:rPr>
                <w:sz w:val="16"/>
                <w:szCs w:val="16"/>
                <w:u w:val="single"/>
              </w:rPr>
            </w:pPr>
            <w:r>
              <w:rPr>
                <w:sz w:val="16"/>
                <w:szCs w:val="16"/>
              </w:rPr>
              <w:t>384</w:t>
            </w:r>
            <w:r>
              <w:rPr>
                <w:sz w:val="16"/>
                <w:szCs w:val="16"/>
              </w:rPr>
              <w:br/>
              <w:t>388</w:t>
            </w:r>
            <w:r>
              <w:rPr>
                <w:sz w:val="16"/>
                <w:szCs w:val="16"/>
              </w:rPr>
              <w:br/>
              <w:t>405</w:t>
            </w:r>
          </w:p>
        </w:tc>
        <w:tc>
          <w:tcPr>
            <w:tcW w:w="567" w:type="dxa"/>
            <w:tcBorders>
              <w:top w:val="single" w:sz="4" w:space="0" w:color="auto"/>
              <w:left w:val="single" w:sz="4" w:space="0" w:color="auto"/>
              <w:bottom w:val="single" w:sz="4" w:space="0" w:color="auto"/>
              <w:right w:val="single" w:sz="4" w:space="0" w:color="auto"/>
            </w:tcBorders>
            <w:hideMark/>
          </w:tcPr>
          <w:p w14:paraId="1E83A53F" w14:textId="77777777" w:rsidR="00077D40" w:rsidRDefault="00077D40" w:rsidP="006932FB">
            <w:pPr>
              <w:pStyle w:val="SingleTxtG"/>
              <w:ind w:left="0" w:right="19"/>
              <w:jc w:val="center"/>
              <w:rPr>
                <w:sz w:val="16"/>
                <w:szCs w:val="16"/>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14:paraId="3B67289F" w14:textId="77777777" w:rsidR="00077D40" w:rsidRDefault="00077D40" w:rsidP="006932FB">
            <w:pPr>
              <w:pStyle w:val="SingleTxtG"/>
              <w:ind w:left="0" w:right="19"/>
              <w:jc w:val="center"/>
              <w:rPr>
                <w:sz w:val="16"/>
                <w:szCs w:val="16"/>
              </w:rPr>
            </w:pPr>
            <w:r>
              <w:rPr>
                <w:sz w:val="16"/>
                <w:szCs w:val="16"/>
              </w:rPr>
              <w:t>E0</w:t>
            </w:r>
          </w:p>
        </w:tc>
        <w:tc>
          <w:tcPr>
            <w:tcW w:w="851" w:type="dxa"/>
            <w:tcBorders>
              <w:top w:val="single" w:sz="4" w:space="0" w:color="auto"/>
              <w:left w:val="single" w:sz="4" w:space="0" w:color="auto"/>
              <w:bottom w:val="single" w:sz="4" w:space="0" w:color="auto"/>
              <w:right w:val="single" w:sz="4" w:space="0" w:color="auto"/>
            </w:tcBorders>
            <w:hideMark/>
          </w:tcPr>
          <w:p w14:paraId="7F8E2137" w14:textId="77777777" w:rsidR="00077D40" w:rsidRDefault="00077D40" w:rsidP="006932FB">
            <w:pPr>
              <w:pStyle w:val="SingleTxtG"/>
              <w:ind w:left="0" w:right="19"/>
              <w:jc w:val="center"/>
              <w:rPr>
                <w:sz w:val="16"/>
                <w:szCs w:val="16"/>
              </w:rPr>
            </w:pPr>
            <w:r>
              <w:rPr>
                <w:sz w:val="16"/>
                <w:szCs w:val="16"/>
              </w:rPr>
              <w:t>P912</w:t>
            </w:r>
          </w:p>
        </w:tc>
        <w:tc>
          <w:tcPr>
            <w:tcW w:w="567" w:type="dxa"/>
            <w:tcBorders>
              <w:top w:val="single" w:sz="4" w:space="0" w:color="auto"/>
              <w:left w:val="single" w:sz="4" w:space="0" w:color="auto"/>
              <w:bottom w:val="single" w:sz="4" w:space="0" w:color="auto"/>
              <w:right w:val="single" w:sz="4" w:space="0" w:color="auto"/>
            </w:tcBorders>
          </w:tcPr>
          <w:p w14:paraId="0A9D49CC" w14:textId="77777777" w:rsidR="00077D40" w:rsidRDefault="00077D40" w:rsidP="006932FB">
            <w:pPr>
              <w:pStyle w:val="SingleTxtG"/>
              <w:ind w:left="0" w:right="1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4F24D2AD" w14:textId="77777777" w:rsidR="00077D40" w:rsidRDefault="00077D40" w:rsidP="006932FB">
            <w:pPr>
              <w:pStyle w:val="SingleTxtG"/>
              <w:ind w:left="0" w:right="1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52B32032" w14:textId="77777777" w:rsidR="00077D40" w:rsidRDefault="00077D40" w:rsidP="006932FB">
            <w:pPr>
              <w:pStyle w:val="SingleTxtG"/>
              <w:ind w:left="0" w:right="19"/>
              <w:jc w:val="center"/>
              <w:rPr>
                <w:sz w:val="16"/>
                <w:szCs w:val="16"/>
              </w:rPr>
            </w:pPr>
          </w:p>
        </w:tc>
      </w:tr>
      <w:tr w:rsidR="00077D40" w14:paraId="6F704C16" w14:textId="77777777" w:rsidTr="006932FB">
        <w:tc>
          <w:tcPr>
            <w:tcW w:w="568" w:type="dxa"/>
            <w:tcBorders>
              <w:top w:val="single" w:sz="4" w:space="0" w:color="auto"/>
              <w:left w:val="single" w:sz="4" w:space="0" w:color="auto"/>
              <w:bottom w:val="single" w:sz="4" w:space="0" w:color="auto"/>
              <w:right w:val="single" w:sz="4" w:space="0" w:color="auto"/>
            </w:tcBorders>
            <w:hideMark/>
          </w:tcPr>
          <w:p w14:paraId="05FE366F" w14:textId="77777777" w:rsidR="00077D40" w:rsidRDefault="00077D40" w:rsidP="006932FB">
            <w:pPr>
              <w:pStyle w:val="SingleTxtG"/>
              <w:ind w:left="-57" w:right="-57"/>
              <w:jc w:val="center"/>
              <w:rPr>
                <w:sz w:val="16"/>
                <w:szCs w:val="16"/>
              </w:rPr>
            </w:pPr>
            <w:r>
              <w:rPr>
                <w:sz w:val="16"/>
                <w:szCs w:val="16"/>
              </w:rPr>
              <w:t>3558</w:t>
            </w:r>
          </w:p>
        </w:tc>
        <w:tc>
          <w:tcPr>
            <w:tcW w:w="2697" w:type="dxa"/>
            <w:tcBorders>
              <w:top w:val="single" w:sz="4" w:space="0" w:color="auto"/>
              <w:left w:val="single" w:sz="4" w:space="0" w:color="auto"/>
              <w:bottom w:val="single" w:sz="4" w:space="0" w:color="auto"/>
              <w:right w:val="single" w:sz="4" w:space="0" w:color="auto"/>
            </w:tcBorders>
            <w:hideMark/>
          </w:tcPr>
          <w:p w14:paraId="047AE904" w14:textId="77777777" w:rsidR="00077D40" w:rsidRDefault="00077D40" w:rsidP="006932FB">
            <w:pPr>
              <w:pStyle w:val="SingleTxtG"/>
              <w:ind w:left="0" w:right="19"/>
              <w:jc w:val="left"/>
              <w:rPr>
                <w:snapToGrid w:val="0"/>
                <w:sz w:val="16"/>
                <w:szCs w:val="16"/>
              </w:rPr>
            </w:pPr>
            <w:r>
              <w:rPr>
                <w:snapToGrid w:val="0"/>
                <w:sz w:val="16"/>
                <w:szCs w:val="16"/>
              </w:rPr>
              <w:t>VEHICLE, SODIUM ION BATTERY POWERED</w:t>
            </w:r>
          </w:p>
        </w:tc>
        <w:tc>
          <w:tcPr>
            <w:tcW w:w="567" w:type="dxa"/>
            <w:tcBorders>
              <w:top w:val="single" w:sz="4" w:space="0" w:color="auto"/>
              <w:left w:val="single" w:sz="4" w:space="0" w:color="auto"/>
              <w:bottom w:val="single" w:sz="4" w:space="0" w:color="auto"/>
              <w:right w:val="single" w:sz="4" w:space="0" w:color="auto"/>
            </w:tcBorders>
            <w:hideMark/>
          </w:tcPr>
          <w:p w14:paraId="7A49E3C4" w14:textId="77777777" w:rsidR="00077D40" w:rsidRDefault="00077D40" w:rsidP="006932FB">
            <w:pPr>
              <w:pStyle w:val="SingleTxtG"/>
              <w:ind w:left="0" w:right="19"/>
              <w:jc w:val="center"/>
              <w:rPr>
                <w:sz w:val="16"/>
                <w:szCs w:val="16"/>
              </w:rPr>
            </w:pPr>
            <w:r>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7FB3C192" w14:textId="77777777" w:rsidR="00077D40" w:rsidRDefault="00077D40" w:rsidP="006932FB">
            <w:pPr>
              <w:pStyle w:val="SingleTxtG"/>
              <w:ind w:left="0" w:right="1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2E16097B" w14:textId="77777777" w:rsidR="00077D40" w:rsidRDefault="00077D40" w:rsidP="006932FB">
            <w:pPr>
              <w:pStyle w:val="SingleTxtG"/>
              <w:ind w:left="0" w:right="19"/>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1E768EE0" w14:textId="77777777" w:rsidR="00077D40" w:rsidRDefault="00077D40" w:rsidP="006932FB">
            <w:pPr>
              <w:pStyle w:val="SingleTxtG"/>
              <w:ind w:left="0" w:right="19"/>
              <w:jc w:val="center"/>
              <w:rPr>
                <w:sz w:val="16"/>
                <w:szCs w:val="16"/>
              </w:rPr>
            </w:pPr>
            <w:r>
              <w:rPr>
                <w:sz w:val="16"/>
                <w:szCs w:val="16"/>
              </w:rPr>
              <w:t>384</w:t>
            </w:r>
            <w:r>
              <w:rPr>
                <w:sz w:val="16"/>
                <w:szCs w:val="16"/>
              </w:rPr>
              <w:br/>
              <w:t>388</w:t>
            </w:r>
            <w:r>
              <w:rPr>
                <w:sz w:val="16"/>
                <w:szCs w:val="16"/>
              </w:rPr>
              <w:br/>
              <w:t>404</w:t>
            </w:r>
            <w:r>
              <w:rPr>
                <w:sz w:val="16"/>
                <w:szCs w:val="16"/>
              </w:rPr>
              <w:br/>
              <w:t>405</w:t>
            </w:r>
          </w:p>
        </w:tc>
        <w:tc>
          <w:tcPr>
            <w:tcW w:w="567" w:type="dxa"/>
            <w:tcBorders>
              <w:top w:val="single" w:sz="4" w:space="0" w:color="auto"/>
              <w:left w:val="single" w:sz="4" w:space="0" w:color="auto"/>
              <w:bottom w:val="single" w:sz="4" w:space="0" w:color="auto"/>
              <w:right w:val="single" w:sz="4" w:space="0" w:color="auto"/>
            </w:tcBorders>
            <w:hideMark/>
          </w:tcPr>
          <w:p w14:paraId="4553DD06" w14:textId="77777777" w:rsidR="00077D40" w:rsidRDefault="00077D40" w:rsidP="006932FB">
            <w:pPr>
              <w:pStyle w:val="SingleTxtG"/>
              <w:ind w:left="0" w:right="19"/>
              <w:jc w:val="center"/>
              <w:rPr>
                <w:sz w:val="16"/>
                <w:szCs w:val="16"/>
              </w:rPr>
            </w:pPr>
            <w:r>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14:paraId="3D530B1E" w14:textId="77777777" w:rsidR="00077D40" w:rsidRDefault="00077D40" w:rsidP="006932FB">
            <w:pPr>
              <w:pStyle w:val="SingleTxtG"/>
              <w:ind w:left="0" w:right="19"/>
              <w:jc w:val="center"/>
              <w:rPr>
                <w:sz w:val="16"/>
                <w:szCs w:val="16"/>
              </w:rPr>
            </w:pPr>
            <w:r>
              <w:rPr>
                <w:sz w:val="16"/>
                <w:szCs w:val="16"/>
              </w:rPr>
              <w:t>E0</w:t>
            </w:r>
          </w:p>
        </w:tc>
        <w:tc>
          <w:tcPr>
            <w:tcW w:w="851" w:type="dxa"/>
            <w:tcBorders>
              <w:top w:val="single" w:sz="4" w:space="0" w:color="auto"/>
              <w:left w:val="single" w:sz="4" w:space="0" w:color="auto"/>
              <w:bottom w:val="single" w:sz="4" w:space="0" w:color="auto"/>
              <w:right w:val="single" w:sz="4" w:space="0" w:color="auto"/>
            </w:tcBorders>
            <w:hideMark/>
          </w:tcPr>
          <w:p w14:paraId="35DE52DE" w14:textId="77777777" w:rsidR="00077D40" w:rsidRDefault="00077D40" w:rsidP="006932FB">
            <w:pPr>
              <w:pStyle w:val="SingleTxtG"/>
              <w:ind w:left="0" w:right="19"/>
              <w:jc w:val="center"/>
              <w:rPr>
                <w:sz w:val="16"/>
                <w:szCs w:val="16"/>
              </w:rPr>
            </w:pPr>
            <w:r>
              <w:rPr>
                <w:sz w:val="16"/>
                <w:szCs w:val="16"/>
              </w:rPr>
              <w:t>P912</w:t>
            </w:r>
          </w:p>
        </w:tc>
        <w:tc>
          <w:tcPr>
            <w:tcW w:w="567" w:type="dxa"/>
            <w:tcBorders>
              <w:top w:val="single" w:sz="4" w:space="0" w:color="auto"/>
              <w:left w:val="single" w:sz="4" w:space="0" w:color="auto"/>
              <w:bottom w:val="single" w:sz="4" w:space="0" w:color="auto"/>
              <w:right w:val="single" w:sz="4" w:space="0" w:color="auto"/>
            </w:tcBorders>
          </w:tcPr>
          <w:p w14:paraId="2D1DE7BD" w14:textId="77777777" w:rsidR="00077D40" w:rsidRDefault="00077D40" w:rsidP="006932FB">
            <w:pPr>
              <w:pStyle w:val="SingleTxtG"/>
              <w:ind w:left="0" w:right="1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6F50165F" w14:textId="77777777" w:rsidR="00077D40" w:rsidRDefault="00077D40" w:rsidP="006932FB">
            <w:pPr>
              <w:pStyle w:val="SingleTxtG"/>
              <w:ind w:left="0" w:right="1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6E773D1C" w14:textId="77777777" w:rsidR="00077D40" w:rsidRDefault="00077D40" w:rsidP="006932FB">
            <w:pPr>
              <w:pStyle w:val="SingleTxtG"/>
              <w:ind w:left="0" w:right="19"/>
              <w:jc w:val="center"/>
              <w:rPr>
                <w:sz w:val="16"/>
                <w:szCs w:val="16"/>
              </w:rPr>
            </w:pPr>
          </w:p>
        </w:tc>
      </w:tr>
      <w:tr w:rsidR="00077D40" w14:paraId="09A207C8" w14:textId="77777777" w:rsidTr="006932FB">
        <w:tc>
          <w:tcPr>
            <w:tcW w:w="568" w:type="dxa"/>
            <w:tcBorders>
              <w:top w:val="single" w:sz="4" w:space="0" w:color="auto"/>
              <w:left w:val="single" w:sz="4" w:space="0" w:color="auto"/>
              <w:bottom w:val="single" w:sz="4" w:space="0" w:color="auto"/>
              <w:right w:val="single" w:sz="4" w:space="0" w:color="auto"/>
            </w:tcBorders>
          </w:tcPr>
          <w:p w14:paraId="4223DE01" w14:textId="77777777" w:rsidR="00077D40" w:rsidRDefault="00077D40" w:rsidP="006932FB">
            <w:pPr>
              <w:pStyle w:val="SingleTxtG"/>
              <w:ind w:left="-57" w:right="-57"/>
              <w:jc w:val="center"/>
              <w:rPr>
                <w:sz w:val="16"/>
                <w:szCs w:val="16"/>
              </w:rPr>
            </w:pPr>
            <w:r>
              <w:rPr>
                <w:sz w:val="16"/>
                <w:szCs w:val="16"/>
                <w:lang w:val="en-GB"/>
              </w:rPr>
              <w:t>3559</w:t>
            </w:r>
          </w:p>
        </w:tc>
        <w:tc>
          <w:tcPr>
            <w:tcW w:w="2697" w:type="dxa"/>
            <w:tcBorders>
              <w:top w:val="single" w:sz="4" w:space="0" w:color="auto"/>
              <w:left w:val="single" w:sz="4" w:space="0" w:color="auto"/>
              <w:bottom w:val="single" w:sz="4" w:space="0" w:color="auto"/>
              <w:right w:val="single" w:sz="4" w:space="0" w:color="auto"/>
            </w:tcBorders>
          </w:tcPr>
          <w:p w14:paraId="7508A97F" w14:textId="77777777" w:rsidR="00077D40" w:rsidRPr="008A686B" w:rsidRDefault="00077D40" w:rsidP="006932FB">
            <w:pPr>
              <w:pStyle w:val="SingleTxtG"/>
              <w:ind w:left="0" w:right="19"/>
              <w:jc w:val="left"/>
              <w:rPr>
                <w:sz w:val="16"/>
                <w:szCs w:val="16"/>
              </w:rPr>
            </w:pPr>
            <w:r>
              <w:rPr>
                <w:sz w:val="16"/>
                <w:szCs w:val="16"/>
                <w:lang w:val="en-GB"/>
              </w:rPr>
              <w:t>FIRE SUPPRESSANT DISPERSING DEVICES</w:t>
            </w:r>
          </w:p>
        </w:tc>
        <w:tc>
          <w:tcPr>
            <w:tcW w:w="567" w:type="dxa"/>
            <w:tcBorders>
              <w:top w:val="single" w:sz="4" w:space="0" w:color="auto"/>
              <w:left w:val="single" w:sz="4" w:space="0" w:color="auto"/>
              <w:bottom w:val="single" w:sz="4" w:space="0" w:color="auto"/>
              <w:right w:val="single" w:sz="4" w:space="0" w:color="auto"/>
            </w:tcBorders>
          </w:tcPr>
          <w:p w14:paraId="685B64DF" w14:textId="77777777" w:rsidR="00077D40" w:rsidRDefault="00077D40" w:rsidP="006932FB">
            <w:pPr>
              <w:pStyle w:val="SingleTxtG"/>
              <w:ind w:left="0" w:right="19"/>
              <w:jc w:val="center"/>
              <w:rPr>
                <w:sz w:val="16"/>
                <w:szCs w:val="16"/>
              </w:rPr>
            </w:pPr>
            <w:r>
              <w:rPr>
                <w:sz w:val="16"/>
                <w:szCs w:val="16"/>
                <w:lang w:val="en-GB"/>
              </w:rPr>
              <w:t>9</w:t>
            </w:r>
          </w:p>
        </w:tc>
        <w:tc>
          <w:tcPr>
            <w:tcW w:w="567" w:type="dxa"/>
            <w:tcBorders>
              <w:top w:val="single" w:sz="4" w:space="0" w:color="auto"/>
              <w:left w:val="single" w:sz="4" w:space="0" w:color="auto"/>
              <w:bottom w:val="single" w:sz="4" w:space="0" w:color="auto"/>
              <w:right w:val="single" w:sz="4" w:space="0" w:color="auto"/>
            </w:tcBorders>
          </w:tcPr>
          <w:p w14:paraId="1539A30B" w14:textId="77777777" w:rsidR="00077D40" w:rsidRDefault="00077D40" w:rsidP="006932FB">
            <w:pPr>
              <w:pStyle w:val="SingleTxtG"/>
              <w:ind w:left="0" w:right="1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5F30A347" w14:textId="77777777" w:rsidR="00077D40" w:rsidRDefault="00077D40" w:rsidP="006932FB">
            <w:pPr>
              <w:pStyle w:val="SingleTxtG"/>
              <w:ind w:left="0" w:right="19"/>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7F4C32A" w14:textId="77777777" w:rsidR="00077D40" w:rsidRDefault="00077D40" w:rsidP="006932FB">
            <w:pPr>
              <w:pStyle w:val="SingleTxtG"/>
              <w:ind w:left="0" w:right="19"/>
              <w:jc w:val="center"/>
              <w:rPr>
                <w:sz w:val="16"/>
                <w:szCs w:val="16"/>
              </w:rPr>
            </w:pPr>
            <w:r>
              <w:rPr>
                <w:sz w:val="16"/>
                <w:szCs w:val="16"/>
                <w:lang w:val="en-GB"/>
              </w:rPr>
              <w:t>407</w:t>
            </w:r>
          </w:p>
        </w:tc>
        <w:tc>
          <w:tcPr>
            <w:tcW w:w="567" w:type="dxa"/>
            <w:tcBorders>
              <w:top w:val="single" w:sz="4" w:space="0" w:color="auto"/>
              <w:left w:val="single" w:sz="4" w:space="0" w:color="auto"/>
              <w:bottom w:val="single" w:sz="4" w:space="0" w:color="auto"/>
              <w:right w:val="single" w:sz="4" w:space="0" w:color="auto"/>
            </w:tcBorders>
          </w:tcPr>
          <w:p w14:paraId="33F0236F" w14:textId="77777777" w:rsidR="00077D40" w:rsidRDefault="00077D40" w:rsidP="006932FB">
            <w:pPr>
              <w:pStyle w:val="SingleTxtG"/>
              <w:ind w:left="0" w:right="19"/>
              <w:jc w:val="center"/>
              <w:rPr>
                <w:sz w:val="16"/>
                <w:szCs w:val="16"/>
              </w:rPr>
            </w:pPr>
            <w:r>
              <w:rPr>
                <w:sz w:val="16"/>
                <w:szCs w:val="16"/>
                <w:lang w:val="en-GB"/>
              </w:rPr>
              <w:t>0</w:t>
            </w:r>
          </w:p>
        </w:tc>
        <w:tc>
          <w:tcPr>
            <w:tcW w:w="709" w:type="dxa"/>
            <w:tcBorders>
              <w:top w:val="single" w:sz="4" w:space="0" w:color="auto"/>
              <w:left w:val="single" w:sz="4" w:space="0" w:color="auto"/>
              <w:bottom w:val="single" w:sz="4" w:space="0" w:color="auto"/>
              <w:right w:val="single" w:sz="4" w:space="0" w:color="auto"/>
            </w:tcBorders>
          </w:tcPr>
          <w:p w14:paraId="1E8C38DC" w14:textId="77777777" w:rsidR="00077D40" w:rsidRDefault="00077D40" w:rsidP="006932FB">
            <w:pPr>
              <w:pStyle w:val="SingleTxtG"/>
              <w:ind w:left="0" w:right="19"/>
              <w:jc w:val="center"/>
              <w:rPr>
                <w:sz w:val="16"/>
                <w:szCs w:val="16"/>
              </w:rPr>
            </w:pPr>
            <w:r>
              <w:rPr>
                <w:sz w:val="16"/>
                <w:szCs w:val="16"/>
                <w:lang w:val="en-GB"/>
              </w:rPr>
              <w:t>E0</w:t>
            </w:r>
          </w:p>
        </w:tc>
        <w:tc>
          <w:tcPr>
            <w:tcW w:w="851" w:type="dxa"/>
            <w:tcBorders>
              <w:top w:val="single" w:sz="4" w:space="0" w:color="auto"/>
              <w:left w:val="single" w:sz="4" w:space="0" w:color="auto"/>
              <w:bottom w:val="single" w:sz="4" w:space="0" w:color="auto"/>
              <w:right w:val="single" w:sz="4" w:space="0" w:color="auto"/>
            </w:tcBorders>
          </w:tcPr>
          <w:p w14:paraId="046E1A1B" w14:textId="77777777" w:rsidR="00077D40" w:rsidRDefault="00077D40" w:rsidP="006932FB">
            <w:pPr>
              <w:pStyle w:val="SingleTxtG"/>
              <w:ind w:left="0" w:right="19"/>
              <w:jc w:val="center"/>
              <w:rPr>
                <w:sz w:val="16"/>
                <w:szCs w:val="16"/>
              </w:rPr>
            </w:pPr>
            <w:r>
              <w:rPr>
                <w:sz w:val="16"/>
                <w:szCs w:val="16"/>
                <w:lang w:val="en-GB"/>
              </w:rPr>
              <w:t>P902</w:t>
            </w:r>
          </w:p>
        </w:tc>
        <w:tc>
          <w:tcPr>
            <w:tcW w:w="567" w:type="dxa"/>
            <w:tcBorders>
              <w:top w:val="single" w:sz="4" w:space="0" w:color="auto"/>
              <w:left w:val="single" w:sz="4" w:space="0" w:color="auto"/>
              <w:bottom w:val="single" w:sz="4" w:space="0" w:color="auto"/>
              <w:right w:val="single" w:sz="4" w:space="0" w:color="auto"/>
            </w:tcBorders>
          </w:tcPr>
          <w:p w14:paraId="0EEC2A8B" w14:textId="77777777" w:rsidR="00077D40" w:rsidRDefault="00077D40" w:rsidP="006932FB">
            <w:pPr>
              <w:pStyle w:val="SingleTxtG"/>
              <w:ind w:left="0" w:right="1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1528DAD5" w14:textId="77777777" w:rsidR="00077D40" w:rsidRDefault="00077D40" w:rsidP="006932FB">
            <w:pPr>
              <w:pStyle w:val="SingleTxtG"/>
              <w:ind w:left="0" w:right="1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5B5FEA07" w14:textId="77777777" w:rsidR="00077D40" w:rsidRDefault="00077D40" w:rsidP="006932FB">
            <w:pPr>
              <w:pStyle w:val="SingleTxtG"/>
              <w:ind w:left="0" w:right="19"/>
              <w:jc w:val="center"/>
              <w:rPr>
                <w:sz w:val="16"/>
                <w:szCs w:val="16"/>
              </w:rPr>
            </w:pPr>
          </w:p>
        </w:tc>
      </w:tr>
    </w:tbl>
    <w:p w14:paraId="28113316" w14:textId="77777777" w:rsidR="00077D40" w:rsidRDefault="00077D40" w:rsidP="00077D40">
      <w:pPr>
        <w:pStyle w:val="SingleTxtG"/>
        <w:spacing w:before="120"/>
        <w:rPr>
          <w:i/>
          <w:iCs/>
        </w:rPr>
      </w:pPr>
      <w:r>
        <w:rPr>
          <w:i/>
          <w:iCs/>
        </w:rPr>
        <w:t>(Reference documents: informal documents INF.51/Rev.1, INF.53/Rev.1 and INF.54)</w:t>
      </w:r>
    </w:p>
    <w:p w14:paraId="36E1AC02" w14:textId="77777777" w:rsidR="00077D40" w:rsidRPr="00FF3E52" w:rsidRDefault="00077D40" w:rsidP="00077D40">
      <w:pPr>
        <w:pStyle w:val="H1G"/>
      </w:pPr>
      <w:r>
        <w:tab/>
      </w:r>
      <w:r>
        <w:tab/>
        <w:t>Chapter 3.3</w:t>
      </w:r>
    </w:p>
    <w:p w14:paraId="0A909A7A" w14:textId="77777777" w:rsidR="00077D40" w:rsidRDefault="00077D40" w:rsidP="00077D40">
      <w:pPr>
        <w:pStyle w:val="SingleTxtG"/>
        <w:ind w:left="2268" w:hanging="1134"/>
      </w:pPr>
      <w:r>
        <w:t>SP 28</w:t>
      </w:r>
      <w:r>
        <w:tab/>
        <w:t>At the end, add the following new sentence: “</w:t>
      </w:r>
      <w:r w:rsidRPr="008561E5">
        <w:t>In cases where the diluent is not stated, the substance shall be packed so that the amount of explosive substance does not exceed the stated value.</w:t>
      </w:r>
      <w:r>
        <w:t>”.</w:t>
      </w:r>
    </w:p>
    <w:p w14:paraId="6882F450" w14:textId="77777777" w:rsidR="00077D40" w:rsidRPr="00843762" w:rsidRDefault="00077D40" w:rsidP="00077D40">
      <w:pPr>
        <w:pStyle w:val="SingleTxtG"/>
        <w:rPr>
          <w:i/>
          <w:iCs/>
        </w:rPr>
      </w:pPr>
      <w:r w:rsidRPr="00804977">
        <w:rPr>
          <w:i/>
          <w:iCs/>
        </w:rPr>
        <w:t xml:space="preserve">(Reference document: </w:t>
      </w:r>
      <w:r>
        <w:rPr>
          <w:i/>
          <w:iCs/>
        </w:rPr>
        <w:t>informal document INF.48</w:t>
      </w:r>
      <w:r w:rsidRPr="00804977">
        <w:rPr>
          <w:i/>
          <w:iCs/>
        </w:rPr>
        <w:t>)</w:t>
      </w:r>
    </w:p>
    <w:p w14:paraId="02E39189" w14:textId="77777777" w:rsidR="00077D40" w:rsidRDefault="00077D40" w:rsidP="00077D40">
      <w:pPr>
        <w:pStyle w:val="SingleTxtG"/>
        <w:ind w:left="2268" w:hanging="1134"/>
      </w:pPr>
      <w:r>
        <w:t>SP 280</w:t>
      </w:r>
      <w:r>
        <w:tab/>
        <w:t>In the last sentence, at the end, add “or to fire suppressant dispersing devices (UN Nos. 0514 and 3559)”.</w:t>
      </w:r>
    </w:p>
    <w:p w14:paraId="6F52DA88" w14:textId="77777777" w:rsidR="00077D40" w:rsidRDefault="00077D40" w:rsidP="00077D40">
      <w:pPr>
        <w:pStyle w:val="SingleTxtG"/>
        <w:rPr>
          <w:i/>
          <w:iCs/>
        </w:rPr>
      </w:pPr>
      <w:r>
        <w:rPr>
          <w:i/>
          <w:iCs/>
        </w:rPr>
        <w:t>(Reference document: informal document INF.53/Rev.1, editorially revised)</w:t>
      </w:r>
    </w:p>
    <w:p w14:paraId="5896823A" w14:textId="77777777" w:rsidR="00077D40" w:rsidRDefault="00077D40" w:rsidP="00077D40">
      <w:pPr>
        <w:pStyle w:val="SingleTxtG"/>
        <w:ind w:left="2268" w:hanging="1134"/>
      </w:pPr>
      <w:r>
        <w:t>SP 360</w:t>
      </w:r>
      <w:r>
        <w:tab/>
        <w:t>In the first sentence, replace “UN 3171 BATTERY-POWERED VEHICLE” by “UN 3556 VEHICLE, LITHIUM ION BATTERY POWERED or UN 3557 VEHICLE, LITHIUM METAL BATTERY POWERED or UN 3558 VEHICLE, SODIUM ION BATTERY POWERED, as applicable”.</w:t>
      </w:r>
    </w:p>
    <w:p w14:paraId="210ECE5A" w14:textId="77777777" w:rsidR="00077D40" w:rsidRDefault="00077D40" w:rsidP="00077D40">
      <w:pPr>
        <w:pStyle w:val="SingleTxtG"/>
        <w:rPr>
          <w:i/>
          <w:iCs/>
        </w:rPr>
      </w:pPr>
      <w:r>
        <w:rPr>
          <w:i/>
          <w:iCs/>
        </w:rPr>
        <w:t>(Reference document: informal document INF.51/Rev.1)</w:t>
      </w:r>
    </w:p>
    <w:p w14:paraId="500F2005" w14:textId="77777777" w:rsidR="00077D40" w:rsidRDefault="00077D40" w:rsidP="00077D40">
      <w:pPr>
        <w:pStyle w:val="SingleTxtG"/>
        <w:ind w:left="2268" w:hanging="1134"/>
      </w:pPr>
      <w:r>
        <w:t>SP 371</w:t>
      </w:r>
      <w:r>
        <w:tab/>
        <w:t>In (1) (f), replace “</w:t>
      </w:r>
      <w:r w:rsidRPr="003E4B28">
        <w:t>16.6.1.3.1 to 16.6.1.3.6</w:t>
      </w:r>
      <w:r>
        <w:t>” by “</w:t>
      </w:r>
      <w:r w:rsidRPr="003E4B28">
        <w:t xml:space="preserve">16.6.1.3.1 </w:t>
      </w:r>
      <w:r>
        <w:t xml:space="preserve">to 16.6.1.3.1.4, </w:t>
      </w:r>
      <w:r w:rsidRPr="003E4B28">
        <w:t>16.6.1.3.6</w:t>
      </w:r>
      <w:r>
        <w:t>”.</w:t>
      </w:r>
    </w:p>
    <w:p w14:paraId="6F4C4B09" w14:textId="77777777" w:rsidR="00077D40" w:rsidRPr="00843762" w:rsidRDefault="00077D40" w:rsidP="00077D40">
      <w:pPr>
        <w:pStyle w:val="SingleTxtG"/>
        <w:rPr>
          <w:i/>
          <w:iCs/>
        </w:rPr>
      </w:pPr>
      <w:r w:rsidRPr="00804977">
        <w:rPr>
          <w:i/>
          <w:iCs/>
        </w:rPr>
        <w:t>(Reference document: ST/SG/AC.10/C.3/20</w:t>
      </w:r>
      <w:r>
        <w:rPr>
          <w:i/>
          <w:iCs/>
        </w:rPr>
        <w:t>22</w:t>
      </w:r>
      <w:r w:rsidRPr="00804977">
        <w:rPr>
          <w:i/>
          <w:iCs/>
        </w:rPr>
        <w:t>/</w:t>
      </w:r>
      <w:r>
        <w:rPr>
          <w:i/>
          <w:iCs/>
        </w:rPr>
        <w:t>64, proposal 1</w:t>
      </w:r>
      <w:r w:rsidRPr="00804977">
        <w:rPr>
          <w:i/>
          <w:iCs/>
        </w:rPr>
        <w:t>)</w:t>
      </w:r>
    </w:p>
    <w:p w14:paraId="5CE795B3" w14:textId="77777777" w:rsidR="00077D40" w:rsidRDefault="00077D40" w:rsidP="00077D40">
      <w:pPr>
        <w:pStyle w:val="SingleTxtG"/>
        <w:ind w:left="2268" w:hanging="1134"/>
      </w:pPr>
      <w:r>
        <w:t>SP 388</w:t>
      </w:r>
      <w:r>
        <w:tab/>
        <w:t>Amend paragraph 5 to read as follows:</w:t>
      </w:r>
    </w:p>
    <w:p w14:paraId="3B66D090" w14:textId="77777777" w:rsidR="00077D40" w:rsidRDefault="00077D40" w:rsidP="00077D40">
      <w:pPr>
        <w:pStyle w:val="SingleTxtG"/>
      </w:pPr>
      <w:r>
        <w:t>“Entry UN 3171 only applies to vehicles and equipment powered by wet batteries, metallic sodium batteries or sodium alloy batteries, with these batteries installed.”</w:t>
      </w:r>
    </w:p>
    <w:p w14:paraId="725C0AA9" w14:textId="77777777" w:rsidR="00077D40" w:rsidRDefault="00077D40" w:rsidP="00077D40">
      <w:pPr>
        <w:pStyle w:val="SingleTxtG"/>
        <w:ind w:left="2268" w:hanging="1134"/>
      </w:pPr>
      <w:r>
        <w:tab/>
        <w:t>After paragraph 5, add the following new paragraph:</w:t>
      </w:r>
    </w:p>
    <w:p w14:paraId="5011FA3E" w14:textId="77777777" w:rsidR="00077D40" w:rsidRDefault="00077D40" w:rsidP="00077D40">
      <w:pPr>
        <w:pStyle w:val="SingleTxtG"/>
      </w:pPr>
      <w:r>
        <w:t>“UN 3556 VEHICLE, LITHIUM ION BATTERY POWERED, UN 3557 VEHICLE, LITHIUM METAL BATTERY POWERED and UN 3558 VEHICLE, SODIUM ION BATTERY POWERED, as applicable, apply to vehicles powered by lithium ion, lithium metal or sodium ion batteries transported with the batteries installed.”</w:t>
      </w:r>
    </w:p>
    <w:p w14:paraId="5CB9F84F" w14:textId="77777777" w:rsidR="00077D40" w:rsidRDefault="00077D40" w:rsidP="00077D40">
      <w:pPr>
        <w:pStyle w:val="SingleTxtG"/>
        <w:ind w:left="2268" w:hanging="1134"/>
      </w:pPr>
      <w:r>
        <w:tab/>
        <w:t>In paragraph 7 (old paragraph 6), combine and amend the last two sentences to read “When vehicles are transported in a packaging, some parts of the vehicle, other than the battery, may be detached from its frame to fit into the packaging.”.</w:t>
      </w:r>
    </w:p>
    <w:p w14:paraId="6577DC18" w14:textId="77777777" w:rsidR="00077D40" w:rsidRDefault="00077D40" w:rsidP="00077D40">
      <w:pPr>
        <w:pStyle w:val="SingleTxtG"/>
        <w:rPr>
          <w:i/>
          <w:iCs/>
        </w:rPr>
      </w:pPr>
      <w:r>
        <w:rPr>
          <w:i/>
          <w:iCs/>
        </w:rPr>
        <w:t>(Reference document: informal document INF.51/Rev.1)</w:t>
      </w:r>
    </w:p>
    <w:p w14:paraId="4243660D" w14:textId="77777777" w:rsidR="00077D40" w:rsidRDefault="00077D40" w:rsidP="00077D40">
      <w:pPr>
        <w:pStyle w:val="SingleTxtG"/>
        <w:ind w:left="2268" w:hanging="1134"/>
      </w:pPr>
      <w:r>
        <w:t>Add the following new special provisions:</w:t>
      </w:r>
    </w:p>
    <w:p w14:paraId="2EAED8B1" w14:textId="77777777" w:rsidR="00077D40" w:rsidRPr="005B75D0" w:rsidRDefault="00077D40" w:rsidP="00077D40">
      <w:pPr>
        <w:pStyle w:val="SingleTxtG"/>
        <w:ind w:left="2268" w:hanging="1134"/>
        <w:rPr>
          <w:lang w:val="en-US"/>
        </w:rPr>
      </w:pPr>
      <w:r>
        <w:rPr>
          <w:lang w:val="en-US"/>
        </w:rPr>
        <w:t>“SP 403</w:t>
      </w:r>
      <w:r>
        <w:rPr>
          <w:lang w:val="en-US"/>
        </w:rPr>
        <w:tab/>
      </w:r>
      <w:r w:rsidRPr="005B75D0">
        <w:rPr>
          <w:lang w:val="en-US"/>
        </w:rPr>
        <w:t>Nitrocellulose (NC) membrane filters covered by this entry with NC content not exceeding 53 g/m² and a NC net weight not exceeding 300 g per inner packaging, are not subject to the requirements of this regulation if they meet the following conditions:</w:t>
      </w:r>
    </w:p>
    <w:p w14:paraId="04BBBB39" w14:textId="77777777" w:rsidR="00077D40" w:rsidRPr="005B75D0" w:rsidRDefault="00077D40" w:rsidP="00077D40">
      <w:pPr>
        <w:pStyle w:val="SingleTxtG"/>
        <w:ind w:left="2835" w:hanging="567"/>
        <w:rPr>
          <w:lang w:val="en-US"/>
        </w:rPr>
      </w:pPr>
      <w:r w:rsidRPr="005B75D0">
        <w:rPr>
          <w:lang w:val="en-US"/>
        </w:rPr>
        <w:t>(a)</w:t>
      </w:r>
      <w:r w:rsidRPr="005B75D0">
        <w:rPr>
          <w:lang w:val="en-US"/>
        </w:rPr>
        <w:tab/>
        <w:t>They are packed with paper separators of minimum 80 g/m² placed between each layer of NC membrane filters;</w:t>
      </w:r>
    </w:p>
    <w:p w14:paraId="310A20AC" w14:textId="77777777" w:rsidR="00077D40" w:rsidRPr="005B75D0" w:rsidRDefault="00077D40" w:rsidP="00077D40">
      <w:pPr>
        <w:pStyle w:val="SingleTxtG"/>
        <w:ind w:left="2835" w:hanging="567"/>
        <w:rPr>
          <w:lang w:val="en-US"/>
        </w:rPr>
      </w:pPr>
      <w:r w:rsidRPr="005B75D0">
        <w:rPr>
          <w:lang w:val="en-US"/>
        </w:rPr>
        <w:t>(b)</w:t>
      </w:r>
      <w:r w:rsidRPr="005B75D0">
        <w:rPr>
          <w:lang w:val="en-US"/>
        </w:rPr>
        <w:tab/>
        <w:t>They are packed to maintain the alignment of the NC membrane filters and the paper separators in any of the following configurations:</w:t>
      </w:r>
    </w:p>
    <w:p w14:paraId="6C942B57" w14:textId="77777777" w:rsidR="00077D40" w:rsidRPr="005B75D0" w:rsidRDefault="00077D40" w:rsidP="00077D40">
      <w:pPr>
        <w:pStyle w:val="SingleTxtG"/>
        <w:ind w:left="3402" w:hanging="567"/>
        <w:rPr>
          <w:lang w:val="en-US"/>
        </w:rPr>
      </w:pPr>
      <w:r w:rsidRPr="005B75D0">
        <w:rPr>
          <w:lang w:val="en-US"/>
        </w:rPr>
        <w:t>(i)</w:t>
      </w:r>
      <w:r w:rsidRPr="005B75D0">
        <w:rPr>
          <w:lang w:val="en-US"/>
        </w:rPr>
        <w:tab/>
        <w:t>Rolls tightly wound and packed in plastic foil of minimum 80 g/m² or aluminium pouches with an oxygen permeability of equal or less than 0.1 % according to standard ISO 15105</w:t>
      </w:r>
      <w:r>
        <w:rPr>
          <w:lang w:val="en-US"/>
        </w:rPr>
        <w:t>-1:2007;</w:t>
      </w:r>
    </w:p>
    <w:p w14:paraId="0B4FA60A" w14:textId="77777777" w:rsidR="00077D40" w:rsidRPr="005B75D0" w:rsidRDefault="00077D40" w:rsidP="00077D40">
      <w:pPr>
        <w:pStyle w:val="SingleTxtG"/>
        <w:ind w:left="3402" w:hanging="567"/>
        <w:rPr>
          <w:lang w:val="en-US"/>
        </w:rPr>
      </w:pPr>
      <w:r w:rsidRPr="005B75D0">
        <w:rPr>
          <w:lang w:val="en-US"/>
        </w:rPr>
        <w:t>(ii)</w:t>
      </w:r>
      <w:r w:rsidRPr="005B75D0">
        <w:rPr>
          <w:lang w:val="en-US"/>
        </w:rPr>
        <w:tab/>
        <w:t>Sheets packed in cardboard of min. 250 g/m² or aluminium pouches with an oxygen permeability of equal or less than 0.1 % according to standard ISO 15105</w:t>
      </w:r>
      <w:r>
        <w:rPr>
          <w:lang w:val="en-US"/>
        </w:rPr>
        <w:t>-1:2007;</w:t>
      </w:r>
    </w:p>
    <w:p w14:paraId="09A183CF" w14:textId="77777777" w:rsidR="00077D40" w:rsidRPr="00944EAC" w:rsidRDefault="00077D40" w:rsidP="00077D40">
      <w:pPr>
        <w:pStyle w:val="SingleTxtG"/>
        <w:ind w:left="3402" w:hanging="567"/>
        <w:rPr>
          <w:lang w:val="en-US"/>
        </w:rPr>
      </w:pPr>
      <w:r w:rsidRPr="005B75D0">
        <w:rPr>
          <w:lang w:val="en-US"/>
        </w:rPr>
        <w:t>(iii)</w:t>
      </w:r>
      <w:r w:rsidRPr="005B75D0">
        <w:rPr>
          <w:lang w:val="en-US"/>
        </w:rPr>
        <w:tab/>
        <w:t>Round filters packed in disc holders or cardboard packaging of minimum 250 g/m² or single packed in pouches of paper and plastic material of total minimum 100 g/m².”</w:t>
      </w:r>
    </w:p>
    <w:p w14:paraId="144A5C31" w14:textId="77777777" w:rsidR="00077D40" w:rsidRDefault="00077D40" w:rsidP="00077D40">
      <w:pPr>
        <w:pStyle w:val="SingleTxtG"/>
        <w:ind w:left="2268" w:hanging="1134"/>
      </w:pPr>
      <w:r>
        <w:t>“404</w:t>
      </w:r>
      <w:r>
        <w:tab/>
        <w:t>Vehicles powered by sodium ion batteries, containing no other dangerous goods, are not subject to other provisions of these Regulations, if the battery is short-circuited, in a way that the battery does not contain electrical energy. The short-circuiting of the battery shall be easily verifiable (e.g., busbar between terminals).”</w:t>
      </w:r>
    </w:p>
    <w:p w14:paraId="03BF7BED" w14:textId="77777777" w:rsidR="00077D40" w:rsidRDefault="00077D40" w:rsidP="00077D40">
      <w:pPr>
        <w:pStyle w:val="SingleTxtG"/>
        <w:ind w:left="2268" w:hanging="1134"/>
      </w:pPr>
      <w:r>
        <w:t>“405</w:t>
      </w:r>
      <w:r>
        <w:tab/>
        <w:t>Vehicles are not subject to the marking or labelling requirements of Chapter 5.2 when they are not fully enclosed by packagings, crates or other means that prevent ready identification.”</w:t>
      </w:r>
    </w:p>
    <w:p w14:paraId="6401E872" w14:textId="77777777" w:rsidR="00077D40" w:rsidRDefault="00077D40" w:rsidP="00077D40">
      <w:pPr>
        <w:pStyle w:val="SingleTxtG"/>
        <w:ind w:left="2268" w:hanging="1134"/>
      </w:pPr>
      <w:r>
        <w:t>“406</w:t>
      </w:r>
      <w:r>
        <w:tab/>
        <w:t>This entry may be transported in accordance with the limited quantity provisions of Chapter 3.4 when transported in pressure receptacles containing not more than 1 000 ml. The pressure receptacles shall meet the requirements of packing instruction P200 of 4.1.4.1 and have a test pressure capacity product not exceeding 15.2 MPa·l (152 bar·l). The pressure receptacles shall not be packed together with other dangerous goods.”</w:t>
      </w:r>
    </w:p>
    <w:p w14:paraId="383F43D8" w14:textId="77777777" w:rsidR="00077D40" w:rsidRDefault="00077D40" w:rsidP="00077D40">
      <w:pPr>
        <w:pStyle w:val="SingleTxtG"/>
        <w:ind w:left="2268" w:hanging="1134"/>
      </w:pPr>
      <w:r>
        <w:t>“407</w:t>
      </w:r>
      <w:r>
        <w:tab/>
        <w:t xml:space="preserve">Fire suppressant dispersing devices are articles which contain a pyrotechnic substance, which are intended to disperse a fire extinguishing agent (or aerosol) when activated, and which do not contain any other dangerous goods. These articles, as packaged for transport, shall fulfil the criteria for Division 1.4S, when tested in accordance with test series 6(c) of </w:t>
      </w:r>
      <w:r w:rsidRPr="005F4378">
        <w:t xml:space="preserve">Section 16 </w:t>
      </w:r>
      <w:r>
        <w:t>of Part 1 of the Manual of Tests and Criteria. The device shall be transported with either the means of activation removed or equipped with at least two independent means to prevent accidental activation.</w:t>
      </w:r>
    </w:p>
    <w:p w14:paraId="6E1A748E" w14:textId="77777777" w:rsidR="00077D40" w:rsidRDefault="00077D40" w:rsidP="00077D40">
      <w:pPr>
        <w:pStyle w:val="SingleTxtG"/>
        <w:ind w:left="2268" w:hanging="1134"/>
      </w:pPr>
      <w:r>
        <w:tab/>
        <w:t>Fire suppressant dispersing devices shall only be assigned to Class 9, UN 3559 if the following additional conditions are met:</w:t>
      </w:r>
    </w:p>
    <w:p w14:paraId="07F6698B" w14:textId="77777777" w:rsidR="00077D40" w:rsidRDefault="00077D40" w:rsidP="00077D40">
      <w:pPr>
        <w:pStyle w:val="SingleTxtG"/>
        <w:ind w:left="2268" w:hanging="1134"/>
      </w:pPr>
      <w:r>
        <w:tab/>
        <w:t xml:space="preserve">(a) </w:t>
      </w:r>
      <w:r>
        <w:tab/>
        <w:t xml:space="preserve">The device meets the exclusion criteria in 2.1.3.6.4 (b), (c) and (d); </w:t>
      </w:r>
    </w:p>
    <w:p w14:paraId="133BBA03" w14:textId="77777777" w:rsidR="00077D40" w:rsidRDefault="00077D40" w:rsidP="00077D40">
      <w:pPr>
        <w:pStyle w:val="SingleTxtG"/>
        <w:ind w:left="2268" w:hanging="1134"/>
      </w:pPr>
      <w:r>
        <w:tab/>
        <w:t xml:space="preserve">(b) </w:t>
      </w:r>
      <w:r>
        <w:tab/>
        <w:t xml:space="preserve">The suppressant shall be deemed safe for normally occupied spaces in compliance with international or regional standards (e.g. NFPA2010); </w:t>
      </w:r>
    </w:p>
    <w:p w14:paraId="755BC7A0" w14:textId="77777777" w:rsidR="00077D40" w:rsidRDefault="00077D40" w:rsidP="00077D40">
      <w:pPr>
        <w:pStyle w:val="SingleTxtG"/>
        <w:ind w:left="2268" w:hanging="1134"/>
      </w:pPr>
      <w:r>
        <w:tab/>
        <w:t xml:space="preserve">(c) </w:t>
      </w:r>
      <w:r>
        <w:tab/>
        <w:t>The article shall be packaged in a manner such that when activated, temperatures of the outside of the package shall not exceed 200 °C;</w:t>
      </w:r>
    </w:p>
    <w:p w14:paraId="5D062A5A" w14:textId="77777777" w:rsidR="00077D40" w:rsidRDefault="00077D40" w:rsidP="00077D40">
      <w:pPr>
        <w:pStyle w:val="SingleTxtG"/>
        <w:ind w:left="2268" w:hanging="1134"/>
      </w:pPr>
      <w:r>
        <w:tab/>
        <w:t xml:space="preserve">(d) </w:t>
      </w:r>
      <w:r>
        <w:tab/>
        <w:t xml:space="preserve">This entry shall be used only with the approval of the competent authority of the country of manufacture.  </w:t>
      </w:r>
    </w:p>
    <w:p w14:paraId="5093A7D2" w14:textId="77777777" w:rsidR="00077D40" w:rsidRDefault="00077D40" w:rsidP="00077D40">
      <w:pPr>
        <w:pStyle w:val="SingleTxtG"/>
        <w:ind w:left="2268" w:hanging="1134"/>
      </w:pPr>
      <w:r>
        <w:tab/>
        <w:t>This entry does not apply to “SAFETY DEVICES, electrically initiated” described in special provision 280 (UN 3268).”</w:t>
      </w:r>
    </w:p>
    <w:p w14:paraId="4B99F70F" w14:textId="77777777" w:rsidR="00077D40" w:rsidRDefault="00077D40" w:rsidP="00077D40">
      <w:pPr>
        <w:pStyle w:val="SingleTxtG"/>
        <w:ind w:left="2268" w:hanging="1134"/>
      </w:pPr>
      <w:r>
        <w:t>“408</w:t>
      </w:r>
      <w:r>
        <w:tab/>
        <w:t>This entry applies only to aqueous solutions comprised of water, tetramethylammonium hydroxide (TMAH), and no more than 1 % other constituents. Other formulations containing tetramethylammonium hydroxide must be assigned to an appropriate generic or N.O.S. entry (e.g., UN 2927, TOXIC LIQUID, CORROSIVE, ORGANIC, N.O.S., etc.), except as follows:</w:t>
      </w:r>
    </w:p>
    <w:p w14:paraId="6CA7D722" w14:textId="77777777" w:rsidR="00077D40" w:rsidRDefault="00077D40" w:rsidP="00077D40">
      <w:pPr>
        <w:pStyle w:val="SingleTxtG"/>
        <w:ind w:left="2835" w:hanging="567"/>
      </w:pPr>
      <w:r>
        <w:t>(a)</w:t>
      </w:r>
      <w:r>
        <w:tab/>
        <w:t xml:space="preserve">Other formulations containing a surfactant in a concentration &gt; 1 % and with not less than 8.75 % tetramethylammonium hydroxide must be assigned to UN 2927, TOXIC LIQUID, CORROSIVE, ORGANIC, N.O.S., PG I; and </w:t>
      </w:r>
    </w:p>
    <w:p w14:paraId="7DF527A3" w14:textId="77777777" w:rsidR="00077D40" w:rsidRDefault="00077D40" w:rsidP="00077D40">
      <w:pPr>
        <w:pStyle w:val="SingleTxtG"/>
        <w:ind w:left="2835" w:hanging="567"/>
      </w:pPr>
      <w:r>
        <w:t>(b)</w:t>
      </w:r>
      <w:r>
        <w:tab/>
        <w:t>Other formulations containing a surfactant in a concentration &gt; 1 % and with more than 2.38 % but less than 8.75 % tetramethylammonium hydroxide must be assigned to UN 2927, TOXIC LIQUID, CORROSIVE, ORGANIC, N.O.S., PG II.”</w:t>
      </w:r>
    </w:p>
    <w:p w14:paraId="40FE94D2" w14:textId="77777777" w:rsidR="00077D40" w:rsidRDefault="00077D40" w:rsidP="00077D40">
      <w:pPr>
        <w:pStyle w:val="SingleTxtG"/>
        <w:ind w:left="2268" w:hanging="1134"/>
      </w:pPr>
      <w:r>
        <w:t>“409</w:t>
      </w:r>
      <w:r w:rsidRPr="00FB1633">
        <w:tab/>
      </w:r>
      <w:r w:rsidRPr="002C0DCF">
        <w:t xml:space="preserve">The provisions of </w:t>
      </w:r>
      <w:r>
        <w:t>C</w:t>
      </w:r>
      <w:r w:rsidRPr="002C0DCF">
        <w:t>hapter 3.2 from the twenty-second revised edition of the Recommendations on the Transport of Dangerous Goods, Model Regulations may continue to be applied until 31 December 2026</w:t>
      </w:r>
      <w:r w:rsidRPr="00FB1633">
        <w:t>.</w:t>
      </w:r>
      <w:r>
        <w:t>”</w:t>
      </w:r>
    </w:p>
    <w:p w14:paraId="01A018D4" w14:textId="77777777" w:rsidR="00077D40" w:rsidRDefault="00077D40" w:rsidP="00077D40">
      <w:pPr>
        <w:pStyle w:val="SingleTxtG"/>
        <w:rPr>
          <w:i/>
          <w:iCs/>
        </w:rPr>
      </w:pPr>
      <w:r>
        <w:rPr>
          <w:i/>
          <w:iCs/>
        </w:rPr>
        <w:t xml:space="preserve">(Reference documents: </w:t>
      </w:r>
      <w:r w:rsidRPr="00804977">
        <w:rPr>
          <w:i/>
          <w:iCs/>
        </w:rPr>
        <w:t>ST/SG/AC.10/C.3/20</w:t>
      </w:r>
      <w:r>
        <w:rPr>
          <w:i/>
          <w:iCs/>
        </w:rPr>
        <w:t>22</w:t>
      </w:r>
      <w:r w:rsidRPr="00804977">
        <w:rPr>
          <w:i/>
          <w:iCs/>
        </w:rPr>
        <w:t>/</w:t>
      </w:r>
      <w:r>
        <w:rPr>
          <w:i/>
          <w:iCs/>
        </w:rPr>
        <w:t>59, as amended and informal documents INF.51/Rev.1, INF.52, as amended,</w:t>
      </w:r>
      <w:r w:rsidRPr="00802FD8">
        <w:rPr>
          <w:i/>
          <w:iCs/>
        </w:rPr>
        <w:t xml:space="preserve"> </w:t>
      </w:r>
      <w:r>
        <w:rPr>
          <w:i/>
          <w:iCs/>
        </w:rPr>
        <w:t>INF.53/Rev.1, as amended and INF.54, as amended)</w:t>
      </w:r>
    </w:p>
    <w:p w14:paraId="75E53D00" w14:textId="77777777" w:rsidR="00077D40" w:rsidRDefault="00077D40" w:rsidP="00077D40">
      <w:pPr>
        <w:pStyle w:val="H1G"/>
      </w:pPr>
      <w:r>
        <w:tab/>
      </w:r>
      <w:r>
        <w:tab/>
        <w:t>Appendix B</w:t>
      </w:r>
    </w:p>
    <w:p w14:paraId="76622DD9" w14:textId="77777777" w:rsidR="00077D40" w:rsidRDefault="00077D40" w:rsidP="00077D40">
      <w:pPr>
        <w:pStyle w:val="SingleTxtG"/>
        <w:ind w:left="2268" w:hanging="1134"/>
      </w:pPr>
      <w:r>
        <w:t>Add the following new entry:</w:t>
      </w:r>
    </w:p>
    <w:p w14:paraId="2F85C529" w14:textId="77777777" w:rsidR="00077D40" w:rsidRPr="00FA68A2" w:rsidRDefault="00077D40" w:rsidP="00077D40">
      <w:pPr>
        <w:pStyle w:val="SingleTxtG"/>
        <w:ind w:left="2268" w:hanging="1134"/>
        <w:rPr>
          <w:b/>
          <w:bCs/>
          <w:i/>
          <w:iCs/>
        </w:rPr>
      </w:pPr>
      <w:r>
        <w:t>“</w:t>
      </w:r>
      <w:r w:rsidRPr="00FA68A2">
        <w:rPr>
          <w:b/>
          <w:bCs/>
          <w:i/>
          <w:iCs/>
        </w:rPr>
        <w:t>FIRE SUPPRESSANT DISPERSING DEVICES</w:t>
      </w:r>
    </w:p>
    <w:p w14:paraId="39E97BF4" w14:textId="77777777" w:rsidR="00077D40" w:rsidRDefault="00077D40" w:rsidP="00077D40">
      <w:pPr>
        <w:pStyle w:val="SingleTxtG"/>
        <w:ind w:firstLine="1134"/>
      </w:pPr>
      <w:r w:rsidRPr="00FA68A2">
        <w:t>Fire suppressant dispersing devices are articles which contain a pyrotechnic substance, which are intended to disperse a fire extinguishing agent (or aerosol) when activated, and which do not contain any other dangerous goods.</w:t>
      </w:r>
      <w:r>
        <w:t>”</w:t>
      </w:r>
    </w:p>
    <w:p w14:paraId="4D45131C" w14:textId="77777777" w:rsidR="00077D40" w:rsidRDefault="00077D40" w:rsidP="00077D40">
      <w:pPr>
        <w:pStyle w:val="SingleTxtG"/>
        <w:rPr>
          <w:i/>
          <w:iCs/>
        </w:rPr>
      </w:pPr>
      <w:r>
        <w:rPr>
          <w:i/>
          <w:iCs/>
        </w:rPr>
        <w:t>(Reference document: informal document INF.53/Rev.1, as amended)</w:t>
      </w:r>
    </w:p>
    <w:p w14:paraId="6DFB0058" w14:textId="77777777" w:rsidR="00077D40" w:rsidRDefault="00077D40" w:rsidP="00077D40">
      <w:pPr>
        <w:pStyle w:val="H1G"/>
      </w:pPr>
      <w:r>
        <w:tab/>
      </w:r>
      <w:r>
        <w:tab/>
        <w:t>Alphabetical index</w:t>
      </w:r>
    </w:p>
    <w:p w14:paraId="514934BE" w14:textId="77777777" w:rsidR="00077D40" w:rsidRDefault="00077D40" w:rsidP="00077D40">
      <w:pPr>
        <w:pStyle w:val="SingleTxtG"/>
      </w:pPr>
      <w:r>
        <w:t>Amend the entry for “</w:t>
      </w:r>
      <w:r w:rsidRPr="00E06223">
        <w:rPr>
          <w:color w:val="000000"/>
        </w:rPr>
        <w:t>TETRAMETHYLAMMONIUM HYDROXIDE SOLUTION</w:t>
      </w:r>
      <w:r>
        <w:t>” to read as follows:</w:t>
      </w:r>
    </w:p>
    <w:tbl>
      <w:tblPr>
        <w:tblStyle w:val="TableGrid"/>
        <w:tblW w:w="3754" w:type="pct"/>
        <w:tblInd w:w="1129" w:type="dxa"/>
        <w:tblCellMar>
          <w:left w:w="57" w:type="dxa"/>
          <w:right w:w="57" w:type="dxa"/>
        </w:tblCellMar>
        <w:tblLook w:val="04A0" w:firstRow="1" w:lastRow="0" w:firstColumn="1" w:lastColumn="0" w:noHBand="0" w:noVBand="1"/>
      </w:tblPr>
      <w:tblGrid>
        <w:gridCol w:w="4962"/>
        <w:gridCol w:w="1135"/>
        <w:gridCol w:w="1132"/>
      </w:tblGrid>
      <w:tr w:rsidR="00077D40" w:rsidRPr="00CE5EDB" w14:paraId="3F49B398" w14:textId="77777777" w:rsidTr="006932FB">
        <w:tc>
          <w:tcPr>
            <w:tcW w:w="3432" w:type="pct"/>
          </w:tcPr>
          <w:p w14:paraId="007931C6" w14:textId="77777777" w:rsidR="00077D40" w:rsidRPr="00CE5EDB" w:rsidRDefault="00077D40" w:rsidP="006932FB">
            <w:pPr>
              <w:pStyle w:val="SingleTxtG"/>
              <w:spacing w:before="120"/>
              <w:ind w:left="0" w:right="0"/>
              <w:jc w:val="left"/>
              <w:rPr>
                <w:lang w:val="en-GB"/>
              </w:rPr>
            </w:pPr>
            <w:r w:rsidRPr="00E06223">
              <w:rPr>
                <w:color w:val="000000"/>
              </w:rPr>
              <w:t xml:space="preserve">TETRAMETHYLAMMONIUM HYDROXIDE </w:t>
            </w:r>
            <w:r>
              <w:rPr>
                <w:color w:val="000000"/>
              </w:rPr>
              <w:t xml:space="preserve">AQUEOUS </w:t>
            </w:r>
            <w:r w:rsidRPr="00E06223">
              <w:rPr>
                <w:color w:val="000000"/>
              </w:rPr>
              <w:t>SOLUTION</w:t>
            </w:r>
          </w:p>
        </w:tc>
        <w:tc>
          <w:tcPr>
            <w:tcW w:w="785" w:type="pct"/>
            <w:vAlign w:val="center"/>
          </w:tcPr>
          <w:p w14:paraId="447716C0" w14:textId="77777777" w:rsidR="00077D40" w:rsidRPr="00CE5EDB" w:rsidRDefault="00077D40" w:rsidP="006932FB">
            <w:pPr>
              <w:pStyle w:val="SingleTxtG"/>
              <w:spacing w:before="120"/>
              <w:ind w:left="0" w:right="0"/>
              <w:jc w:val="center"/>
              <w:rPr>
                <w:lang w:val="en-GB"/>
              </w:rPr>
            </w:pPr>
            <w:r>
              <w:rPr>
                <w:lang w:val="en-GB"/>
              </w:rPr>
              <w:t>6.1</w:t>
            </w:r>
            <w:r>
              <w:rPr>
                <w:lang w:val="en-GB"/>
              </w:rPr>
              <w:br/>
              <w:t>8</w:t>
            </w:r>
          </w:p>
        </w:tc>
        <w:tc>
          <w:tcPr>
            <w:tcW w:w="783" w:type="pct"/>
            <w:vAlign w:val="center"/>
          </w:tcPr>
          <w:p w14:paraId="27B0A8D5" w14:textId="77777777" w:rsidR="00077D40" w:rsidRPr="00CE5EDB" w:rsidRDefault="00077D40" w:rsidP="006932FB">
            <w:pPr>
              <w:pStyle w:val="SingleTxtG"/>
              <w:spacing w:before="120"/>
              <w:ind w:left="0" w:right="0"/>
              <w:jc w:val="center"/>
              <w:rPr>
                <w:lang w:val="en-GB"/>
              </w:rPr>
            </w:pPr>
            <w:r>
              <w:rPr>
                <w:lang w:val="en-GB"/>
              </w:rPr>
              <w:t>1835</w:t>
            </w:r>
            <w:r>
              <w:rPr>
                <w:lang w:val="en-GB"/>
              </w:rPr>
              <w:br/>
              <w:t>1835</w:t>
            </w:r>
          </w:p>
        </w:tc>
      </w:tr>
    </w:tbl>
    <w:p w14:paraId="097B9B40" w14:textId="77777777" w:rsidR="00077D40" w:rsidRDefault="00077D40" w:rsidP="00077D40">
      <w:pPr>
        <w:pStyle w:val="SingleTxtG"/>
        <w:spacing w:before="120"/>
        <w:rPr>
          <w:i/>
          <w:iCs/>
        </w:rPr>
      </w:pPr>
      <w:r>
        <w:rPr>
          <w:i/>
          <w:iCs/>
        </w:rPr>
        <w:t>(Consequential amendment)</w:t>
      </w:r>
    </w:p>
    <w:p w14:paraId="65FF8F3C" w14:textId="77777777" w:rsidR="00077D40" w:rsidRPr="005B52DE" w:rsidRDefault="00077D40" w:rsidP="00077D40">
      <w:pPr>
        <w:pStyle w:val="SingleTxtG"/>
        <w:spacing w:before="120"/>
      </w:pPr>
      <w:r>
        <w:t>In the entry for “</w:t>
      </w:r>
      <w:r w:rsidRPr="00F77BB8">
        <w:t>TETRAMETHYLAMMONIUM HYDROXIDE, SOLID</w:t>
      </w:r>
      <w:r>
        <w:t>”, in the second column, replace “8” by “6.1”.</w:t>
      </w:r>
    </w:p>
    <w:p w14:paraId="1826D85A" w14:textId="77777777" w:rsidR="00077D40" w:rsidRDefault="00077D40" w:rsidP="00077D40">
      <w:pPr>
        <w:pStyle w:val="SingleTxtG"/>
        <w:spacing w:before="120"/>
        <w:rPr>
          <w:i/>
          <w:iCs/>
        </w:rPr>
      </w:pPr>
      <w:r>
        <w:rPr>
          <w:i/>
          <w:iCs/>
        </w:rPr>
        <w:t>(Consequential amendment)</w:t>
      </w:r>
    </w:p>
    <w:p w14:paraId="2546A939" w14:textId="77777777" w:rsidR="00077D40" w:rsidRDefault="00077D40" w:rsidP="00077D40">
      <w:pPr>
        <w:pStyle w:val="SingleTxtG"/>
      </w:pPr>
      <w:r>
        <w:t>Add the following new entries in alphabetical order:</w:t>
      </w:r>
    </w:p>
    <w:tbl>
      <w:tblPr>
        <w:tblStyle w:val="TableGrid"/>
        <w:tblW w:w="3754" w:type="pct"/>
        <w:tblInd w:w="1129" w:type="dxa"/>
        <w:tblCellMar>
          <w:left w:w="57" w:type="dxa"/>
          <w:right w:w="57" w:type="dxa"/>
        </w:tblCellMar>
        <w:tblLook w:val="04A0" w:firstRow="1" w:lastRow="0" w:firstColumn="1" w:lastColumn="0" w:noHBand="0" w:noVBand="1"/>
      </w:tblPr>
      <w:tblGrid>
        <w:gridCol w:w="4962"/>
        <w:gridCol w:w="1135"/>
        <w:gridCol w:w="1132"/>
      </w:tblGrid>
      <w:tr w:rsidR="00077D40" w14:paraId="14F915CA" w14:textId="77777777" w:rsidTr="006932FB">
        <w:tc>
          <w:tcPr>
            <w:tcW w:w="3432" w:type="pct"/>
            <w:tcBorders>
              <w:top w:val="single" w:sz="4" w:space="0" w:color="auto"/>
              <w:left w:val="single" w:sz="4" w:space="0" w:color="auto"/>
              <w:bottom w:val="single" w:sz="4" w:space="0" w:color="auto"/>
              <w:right w:val="single" w:sz="4" w:space="0" w:color="auto"/>
            </w:tcBorders>
          </w:tcPr>
          <w:p w14:paraId="22D6AFD9" w14:textId="77777777" w:rsidR="00077D40" w:rsidRDefault="00077D40" w:rsidP="006932FB">
            <w:pPr>
              <w:pStyle w:val="SingleTxtG"/>
              <w:spacing w:before="120"/>
              <w:ind w:left="0" w:right="0"/>
              <w:jc w:val="left"/>
            </w:pPr>
            <w:r w:rsidRPr="006B727B">
              <w:rPr>
                <w:lang w:val="en-GB"/>
              </w:rPr>
              <w:t xml:space="preserve">FIRE </w:t>
            </w:r>
            <w:r w:rsidRPr="00183D05">
              <w:t>SUPPRESSANT</w:t>
            </w:r>
            <w:r w:rsidRPr="006B727B">
              <w:rPr>
                <w:lang w:val="en-GB"/>
              </w:rPr>
              <w:t xml:space="preserve"> DISPERSING DEVICES</w:t>
            </w:r>
          </w:p>
        </w:tc>
        <w:tc>
          <w:tcPr>
            <w:tcW w:w="785" w:type="pct"/>
            <w:tcBorders>
              <w:top w:val="single" w:sz="4" w:space="0" w:color="auto"/>
              <w:left w:val="single" w:sz="4" w:space="0" w:color="auto"/>
              <w:bottom w:val="single" w:sz="4" w:space="0" w:color="auto"/>
              <w:right w:val="single" w:sz="4" w:space="0" w:color="auto"/>
            </w:tcBorders>
          </w:tcPr>
          <w:p w14:paraId="2124DDE4" w14:textId="77777777" w:rsidR="00077D40" w:rsidRDefault="00077D40" w:rsidP="006932FB">
            <w:pPr>
              <w:pStyle w:val="SingleTxtG"/>
              <w:spacing w:before="120"/>
              <w:ind w:left="0" w:right="0"/>
              <w:jc w:val="center"/>
            </w:pPr>
            <w:r>
              <w:rPr>
                <w:lang w:val="en-GB"/>
              </w:rPr>
              <w:t>1.4S</w:t>
            </w:r>
            <w:r>
              <w:rPr>
                <w:lang w:val="en-GB"/>
              </w:rPr>
              <w:br/>
              <w:t>9</w:t>
            </w:r>
          </w:p>
        </w:tc>
        <w:tc>
          <w:tcPr>
            <w:tcW w:w="783" w:type="pct"/>
            <w:tcBorders>
              <w:top w:val="single" w:sz="4" w:space="0" w:color="auto"/>
              <w:left w:val="single" w:sz="4" w:space="0" w:color="auto"/>
              <w:bottom w:val="single" w:sz="4" w:space="0" w:color="auto"/>
              <w:right w:val="single" w:sz="4" w:space="0" w:color="auto"/>
            </w:tcBorders>
          </w:tcPr>
          <w:p w14:paraId="1E61474D" w14:textId="77777777" w:rsidR="00077D40" w:rsidRDefault="00077D40" w:rsidP="006932FB">
            <w:pPr>
              <w:pStyle w:val="SingleTxtG"/>
              <w:spacing w:before="120"/>
              <w:ind w:left="0" w:right="0"/>
              <w:jc w:val="center"/>
            </w:pPr>
            <w:r>
              <w:rPr>
                <w:lang w:val="en-GB"/>
              </w:rPr>
              <w:t>0514</w:t>
            </w:r>
            <w:r>
              <w:rPr>
                <w:lang w:val="en-GB"/>
              </w:rPr>
              <w:br/>
              <w:t>3559</w:t>
            </w:r>
          </w:p>
        </w:tc>
      </w:tr>
      <w:tr w:rsidR="00077D40" w14:paraId="1DC03945" w14:textId="77777777" w:rsidTr="006932FB">
        <w:tc>
          <w:tcPr>
            <w:tcW w:w="3432" w:type="pct"/>
            <w:tcBorders>
              <w:top w:val="single" w:sz="4" w:space="0" w:color="auto"/>
              <w:left w:val="single" w:sz="4" w:space="0" w:color="auto"/>
              <w:bottom w:val="single" w:sz="4" w:space="0" w:color="auto"/>
              <w:right w:val="single" w:sz="4" w:space="0" w:color="auto"/>
            </w:tcBorders>
          </w:tcPr>
          <w:p w14:paraId="32C59E6E" w14:textId="77777777" w:rsidR="00077D40" w:rsidRDefault="00077D40" w:rsidP="006932FB">
            <w:pPr>
              <w:pStyle w:val="SingleTxtG"/>
              <w:spacing w:before="120"/>
              <w:ind w:left="0" w:right="0"/>
              <w:jc w:val="left"/>
            </w:pPr>
            <w:r>
              <w:t>VEHICLE, LITHIUM ION BATTERY POWERED</w:t>
            </w:r>
          </w:p>
        </w:tc>
        <w:tc>
          <w:tcPr>
            <w:tcW w:w="785" w:type="pct"/>
            <w:tcBorders>
              <w:top w:val="single" w:sz="4" w:space="0" w:color="auto"/>
              <w:left w:val="single" w:sz="4" w:space="0" w:color="auto"/>
              <w:bottom w:val="single" w:sz="4" w:space="0" w:color="auto"/>
              <w:right w:val="single" w:sz="4" w:space="0" w:color="auto"/>
            </w:tcBorders>
          </w:tcPr>
          <w:p w14:paraId="625BB6B4" w14:textId="77777777" w:rsidR="00077D40" w:rsidRDefault="00077D40" w:rsidP="006932FB">
            <w:pPr>
              <w:pStyle w:val="SingleTxtG"/>
              <w:spacing w:before="120"/>
              <w:ind w:left="0" w:right="0"/>
              <w:jc w:val="center"/>
            </w:pPr>
            <w:r>
              <w:t>9</w:t>
            </w:r>
          </w:p>
        </w:tc>
        <w:tc>
          <w:tcPr>
            <w:tcW w:w="783" w:type="pct"/>
            <w:tcBorders>
              <w:top w:val="single" w:sz="4" w:space="0" w:color="auto"/>
              <w:left w:val="single" w:sz="4" w:space="0" w:color="auto"/>
              <w:bottom w:val="single" w:sz="4" w:space="0" w:color="auto"/>
              <w:right w:val="single" w:sz="4" w:space="0" w:color="auto"/>
            </w:tcBorders>
          </w:tcPr>
          <w:p w14:paraId="737D01F0" w14:textId="77777777" w:rsidR="00077D40" w:rsidRDefault="00077D40" w:rsidP="006932FB">
            <w:pPr>
              <w:pStyle w:val="SingleTxtG"/>
              <w:spacing w:before="120"/>
              <w:ind w:left="0" w:right="0"/>
              <w:jc w:val="center"/>
            </w:pPr>
            <w:r>
              <w:t>3556</w:t>
            </w:r>
          </w:p>
        </w:tc>
      </w:tr>
      <w:tr w:rsidR="00077D40" w14:paraId="0EA934F8" w14:textId="77777777" w:rsidTr="006932FB">
        <w:tc>
          <w:tcPr>
            <w:tcW w:w="3432" w:type="pct"/>
            <w:tcBorders>
              <w:top w:val="single" w:sz="4" w:space="0" w:color="auto"/>
              <w:left w:val="single" w:sz="4" w:space="0" w:color="auto"/>
              <w:bottom w:val="single" w:sz="4" w:space="0" w:color="auto"/>
              <w:right w:val="single" w:sz="4" w:space="0" w:color="auto"/>
            </w:tcBorders>
            <w:hideMark/>
          </w:tcPr>
          <w:p w14:paraId="7261C0E3" w14:textId="77777777" w:rsidR="00077D40" w:rsidRDefault="00077D40" w:rsidP="006932FB">
            <w:pPr>
              <w:pStyle w:val="SingleTxtG"/>
              <w:spacing w:before="120"/>
              <w:ind w:left="0" w:right="0"/>
              <w:jc w:val="left"/>
            </w:pPr>
            <w:r>
              <w:t>VEHICLE, LITHIUM METAL BATTERY POWERED</w:t>
            </w:r>
          </w:p>
        </w:tc>
        <w:tc>
          <w:tcPr>
            <w:tcW w:w="785" w:type="pct"/>
            <w:tcBorders>
              <w:top w:val="single" w:sz="4" w:space="0" w:color="auto"/>
              <w:left w:val="single" w:sz="4" w:space="0" w:color="auto"/>
              <w:bottom w:val="single" w:sz="4" w:space="0" w:color="auto"/>
              <w:right w:val="single" w:sz="4" w:space="0" w:color="auto"/>
            </w:tcBorders>
            <w:hideMark/>
          </w:tcPr>
          <w:p w14:paraId="2B31C6D7" w14:textId="77777777" w:rsidR="00077D40" w:rsidRDefault="00077D40" w:rsidP="006932FB">
            <w:pPr>
              <w:pStyle w:val="SingleTxtG"/>
              <w:spacing w:before="120"/>
              <w:ind w:left="0" w:right="0"/>
              <w:jc w:val="center"/>
            </w:pPr>
            <w:r>
              <w:t>9</w:t>
            </w:r>
          </w:p>
        </w:tc>
        <w:tc>
          <w:tcPr>
            <w:tcW w:w="783" w:type="pct"/>
            <w:tcBorders>
              <w:top w:val="single" w:sz="4" w:space="0" w:color="auto"/>
              <w:left w:val="single" w:sz="4" w:space="0" w:color="auto"/>
              <w:bottom w:val="single" w:sz="4" w:space="0" w:color="auto"/>
              <w:right w:val="single" w:sz="4" w:space="0" w:color="auto"/>
            </w:tcBorders>
            <w:hideMark/>
          </w:tcPr>
          <w:p w14:paraId="2FA6020B" w14:textId="77777777" w:rsidR="00077D40" w:rsidRDefault="00077D40" w:rsidP="006932FB">
            <w:pPr>
              <w:pStyle w:val="SingleTxtG"/>
              <w:spacing w:before="120"/>
              <w:ind w:left="0" w:right="0"/>
              <w:jc w:val="center"/>
            </w:pPr>
            <w:r>
              <w:t>3557</w:t>
            </w:r>
          </w:p>
        </w:tc>
      </w:tr>
      <w:tr w:rsidR="00077D40" w14:paraId="35AAF16D" w14:textId="77777777" w:rsidTr="006932FB">
        <w:tc>
          <w:tcPr>
            <w:tcW w:w="3432" w:type="pct"/>
            <w:tcBorders>
              <w:top w:val="single" w:sz="4" w:space="0" w:color="auto"/>
              <w:left w:val="single" w:sz="4" w:space="0" w:color="auto"/>
              <w:bottom w:val="single" w:sz="4" w:space="0" w:color="auto"/>
              <w:right w:val="single" w:sz="4" w:space="0" w:color="auto"/>
            </w:tcBorders>
            <w:hideMark/>
          </w:tcPr>
          <w:p w14:paraId="0C61C0D3" w14:textId="77777777" w:rsidR="00077D40" w:rsidRDefault="00077D40" w:rsidP="006932FB">
            <w:pPr>
              <w:pStyle w:val="SingleTxtG"/>
              <w:spacing w:before="120"/>
              <w:ind w:left="0" w:right="0"/>
              <w:jc w:val="left"/>
            </w:pPr>
            <w:r>
              <w:t>VEHICLE, SODIUM ION BATTERY POWERED</w:t>
            </w:r>
          </w:p>
        </w:tc>
        <w:tc>
          <w:tcPr>
            <w:tcW w:w="785" w:type="pct"/>
            <w:tcBorders>
              <w:top w:val="single" w:sz="4" w:space="0" w:color="auto"/>
              <w:left w:val="single" w:sz="4" w:space="0" w:color="auto"/>
              <w:bottom w:val="single" w:sz="4" w:space="0" w:color="auto"/>
              <w:right w:val="single" w:sz="4" w:space="0" w:color="auto"/>
            </w:tcBorders>
            <w:hideMark/>
          </w:tcPr>
          <w:p w14:paraId="1D2F1102" w14:textId="77777777" w:rsidR="00077D40" w:rsidRDefault="00077D40" w:rsidP="006932FB">
            <w:pPr>
              <w:pStyle w:val="SingleTxtG"/>
              <w:spacing w:before="120"/>
              <w:ind w:left="0" w:right="0"/>
              <w:jc w:val="center"/>
            </w:pPr>
            <w:r>
              <w:t>9</w:t>
            </w:r>
          </w:p>
        </w:tc>
        <w:tc>
          <w:tcPr>
            <w:tcW w:w="783" w:type="pct"/>
            <w:tcBorders>
              <w:top w:val="single" w:sz="4" w:space="0" w:color="auto"/>
              <w:left w:val="single" w:sz="4" w:space="0" w:color="auto"/>
              <w:bottom w:val="single" w:sz="4" w:space="0" w:color="auto"/>
              <w:right w:val="single" w:sz="4" w:space="0" w:color="auto"/>
            </w:tcBorders>
            <w:hideMark/>
          </w:tcPr>
          <w:p w14:paraId="31AC2F9A" w14:textId="77777777" w:rsidR="00077D40" w:rsidRDefault="00077D40" w:rsidP="006932FB">
            <w:pPr>
              <w:pStyle w:val="SingleTxtG"/>
              <w:spacing w:before="120"/>
              <w:ind w:left="0" w:right="0"/>
              <w:jc w:val="center"/>
            </w:pPr>
            <w:r>
              <w:t>3558</w:t>
            </w:r>
          </w:p>
        </w:tc>
      </w:tr>
    </w:tbl>
    <w:p w14:paraId="79FCAB33" w14:textId="77777777" w:rsidR="00077D40" w:rsidRDefault="00077D40" w:rsidP="00077D40">
      <w:pPr>
        <w:pStyle w:val="SingleTxtG"/>
        <w:spacing w:before="120"/>
        <w:rPr>
          <w:i/>
          <w:iCs/>
        </w:rPr>
      </w:pPr>
      <w:r>
        <w:rPr>
          <w:i/>
          <w:iCs/>
        </w:rPr>
        <w:t>(Reference documents: informal documents INF.51/Rev.1 and INF.53/Rev.1)</w:t>
      </w:r>
    </w:p>
    <w:p w14:paraId="6D40C41A" w14:textId="77777777" w:rsidR="00077D40" w:rsidRPr="00FF3E52" w:rsidRDefault="00077D40" w:rsidP="00077D40">
      <w:pPr>
        <w:pStyle w:val="H1G"/>
      </w:pPr>
      <w:r>
        <w:tab/>
      </w:r>
      <w:r>
        <w:tab/>
        <w:t>Chapter 4.1</w:t>
      </w:r>
    </w:p>
    <w:p w14:paraId="68B00DF5" w14:textId="77777777" w:rsidR="00077D40" w:rsidRPr="00163701" w:rsidRDefault="00077D40" w:rsidP="00077D40">
      <w:pPr>
        <w:pStyle w:val="SingleTxtG"/>
        <w:ind w:left="2268" w:hanging="1134"/>
      </w:pPr>
      <w:r>
        <w:t>4.1.4.1, P001, P002, P410, P501, P502 and P504</w:t>
      </w:r>
      <w:r>
        <w:tab/>
        <w:t>Amend the formatting as needed to display composite packagings as a category of single packagings.</w:t>
      </w:r>
    </w:p>
    <w:p w14:paraId="45145B3A" w14:textId="77777777" w:rsidR="00077D40" w:rsidRPr="00843762" w:rsidRDefault="00077D40" w:rsidP="00077D40">
      <w:pPr>
        <w:pStyle w:val="SingleTxtG"/>
        <w:rPr>
          <w:i/>
          <w:iCs/>
        </w:rPr>
      </w:pPr>
      <w:r w:rsidRPr="00804977">
        <w:rPr>
          <w:i/>
          <w:iCs/>
        </w:rPr>
        <w:t>(Reference document: ST/SG/AC.10/C.3/20</w:t>
      </w:r>
      <w:r>
        <w:rPr>
          <w:i/>
          <w:iCs/>
        </w:rPr>
        <w:t>22</w:t>
      </w:r>
      <w:r w:rsidRPr="00804977">
        <w:rPr>
          <w:i/>
          <w:iCs/>
        </w:rPr>
        <w:t>/</w:t>
      </w:r>
      <w:r>
        <w:rPr>
          <w:i/>
          <w:iCs/>
        </w:rPr>
        <w:t>76, proposal 2</w:t>
      </w:r>
      <w:r w:rsidRPr="00804977">
        <w:rPr>
          <w:i/>
          <w:iCs/>
        </w:rPr>
        <w:t>)</w:t>
      </w:r>
    </w:p>
    <w:p w14:paraId="38FC9723" w14:textId="77777777" w:rsidR="00077D40" w:rsidRDefault="00077D40" w:rsidP="00077D40">
      <w:pPr>
        <w:pStyle w:val="SingleTxtG"/>
        <w:ind w:left="2268" w:hanging="1134"/>
        <w:rPr>
          <w:lang w:val="en-US"/>
        </w:rPr>
      </w:pPr>
      <w:r>
        <w:t xml:space="preserve">4.1.4.1, </w:t>
      </w:r>
      <w:r>
        <w:rPr>
          <w:lang w:val="en-US"/>
        </w:rPr>
        <w:t>P001, P002, P410, P520, P911</w:t>
      </w:r>
      <w:r>
        <w:rPr>
          <w:lang w:val="en-US"/>
        </w:rPr>
        <w:tab/>
        <w:t>Place the footnotes directly below the packing instruction, in those pages in which they appear.</w:t>
      </w:r>
    </w:p>
    <w:p w14:paraId="4D3EF61A" w14:textId="77777777" w:rsidR="00077D40" w:rsidRPr="00843762" w:rsidRDefault="00077D40" w:rsidP="00077D40">
      <w:pPr>
        <w:pStyle w:val="SingleTxtG"/>
        <w:rPr>
          <w:i/>
          <w:iCs/>
        </w:rPr>
      </w:pPr>
      <w:r w:rsidRPr="00804977">
        <w:rPr>
          <w:i/>
          <w:iCs/>
        </w:rPr>
        <w:t>(Reference document: ST/SG/AC.10/C.3/20</w:t>
      </w:r>
      <w:r>
        <w:rPr>
          <w:i/>
          <w:iCs/>
        </w:rPr>
        <w:t>22</w:t>
      </w:r>
      <w:r w:rsidRPr="00804977">
        <w:rPr>
          <w:i/>
          <w:iCs/>
        </w:rPr>
        <w:t>/</w:t>
      </w:r>
      <w:r>
        <w:rPr>
          <w:i/>
          <w:iCs/>
        </w:rPr>
        <w:t>76, proposal 3</w:t>
      </w:r>
      <w:r w:rsidRPr="00804977">
        <w:rPr>
          <w:i/>
          <w:iCs/>
        </w:rPr>
        <w:t>)</w:t>
      </w:r>
    </w:p>
    <w:p w14:paraId="03741BDD" w14:textId="77777777" w:rsidR="00077D40" w:rsidRPr="00EE5B5E" w:rsidRDefault="00077D40" w:rsidP="00077D40">
      <w:pPr>
        <w:pStyle w:val="SingleTxtG"/>
        <w:ind w:left="2268" w:hanging="1134"/>
      </w:pPr>
      <w:r w:rsidRPr="00EE5B5E">
        <w:t>4.1.4.1, P200</w:t>
      </w:r>
      <w:r w:rsidRPr="00EE5B5E">
        <w:tab/>
        <w:t>In (4), renumber the first list with bullets as (a) to (e) and delete the bullets from the second one.</w:t>
      </w:r>
    </w:p>
    <w:p w14:paraId="185DADA7" w14:textId="77777777" w:rsidR="00077D40" w:rsidRPr="00EE5B5E" w:rsidRDefault="00077D40" w:rsidP="00077D40">
      <w:pPr>
        <w:pStyle w:val="SingleTxtG"/>
        <w:ind w:left="2268" w:hanging="1134"/>
      </w:pPr>
      <w:r w:rsidRPr="00EE5B5E">
        <w:tab/>
        <w:t>In (5) s, renumber the list with bullets as (a) to (b).</w:t>
      </w:r>
    </w:p>
    <w:p w14:paraId="5CDB9444" w14:textId="77777777" w:rsidR="00077D40" w:rsidRPr="00EE5B5E" w:rsidRDefault="00077D40" w:rsidP="00077D40">
      <w:pPr>
        <w:pStyle w:val="SingleTxtG"/>
        <w:ind w:left="2268" w:hanging="1134"/>
      </w:pPr>
      <w:r w:rsidRPr="00EE5B5E">
        <w:tab/>
        <w:t>In (5) t, renumber (i), (ii) as (a), (b).</w:t>
      </w:r>
    </w:p>
    <w:p w14:paraId="6ED3E22C" w14:textId="77777777" w:rsidR="00077D40" w:rsidRDefault="00077D40" w:rsidP="00077D40">
      <w:pPr>
        <w:pStyle w:val="SingleTxtG"/>
        <w:ind w:left="2268" w:hanging="1134"/>
        <w:rPr>
          <w:lang w:val="en-US"/>
        </w:rPr>
      </w:pPr>
      <w:r>
        <w:rPr>
          <w:lang w:val="en-US"/>
        </w:rPr>
        <w:tab/>
        <w:t xml:space="preserve">In table 1, place footnote </w:t>
      </w:r>
      <w:r w:rsidRPr="00021DCE">
        <w:rPr>
          <w:b/>
          <w:bCs/>
          <w:vertAlign w:val="superscript"/>
          <w:lang w:val="en-US"/>
        </w:rPr>
        <w:t>a</w:t>
      </w:r>
      <w:r>
        <w:rPr>
          <w:lang w:val="en-US"/>
        </w:rPr>
        <w:t xml:space="preserve"> directly below the packing instruction (two times). In table 3, renumber footnote </w:t>
      </w:r>
      <w:r w:rsidRPr="00850B69">
        <w:rPr>
          <w:b/>
          <w:bCs/>
          <w:vertAlign w:val="superscript"/>
          <w:lang w:val="en-US"/>
        </w:rPr>
        <w:t>a</w:t>
      </w:r>
      <w:r>
        <w:rPr>
          <w:lang w:val="en-US"/>
        </w:rPr>
        <w:t xml:space="preserve"> as footnote </w:t>
      </w:r>
      <w:r w:rsidRPr="00850B69">
        <w:rPr>
          <w:b/>
          <w:bCs/>
          <w:vertAlign w:val="superscript"/>
          <w:lang w:val="en-US"/>
        </w:rPr>
        <w:t>b</w:t>
      </w:r>
      <w:r>
        <w:rPr>
          <w:lang w:val="en-US"/>
        </w:rPr>
        <w:t xml:space="preserve"> (entries for UN Nos. 1745, 1746 2495, as well as the footnote itself).</w:t>
      </w:r>
    </w:p>
    <w:p w14:paraId="51989A49" w14:textId="77777777" w:rsidR="00077D40" w:rsidRPr="007B7A9F" w:rsidRDefault="00077D40" w:rsidP="00077D40">
      <w:pPr>
        <w:pStyle w:val="SingleTxtG"/>
        <w:ind w:left="2268" w:hanging="1134"/>
      </w:pPr>
      <w:r>
        <w:tab/>
        <w:t>In tables 1, 2 and 3, in the heading of the fourth column, replace “hazard” by “hazards”. In all entries with multiple hazards, separate each hazard with a comma. In all entries with multiple test pressures, separate each row with dashed line spanning the last three columns. For UN Nos. 1010, 1012, 1060 and 2073, separate the different entries with a different “name and description” with a dashed line spanning</w:t>
      </w:r>
      <w:r w:rsidRPr="00BA05D7">
        <w:t xml:space="preserve"> </w:t>
      </w:r>
      <w:r>
        <w:t>all columns except the first one.</w:t>
      </w:r>
    </w:p>
    <w:p w14:paraId="6663B65D" w14:textId="77777777" w:rsidR="00077D40" w:rsidRPr="00843762" w:rsidRDefault="00077D40" w:rsidP="00077D40">
      <w:pPr>
        <w:pStyle w:val="SingleTxtG"/>
        <w:rPr>
          <w:i/>
          <w:iCs/>
        </w:rPr>
      </w:pPr>
      <w:r w:rsidRPr="00804977">
        <w:rPr>
          <w:i/>
          <w:iCs/>
        </w:rPr>
        <w:t>(Reference document: ST/SG/AC.10/C.3/20</w:t>
      </w:r>
      <w:r>
        <w:rPr>
          <w:i/>
          <w:iCs/>
        </w:rPr>
        <w:t>22</w:t>
      </w:r>
      <w:r w:rsidRPr="00804977">
        <w:rPr>
          <w:i/>
          <w:iCs/>
        </w:rPr>
        <w:t>/</w:t>
      </w:r>
      <w:r>
        <w:rPr>
          <w:i/>
          <w:iCs/>
        </w:rPr>
        <w:t>76, proposal 1, 3 and 5</w:t>
      </w:r>
      <w:r w:rsidRPr="00804977">
        <w:rPr>
          <w:i/>
          <w:iCs/>
        </w:rPr>
        <w:t>)</w:t>
      </w:r>
    </w:p>
    <w:p w14:paraId="1A57F171" w14:textId="77777777" w:rsidR="00077D40" w:rsidRPr="00EE5B5E" w:rsidRDefault="00077D40" w:rsidP="00077D40">
      <w:pPr>
        <w:pStyle w:val="SingleTxtG"/>
        <w:ind w:left="2268" w:hanging="1134"/>
      </w:pPr>
      <w:r w:rsidRPr="00EE5B5E">
        <w:t>4.1.4.1, P203</w:t>
      </w:r>
      <w:r w:rsidRPr="00EE5B5E">
        <w:tab/>
        <w:t>In (9), renumber the list with bullets as (a) to (e).</w:t>
      </w:r>
    </w:p>
    <w:p w14:paraId="3AD645DB" w14:textId="77777777" w:rsidR="00077D40" w:rsidRPr="00EE5B5E" w:rsidRDefault="00077D40" w:rsidP="00077D40">
      <w:pPr>
        <w:pStyle w:val="SingleTxtG"/>
        <w:rPr>
          <w:i/>
          <w:iCs/>
        </w:rPr>
      </w:pPr>
      <w:r w:rsidRPr="00EE5B5E">
        <w:rPr>
          <w:i/>
          <w:iCs/>
        </w:rPr>
        <w:t>(Reference document: ST/SG/AC.10/C.3/2022/76, proposal 5)</w:t>
      </w:r>
    </w:p>
    <w:p w14:paraId="4942B92D" w14:textId="77777777" w:rsidR="00077D40" w:rsidRDefault="00077D40" w:rsidP="00077D40">
      <w:pPr>
        <w:pStyle w:val="SingleTxtG"/>
        <w:ind w:left="2268" w:hanging="1134"/>
      </w:pPr>
      <w:r>
        <w:t>4.1.4.1, P208</w:t>
      </w:r>
      <w:r>
        <w:tab/>
        <w:t>In table 1, remove the header row containing column numbers.</w:t>
      </w:r>
    </w:p>
    <w:p w14:paraId="1FC6CC4A" w14:textId="77777777" w:rsidR="00077D40" w:rsidRPr="00EE5B5E" w:rsidRDefault="00077D40" w:rsidP="00077D40">
      <w:pPr>
        <w:pStyle w:val="SingleTxtG"/>
        <w:rPr>
          <w:i/>
          <w:iCs/>
        </w:rPr>
      </w:pPr>
      <w:r w:rsidRPr="00EE5B5E">
        <w:rPr>
          <w:i/>
          <w:iCs/>
        </w:rPr>
        <w:t xml:space="preserve">(Reference document: ST/SG/AC.10/C.3/2022/76, proposal </w:t>
      </w:r>
      <w:r>
        <w:rPr>
          <w:i/>
          <w:iCs/>
        </w:rPr>
        <w:t>10</w:t>
      </w:r>
      <w:r w:rsidRPr="00EE5B5E">
        <w:rPr>
          <w:i/>
          <w:iCs/>
        </w:rPr>
        <w:t>)</w:t>
      </w:r>
    </w:p>
    <w:p w14:paraId="2897FDAA" w14:textId="77777777" w:rsidR="00077D40" w:rsidRDefault="00077D40" w:rsidP="00077D40">
      <w:pPr>
        <w:pStyle w:val="SingleTxtG"/>
        <w:ind w:left="2268" w:hanging="1134"/>
      </w:pPr>
      <w:r>
        <w:t>4.1.4.1, P404</w:t>
      </w:r>
      <w:r>
        <w:tab/>
        <w:t>Amend the second row under the heading to read as follows: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9623"/>
      </w:tblGrid>
      <w:tr w:rsidR="00077D40" w:rsidRPr="00517370" w14:paraId="19960E14" w14:textId="77777777" w:rsidTr="006932FB">
        <w:trPr>
          <w:trHeight w:val="20"/>
          <w:jc w:val="center"/>
        </w:trPr>
        <w:tc>
          <w:tcPr>
            <w:tcW w:w="5000" w:type="pct"/>
          </w:tcPr>
          <w:p w14:paraId="69EB20DF" w14:textId="77777777" w:rsidR="00077D40" w:rsidRPr="00517370" w:rsidRDefault="00077D40" w:rsidP="006932FB">
            <w:pPr>
              <w:pStyle w:val="Ph08"/>
            </w:pPr>
            <w:r w:rsidRPr="00517370">
              <w:t xml:space="preserve">The following packagings are authorized, provided that the general provisions of </w:t>
            </w:r>
            <w:r w:rsidRPr="00EF5B02">
              <w:rPr>
                <w:b/>
                <w:bCs/>
              </w:rPr>
              <w:t>4.1.1</w:t>
            </w:r>
            <w:r w:rsidRPr="00517370">
              <w:t xml:space="preserve"> and </w:t>
            </w:r>
            <w:r w:rsidRPr="00EF5B02">
              <w:rPr>
                <w:b/>
                <w:bCs/>
              </w:rPr>
              <w:t>4.1.3</w:t>
            </w:r>
            <w:r w:rsidRPr="00517370">
              <w:t xml:space="preserve"> are met: </w:t>
            </w:r>
          </w:p>
          <w:p w14:paraId="7C58FB1A" w14:textId="77777777" w:rsidR="00077D40" w:rsidRPr="00517370" w:rsidRDefault="00077D40" w:rsidP="006932FB">
            <w:pPr>
              <w:pStyle w:val="Ph08"/>
            </w:pPr>
            <w:r w:rsidRPr="00517370">
              <w:t>(1)</w:t>
            </w:r>
            <w:r w:rsidRPr="00517370">
              <w:tab/>
              <w:t>Combination packagings</w:t>
            </w:r>
            <w:r>
              <w:t>:</w:t>
            </w:r>
          </w:p>
          <w:p w14:paraId="7CA60A74" w14:textId="77777777" w:rsidR="00077D40" w:rsidRDefault="00077D40" w:rsidP="006932FB">
            <w:pPr>
              <w:pStyle w:val="Pb08h08"/>
            </w:pPr>
            <w:r>
              <w:tab/>
            </w:r>
            <w:r w:rsidRPr="00517370">
              <w:t>Outer packagings:</w:t>
            </w:r>
          </w:p>
          <w:p w14:paraId="08EC07A5" w14:textId="77777777" w:rsidR="00077D40" w:rsidRDefault="00077D40" w:rsidP="006932FB">
            <w:pPr>
              <w:pStyle w:val="Pb16h08"/>
            </w:pPr>
            <w:r>
              <w:tab/>
              <w:t xml:space="preserve">Drums </w:t>
            </w:r>
            <w:r w:rsidRPr="00517370">
              <w:t>(1A1, 1A2, 1B1, 1B2, 1N1, 1N2, 1H1, 1H2, 1D, 1G</w:t>
            </w:r>
            <w:r>
              <w:t>);</w:t>
            </w:r>
          </w:p>
          <w:p w14:paraId="61EDF006" w14:textId="77777777" w:rsidR="00077D40" w:rsidRPr="00517370" w:rsidRDefault="00077D40" w:rsidP="006932FB">
            <w:pPr>
              <w:pStyle w:val="Pb16h08"/>
            </w:pPr>
            <w:r>
              <w:tab/>
              <w:t>Boxes (</w:t>
            </w:r>
            <w:r w:rsidRPr="00517370">
              <w:t>4A, 4B, 4N, 4C1,4C2, 4D,</w:t>
            </w:r>
            <w:r>
              <w:t xml:space="preserve"> </w:t>
            </w:r>
            <w:r w:rsidRPr="00517370">
              <w:t>4F, 4G or 4H2)</w:t>
            </w:r>
            <w:r>
              <w:t>.</w:t>
            </w:r>
          </w:p>
          <w:p w14:paraId="001E0108" w14:textId="77777777" w:rsidR="00077D40" w:rsidRDefault="00077D40" w:rsidP="006932FB">
            <w:pPr>
              <w:pStyle w:val="Pb08h08"/>
            </w:pPr>
            <w:r>
              <w:tab/>
            </w:r>
            <w:r w:rsidRPr="00517370">
              <w:t>Inner packagings:</w:t>
            </w:r>
          </w:p>
          <w:p w14:paraId="1A1A4422" w14:textId="77777777" w:rsidR="00077D40" w:rsidRPr="00517370" w:rsidRDefault="00077D40" w:rsidP="006932FB">
            <w:pPr>
              <w:pStyle w:val="Pb16h08"/>
            </w:pPr>
            <w:r>
              <w:tab/>
            </w:r>
            <w:r w:rsidRPr="00517370">
              <w:t>Metal receptacles with a maximum net mass of 15 kg each. Inner packagings shall be hermetically sealed;</w:t>
            </w:r>
          </w:p>
          <w:p w14:paraId="7CB496FA" w14:textId="77777777" w:rsidR="00077D40" w:rsidRPr="00517370" w:rsidRDefault="00077D40" w:rsidP="006932FB">
            <w:pPr>
              <w:pStyle w:val="Pb16h08"/>
            </w:pPr>
            <w:r w:rsidRPr="00517370">
              <w:tab/>
              <w:t>Glass receptacles, with a maximum net mass of 1 kg each, having closures with gaskets, cushioned on all sides and contained in hermetically sealed metal cans.</w:t>
            </w:r>
          </w:p>
          <w:p w14:paraId="37110018" w14:textId="77777777" w:rsidR="00077D40" w:rsidRPr="00517370" w:rsidRDefault="00077D40" w:rsidP="006932FB">
            <w:pPr>
              <w:pStyle w:val="Ph08"/>
            </w:pPr>
            <w:r>
              <w:tab/>
            </w:r>
            <w:r w:rsidRPr="00517370">
              <w:t>Outer packagings shall have a maximum net mass of 125 kg.</w:t>
            </w:r>
          </w:p>
          <w:p w14:paraId="223D6DC4" w14:textId="77777777" w:rsidR="00077D40" w:rsidRPr="00517370" w:rsidRDefault="00077D40" w:rsidP="006932FB">
            <w:pPr>
              <w:pStyle w:val="Ph08"/>
            </w:pPr>
            <w:r>
              <w:tab/>
            </w:r>
            <w:r w:rsidRPr="00517370">
              <w:t>Inner packagings shall have threaded closures or closures physically held in place by any means capable of preventing back-off or loosening of the closure by impact or vibration during transport.</w:t>
            </w:r>
          </w:p>
          <w:p w14:paraId="29A8B1E6" w14:textId="77777777" w:rsidR="00077D40" w:rsidRDefault="00077D40" w:rsidP="006932FB">
            <w:pPr>
              <w:pStyle w:val="Ph08"/>
            </w:pPr>
            <w:r w:rsidRPr="00517370">
              <w:t>(2)</w:t>
            </w:r>
            <w:r w:rsidRPr="00517370">
              <w:tab/>
              <w:t>Metal packagings:</w:t>
            </w:r>
          </w:p>
          <w:p w14:paraId="47BD9926" w14:textId="77777777" w:rsidR="00077D40" w:rsidRDefault="00077D40" w:rsidP="006932FB">
            <w:pPr>
              <w:pStyle w:val="Pb08h08"/>
            </w:pPr>
            <w:r>
              <w:tab/>
              <w:t xml:space="preserve">Drums </w:t>
            </w:r>
            <w:r w:rsidRPr="00517370">
              <w:t>(1A1, 1A2, 1B1, 1B2, 1N1, 1N2</w:t>
            </w:r>
            <w:r>
              <w:t>);</w:t>
            </w:r>
          </w:p>
          <w:p w14:paraId="4FA9236A" w14:textId="77777777" w:rsidR="00077D40" w:rsidRDefault="00077D40" w:rsidP="006932FB">
            <w:pPr>
              <w:pStyle w:val="Pb08h08"/>
            </w:pPr>
            <w:r>
              <w:tab/>
              <w:t>Jerricans (</w:t>
            </w:r>
            <w:r w:rsidRPr="00517370">
              <w:t>3A1, 3A2, 3B1 and 3B2).</w:t>
            </w:r>
          </w:p>
          <w:p w14:paraId="26C086D4" w14:textId="77777777" w:rsidR="00077D40" w:rsidRPr="00517370" w:rsidRDefault="00077D40" w:rsidP="006932FB">
            <w:pPr>
              <w:pStyle w:val="Pb08h08"/>
            </w:pPr>
            <w:r w:rsidRPr="00517370">
              <w:t>Maximum gross mass: 150 kg</w:t>
            </w:r>
          </w:p>
          <w:p w14:paraId="43014D61" w14:textId="77777777" w:rsidR="00077D40" w:rsidRDefault="00077D40" w:rsidP="006932FB">
            <w:pPr>
              <w:pStyle w:val="Ph08"/>
            </w:pPr>
            <w:r w:rsidRPr="00517370">
              <w:t>(3)</w:t>
            </w:r>
            <w:r w:rsidRPr="00517370">
              <w:tab/>
              <w:t>Composite packagings:</w:t>
            </w:r>
          </w:p>
          <w:p w14:paraId="24025E54" w14:textId="77777777" w:rsidR="00077D40" w:rsidRDefault="00077D40" w:rsidP="006932FB">
            <w:pPr>
              <w:pStyle w:val="Pb08h08"/>
            </w:pPr>
            <w:r>
              <w:tab/>
            </w:r>
            <w:r w:rsidRPr="00517370">
              <w:t>Plastics receptacle in a steel or aluminium drum (6HA1 or 6HB1)</w:t>
            </w:r>
            <w:r>
              <w:t>.</w:t>
            </w:r>
          </w:p>
          <w:p w14:paraId="09E97910" w14:textId="77777777" w:rsidR="00077D40" w:rsidRPr="00517370" w:rsidRDefault="00077D40" w:rsidP="006932FB">
            <w:pPr>
              <w:pStyle w:val="Pb08h08"/>
            </w:pPr>
            <w:r w:rsidRPr="00517370">
              <w:t>Maximum gross mass: 150 kg</w:t>
            </w:r>
          </w:p>
          <w:p w14:paraId="5CD6054C" w14:textId="77777777" w:rsidR="00077D40" w:rsidRPr="00517370" w:rsidRDefault="00077D40" w:rsidP="006932FB">
            <w:pPr>
              <w:pStyle w:val="Ph08"/>
            </w:pPr>
            <w:r>
              <w:t>(4)</w:t>
            </w:r>
            <w:r>
              <w:tab/>
            </w:r>
            <w:r w:rsidRPr="00517370">
              <w:t>Pressure receptacles, provided that the general provisions of 4.1.3.6 are met.</w:t>
            </w:r>
          </w:p>
        </w:tc>
      </w:tr>
    </w:tbl>
    <w:p w14:paraId="2CA6C419" w14:textId="77777777" w:rsidR="00077D40" w:rsidRPr="00EE5B5E" w:rsidRDefault="00077D40" w:rsidP="00077D40">
      <w:pPr>
        <w:pStyle w:val="SingleTxtG"/>
        <w:spacing w:before="120"/>
        <w:rPr>
          <w:i/>
          <w:iCs/>
        </w:rPr>
      </w:pPr>
      <w:r w:rsidRPr="00EE5B5E">
        <w:rPr>
          <w:i/>
          <w:iCs/>
        </w:rPr>
        <w:t xml:space="preserve">(Reference document: ST/SG/AC.10/C.3/2022/76, proposal </w:t>
      </w:r>
      <w:r>
        <w:rPr>
          <w:i/>
          <w:iCs/>
        </w:rPr>
        <w:t>10</w:t>
      </w:r>
      <w:r w:rsidRPr="00EE5B5E">
        <w:rPr>
          <w:i/>
          <w:iCs/>
        </w:rPr>
        <w:t>)</w:t>
      </w:r>
    </w:p>
    <w:p w14:paraId="14BDBAB7" w14:textId="77777777" w:rsidR="00077D40" w:rsidRPr="00EE5B5E" w:rsidRDefault="00077D40" w:rsidP="00077D40">
      <w:pPr>
        <w:pStyle w:val="SingleTxtG"/>
        <w:ind w:left="2268" w:hanging="1134"/>
      </w:pPr>
      <w:r w:rsidRPr="00EE5B5E">
        <w:t>4.1.4.1, P501</w:t>
      </w:r>
      <w:r w:rsidRPr="00EE5B5E">
        <w:tab/>
        <w:t>Under "Combination packagings”, before “Boxes”, delete “(1)” and before “Fibreboard”, delete (2).</w:t>
      </w:r>
    </w:p>
    <w:p w14:paraId="4DB0CAD5" w14:textId="77777777" w:rsidR="00077D40" w:rsidRPr="00EE5B5E" w:rsidRDefault="00077D40" w:rsidP="00077D40">
      <w:pPr>
        <w:pStyle w:val="SingleTxtG"/>
        <w:rPr>
          <w:i/>
          <w:iCs/>
        </w:rPr>
      </w:pPr>
      <w:r w:rsidRPr="00EE5B5E">
        <w:rPr>
          <w:i/>
          <w:iCs/>
        </w:rPr>
        <w:t>(Reference document: ST/SG/AC.10/C.3/2022/76, proposal 5)</w:t>
      </w:r>
    </w:p>
    <w:p w14:paraId="12622ABE" w14:textId="77777777" w:rsidR="00077D40" w:rsidRDefault="00077D40" w:rsidP="00077D40">
      <w:pPr>
        <w:pStyle w:val="SingleTxtG"/>
        <w:keepNext/>
        <w:keepLines/>
        <w:ind w:left="2268" w:hanging="1134"/>
      </w:pPr>
      <w:r>
        <w:t>4.1.4.1, P505</w:t>
      </w:r>
      <w:r>
        <w:tab/>
        <w:t>Amend rows 3 and 4 under the heading to read as follows:</w:t>
      </w: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501"/>
        <w:gridCol w:w="3582"/>
        <w:gridCol w:w="3557"/>
      </w:tblGrid>
      <w:tr w:rsidR="00077D40" w:rsidRPr="001D28C6" w14:paraId="6EE67939" w14:textId="77777777" w:rsidTr="006932FB">
        <w:trPr>
          <w:trHeight w:val="20"/>
        </w:trPr>
        <w:tc>
          <w:tcPr>
            <w:tcW w:w="3155" w:type="pct"/>
            <w:gridSpan w:val="2"/>
            <w:tcBorders>
              <w:top w:val="single" w:sz="6" w:space="0" w:color="auto"/>
              <w:left w:val="single" w:sz="6" w:space="0" w:color="auto"/>
              <w:bottom w:val="single" w:sz="6" w:space="0" w:color="auto"/>
              <w:right w:val="single" w:sz="6" w:space="0" w:color="auto"/>
            </w:tcBorders>
            <w:shd w:val="clear" w:color="auto" w:fill="auto"/>
          </w:tcPr>
          <w:p w14:paraId="5B0E7AF0" w14:textId="77777777" w:rsidR="00077D40" w:rsidRPr="001D28C6" w:rsidRDefault="00077D40" w:rsidP="006932FB">
            <w:pPr>
              <w:pStyle w:val="Pnormal"/>
              <w:keepNext/>
              <w:keepLines/>
              <w:rPr>
                <w:b/>
                <w:bCs/>
              </w:rPr>
            </w:pPr>
          </w:p>
        </w:tc>
        <w:tc>
          <w:tcPr>
            <w:tcW w:w="1845" w:type="pct"/>
            <w:tcBorders>
              <w:top w:val="single" w:sz="6" w:space="0" w:color="auto"/>
              <w:left w:val="single" w:sz="6" w:space="0" w:color="auto"/>
              <w:bottom w:val="single" w:sz="6" w:space="0" w:color="auto"/>
              <w:right w:val="single" w:sz="6" w:space="0" w:color="auto"/>
            </w:tcBorders>
            <w:shd w:val="clear" w:color="auto" w:fill="auto"/>
            <w:vAlign w:val="center"/>
          </w:tcPr>
          <w:p w14:paraId="558F20B4" w14:textId="77777777" w:rsidR="00077D40" w:rsidRPr="001D28C6" w:rsidRDefault="00077D40" w:rsidP="006932FB">
            <w:pPr>
              <w:pStyle w:val="Pnormal"/>
              <w:keepNext/>
              <w:keepLines/>
              <w:jc w:val="center"/>
              <w:rPr>
                <w:b/>
                <w:bCs/>
              </w:rPr>
            </w:pPr>
            <w:r w:rsidRPr="001D28C6">
              <w:rPr>
                <w:b/>
                <w:bCs/>
              </w:rPr>
              <w:t>Maximum capacity</w:t>
            </w:r>
            <w:r>
              <w:rPr>
                <w:b/>
                <w:bCs/>
              </w:rPr>
              <w:t>/maximum net mass</w:t>
            </w:r>
          </w:p>
        </w:tc>
      </w:tr>
      <w:tr w:rsidR="00077D40" w:rsidRPr="00E35622" w14:paraId="21DDAC9A" w14:textId="77777777" w:rsidTr="006932FB">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1AC565C3" w14:textId="77777777" w:rsidR="00077D40" w:rsidRPr="00E35622" w:rsidRDefault="00077D40" w:rsidP="006932FB">
            <w:pPr>
              <w:pStyle w:val="Pnormal"/>
              <w:keepNext/>
              <w:keepLines/>
              <w:jc w:val="left"/>
            </w:pPr>
            <w:r w:rsidRPr="00E35622">
              <w:rPr>
                <w:b/>
              </w:rPr>
              <w:t>Combination packagings</w:t>
            </w:r>
          </w:p>
        </w:tc>
      </w:tr>
      <w:tr w:rsidR="00077D40" w:rsidRPr="00E35622" w14:paraId="38FB7F8C" w14:textId="77777777" w:rsidTr="006932FB">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503363B7" w14:textId="77777777" w:rsidR="00077D40" w:rsidRPr="00E35622" w:rsidRDefault="00077D40" w:rsidP="006932FB">
            <w:pPr>
              <w:pStyle w:val="Pnormal"/>
              <w:keepNext/>
              <w:keepLines/>
              <w:ind w:left="113" w:hanging="113"/>
              <w:jc w:val="left"/>
            </w:pPr>
            <w:r w:rsidRPr="00E35622">
              <w:rPr>
                <w:b/>
              </w:rPr>
              <w:t>Inner packaging</w:t>
            </w:r>
            <w:r>
              <w:rPr>
                <w:b/>
              </w:rPr>
              <w:t>s</w:t>
            </w:r>
          </w:p>
        </w:tc>
        <w:tc>
          <w:tcPr>
            <w:tcW w:w="3703" w:type="pct"/>
            <w:gridSpan w:val="2"/>
            <w:tcBorders>
              <w:top w:val="single" w:sz="6" w:space="0" w:color="auto"/>
              <w:left w:val="single" w:sz="6" w:space="0" w:color="auto"/>
              <w:bottom w:val="single" w:sz="6" w:space="0" w:color="auto"/>
              <w:right w:val="single" w:sz="6" w:space="0" w:color="auto"/>
            </w:tcBorders>
            <w:shd w:val="clear" w:color="auto" w:fill="auto"/>
          </w:tcPr>
          <w:p w14:paraId="5E85402A" w14:textId="77777777" w:rsidR="00077D40" w:rsidRPr="00E35622" w:rsidRDefault="00077D40" w:rsidP="006932FB">
            <w:pPr>
              <w:pStyle w:val="Pnormal"/>
              <w:keepNext/>
              <w:keepLines/>
              <w:jc w:val="left"/>
            </w:pPr>
            <w:r w:rsidRPr="00E35622">
              <w:rPr>
                <w:b/>
              </w:rPr>
              <w:t>Outer packaging</w:t>
            </w:r>
            <w:r>
              <w:rPr>
                <w:b/>
              </w:rPr>
              <w:t>s</w:t>
            </w:r>
          </w:p>
        </w:tc>
      </w:tr>
      <w:tr w:rsidR="00077D40" w:rsidRPr="00E35622" w14:paraId="2FE26364" w14:textId="77777777" w:rsidTr="006932FB">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2358F41B" w14:textId="77777777" w:rsidR="00077D40" w:rsidRDefault="00077D40" w:rsidP="006932FB">
            <w:pPr>
              <w:pStyle w:val="Pu4d2"/>
              <w:keepNext/>
              <w:keepLines/>
              <w:tabs>
                <w:tab w:val="right" w:pos="2180"/>
              </w:tabs>
            </w:pPr>
            <w:r w:rsidRPr="00E35622">
              <w:t>glass</w:t>
            </w:r>
            <w:r>
              <w:tab/>
              <w:t xml:space="preserve">5 </w:t>
            </w:r>
            <w:r w:rsidRPr="00901B22">
              <w:rPr>
                <w:i/>
                <w:iCs/>
              </w:rPr>
              <w:t>l</w:t>
            </w:r>
          </w:p>
          <w:p w14:paraId="269965E9" w14:textId="77777777" w:rsidR="00077D40" w:rsidRDefault="00077D40" w:rsidP="006932FB">
            <w:pPr>
              <w:pStyle w:val="Pud2"/>
              <w:keepNext/>
              <w:keepLines/>
              <w:tabs>
                <w:tab w:val="right" w:pos="2180"/>
              </w:tabs>
            </w:pPr>
            <w:r w:rsidRPr="00E35622">
              <w:t>plastics</w:t>
            </w:r>
            <w:r>
              <w:tab/>
              <w:t xml:space="preserve">5 </w:t>
            </w:r>
            <w:r w:rsidRPr="00901B22">
              <w:rPr>
                <w:i/>
                <w:iCs/>
              </w:rPr>
              <w:t>l</w:t>
            </w:r>
          </w:p>
          <w:p w14:paraId="65E754AA" w14:textId="77777777" w:rsidR="00077D40" w:rsidRPr="00E35622" w:rsidRDefault="00077D40" w:rsidP="006932FB">
            <w:pPr>
              <w:pStyle w:val="Pud2"/>
              <w:keepNext/>
              <w:keepLines/>
              <w:tabs>
                <w:tab w:val="right" w:pos="2180"/>
              </w:tabs>
              <w:rPr>
                <w:b/>
              </w:rPr>
            </w:pPr>
            <w:r w:rsidRPr="00E35622">
              <w:t>metal</w:t>
            </w:r>
            <w:r>
              <w:tab/>
              <w:t xml:space="preserve">5 </w:t>
            </w:r>
            <w:r w:rsidRPr="00901B22">
              <w:rPr>
                <w:i/>
                <w:iCs/>
              </w:rPr>
              <w:t>l</w:t>
            </w:r>
          </w:p>
        </w:tc>
        <w:tc>
          <w:tcPr>
            <w:tcW w:w="1858" w:type="pct"/>
            <w:tcBorders>
              <w:top w:val="single" w:sz="6" w:space="0" w:color="auto"/>
              <w:left w:val="single" w:sz="6" w:space="0" w:color="auto"/>
              <w:bottom w:val="single" w:sz="6" w:space="0" w:color="auto"/>
              <w:right w:val="single" w:sz="6" w:space="0" w:color="auto"/>
            </w:tcBorders>
            <w:shd w:val="clear" w:color="auto" w:fill="auto"/>
          </w:tcPr>
          <w:p w14:paraId="76A7E05C" w14:textId="77777777" w:rsidR="00077D40" w:rsidRPr="005D2259" w:rsidRDefault="00077D40" w:rsidP="006932FB">
            <w:pPr>
              <w:pStyle w:val="Pu4d2"/>
              <w:keepNext/>
              <w:keepLines/>
              <w:rPr>
                <w:b/>
                <w:bCs/>
              </w:rPr>
            </w:pPr>
            <w:r w:rsidRPr="005D2259">
              <w:rPr>
                <w:b/>
                <w:bCs/>
              </w:rPr>
              <w:t>Boxes</w:t>
            </w:r>
          </w:p>
          <w:p w14:paraId="21572B20" w14:textId="77777777" w:rsidR="00077D40" w:rsidRDefault="00077D40" w:rsidP="006932FB">
            <w:pPr>
              <w:pStyle w:val="Pb04h02ud2"/>
              <w:keepNext/>
              <w:keepLines/>
            </w:pPr>
            <w:r>
              <w:t xml:space="preserve">aluminium </w:t>
            </w:r>
            <w:r w:rsidRPr="00E35622">
              <w:t>(4B</w:t>
            </w:r>
            <w:r>
              <w:t>)</w:t>
            </w:r>
          </w:p>
          <w:p w14:paraId="281E2E49" w14:textId="77777777" w:rsidR="00077D40" w:rsidRDefault="00077D40" w:rsidP="006932FB">
            <w:pPr>
              <w:pStyle w:val="Pb04h02ud2"/>
              <w:keepNext/>
              <w:keepLines/>
            </w:pPr>
            <w:r>
              <w:t>natural wood</w:t>
            </w:r>
            <w:r w:rsidRPr="00E35622">
              <w:t xml:space="preserve">, </w:t>
            </w:r>
            <w:r>
              <w:t>ordinary (</w:t>
            </w:r>
            <w:r w:rsidRPr="00E35622">
              <w:t>4C1</w:t>
            </w:r>
            <w:r>
              <w:t>)</w:t>
            </w:r>
          </w:p>
          <w:p w14:paraId="28E2812F" w14:textId="77777777" w:rsidR="00077D40" w:rsidRDefault="00077D40" w:rsidP="006932FB">
            <w:pPr>
              <w:pStyle w:val="Pb04h02ud2"/>
              <w:keepNext/>
              <w:keepLines/>
            </w:pPr>
            <w:r>
              <w:t>natural wood, sift-proof walls</w:t>
            </w:r>
            <w:r w:rsidRPr="00E35622">
              <w:t xml:space="preserve"> </w:t>
            </w:r>
            <w:r>
              <w:t>(</w:t>
            </w:r>
            <w:r w:rsidRPr="00E35622">
              <w:t>4C2</w:t>
            </w:r>
            <w:r>
              <w:t>)</w:t>
            </w:r>
          </w:p>
          <w:p w14:paraId="1482B9AD" w14:textId="77777777" w:rsidR="00077D40" w:rsidRDefault="00077D40" w:rsidP="006932FB">
            <w:pPr>
              <w:pStyle w:val="Pb04h02ud2"/>
              <w:keepNext/>
              <w:keepLines/>
            </w:pPr>
            <w:r>
              <w:t>plywood (</w:t>
            </w:r>
            <w:r w:rsidRPr="00E35622">
              <w:t>4D</w:t>
            </w:r>
            <w:r>
              <w:t>)</w:t>
            </w:r>
          </w:p>
          <w:p w14:paraId="7619CDE7" w14:textId="77777777" w:rsidR="00077D40" w:rsidRDefault="00077D40" w:rsidP="006932FB">
            <w:pPr>
              <w:pStyle w:val="Pb04h02ud2"/>
              <w:keepNext/>
              <w:keepLines/>
            </w:pPr>
            <w:r>
              <w:t>fibreboard (</w:t>
            </w:r>
            <w:r w:rsidRPr="00E35622">
              <w:t>4G</w:t>
            </w:r>
            <w:r>
              <w:t>)</w:t>
            </w:r>
          </w:p>
          <w:p w14:paraId="56FD0FA0" w14:textId="77777777" w:rsidR="00077D40" w:rsidRDefault="00077D40" w:rsidP="006932FB">
            <w:pPr>
              <w:pStyle w:val="Pb04h02ud2"/>
              <w:keepNext/>
              <w:keepLines/>
            </w:pPr>
            <w:r>
              <w:t>plastics, solid (</w:t>
            </w:r>
            <w:r w:rsidRPr="00E35622">
              <w:t>4H2)</w:t>
            </w:r>
          </w:p>
          <w:p w14:paraId="454D5EF1" w14:textId="77777777" w:rsidR="00077D40" w:rsidRPr="001C7228" w:rsidRDefault="00077D40" w:rsidP="006932FB">
            <w:pPr>
              <w:pStyle w:val="Pu4d2"/>
              <w:keepNext/>
              <w:keepLines/>
              <w:rPr>
                <w:b/>
                <w:bCs/>
              </w:rPr>
            </w:pPr>
            <w:r w:rsidRPr="001C7228">
              <w:rPr>
                <w:b/>
                <w:bCs/>
              </w:rPr>
              <w:t>Drums</w:t>
            </w:r>
          </w:p>
          <w:p w14:paraId="44401A05" w14:textId="77777777" w:rsidR="00077D40" w:rsidRDefault="00077D40" w:rsidP="006932FB">
            <w:pPr>
              <w:pStyle w:val="Pb04h02ud2"/>
              <w:keepNext/>
              <w:keepLines/>
            </w:pPr>
            <w:r>
              <w:t xml:space="preserve">aluminium, removable head </w:t>
            </w:r>
            <w:r w:rsidRPr="00E35622">
              <w:t>(1B2</w:t>
            </w:r>
            <w:r>
              <w:t>)</w:t>
            </w:r>
          </w:p>
          <w:p w14:paraId="6A32FCD1" w14:textId="77777777" w:rsidR="00077D40" w:rsidRDefault="00077D40" w:rsidP="006932FB">
            <w:pPr>
              <w:pStyle w:val="Pb04h02ud2"/>
              <w:keepNext/>
              <w:keepLines/>
            </w:pPr>
            <w:r>
              <w:t xml:space="preserve">fibre </w:t>
            </w:r>
            <w:r>
              <w:rPr>
                <w:lang w:val="en-US"/>
              </w:rPr>
              <w:t>(</w:t>
            </w:r>
            <w:r w:rsidRPr="00E35622">
              <w:t>1G</w:t>
            </w:r>
            <w:r>
              <w:t>)</w:t>
            </w:r>
          </w:p>
          <w:p w14:paraId="4119D74F" w14:textId="77777777" w:rsidR="00077D40" w:rsidRDefault="00077D40" w:rsidP="006932FB">
            <w:pPr>
              <w:pStyle w:val="Pb04h02ud2"/>
              <w:keepNext/>
              <w:keepLines/>
            </w:pPr>
            <w:r>
              <w:t xml:space="preserve">other metal, removable head </w:t>
            </w:r>
            <w:r w:rsidRPr="00E35622">
              <w:t>(1N2</w:t>
            </w:r>
            <w:r>
              <w:t>)</w:t>
            </w:r>
          </w:p>
          <w:p w14:paraId="1765D56E" w14:textId="77777777" w:rsidR="00077D40" w:rsidRDefault="00077D40" w:rsidP="006932FB">
            <w:pPr>
              <w:pStyle w:val="Pb04h02ud2"/>
              <w:keepNext/>
              <w:keepLines/>
            </w:pPr>
            <w:r>
              <w:t xml:space="preserve">plastics, removable head </w:t>
            </w:r>
            <w:r w:rsidRPr="00E35622">
              <w:t>(1H2</w:t>
            </w:r>
            <w:r>
              <w:t>)</w:t>
            </w:r>
          </w:p>
          <w:p w14:paraId="38B9ADBC" w14:textId="77777777" w:rsidR="00077D40" w:rsidRDefault="00077D40" w:rsidP="006932FB">
            <w:pPr>
              <w:pStyle w:val="Pb04h02ud2"/>
              <w:keepNext/>
              <w:keepLines/>
            </w:pPr>
            <w:r>
              <w:t>plywood (</w:t>
            </w:r>
            <w:r w:rsidRPr="00E35622">
              <w:t>1D)</w:t>
            </w:r>
          </w:p>
          <w:p w14:paraId="464AD7CB" w14:textId="77777777" w:rsidR="00077D40" w:rsidRPr="00F51D38" w:rsidRDefault="00077D40" w:rsidP="006932FB">
            <w:pPr>
              <w:pStyle w:val="Pu4d2"/>
              <w:keepNext/>
              <w:keepLines/>
              <w:rPr>
                <w:b/>
                <w:bCs/>
              </w:rPr>
            </w:pPr>
            <w:r w:rsidRPr="00F51D38">
              <w:rPr>
                <w:b/>
                <w:bCs/>
              </w:rPr>
              <w:t>Jerricans</w:t>
            </w:r>
          </w:p>
          <w:p w14:paraId="40456010" w14:textId="77777777" w:rsidR="00077D40" w:rsidRDefault="00077D40" w:rsidP="006932FB">
            <w:pPr>
              <w:pStyle w:val="Pb04h02ud2"/>
              <w:keepNext/>
              <w:keepLines/>
            </w:pPr>
            <w:r>
              <w:t xml:space="preserve">aluminium, removable head </w:t>
            </w:r>
            <w:r w:rsidRPr="00E35622">
              <w:t>(3B2</w:t>
            </w:r>
            <w:r>
              <w:t>)</w:t>
            </w:r>
          </w:p>
          <w:p w14:paraId="40830D12" w14:textId="77777777" w:rsidR="00077D40" w:rsidRPr="00E35622" w:rsidRDefault="00077D40" w:rsidP="006932FB">
            <w:pPr>
              <w:pStyle w:val="Pb04h02ud2"/>
              <w:keepNext/>
              <w:keepLines/>
              <w:rPr>
                <w:b/>
              </w:rPr>
            </w:pPr>
            <w:r>
              <w:t xml:space="preserve">plastics, removable head </w:t>
            </w:r>
            <w:r w:rsidRPr="00E35622">
              <w:t>(3H2)</w:t>
            </w:r>
          </w:p>
        </w:tc>
        <w:tc>
          <w:tcPr>
            <w:tcW w:w="1845" w:type="pct"/>
            <w:tcBorders>
              <w:top w:val="single" w:sz="6" w:space="0" w:color="auto"/>
              <w:left w:val="single" w:sz="6" w:space="0" w:color="auto"/>
              <w:bottom w:val="single" w:sz="6" w:space="0" w:color="auto"/>
              <w:right w:val="single" w:sz="6" w:space="0" w:color="auto"/>
            </w:tcBorders>
            <w:shd w:val="clear" w:color="auto" w:fill="auto"/>
          </w:tcPr>
          <w:p w14:paraId="7E993B69" w14:textId="77777777" w:rsidR="00077D40" w:rsidRDefault="00077D40" w:rsidP="006932FB">
            <w:pPr>
              <w:pStyle w:val="Pu4d2"/>
              <w:keepNext/>
              <w:keepLines/>
              <w:jc w:val="center"/>
            </w:pPr>
          </w:p>
          <w:p w14:paraId="57891D1C" w14:textId="77777777" w:rsidR="00077D40" w:rsidRDefault="00077D40" w:rsidP="006932FB">
            <w:pPr>
              <w:pStyle w:val="Pud2"/>
              <w:keepNext/>
              <w:keepLines/>
              <w:jc w:val="center"/>
            </w:pPr>
            <w:r>
              <w:t>125 kg</w:t>
            </w:r>
          </w:p>
          <w:p w14:paraId="422E9FA7" w14:textId="77777777" w:rsidR="00077D40" w:rsidRDefault="00077D40" w:rsidP="006932FB">
            <w:pPr>
              <w:pStyle w:val="Pud2"/>
              <w:keepNext/>
              <w:keepLines/>
              <w:jc w:val="center"/>
            </w:pPr>
            <w:r>
              <w:t>125 kg</w:t>
            </w:r>
          </w:p>
          <w:p w14:paraId="11AF9367" w14:textId="77777777" w:rsidR="00077D40" w:rsidRDefault="00077D40" w:rsidP="006932FB">
            <w:pPr>
              <w:pStyle w:val="Pud2"/>
              <w:keepNext/>
              <w:keepLines/>
              <w:jc w:val="center"/>
            </w:pPr>
            <w:r>
              <w:t>125 kg</w:t>
            </w:r>
          </w:p>
          <w:p w14:paraId="17B67FB5" w14:textId="77777777" w:rsidR="00077D40" w:rsidRDefault="00077D40" w:rsidP="006932FB">
            <w:pPr>
              <w:pStyle w:val="Pud2"/>
              <w:keepNext/>
              <w:keepLines/>
              <w:jc w:val="center"/>
            </w:pPr>
            <w:r>
              <w:t>125 kg</w:t>
            </w:r>
          </w:p>
          <w:p w14:paraId="4F4DF973" w14:textId="77777777" w:rsidR="00077D40" w:rsidRDefault="00077D40" w:rsidP="006932FB">
            <w:pPr>
              <w:pStyle w:val="Pud2"/>
              <w:keepNext/>
              <w:keepLines/>
              <w:jc w:val="center"/>
            </w:pPr>
            <w:r>
              <w:t>125 kg</w:t>
            </w:r>
          </w:p>
          <w:p w14:paraId="7D67A18A" w14:textId="77777777" w:rsidR="00077D40" w:rsidRDefault="00077D40" w:rsidP="006932FB">
            <w:pPr>
              <w:pStyle w:val="Pud2"/>
              <w:keepNext/>
              <w:keepLines/>
              <w:jc w:val="center"/>
            </w:pPr>
            <w:r>
              <w:t>125 kg</w:t>
            </w:r>
          </w:p>
          <w:p w14:paraId="0BAD3980" w14:textId="77777777" w:rsidR="00077D40" w:rsidRDefault="00077D40" w:rsidP="006932FB">
            <w:pPr>
              <w:pStyle w:val="Pu4d2"/>
              <w:keepNext/>
              <w:keepLines/>
              <w:jc w:val="center"/>
            </w:pPr>
          </w:p>
          <w:p w14:paraId="0F839B7A" w14:textId="77777777" w:rsidR="00077D40" w:rsidRDefault="00077D40" w:rsidP="006932FB">
            <w:pPr>
              <w:pStyle w:val="Pud2"/>
              <w:keepNext/>
              <w:keepLines/>
              <w:jc w:val="center"/>
            </w:pPr>
            <w:r>
              <w:t>125 kg</w:t>
            </w:r>
          </w:p>
          <w:p w14:paraId="46F03EBC" w14:textId="77777777" w:rsidR="00077D40" w:rsidRDefault="00077D40" w:rsidP="006932FB">
            <w:pPr>
              <w:pStyle w:val="Pud2"/>
              <w:keepNext/>
              <w:keepLines/>
              <w:jc w:val="center"/>
            </w:pPr>
            <w:r>
              <w:t>125 kg</w:t>
            </w:r>
          </w:p>
          <w:p w14:paraId="09A37A9B" w14:textId="77777777" w:rsidR="00077D40" w:rsidRDefault="00077D40" w:rsidP="006932FB">
            <w:pPr>
              <w:pStyle w:val="Pud2"/>
              <w:keepNext/>
              <w:keepLines/>
              <w:jc w:val="center"/>
            </w:pPr>
            <w:r>
              <w:t>125 kg</w:t>
            </w:r>
          </w:p>
          <w:p w14:paraId="5FA34AA6" w14:textId="77777777" w:rsidR="00077D40" w:rsidRDefault="00077D40" w:rsidP="006932FB">
            <w:pPr>
              <w:pStyle w:val="Pud2"/>
              <w:keepNext/>
              <w:keepLines/>
              <w:jc w:val="center"/>
            </w:pPr>
            <w:r>
              <w:t>125 kg</w:t>
            </w:r>
          </w:p>
          <w:p w14:paraId="1673A0F1" w14:textId="77777777" w:rsidR="00077D40" w:rsidRDefault="00077D40" w:rsidP="006932FB">
            <w:pPr>
              <w:pStyle w:val="Pud2"/>
              <w:keepNext/>
              <w:keepLines/>
              <w:jc w:val="center"/>
            </w:pPr>
            <w:r>
              <w:t>125 kg</w:t>
            </w:r>
          </w:p>
          <w:p w14:paraId="6CF200D5" w14:textId="77777777" w:rsidR="00077D40" w:rsidRDefault="00077D40" w:rsidP="006932FB">
            <w:pPr>
              <w:pStyle w:val="Pu4d2"/>
              <w:keepNext/>
              <w:keepLines/>
              <w:jc w:val="center"/>
            </w:pPr>
          </w:p>
          <w:p w14:paraId="1B16EFEE" w14:textId="77777777" w:rsidR="00077D40" w:rsidRDefault="00077D40" w:rsidP="006932FB">
            <w:pPr>
              <w:pStyle w:val="Pud2"/>
              <w:keepNext/>
              <w:keepLines/>
              <w:jc w:val="center"/>
            </w:pPr>
            <w:r>
              <w:t>125 kg</w:t>
            </w:r>
          </w:p>
          <w:p w14:paraId="59FF3D60" w14:textId="77777777" w:rsidR="00077D40" w:rsidRPr="00E35622" w:rsidRDefault="00077D40" w:rsidP="006932FB">
            <w:pPr>
              <w:pStyle w:val="Pu2d4"/>
              <w:keepNext/>
              <w:keepLines/>
              <w:jc w:val="center"/>
            </w:pPr>
            <w:r>
              <w:t>125 kg</w:t>
            </w:r>
          </w:p>
        </w:tc>
      </w:tr>
      <w:tr w:rsidR="00077D40" w:rsidRPr="001D28C6" w14:paraId="2FB0B1F3" w14:textId="77777777" w:rsidTr="006932FB">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tcPr>
          <w:p w14:paraId="1B0BD32A" w14:textId="77777777" w:rsidR="00077D40" w:rsidRPr="001D28C6" w:rsidRDefault="00077D40" w:rsidP="006932FB">
            <w:pPr>
              <w:pStyle w:val="Pnormal"/>
              <w:keepNext/>
              <w:keepLines/>
              <w:rPr>
                <w:b/>
                <w:bCs/>
              </w:rPr>
            </w:pPr>
            <w:r w:rsidRPr="001D28C6">
              <w:rPr>
                <w:b/>
                <w:bCs/>
              </w:rPr>
              <w:t>Single packagings</w:t>
            </w:r>
          </w:p>
        </w:tc>
      </w:tr>
    </w:tbl>
    <w:p w14:paraId="28A779E4" w14:textId="77777777" w:rsidR="00077D40" w:rsidRPr="00843762" w:rsidRDefault="00077D40" w:rsidP="00077D40">
      <w:pPr>
        <w:pStyle w:val="SingleTxtG"/>
        <w:spacing w:before="120"/>
        <w:rPr>
          <w:i/>
          <w:iCs/>
        </w:rPr>
      </w:pPr>
      <w:r w:rsidRPr="00804977">
        <w:rPr>
          <w:i/>
          <w:iCs/>
        </w:rPr>
        <w:t>(Reference document: ST/SG/AC.10/C.3/20</w:t>
      </w:r>
      <w:r>
        <w:rPr>
          <w:i/>
          <w:iCs/>
        </w:rPr>
        <w:t>22</w:t>
      </w:r>
      <w:r w:rsidRPr="00804977">
        <w:rPr>
          <w:i/>
          <w:iCs/>
        </w:rPr>
        <w:t>/</w:t>
      </w:r>
      <w:r>
        <w:rPr>
          <w:i/>
          <w:iCs/>
        </w:rPr>
        <w:t>76, proposal 8</w:t>
      </w:r>
      <w:r w:rsidRPr="00804977">
        <w:rPr>
          <w:i/>
          <w:iCs/>
        </w:rPr>
        <w:t>)</w:t>
      </w:r>
    </w:p>
    <w:p w14:paraId="3BFBE5A9" w14:textId="77777777" w:rsidR="00077D40" w:rsidRPr="00163701" w:rsidRDefault="00077D40" w:rsidP="00077D40">
      <w:pPr>
        <w:pStyle w:val="SingleTxtG"/>
        <w:spacing w:before="120"/>
        <w:ind w:left="2268" w:hanging="1134"/>
      </w:pPr>
      <w:r>
        <w:t>4.1.4.1, P520</w:t>
      </w:r>
      <w:r>
        <w:tab/>
        <w:t>In (1), replace “, jerricans” by “and jerricans”.</w:t>
      </w:r>
    </w:p>
    <w:p w14:paraId="49A66953" w14:textId="77777777" w:rsidR="00077D40" w:rsidRPr="005A25B6" w:rsidRDefault="00077D40" w:rsidP="00077D40">
      <w:pPr>
        <w:pStyle w:val="SingleTxtG"/>
        <w:ind w:left="2268" w:hanging="1134"/>
        <w:rPr>
          <w:lang w:val="en-US"/>
        </w:rPr>
      </w:pPr>
      <w:r>
        <w:tab/>
        <w:t>Amend the table under (3) to read as follows: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3966"/>
        <w:gridCol w:w="708"/>
        <w:gridCol w:w="710"/>
        <w:gridCol w:w="708"/>
        <w:gridCol w:w="708"/>
        <w:gridCol w:w="710"/>
        <w:gridCol w:w="708"/>
        <w:gridCol w:w="708"/>
        <w:gridCol w:w="697"/>
      </w:tblGrid>
      <w:tr w:rsidR="00077D40" w:rsidRPr="003461F4" w14:paraId="239E50C9" w14:textId="77777777" w:rsidTr="006932FB">
        <w:tc>
          <w:tcPr>
            <w:tcW w:w="5000" w:type="pct"/>
            <w:gridSpan w:val="9"/>
            <w:tcBorders>
              <w:top w:val="single" w:sz="6" w:space="0" w:color="auto"/>
              <w:left w:val="single" w:sz="6" w:space="0" w:color="auto"/>
              <w:bottom w:val="single" w:sz="6" w:space="0" w:color="auto"/>
              <w:right w:val="single" w:sz="6" w:space="0" w:color="auto"/>
            </w:tcBorders>
          </w:tcPr>
          <w:p w14:paraId="10236255" w14:textId="77777777" w:rsidR="00077D40" w:rsidRDefault="00077D40" w:rsidP="00453493">
            <w:pPr>
              <w:pStyle w:val="Pnormal"/>
              <w:keepNext/>
              <w:keepLines/>
            </w:pPr>
            <w:r>
              <w:t>...</w:t>
            </w:r>
          </w:p>
          <w:p w14:paraId="38800DCD" w14:textId="77777777" w:rsidR="00077D40" w:rsidRPr="00E35622" w:rsidRDefault="00077D40" w:rsidP="00453493">
            <w:pPr>
              <w:pStyle w:val="Pnormal"/>
              <w:keepNext/>
              <w:keepLines/>
            </w:pPr>
            <w:r w:rsidRPr="008E0A93">
              <w:t>The maximum quantities per packaging/package for packing methods OP1 to OP8 are:</w:t>
            </w:r>
          </w:p>
        </w:tc>
      </w:tr>
      <w:tr w:rsidR="00077D40" w:rsidRPr="00F67E4F" w14:paraId="4F318019" w14:textId="77777777" w:rsidTr="006932FB">
        <w:trPr>
          <w:trHeight w:val="346"/>
        </w:trPr>
        <w:tc>
          <w:tcPr>
            <w:tcW w:w="2060" w:type="pct"/>
            <w:tcBorders>
              <w:top w:val="single" w:sz="6" w:space="0" w:color="auto"/>
              <w:left w:val="single" w:sz="6" w:space="0" w:color="auto"/>
              <w:bottom w:val="nil"/>
              <w:right w:val="nil"/>
            </w:tcBorders>
          </w:tcPr>
          <w:p w14:paraId="0B8DE44C" w14:textId="77777777" w:rsidR="00077D40" w:rsidRPr="00F67E4F" w:rsidRDefault="00077D40" w:rsidP="00453493">
            <w:pPr>
              <w:pStyle w:val="Pu4d2"/>
              <w:keepNext/>
              <w:keepLines/>
              <w:jc w:val="center"/>
              <w:rPr>
                <w:b/>
                <w:bCs/>
              </w:rPr>
            </w:pPr>
          </w:p>
        </w:tc>
        <w:tc>
          <w:tcPr>
            <w:tcW w:w="368" w:type="pct"/>
            <w:tcBorders>
              <w:top w:val="single" w:sz="6" w:space="0" w:color="auto"/>
              <w:left w:val="nil"/>
              <w:bottom w:val="single" w:sz="6" w:space="0" w:color="auto"/>
              <w:right w:val="nil"/>
            </w:tcBorders>
          </w:tcPr>
          <w:p w14:paraId="5D7BF0B4" w14:textId="77777777" w:rsidR="00077D40" w:rsidRPr="00F67E4F" w:rsidRDefault="00077D40" w:rsidP="00453493">
            <w:pPr>
              <w:pStyle w:val="Pu4d2"/>
              <w:keepNext/>
              <w:keepLines/>
              <w:jc w:val="center"/>
              <w:rPr>
                <w:b/>
                <w:bCs/>
              </w:rPr>
            </w:pPr>
            <w:r w:rsidRPr="00F67E4F">
              <w:rPr>
                <w:b/>
                <w:bCs/>
              </w:rPr>
              <w:t>OP1</w:t>
            </w:r>
          </w:p>
        </w:tc>
        <w:tc>
          <w:tcPr>
            <w:tcW w:w="369" w:type="pct"/>
            <w:tcBorders>
              <w:top w:val="single" w:sz="6" w:space="0" w:color="auto"/>
              <w:left w:val="nil"/>
              <w:bottom w:val="single" w:sz="6" w:space="0" w:color="auto"/>
              <w:right w:val="nil"/>
            </w:tcBorders>
          </w:tcPr>
          <w:p w14:paraId="76CE12F6" w14:textId="77777777" w:rsidR="00077D40" w:rsidRPr="00F67E4F" w:rsidRDefault="00077D40" w:rsidP="00453493">
            <w:pPr>
              <w:pStyle w:val="Pu4d2"/>
              <w:keepNext/>
              <w:keepLines/>
              <w:jc w:val="center"/>
              <w:rPr>
                <w:b/>
                <w:bCs/>
              </w:rPr>
            </w:pPr>
            <w:r w:rsidRPr="00F67E4F">
              <w:rPr>
                <w:b/>
                <w:bCs/>
              </w:rPr>
              <w:t>OP2</w:t>
            </w:r>
            <w:r w:rsidRPr="00F67E4F">
              <w:rPr>
                <w:b/>
                <w:bCs/>
                <w:vertAlign w:val="superscript"/>
              </w:rPr>
              <w:t>a</w:t>
            </w:r>
          </w:p>
        </w:tc>
        <w:tc>
          <w:tcPr>
            <w:tcW w:w="368" w:type="pct"/>
            <w:tcBorders>
              <w:top w:val="single" w:sz="6" w:space="0" w:color="auto"/>
              <w:left w:val="nil"/>
              <w:bottom w:val="single" w:sz="6" w:space="0" w:color="auto"/>
              <w:right w:val="nil"/>
            </w:tcBorders>
          </w:tcPr>
          <w:p w14:paraId="5ABA64F2" w14:textId="77777777" w:rsidR="00077D40" w:rsidRPr="00F67E4F" w:rsidRDefault="00077D40" w:rsidP="00453493">
            <w:pPr>
              <w:pStyle w:val="Pu4d2"/>
              <w:keepNext/>
              <w:keepLines/>
              <w:jc w:val="center"/>
              <w:rPr>
                <w:b/>
                <w:bCs/>
              </w:rPr>
            </w:pPr>
            <w:r w:rsidRPr="00F67E4F">
              <w:rPr>
                <w:b/>
                <w:bCs/>
              </w:rPr>
              <w:t>OP3</w:t>
            </w:r>
          </w:p>
        </w:tc>
        <w:tc>
          <w:tcPr>
            <w:tcW w:w="368" w:type="pct"/>
            <w:tcBorders>
              <w:top w:val="single" w:sz="6" w:space="0" w:color="auto"/>
              <w:left w:val="nil"/>
              <w:bottom w:val="single" w:sz="6" w:space="0" w:color="auto"/>
              <w:right w:val="nil"/>
            </w:tcBorders>
          </w:tcPr>
          <w:p w14:paraId="3BBF823D" w14:textId="77777777" w:rsidR="00077D40" w:rsidRPr="00F67E4F" w:rsidRDefault="00077D40" w:rsidP="00453493">
            <w:pPr>
              <w:pStyle w:val="Pu4d2"/>
              <w:keepNext/>
              <w:keepLines/>
              <w:jc w:val="center"/>
              <w:rPr>
                <w:b/>
                <w:bCs/>
              </w:rPr>
            </w:pPr>
            <w:r w:rsidRPr="00F67E4F">
              <w:rPr>
                <w:b/>
                <w:bCs/>
              </w:rPr>
              <w:t>OP4</w:t>
            </w:r>
            <w:r w:rsidRPr="00F67E4F">
              <w:rPr>
                <w:b/>
                <w:bCs/>
                <w:vertAlign w:val="superscript"/>
              </w:rPr>
              <w:t>a</w:t>
            </w:r>
          </w:p>
        </w:tc>
        <w:tc>
          <w:tcPr>
            <w:tcW w:w="369" w:type="pct"/>
            <w:tcBorders>
              <w:top w:val="single" w:sz="6" w:space="0" w:color="auto"/>
              <w:left w:val="nil"/>
              <w:bottom w:val="single" w:sz="6" w:space="0" w:color="auto"/>
              <w:right w:val="nil"/>
            </w:tcBorders>
          </w:tcPr>
          <w:p w14:paraId="3CF42E55" w14:textId="77777777" w:rsidR="00077D40" w:rsidRPr="00F67E4F" w:rsidRDefault="00077D40" w:rsidP="00453493">
            <w:pPr>
              <w:pStyle w:val="Pu4d2"/>
              <w:keepNext/>
              <w:keepLines/>
              <w:jc w:val="center"/>
              <w:rPr>
                <w:b/>
                <w:bCs/>
              </w:rPr>
            </w:pPr>
            <w:r w:rsidRPr="00F67E4F">
              <w:rPr>
                <w:b/>
                <w:bCs/>
              </w:rPr>
              <w:t>OP5</w:t>
            </w:r>
          </w:p>
        </w:tc>
        <w:tc>
          <w:tcPr>
            <w:tcW w:w="368" w:type="pct"/>
            <w:tcBorders>
              <w:top w:val="single" w:sz="6" w:space="0" w:color="auto"/>
              <w:left w:val="nil"/>
              <w:bottom w:val="single" w:sz="6" w:space="0" w:color="auto"/>
              <w:right w:val="nil"/>
            </w:tcBorders>
          </w:tcPr>
          <w:p w14:paraId="7EA25A5A" w14:textId="77777777" w:rsidR="00077D40" w:rsidRPr="00F67E4F" w:rsidRDefault="00077D40" w:rsidP="00453493">
            <w:pPr>
              <w:pStyle w:val="Pu4d2"/>
              <w:keepNext/>
              <w:keepLines/>
              <w:jc w:val="center"/>
              <w:rPr>
                <w:b/>
                <w:bCs/>
              </w:rPr>
            </w:pPr>
            <w:r w:rsidRPr="00F67E4F">
              <w:rPr>
                <w:b/>
                <w:bCs/>
              </w:rPr>
              <w:t>OP6</w:t>
            </w:r>
          </w:p>
        </w:tc>
        <w:tc>
          <w:tcPr>
            <w:tcW w:w="368" w:type="pct"/>
            <w:tcBorders>
              <w:top w:val="single" w:sz="6" w:space="0" w:color="auto"/>
              <w:left w:val="nil"/>
              <w:bottom w:val="single" w:sz="6" w:space="0" w:color="auto"/>
              <w:right w:val="nil"/>
            </w:tcBorders>
          </w:tcPr>
          <w:p w14:paraId="357128FB" w14:textId="77777777" w:rsidR="00077D40" w:rsidRPr="00F67E4F" w:rsidRDefault="00077D40" w:rsidP="00453493">
            <w:pPr>
              <w:pStyle w:val="Pu4d2"/>
              <w:keepNext/>
              <w:keepLines/>
              <w:jc w:val="center"/>
              <w:rPr>
                <w:b/>
                <w:bCs/>
              </w:rPr>
            </w:pPr>
            <w:r w:rsidRPr="00F67E4F">
              <w:rPr>
                <w:b/>
                <w:bCs/>
              </w:rPr>
              <w:t>OP7</w:t>
            </w:r>
          </w:p>
        </w:tc>
        <w:tc>
          <w:tcPr>
            <w:tcW w:w="363" w:type="pct"/>
            <w:tcBorders>
              <w:top w:val="single" w:sz="6" w:space="0" w:color="auto"/>
              <w:left w:val="nil"/>
              <w:bottom w:val="single" w:sz="6" w:space="0" w:color="auto"/>
              <w:right w:val="single" w:sz="6" w:space="0" w:color="auto"/>
            </w:tcBorders>
          </w:tcPr>
          <w:p w14:paraId="513DE971" w14:textId="77777777" w:rsidR="00077D40" w:rsidRPr="00F67E4F" w:rsidRDefault="00077D40" w:rsidP="00453493">
            <w:pPr>
              <w:pStyle w:val="Pu4d2"/>
              <w:keepNext/>
              <w:keepLines/>
              <w:jc w:val="center"/>
              <w:rPr>
                <w:b/>
                <w:bCs/>
              </w:rPr>
            </w:pPr>
            <w:r w:rsidRPr="00F67E4F">
              <w:rPr>
                <w:b/>
                <w:bCs/>
              </w:rPr>
              <w:t>OP8</w:t>
            </w:r>
          </w:p>
        </w:tc>
      </w:tr>
      <w:tr w:rsidR="00077D40" w:rsidRPr="003461F4" w14:paraId="345645D8" w14:textId="77777777" w:rsidTr="006932FB">
        <w:trPr>
          <w:trHeight w:val="346"/>
        </w:trPr>
        <w:tc>
          <w:tcPr>
            <w:tcW w:w="2060" w:type="pct"/>
            <w:tcBorders>
              <w:top w:val="nil"/>
              <w:left w:val="single" w:sz="6" w:space="0" w:color="auto"/>
              <w:bottom w:val="nil"/>
              <w:right w:val="nil"/>
            </w:tcBorders>
          </w:tcPr>
          <w:p w14:paraId="390C1613" w14:textId="77777777" w:rsidR="00077D40" w:rsidRDefault="00077D40" w:rsidP="00453493">
            <w:pPr>
              <w:pStyle w:val="Pud2"/>
              <w:keepNext/>
              <w:keepLines/>
              <w:jc w:val="right"/>
            </w:pPr>
            <w:r w:rsidRPr="003E5629">
              <w:t xml:space="preserve">Maximum </w:t>
            </w:r>
            <w:r>
              <w:t xml:space="preserve">net </w:t>
            </w:r>
            <w:r w:rsidRPr="003E5629">
              <w:t>mass (kg) for solids and for combination packagings (liquid and solid)</w:t>
            </w:r>
          </w:p>
        </w:tc>
        <w:tc>
          <w:tcPr>
            <w:tcW w:w="368" w:type="pct"/>
            <w:tcBorders>
              <w:top w:val="nil"/>
              <w:left w:val="nil"/>
              <w:bottom w:val="nil"/>
              <w:right w:val="nil"/>
            </w:tcBorders>
            <w:vAlign w:val="center"/>
          </w:tcPr>
          <w:p w14:paraId="1FB7AC53" w14:textId="77777777" w:rsidR="00077D40" w:rsidRDefault="00077D40" w:rsidP="00453493">
            <w:pPr>
              <w:pStyle w:val="Pud2"/>
              <w:keepNext/>
              <w:keepLines/>
              <w:jc w:val="center"/>
            </w:pPr>
            <w:r>
              <w:t>0.5</w:t>
            </w:r>
          </w:p>
        </w:tc>
        <w:tc>
          <w:tcPr>
            <w:tcW w:w="369" w:type="pct"/>
            <w:tcBorders>
              <w:top w:val="nil"/>
              <w:left w:val="nil"/>
              <w:bottom w:val="nil"/>
              <w:right w:val="nil"/>
            </w:tcBorders>
            <w:vAlign w:val="center"/>
          </w:tcPr>
          <w:p w14:paraId="645AA253" w14:textId="77777777" w:rsidR="00077D40" w:rsidRDefault="00077D40" w:rsidP="00453493">
            <w:pPr>
              <w:pStyle w:val="Pud2"/>
              <w:keepNext/>
              <w:keepLines/>
              <w:jc w:val="center"/>
            </w:pPr>
            <w:r>
              <w:t>0.5/10</w:t>
            </w:r>
          </w:p>
        </w:tc>
        <w:tc>
          <w:tcPr>
            <w:tcW w:w="368" w:type="pct"/>
            <w:tcBorders>
              <w:top w:val="nil"/>
              <w:left w:val="nil"/>
              <w:bottom w:val="nil"/>
              <w:right w:val="nil"/>
            </w:tcBorders>
            <w:vAlign w:val="center"/>
          </w:tcPr>
          <w:p w14:paraId="04123082" w14:textId="77777777" w:rsidR="00077D40" w:rsidRDefault="00077D40" w:rsidP="00453493">
            <w:pPr>
              <w:pStyle w:val="Pud2"/>
              <w:keepNext/>
              <w:keepLines/>
              <w:jc w:val="center"/>
            </w:pPr>
            <w:r>
              <w:t>5</w:t>
            </w:r>
          </w:p>
        </w:tc>
        <w:tc>
          <w:tcPr>
            <w:tcW w:w="368" w:type="pct"/>
            <w:tcBorders>
              <w:top w:val="nil"/>
              <w:left w:val="nil"/>
              <w:bottom w:val="nil"/>
              <w:right w:val="nil"/>
            </w:tcBorders>
            <w:vAlign w:val="center"/>
          </w:tcPr>
          <w:p w14:paraId="48DBA359" w14:textId="77777777" w:rsidR="00077D40" w:rsidRDefault="00077D40" w:rsidP="00453493">
            <w:pPr>
              <w:pStyle w:val="Pud2"/>
              <w:keepNext/>
              <w:keepLines/>
              <w:jc w:val="center"/>
            </w:pPr>
            <w:r>
              <w:t>5/25</w:t>
            </w:r>
          </w:p>
        </w:tc>
        <w:tc>
          <w:tcPr>
            <w:tcW w:w="369" w:type="pct"/>
            <w:tcBorders>
              <w:top w:val="nil"/>
              <w:left w:val="nil"/>
              <w:bottom w:val="nil"/>
              <w:right w:val="nil"/>
            </w:tcBorders>
            <w:vAlign w:val="center"/>
          </w:tcPr>
          <w:p w14:paraId="2D16690C" w14:textId="77777777" w:rsidR="00077D40" w:rsidRDefault="00077D40" w:rsidP="00453493">
            <w:pPr>
              <w:pStyle w:val="Pud2"/>
              <w:keepNext/>
              <w:keepLines/>
              <w:jc w:val="center"/>
            </w:pPr>
            <w:r>
              <w:t>25</w:t>
            </w:r>
          </w:p>
        </w:tc>
        <w:tc>
          <w:tcPr>
            <w:tcW w:w="368" w:type="pct"/>
            <w:tcBorders>
              <w:top w:val="nil"/>
              <w:left w:val="nil"/>
              <w:bottom w:val="nil"/>
              <w:right w:val="nil"/>
            </w:tcBorders>
            <w:vAlign w:val="center"/>
          </w:tcPr>
          <w:p w14:paraId="4FC8B16C" w14:textId="77777777" w:rsidR="00077D40" w:rsidRDefault="00077D40" w:rsidP="00453493">
            <w:pPr>
              <w:pStyle w:val="Pud2"/>
              <w:keepNext/>
              <w:keepLines/>
              <w:jc w:val="center"/>
            </w:pPr>
            <w:r>
              <w:t>50</w:t>
            </w:r>
          </w:p>
        </w:tc>
        <w:tc>
          <w:tcPr>
            <w:tcW w:w="368" w:type="pct"/>
            <w:tcBorders>
              <w:top w:val="nil"/>
              <w:left w:val="nil"/>
              <w:bottom w:val="nil"/>
              <w:right w:val="nil"/>
            </w:tcBorders>
            <w:vAlign w:val="center"/>
          </w:tcPr>
          <w:p w14:paraId="614B61B0" w14:textId="77777777" w:rsidR="00077D40" w:rsidRDefault="00077D40" w:rsidP="00453493">
            <w:pPr>
              <w:pStyle w:val="Pud2"/>
              <w:keepNext/>
              <w:keepLines/>
              <w:jc w:val="center"/>
            </w:pPr>
            <w:r>
              <w:t>50</w:t>
            </w:r>
          </w:p>
        </w:tc>
        <w:tc>
          <w:tcPr>
            <w:tcW w:w="363" w:type="pct"/>
            <w:tcBorders>
              <w:top w:val="nil"/>
              <w:left w:val="nil"/>
              <w:bottom w:val="nil"/>
              <w:right w:val="single" w:sz="6" w:space="0" w:color="auto"/>
            </w:tcBorders>
            <w:vAlign w:val="center"/>
          </w:tcPr>
          <w:p w14:paraId="23EF7488" w14:textId="77777777" w:rsidR="00077D40" w:rsidRDefault="00077D40" w:rsidP="00453493">
            <w:pPr>
              <w:pStyle w:val="Pud2"/>
              <w:keepNext/>
              <w:keepLines/>
              <w:jc w:val="center"/>
            </w:pPr>
            <w:r>
              <w:t>400</w:t>
            </w:r>
            <w:r w:rsidRPr="00CA1D32">
              <w:rPr>
                <w:b/>
                <w:bCs/>
                <w:vertAlign w:val="superscript"/>
              </w:rPr>
              <w:t>b</w:t>
            </w:r>
          </w:p>
        </w:tc>
      </w:tr>
      <w:tr w:rsidR="00077D40" w:rsidRPr="003461F4" w14:paraId="5E1548E8" w14:textId="77777777" w:rsidTr="006932FB">
        <w:trPr>
          <w:trHeight w:val="346"/>
        </w:trPr>
        <w:tc>
          <w:tcPr>
            <w:tcW w:w="2060" w:type="pct"/>
            <w:tcBorders>
              <w:top w:val="nil"/>
              <w:left w:val="single" w:sz="6" w:space="0" w:color="auto"/>
              <w:bottom w:val="single" w:sz="6" w:space="0" w:color="auto"/>
              <w:right w:val="nil"/>
            </w:tcBorders>
          </w:tcPr>
          <w:p w14:paraId="6CC25166" w14:textId="77777777" w:rsidR="00077D40" w:rsidRDefault="00077D40" w:rsidP="00453493">
            <w:pPr>
              <w:pStyle w:val="Pud2"/>
              <w:keepNext/>
              <w:keepLines/>
              <w:spacing w:after="80"/>
              <w:jc w:val="right"/>
            </w:pPr>
            <w:r w:rsidRPr="0028164B">
              <w:t>Maximum contents in litres for liquids</w:t>
            </w:r>
            <w:r w:rsidRPr="00FB0B1F">
              <w:rPr>
                <w:vertAlign w:val="superscript"/>
              </w:rPr>
              <w:t>c</w:t>
            </w:r>
          </w:p>
        </w:tc>
        <w:tc>
          <w:tcPr>
            <w:tcW w:w="368" w:type="pct"/>
            <w:tcBorders>
              <w:top w:val="nil"/>
              <w:left w:val="nil"/>
              <w:bottom w:val="single" w:sz="6" w:space="0" w:color="auto"/>
              <w:right w:val="nil"/>
            </w:tcBorders>
            <w:vAlign w:val="center"/>
          </w:tcPr>
          <w:p w14:paraId="75B99F67" w14:textId="77777777" w:rsidR="00077D40" w:rsidRDefault="00077D40" w:rsidP="00453493">
            <w:pPr>
              <w:pStyle w:val="Pud2"/>
              <w:keepNext/>
              <w:keepLines/>
              <w:spacing w:after="80"/>
              <w:jc w:val="center"/>
            </w:pPr>
            <w:r>
              <w:t>0.5</w:t>
            </w:r>
          </w:p>
        </w:tc>
        <w:tc>
          <w:tcPr>
            <w:tcW w:w="369" w:type="pct"/>
            <w:tcBorders>
              <w:top w:val="nil"/>
              <w:left w:val="nil"/>
              <w:bottom w:val="single" w:sz="6" w:space="0" w:color="auto"/>
              <w:right w:val="nil"/>
            </w:tcBorders>
            <w:vAlign w:val="center"/>
          </w:tcPr>
          <w:p w14:paraId="6D251B3D" w14:textId="77777777" w:rsidR="00077D40" w:rsidRDefault="00077D40" w:rsidP="00453493">
            <w:pPr>
              <w:pStyle w:val="Pud2"/>
              <w:keepNext/>
              <w:keepLines/>
              <w:spacing w:after="80"/>
              <w:jc w:val="center"/>
            </w:pPr>
            <w:r>
              <w:t>-</w:t>
            </w:r>
          </w:p>
        </w:tc>
        <w:tc>
          <w:tcPr>
            <w:tcW w:w="368" w:type="pct"/>
            <w:tcBorders>
              <w:top w:val="nil"/>
              <w:left w:val="nil"/>
              <w:bottom w:val="single" w:sz="6" w:space="0" w:color="auto"/>
              <w:right w:val="nil"/>
            </w:tcBorders>
            <w:vAlign w:val="center"/>
          </w:tcPr>
          <w:p w14:paraId="4392F7DC" w14:textId="77777777" w:rsidR="00077D40" w:rsidRDefault="00077D40" w:rsidP="00453493">
            <w:pPr>
              <w:pStyle w:val="Pud2"/>
              <w:keepNext/>
              <w:keepLines/>
              <w:spacing w:after="80"/>
              <w:jc w:val="center"/>
            </w:pPr>
            <w:r>
              <w:t>5</w:t>
            </w:r>
          </w:p>
        </w:tc>
        <w:tc>
          <w:tcPr>
            <w:tcW w:w="368" w:type="pct"/>
            <w:tcBorders>
              <w:top w:val="nil"/>
              <w:left w:val="nil"/>
              <w:bottom w:val="single" w:sz="6" w:space="0" w:color="auto"/>
              <w:right w:val="nil"/>
            </w:tcBorders>
            <w:vAlign w:val="center"/>
          </w:tcPr>
          <w:p w14:paraId="783B80C5" w14:textId="77777777" w:rsidR="00077D40" w:rsidRDefault="00077D40" w:rsidP="00453493">
            <w:pPr>
              <w:pStyle w:val="Pud2"/>
              <w:keepNext/>
              <w:keepLines/>
              <w:spacing w:after="80"/>
              <w:jc w:val="center"/>
            </w:pPr>
            <w:r>
              <w:t>-</w:t>
            </w:r>
          </w:p>
        </w:tc>
        <w:tc>
          <w:tcPr>
            <w:tcW w:w="369" w:type="pct"/>
            <w:tcBorders>
              <w:top w:val="nil"/>
              <w:left w:val="nil"/>
              <w:bottom w:val="single" w:sz="6" w:space="0" w:color="auto"/>
              <w:right w:val="nil"/>
            </w:tcBorders>
            <w:vAlign w:val="center"/>
          </w:tcPr>
          <w:p w14:paraId="1DC7FB35" w14:textId="77777777" w:rsidR="00077D40" w:rsidRDefault="00077D40" w:rsidP="00453493">
            <w:pPr>
              <w:pStyle w:val="Pud2"/>
              <w:keepNext/>
              <w:keepLines/>
              <w:spacing w:after="80"/>
              <w:jc w:val="center"/>
            </w:pPr>
            <w:r>
              <w:t>30</w:t>
            </w:r>
          </w:p>
        </w:tc>
        <w:tc>
          <w:tcPr>
            <w:tcW w:w="368" w:type="pct"/>
            <w:tcBorders>
              <w:top w:val="nil"/>
              <w:left w:val="nil"/>
              <w:bottom w:val="single" w:sz="6" w:space="0" w:color="auto"/>
              <w:right w:val="nil"/>
            </w:tcBorders>
            <w:vAlign w:val="center"/>
          </w:tcPr>
          <w:p w14:paraId="1BFCDAA0" w14:textId="77777777" w:rsidR="00077D40" w:rsidRDefault="00077D40" w:rsidP="00453493">
            <w:pPr>
              <w:pStyle w:val="Pud2"/>
              <w:keepNext/>
              <w:keepLines/>
              <w:spacing w:after="80"/>
              <w:jc w:val="center"/>
            </w:pPr>
            <w:r>
              <w:t>60</w:t>
            </w:r>
          </w:p>
        </w:tc>
        <w:tc>
          <w:tcPr>
            <w:tcW w:w="368" w:type="pct"/>
            <w:tcBorders>
              <w:top w:val="nil"/>
              <w:left w:val="nil"/>
              <w:bottom w:val="single" w:sz="6" w:space="0" w:color="auto"/>
              <w:right w:val="nil"/>
            </w:tcBorders>
            <w:vAlign w:val="center"/>
          </w:tcPr>
          <w:p w14:paraId="4E5BF2B5" w14:textId="77777777" w:rsidR="00077D40" w:rsidRDefault="00077D40" w:rsidP="00453493">
            <w:pPr>
              <w:pStyle w:val="Pud2"/>
              <w:keepNext/>
              <w:keepLines/>
              <w:spacing w:after="80"/>
              <w:jc w:val="center"/>
            </w:pPr>
            <w:r>
              <w:t>60</w:t>
            </w:r>
          </w:p>
        </w:tc>
        <w:tc>
          <w:tcPr>
            <w:tcW w:w="363" w:type="pct"/>
            <w:tcBorders>
              <w:top w:val="nil"/>
              <w:left w:val="nil"/>
              <w:bottom w:val="single" w:sz="6" w:space="0" w:color="auto"/>
              <w:right w:val="single" w:sz="6" w:space="0" w:color="auto"/>
            </w:tcBorders>
            <w:vAlign w:val="center"/>
          </w:tcPr>
          <w:p w14:paraId="387AE7A4" w14:textId="77777777" w:rsidR="00077D40" w:rsidRDefault="00077D40" w:rsidP="00453493">
            <w:pPr>
              <w:pStyle w:val="Pud2"/>
              <w:keepNext/>
              <w:keepLines/>
              <w:spacing w:after="80"/>
              <w:jc w:val="center"/>
            </w:pPr>
            <w:r>
              <w:t>225</w:t>
            </w:r>
            <w:r w:rsidRPr="00CA1D32">
              <w:rPr>
                <w:b/>
                <w:bCs/>
                <w:vertAlign w:val="superscript"/>
              </w:rPr>
              <w:t>d</w:t>
            </w:r>
          </w:p>
        </w:tc>
      </w:tr>
    </w:tbl>
    <w:p w14:paraId="719ACD50" w14:textId="77777777" w:rsidR="00077D40" w:rsidRPr="00EE5B5E" w:rsidRDefault="00077D40" w:rsidP="00077D40">
      <w:pPr>
        <w:pStyle w:val="SingleTxtG"/>
        <w:spacing w:before="120"/>
        <w:ind w:left="2268" w:hanging="1134"/>
      </w:pPr>
      <w:r w:rsidRPr="00EE5B5E">
        <w:tab/>
        <w:t>In PP94, renumber 1. to 5. as (a) to (e). In PP95, renumber 1. to 6. as (a) to (f).</w:t>
      </w:r>
    </w:p>
    <w:p w14:paraId="5AC35884" w14:textId="77777777" w:rsidR="00077D40" w:rsidRPr="00843762" w:rsidRDefault="00077D40" w:rsidP="00077D40">
      <w:pPr>
        <w:pStyle w:val="SingleTxtG"/>
        <w:rPr>
          <w:i/>
          <w:iCs/>
        </w:rPr>
      </w:pPr>
      <w:r w:rsidRPr="00804977">
        <w:rPr>
          <w:i/>
          <w:iCs/>
        </w:rPr>
        <w:t>(Reference document: ST/SG/AC.10/C.3/20</w:t>
      </w:r>
      <w:r>
        <w:rPr>
          <w:i/>
          <w:iCs/>
        </w:rPr>
        <w:t>22</w:t>
      </w:r>
      <w:r w:rsidRPr="00804977">
        <w:rPr>
          <w:i/>
          <w:iCs/>
        </w:rPr>
        <w:t>/</w:t>
      </w:r>
      <w:r>
        <w:rPr>
          <w:i/>
          <w:iCs/>
        </w:rPr>
        <w:t>76, proposal 4, as amended, 5 and 10</w:t>
      </w:r>
      <w:r w:rsidRPr="00804977">
        <w:rPr>
          <w:i/>
          <w:iCs/>
        </w:rPr>
        <w:t>)</w:t>
      </w:r>
    </w:p>
    <w:p w14:paraId="1327B3DF" w14:textId="77777777" w:rsidR="00077D40" w:rsidRDefault="00077D40" w:rsidP="00077D40">
      <w:pPr>
        <w:pStyle w:val="SingleTxtG"/>
        <w:keepNext/>
        <w:ind w:left="2268" w:hanging="1134"/>
      </w:pPr>
      <w:r>
        <w:t>4.1.4.1, P600</w:t>
      </w:r>
      <w:r>
        <w:tab/>
        <w:t>Amend the second row under the heading to read as follows: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5" w:type="dxa"/>
          <w:right w:w="85" w:type="dxa"/>
        </w:tblCellMar>
        <w:tblLook w:val="0000" w:firstRow="0" w:lastRow="0" w:firstColumn="0" w:lastColumn="0" w:noHBand="0" w:noVBand="0"/>
      </w:tblPr>
      <w:tblGrid>
        <w:gridCol w:w="9623"/>
      </w:tblGrid>
      <w:tr w:rsidR="00077D40" w:rsidRPr="00E35622" w14:paraId="1D1558AB" w14:textId="77777777" w:rsidTr="006932FB">
        <w:trPr>
          <w:trHeight w:val="20"/>
          <w:jc w:val="center"/>
        </w:trPr>
        <w:tc>
          <w:tcPr>
            <w:tcW w:w="5000" w:type="pct"/>
            <w:tcBorders>
              <w:top w:val="single" w:sz="6" w:space="0" w:color="auto"/>
              <w:left w:val="single" w:sz="6" w:space="0" w:color="auto"/>
              <w:bottom w:val="single" w:sz="6" w:space="0" w:color="auto"/>
              <w:right w:val="single" w:sz="6" w:space="0" w:color="auto"/>
            </w:tcBorders>
          </w:tcPr>
          <w:p w14:paraId="752C2569" w14:textId="77777777" w:rsidR="00077D40" w:rsidRPr="00E35622" w:rsidRDefault="00077D40" w:rsidP="006932FB">
            <w:pPr>
              <w:pStyle w:val="Pnormal"/>
              <w:keepNext/>
            </w:pPr>
            <w:r w:rsidRPr="00E35622">
              <w:t xml:space="preserve">The following packagings are authorized, provided that the general provisions of </w:t>
            </w:r>
            <w:r w:rsidRPr="00E35622">
              <w:rPr>
                <w:b/>
              </w:rPr>
              <w:t>4.1.1</w:t>
            </w:r>
            <w:r w:rsidRPr="00E35622">
              <w:t xml:space="preserve"> and </w:t>
            </w:r>
            <w:r w:rsidRPr="00E35622">
              <w:rPr>
                <w:b/>
              </w:rPr>
              <w:t>4.1.3</w:t>
            </w:r>
            <w:r w:rsidRPr="00E35622">
              <w:t xml:space="preserve"> are met:</w:t>
            </w:r>
          </w:p>
          <w:p w14:paraId="39A41E36" w14:textId="77777777" w:rsidR="00077D40" w:rsidRDefault="00077D40" w:rsidP="006932FB">
            <w:pPr>
              <w:pStyle w:val="Ph08"/>
              <w:keepNext/>
            </w:pPr>
            <w:r>
              <w:tab/>
              <w:t>Drums</w:t>
            </w:r>
            <w:r w:rsidRPr="00E35622">
              <w:t xml:space="preserve"> (1A1, 1A2, 1B1, 1B2, 1N1, 1N2, 1H1, 1H2, 1D, 1G</w:t>
            </w:r>
            <w:r>
              <w:t>);</w:t>
            </w:r>
          </w:p>
          <w:p w14:paraId="6827DB33" w14:textId="77777777" w:rsidR="00077D40" w:rsidRDefault="00077D40" w:rsidP="006932FB">
            <w:pPr>
              <w:pStyle w:val="Ph08"/>
              <w:keepNext/>
            </w:pPr>
            <w:r>
              <w:tab/>
              <w:t>Boxes (</w:t>
            </w:r>
            <w:r w:rsidRPr="00E35622">
              <w:t>4A, 4B, 4N, 4C1, 4C2, 4D, 4F, 4G, 4H2)</w:t>
            </w:r>
            <w:r>
              <w:t>.</w:t>
            </w:r>
          </w:p>
          <w:p w14:paraId="5C112EB5" w14:textId="77777777" w:rsidR="00077D40" w:rsidRDefault="00077D40" w:rsidP="006932FB">
            <w:pPr>
              <w:pStyle w:val="Pnormal"/>
              <w:keepNext/>
            </w:pPr>
            <w:r>
              <w:t>Outer packagings shall</w:t>
            </w:r>
            <w:r w:rsidRPr="00E35622">
              <w:t> meet the packing group II performance level.</w:t>
            </w:r>
          </w:p>
          <w:p w14:paraId="1A39C746" w14:textId="77777777" w:rsidR="00077D40" w:rsidRPr="00E35622" w:rsidRDefault="00077D40" w:rsidP="006932FB">
            <w:pPr>
              <w:pStyle w:val="Pnormal"/>
              <w:keepNext/>
            </w:pPr>
            <w:r>
              <w:t>A</w:t>
            </w:r>
            <w:r w:rsidRPr="00E35622">
              <w:t>rticles shall be individually packaged and separated from each other using partitions, dividers, inner packagings or cushioning material to prevent inadvertent discharge during normal conditions of transport.</w:t>
            </w:r>
          </w:p>
          <w:p w14:paraId="359E8306" w14:textId="77777777" w:rsidR="00077D40" w:rsidRPr="00E35622" w:rsidRDefault="00077D40" w:rsidP="006932FB">
            <w:pPr>
              <w:pStyle w:val="Pnormal"/>
            </w:pPr>
            <w:r w:rsidRPr="00E35622">
              <w:t>Maximum net mass: 75 kg</w:t>
            </w:r>
          </w:p>
        </w:tc>
      </w:tr>
    </w:tbl>
    <w:p w14:paraId="56F769A4" w14:textId="77777777" w:rsidR="00077D40" w:rsidRPr="00843762" w:rsidRDefault="00077D40" w:rsidP="00077D40">
      <w:pPr>
        <w:pStyle w:val="SingleTxtG"/>
        <w:spacing w:before="120"/>
        <w:rPr>
          <w:i/>
          <w:iCs/>
        </w:rPr>
      </w:pPr>
      <w:r w:rsidRPr="00804977">
        <w:rPr>
          <w:i/>
          <w:iCs/>
        </w:rPr>
        <w:t>(Reference document: ST/SG/AC.10/C.3/20</w:t>
      </w:r>
      <w:r>
        <w:rPr>
          <w:i/>
          <w:iCs/>
        </w:rPr>
        <w:t>22</w:t>
      </w:r>
      <w:r w:rsidRPr="00804977">
        <w:rPr>
          <w:i/>
          <w:iCs/>
        </w:rPr>
        <w:t>/</w:t>
      </w:r>
      <w:r>
        <w:rPr>
          <w:i/>
          <w:iCs/>
        </w:rPr>
        <w:t>76, proposal 7</w:t>
      </w:r>
      <w:r w:rsidRPr="00804977">
        <w:rPr>
          <w:i/>
          <w:iCs/>
        </w:rPr>
        <w:t>)</w:t>
      </w:r>
    </w:p>
    <w:p w14:paraId="6C9CAA64" w14:textId="77777777" w:rsidR="00077D40" w:rsidRPr="00EE5B5E" w:rsidRDefault="00077D40" w:rsidP="00077D40">
      <w:pPr>
        <w:pStyle w:val="SingleTxtG"/>
        <w:ind w:left="2268" w:hanging="1134"/>
      </w:pPr>
      <w:r w:rsidRPr="00EE5B5E">
        <w:t>4.1.4.1, P601</w:t>
      </w:r>
      <w:r w:rsidRPr="00EE5B5E">
        <w:tab/>
        <w:t>In (1), renumber the list with bullets as (a) to (c).</w:t>
      </w:r>
    </w:p>
    <w:p w14:paraId="5141BB28" w14:textId="77777777" w:rsidR="00077D40" w:rsidRPr="00EE5B5E" w:rsidRDefault="00077D40" w:rsidP="00077D40">
      <w:pPr>
        <w:pStyle w:val="SingleTxtG"/>
        <w:rPr>
          <w:i/>
          <w:iCs/>
        </w:rPr>
      </w:pPr>
      <w:r w:rsidRPr="00EE5B5E">
        <w:rPr>
          <w:i/>
          <w:iCs/>
        </w:rPr>
        <w:t>(Reference document: ST/SG/AC.10/C.3/2022/76, proposal 5)</w:t>
      </w:r>
    </w:p>
    <w:p w14:paraId="61B5DF0C" w14:textId="77777777" w:rsidR="00077D40" w:rsidRPr="00EE5B5E" w:rsidRDefault="00077D40" w:rsidP="00077D40">
      <w:pPr>
        <w:pStyle w:val="SingleTxtG"/>
        <w:ind w:left="2268" w:hanging="1134"/>
      </w:pPr>
      <w:r w:rsidRPr="00EE5B5E">
        <w:t>4.1.4.1, P602</w:t>
      </w:r>
      <w:r w:rsidRPr="00EE5B5E">
        <w:tab/>
        <w:t>In (1), renumber the list with bullets as (a) to (c).</w:t>
      </w:r>
    </w:p>
    <w:p w14:paraId="193AB052" w14:textId="77777777" w:rsidR="00077D40" w:rsidRPr="00EE5B5E" w:rsidRDefault="00077D40" w:rsidP="00077D40">
      <w:pPr>
        <w:pStyle w:val="SingleTxtG"/>
        <w:rPr>
          <w:i/>
          <w:iCs/>
        </w:rPr>
      </w:pPr>
      <w:r w:rsidRPr="00EE5B5E">
        <w:rPr>
          <w:i/>
          <w:iCs/>
        </w:rPr>
        <w:t>(Reference document: ST/SG/AC.10/C.3/2022/76, proposal 5)</w:t>
      </w:r>
    </w:p>
    <w:p w14:paraId="7B8AEEE9" w14:textId="77777777" w:rsidR="00077D40" w:rsidRDefault="00077D40" w:rsidP="00077D40">
      <w:pPr>
        <w:pStyle w:val="SingleTxtG"/>
        <w:ind w:left="2268" w:hanging="1134"/>
      </w:pPr>
      <w:r>
        <w:t>4.1.4.1, P603</w:t>
      </w:r>
      <w:r>
        <w:tab/>
        <w:t xml:space="preserve">Add a new additional requirement reading “4. </w:t>
      </w:r>
      <w:r w:rsidRPr="0067596C">
        <w:t>In the case of fissile-excepted material, limits specified in 2.7.2.3.5 shall be met.</w:t>
      </w:r>
      <w:r>
        <w:t>”. Delete the entire row for special packing provisions.</w:t>
      </w:r>
    </w:p>
    <w:p w14:paraId="1BFC5888" w14:textId="77777777" w:rsidR="00077D40" w:rsidRPr="00EE5B5E" w:rsidRDefault="00077D40" w:rsidP="00077D40">
      <w:pPr>
        <w:pStyle w:val="SingleTxtG"/>
        <w:rPr>
          <w:i/>
          <w:iCs/>
        </w:rPr>
      </w:pPr>
      <w:r w:rsidRPr="00EE5B5E">
        <w:rPr>
          <w:i/>
          <w:iCs/>
        </w:rPr>
        <w:t xml:space="preserve">(Reference document: ST/SG/AC.10/C.3/2022/76, proposal </w:t>
      </w:r>
      <w:r>
        <w:rPr>
          <w:i/>
          <w:iCs/>
        </w:rPr>
        <w:t>9a</w:t>
      </w:r>
      <w:r w:rsidRPr="00EE5B5E">
        <w:rPr>
          <w:i/>
          <w:iCs/>
        </w:rPr>
        <w:t>)</w:t>
      </w:r>
    </w:p>
    <w:p w14:paraId="3ADD24DC" w14:textId="77777777" w:rsidR="00077D40" w:rsidRDefault="00077D40" w:rsidP="00077D40">
      <w:pPr>
        <w:pStyle w:val="SingleTxtG"/>
        <w:spacing w:before="120"/>
        <w:ind w:left="2268" w:hanging="1134"/>
      </w:pPr>
      <w:r>
        <w:t>4.1.4.1, P803</w:t>
      </w:r>
      <w:r>
        <w:tab/>
        <w:t>Amend the second row under the heading to read as follows: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5" w:type="dxa"/>
          <w:right w:w="85" w:type="dxa"/>
        </w:tblCellMar>
        <w:tblLook w:val="0000" w:firstRow="0" w:lastRow="0" w:firstColumn="0" w:lastColumn="0" w:noHBand="0" w:noVBand="0"/>
      </w:tblPr>
      <w:tblGrid>
        <w:gridCol w:w="9623"/>
      </w:tblGrid>
      <w:tr w:rsidR="00077D40" w:rsidRPr="003461F4" w14:paraId="293B1BBE" w14:textId="77777777" w:rsidTr="006932FB">
        <w:trPr>
          <w:trHeight w:val="20"/>
          <w:jc w:val="center"/>
        </w:trPr>
        <w:tc>
          <w:tcPr>
            <w:tcW w:w="5000" w:type="pct"/>
            <w:tcBorders>
              <w:top w:val="single" w:sz="6" w:space="0" w:color="auto"/>
              <w:left w:val="single" w:sz="6" w:space="0" w:color="auto"/>
              <w:right w:val="single" w:sz="6" w:space="0" w:color="auto"/>
            </w:tcBorders>
          </w:tcPr>
          <w:p w14:paraId="50DBE263" w14:textId="77777777" w:rsidR="00077D40" w:rsidRPr="00E35622" w:rsidRDefault="00077D40" w:rsidP="006932FB">
            <w:pPr>
              <w:pStyle w:val="Pnormal"/>
            </w:pPr>
            <w:r w:rsidRPr="00E35622">
              <w:t xml:space="preserve">The following packagings are authorized, provided that the general provisions of </w:t>
            </w:r>
            <w:r w:rsidRPr="00E35622">
              <w:rPr>
                <w:b/>
              </w:rPr>
              <w:t>4.1.1</w:t>
            </w:r>
            <w:r w:rsidRPr="00E35622">
              <w:t xml:space="preserve"> and </w:t>
            </w:r>
            <w:r w:rsidRPr="00E35622">
              <w:rPr>
                <w:b/>
              </w:rPr>
              <w:t>4.1.3</w:t>
            </w:r>
            <w:r w:rsidRPr="00E35622">
              <w:t xml:space="preserve"> are met:</w:t>
            </w:r>
          </w:p>
          <w:p w14:paraId="1E88E155" w14:textId="77777777" w:rsidR="00077D40" w:rsidRPr="00E35622" w:rsidRDefault="00077D40" w:rsidP="006932FB">
            <w:pPr>
              <w:pStyle w:val="Ph08"/>
            </w:pPr>
            <w:r w:rsidRPr="00E35622">
              <w:tab/>
              <w:t>Drums (1A2, 1B2, 1N2, 1H2, 1D, 1G);</w:t>
            </w:r>
          </w:p>
          <w:p w14:paraId="04394CE7" w14:textId="77777777" w:rsidR="00077D40" w:rsidRPr="00E35622" w:rsidRDefault="00077D40" w:rsidP="006932FB">
            <w:pPr>
              <w:pStyle w:val="Ph08"/>
            </w:pPr>
            <w:r w:rsidRPr="00E35622">
              <w:tab/>
              <w:t>Boxes (4A, 4B, 4N, 4C1, 4C2, 4D, 4F, 4G, 4H2)</w:t>
            </w:r>
            <w:r>
              <w:t>.</w:t>
            </w:r>
          </w:p>
          <w:p w14:paraId="2547F749" w14:textId="77777777" w:rsidR="00077D40" w:rsidRDefault="00077D40" w:rsidP="006932FB">
            <w:pPr>
              <w:pStyle w:val="Pnormal"/>
            </w:pPr>
            <w:r>
              <w:t>A</w:t>
            </w:r>
            <w:r w:rsidRPr="00E35622">
              <w:t>rticles shall be individually packaged and separated from each other using partitions, dividers, inner packagings or cushioning material to prevent inadvertent discharge during normal conditions of transport.</w:t>
            </w:r>
          </w:p>
          <w:p w14:paraId="54E67C4B" w14:textId="77777777" w:rsidR="00077D40" w:rsidRPr="00E35622" w:rsidRDefault="00077D40" w:rsidP="006932FB">
            <w:pPr>
              <w:pStyle w:val="Pnormal"/>
            </w:pPr>
            <w:r w:rsidRPr="00E35622">
              <w:t>Maximum net mass: 75 kg.</w:t>
            </w:r>
          </w:p>
        </w:tc>
      </w:tr>
    </w:tbl>
    <w:p w14:paraId="5BA42156" w14:textId="77777777" w:rsidR="00077D40" w:rsidRPr="00843762" w:rsidRDefault="00077D40" w:rsidP="00077D40">
      <w:pPr>
        <w:pStyle w:val="SingleTxtG"/>
        <w:spacing w:before="120"/>
        <w:rPr>
          <w:i/>
          <w:iCs/>
        </w:rPr>
      </w:pPr>
      <w:r w:rsidRPr="00804977">
        <w:rPr>
          <w:i/>
          <w:iCs/>
        </w:rPr>
        <w:t>(Reference document: ST/SG/AC.10/C.3/20</w:t>
      </w:r>
      <w:r>
        <w:rPr>
          <w:i/>
          <w:iCs/>
        </w:rPr>
        <w:t>22</w:t>
      </w:r>
      <w:r w:rsidRPr="00804977">
        <w:rPr>
          <w:i/>
          <w:iCs/>
        </w:rPr>
        <w:t>/</w:t>
      </w:r>
      <w:r>
        <w:rPr>
          <w:i/>
          <w:iCs/>
        </w:rPr>
        <w:t>76, proposal 7</w:t>
      </w:r>
      <w:r w:rsidRPr="00804977">
        <w:rPr>
          <w:i/>
          <w:iCs/>
        </w:rPr>
        <w:t>)</w:t>
      </w:r>
    </w:p>
    <w:p w14:paraId="429FCDDD" w14:textId="77777777" w:rsidR="00077D40" w:rsidRPr="00EE5B5E" w:rsidRDefault="00077D40" w:rsidP="00077D40">
      <w:pPr>
        <w:pStyle w:val="SingleTxtG"/>
        <w:ind w:left="2268" w:hanging="1134"/>
      </w:pPr>
      <w:r w:rsidRPr="00EE5B5E">
        <w:t>4.1.4.1, P804</w:t>
      </w:r>
      <w:r w:rsidRPr="00EE5B5E">
        <w:tab/>
        <w:t>In (1), renumber the list with bullets as (a) to (c).</w:t>
      </w:r>
    </w:p>
    <w:p w14:paraId="07A9672A" w14:textId="77777777" w:rsidR="00077D40" w:rsidRPr="00EE5B5E" w:rsidRDefault="00077D40" w:rsidP="00077D40">
      <w:pPr>
        <w:pStyle w:val="SingleTxtG"/>
        <w:rPr>
          <w:i/>
          <w:iCs/>
        </w:rPr>
      </w:pPr>
      <w:r w:rsidRPr="00EE5B5E">
        <w:rPr>
          <w:i/>
          <w:iCs/>
        </w:rPr>
        <w:t>(Reference document: ST/SG/AC.10/C.3/2022/76, proposal 5)</w:t>
      </w:r>
    </w:p>
    <w:p w14:paraId="08E75B80" w14:textId="77777777" w:rsidR="00077D40" w:rsidRDefault="00077D40" w:rsidP="00077D40">
      <w:pPr>
        <w:pStyle w:val="SingleTxtG"/>
        <w:ind w:left="2268" w:hanging="1134"/>
      </w:pPr>
      <w:r w:rsidRPr="00EE5B5E">
        <w:t>4.1.4.1, P902</w:t>
      </w:r>
      <w:r w:rsidRPr="00EE5B5E">
        <w:tab/>
        <w:t>In the second row under the heading, insert “(1)” before “</w:t>
      </w:r>
      <w:r w:rsidRPr="00EE5B5E">
        <w:rPr>
          <w:b/>
          <w:bCs/>
        </w:rPr>
        <w:t>Packaged articles:</w:t>
      </w:r>
      <w:r w:rsidRPr="00EE5B5E">
        <w:t>” and remove the boldface, and insert “(2)” before “</w:t>
      </w:r>
      <w:r w:rsidRPr="00EE5B5E">
        <w:rPr>
          <w:b/>
          <w:bCs/>
        </w:rPr>
        <w:t>Unpackaged articles:</w:t>
      </w:r>
      <w:r w:rsidRPr="00EE5B5E">
        <w:t>” and remove the boldface.</w:t>
      </w:r>
    </w:p>
    <w:p w14:paraId="2EADFB8B" w14:textId="77777777" w:rsidR="00077D40" w:rsidRPr="00EE5B5E" w:rsidRDefault="00077D40" w:rsidP="00077D40">
      <w:pPr>
        <w:pStyle w:val="SingleTxtG"/>
        <w:ind w:left="2268" w:hanging="1134"/>
      </w:pPr>
      <w:r>
        <w:tab/>
        <w:t>Under “(2) Unpackaged articles:”, amend the beginning of the sentence to read “Except for UN 3559, the articles...”.</w:t>
      </w:r>
    </w:p>
    <w:p w14:paraId="6397C641" w14:textId="77777777" w:rsidR="00077D40" w:rsidRPr="00EE5B5E" w:rsidRDefault="00077D40" w:rsidP="00077D40">
      <w:pPr>
        <w:pStyle w:val="SingleTxtG"/>
        <w:rPr>
          <w:i/>
          <w:iCs/>
        </w:rPr>
      </w:pPr>
      <w:r w:rsidRPr="00EE5B5E">
        <w:rPr>
          <w:i/>
          <w:iCs/>
        </w:rPr>
        <w:t>(Reference document</w:t>
      </w:r>
      <w:r>
        <w:rPr>
          <w:i/>
          <w:iCs/>
        </w:rPr>
        <w:t>s</w:t>
      </w:r>
      <w:r w:rsidRPr="00EE5B5E">
        <w:rPr>
          <w:i/>
          <w:iCs/>
        </w:rPr>
        <w:t>: ST/SG/AC.10/C.3/2022/76, proposal 5</w:t>
      </w:r>
      <w:r>
        <w:rPr>
          <w:i/>
          <w:iCs/>
        </w:rPr>
        <w:t xml:space="preserve"> and informal document INF.53/Rev.1</w:t>
      </w:r>
      <w:r w:rsidRPr="00EE5B5E">
        <w:rPr>
          <w:i/>
          <w:iCs/>
        </w:rPr>
        <w:t>)</w:t>
      </w:r>
    </w:p>
    <w:p w14:paraId="509DA5BF" w14:textId="77777777" w:rsidR="00077D40" w:rsidRPr="00163701" w:rsidRDefault="00077D40" w:rsidP="00077D40">
      <w:pPr>
        <w:pStyle w:val="SingleTxtG"/>
        <w:ind w:left="2268" w:hanging="1134"/>
      </w:pPr>
      <w:r>
        <w:t>4.1.4.1, P904</w:t>
      </w:r>
      <w:r>
        <w:tab/>
        <w:t>In the additional requirement, delete the first line reading “</w:t>
      </w:r>
      <w:r w:rsidRPr="00083910">
        <w:rPr>
          <w:u w:val="single"/>
        </w:rPr>
        <w:t>Ice, dry ice and liquid nitrogen</w:t>
      </w:r>
      <w:r>
        <w:t>”.</w:t>
      </w:r>
    </w:p>
    <w:p w14:paraId="4AEC6D13" w14:textId="77777777" w:rsidR="00077D40" w:rsidRPr="00EE5B5E" w:rsidRDefault="00077D40" w:rsidP="00077D40">
      <w:pPr>
        <w:pStyle w:val="SingleTxtG"/>
        <w:rPr>
          <w:i/>
          <w:iCs/>
        </w:rPr>
      </w:pPr>
      <w:r w:rsidRPr="00EE5B5E">
        <w:rPr>
          <w:i/>
          <w:iCs/>
        </w:rPr>
        <w:t xml:space="preserve">(Reference document: ST/SG/AC.10/C.3/2022/76, proposal </w:t>
      </w:r>
      <w:r>
        <w:rPr>
          <w:i/>
          <w:iCs/>
        </w:rPr>
        <w:t>6</w:t>
      </w:r>
      <w:r w:rsidRPr="00EE5B5E">
        <w:rPr>
          <w:i/>
          <w:iCs/>
        </w:rPr>
        <w:t>)</w:t>
      </w:r>
    </w:p>
    <w:p w14:paraId="6B213FD3" w14:textId="77777777" w:rsidR="00077D40" w:rsidRPr="00EE5B5E" w:rsidRDefault="00077D40" w:rsidP="00077D40">
      <w:pPr>
        <w:pStyle w:val="SingleTxtG"/>
        <w:ind w:left="2268" w:hanging="1134"/>
      </w:pPr>
      <w:r w:rsidRPr="00EE5B5E">
        <w:t>4.1.4.1, P908</w:t>
      </w:r>
      <w:r w:rsidRPr="00EE5B5E">
        <w:tab/>
        <w:t>In the second row under the heading, before the numbered list, insert a new paragraph reading “Packagings shall also meet the following requirements:”. In the list, renumber 1. to 5. as (a) to (e).</w:t>
      </w:r>
    </w:p>
    <w:p w14:paraId="759A7E41" w14:textId="77777777" w:rsidR="00077D40" w:rsidRPr="00EE5B5E" w:rsidRDefault="00077D40" w:rsidP="00077D40">
      <w:pPr>
        <w:pStyle w:val="SingleTxtG"/>
        <w:rPr>
          <w:i/>
          <w:iCs/>
        </w:rPr>
      </w:pPr>
      <w:r w:rsidRPr="00EE5B5E">
        <w:rPr>
          <w:i/>
          <w:iCs/>
        </w:rPr>
        <w:t>(Reference document: ST/SG/AC.10/C.3/2022/76, proposal 5)</w:t>
      </w:r>
    </w:p>
    <w:p w14:paraId="42EA8683" w14:textId="77777777" w:rsidR="00077D40" w:rsidRPr="00EE5B5E" w:rsidRDefault="00077D40" w:rsidP="00077D40">
      <w:pPr>
        <w:pStyle w:val="SingleTxtG"/>
        <w:ind w:left="2268" w:hanging="1134"/>
      </w:pPr>
      <w:r w:rsidRPr="00EE5B5E">
        <w:t>4.1.4.1, P909</w:t>
      </w:r>
      <w:r w:rsidRPr="00EE5B5E">
        <w:tab/>
        <w:t>In additional requirement 2, renumber the list with bullets as (a) to (d).</w:t>
      </w:r>
    </w:p>
    <w:p w14:paraId="3A373604" w14:textId="77777777" w:rsidR="00077D40" w:rsidRPr="00EE5B5E" w:rsidRDefault="00077D40" w:rsidP="00077D40">
      <w:pPr>
        <w:pStyle w:val="SingleTxtG"/>
        <w:rPr>
          <w:i/>
          <w:iCs/>
        </w:rPr>
      </w:pPr>
      <w:r w:rsidRPr="00EE5B5E">
        <w:rPr>
          <w:i/>
          <w:iCs/>
        </w:rPr>
        <w:t>(Reference document: ST/SG/AC.10/C.3/2022/76, proposal 5)</w:t>
      </w:r>
    </w:p>
    <w:p w14:paraId="73201CE7" w14:textId="77777777" w:rsidR="00077D40" w:rsidRPr="00163701" w:rsidRDefault="00077D40" w:rsidP="00077D40">
      <w:pPr>
        <w:pStyle w:val="SingleTxtG"/>
        <w:ind w:left="2268" w:hanging="1134"/>
      </w:pPr>
      <w:r>
        <w:t>4.1.4.1, P910</w:t>
      </w:r>
      <w:r>
        <w:tab/>
        <w:t>In the additional requirement, at the end of the first sentence, replace the semicolon by a full stop and delete the paragraph break so that the first two sentences are displayed in a single paragraph.</w:t>
      </w:r>
    </w:p>
    <w:p w14:paraId="3201C7E0" w14:textId="77777777" w:rsidR="00077D40" w:rsidRPr="00EE5B5E" w:rsidRDefault="00077D40" w:rsidP="00077D40">
      <w:pPr>
        <w:pStyle w:val="SingleTxtG"/>
        <w:ind w:left="2268" w:hanging="1134"/>
      </w:pPr>
      <w:r w:rsidRPr="00EE5B5E">
        <w:tab/>
        <w:t>In the additional requirement, renumber the list with bullets as (a) to (d).</w:t>
      </w:r>
    </w:p>
    <w:p w14:paraId="095D9CE4" w14:textId="77777777" w:rsidR="00077D40" w:rsidRPr="00EE5B5E" w:rsidRDefault="00077D40" w:rsidP="00077D40">
      <w:pPr>
        <w:pStyle w:val="SingleTxtG"/>
        <w:rPr>
          <w:i/>
          <w:iCs/>
        </w:rPr>
      </w:pPr>
      <w:r w:rsidRPr="00EE5B5E">
        <w:rPr>
          <w:i/>
          <w:iCs/>
        </w:rPr>
        <w:t>(Reference document: ST/SG/AC.10/C.3/2022/76, proposal 5</w:t>
      </w:r>
      <w:r>
        <w:rPr>
          <w:i/>
          <w:iCs/>
        </w:rPr>
        <w:t xml:space="preserve"> and 10</w:t>
      </w:r>
      <w:r w:rsidRPr="00EE5B5E">
        <w:rPr>
          <w:i/>
          <w:iCs/>
        </w:rPr>
        <w:t>)</w:t>
      </w:r>
    </w:p>
    <w:p w14:paraId="6758995D" w14:textId="77777777" w:rsidR="00077D40" w:rsidRDefault="00077D40" w:rsidP="00077D40">
      <w:pPr>
        <w:pStyle w:val="SingleTxtG"/>
        <w:ind w:left="2268" w:hanging="1134"/>
      </w:pPr>
      <w:r>
        <w:t>4.1.4.1</w:t>
      </w:r>
      <w:r>
        <w:tab/>
        <w:t>Add the following new packing instruction:</w:t>
      </w:r>
    </w:p>
    <w:tbl>
      <w:tblPr>
        <w:tblW w:w="9636" w:type="dxa"/>
        <w:tblInd w:w="11" w:type="dxa"/>
        <w:tblLayout w:type="fixed"/>
        <w:tblCellMar>
          <w:left w:w="98" w:type="dxa"/>
          <w:right w:w="98" w:type="dxa"/>
        </w:tblCellMar>
        <w:tblLook w:val="0000" w:firstRow="0" w:lastRow="0" w:firstColumn="0" w:lastColumn="0" w:noHBand="0" w:noVBand="0"/>
      </w:tblPr>
      <w:tblGrid>
        <w:gridCol w:w="996"/>
        <w:gridCol w:w="7950"/>
        <w:gridCol w:w="690"/>
      </w:tblGrid>
      <w:tr w:rsidR="00077D40" w:rsidRPr="0080479F" w14:paraId="144BB38C" w14:textId="77777777" w:rsidTr="006932FB">
        <w:trPr>
          <w:cantSplit/>
          <w:trHeight w:val="284"/>
        </w:trPr>
        <w:tc>
          <w:tcPr>
            <w:tcW w:w="996" w:type="dxa"/>
            <w:tcBorders>
              <w:top w:val="single" w:sz="4" w:space="0" w:color="auto"/>
              <w:left w:val="single" w:sz="6" w:space="0" w:color="auto"/>
              <w:bottom w:val="single" w:sz="6" w:space="0" w:color="auto"/>
            </w:tcBorders>
            <w:tcMar>
              <w:left w:w="0" w:type="dxa"/>
              <w:right w:w="0" w:type="dxa"/>
            </w:tcMar>
          </w:tcPr>
          <w:p w14:paraId="4D006A03" w14:textId="77777777" w:rsidR="00077D40" w:rsidRPr="0080479F" w:rsidRDefault="00077D40" w:rsidP="006932FB">
            <w:pPr>
              <w:pStyle w:val="Heading9"/>
              <w:ind w:left="57" w:firstLine="82"/>
              <w:rPr>
                <w:b/>
                <w:bCs/>
              </w:rPr>
            </w:pPr>
            <w:r w:rsidRPr="0080479F">
              <w:rPr>
                <w:b/>
              </w:rPr>
              <w:t>P9</w:t>
            </w:r>
            <w:r>
              <w:rPr>
                <w:b/>
              </w:rPr>
              <w:t>12</w:t>
            </w:r>
          </w:p>
        </w:tc>
        <w:tc>
          <w:tcPr>
            <w:tcW w:w="7950" w:type="dxa"/>
            <w:tcBorders>
              <w:top w:val="single" w:sz="4" w:space="0" w:color="auto"/>
              <w:bottom w:val="single" w:sz="6" w:space="0" w:color="auto"/>
            </w:tcBorders>
            <w:tcMar>
              <w:left w:w="0" w:type="dxa"/>
              <w:right w:w="0" w:type="dxa"/>
            </w:tcMar>
          </w:tcPr>
          <w:p w14:paraId="23EFDE24" w14:textId="77777777" w:rsidR="00077D40" w:rsidRPr="0080479F" w:rsidRDefault="00077D40" w:rsidP="006932FB">
            <w:pPr>
              <w:pStyle w:val="Heading9"/>
              <w:ind w:left="6" w:hanging="6"/>
              <w:jc w:val="center"/>
              <w:rPr>
                <w:b/>
                <w:bCs/>
              </w:rPr>
            </w:pPr>
            <w:r w:rsidRPr="0080479F">
              <w:rPr>
                <w:b/>
              </w:rPr>
              <w:t xml:space="preserve">PACKING INSTRUCTION </w:t>
            </w:r>
          </w:p>
        </w:tc>
        <w:tc>
          <w:tcPr>
            <w:tcW w:w="690" w:type="dxa"/>
            <w:tcBorders>
              <w:top w:val="single" w:sz="4" w:space="0" w:color="auto"/>
              <w:bottom w:val="single" w:sz="6" w:space="0" w:color="auto"/>
              <w:right w:val="single" w:sz="6" w:space="0" w:color="auto"/>
            </w:tcBorders>
            <w:tcMar>
              <w:left w:w="0" w:type="dxa"/>
              <w:right w:w="0" w:type="dxa"/>
            </w:tcMar>
          </w:tcPr>
          <w:p w14:paraId="4429D7E1" w14:textId="77777777" w:rsidR="00077D40" w:rsidRPr="0080479F" w:rsidRDefault="00077D40" w:rsidP="006932FB">
            <w:pPr>
              <w:pStyle w:val="Heading9"/>
              <w:ind w:right="57"/>
              <w:jc w:val="right"/>
              <w:rPr>
                <w:b/>
                <w:bCs/>
              </w:rPr>
            </w:pPr>
            <w:r w:rsidRPr="0080479F">
              <w:rPr>
                <w:b/>
              </w:rPr>
              <w:t>P9</w:t>
            </w:r>
            <w:r>
              <w:rPr>
                <w:b/>
              </w:rPr>
              <w:t>12</w:t>
            </w:r>
          </w:p>
        </w:tc>
      </w:tr>
      <w:tr w:rsidR="00077D40" w:rsidRPr="0080479F" w14:paraId="59A8C8E8" w14:textId="77777777" w:rsidTr="006932FB">
        <w:trPr>
          <w:cantSplit/>
          <w:trHeight w:val="184"/>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733CF69" w14:textId="77777777" w:rsidR="00077D40" w:rsidRPr="0080479F" w:rsidRDefault="00077D40" w:rsidP="006932FB">
            <w:pPr>
              <w:pStyle w:val="Heading9"/>
              <w:spacing w:after="120"/>
              <w:ind w:left="142" w:right="142"/>
              <w:jc w:val="both"/>
              <w:rPr>
                <w:rFonts w:eastAsia="Calibri"/>
              </w:rPr>
            </w:pPr>
            <w:r w:rsidRPr="0080479F">
              <w:rPr>
                <w:rFonts w:eastAsia="Calibri"/>
              </w:rPr>
              <w:t>This packing instruction applies to UN No</w:t>
            </w:r>
            <w:r>
              <w:rPr>
                <w:rFonts w:eastAsia="Calibri"/>
              </w:rPr>
              <w:t>s</w:t>
            </w:r>
            <w:r w:rsidRPr="0080479F">
              <w:rPr>
                <w:rFonts w:eastAsia="Calibri"/>
              </w:rPr>
              <w:t>. 35</w:t>
            </w:r>
            <w:r>
              <w:rPr>
                <w:rFonts w:eastAsia="Calibri"/>
              </w:rPr>
              <w:t>56</w:t>
            </w:r>
            <w:r w:rsidRPr="0080479F">
              <w:rPr>
                <w:rFonts w:eastAsia="Calibri"/>
              </w:rPr>
              <w:t>, 35</w:t>
            </w:r>
            <w:r>
              <w:rPr>
                <w:rFonts w:eastAsia="Calibri"/>
              </w:rPr>
              <w:t>57</w:t>
            </w:r>
            <w:r w:rsidRPr="0080479F">
              <w:rPr>
                <w:rFonts w:eastAsia="Calibri"/>
              </w:rPr>
              <w:t xml:space="preserve"> and 35</w:t>
            </w:r>
            <w:r>
              <w:rPr>
                <w:rFonts w:eastAsia="Calibri"/>
              </w:rPr>
              <w:t>58</w:t>
            </w:r>
            <w:r w:rsidRPr="0080479F">
              <w:rPr>
                <w:rFonts w:eastAsia="Calibri"/>
              </w:rPr>
              <w:t>.</w:t>
            </w:r>
          </w:p>
        </w:tc>
      </w:tr>
      <w:tr w:rsidR="00077D40" w:rsidRPr="0080479F" w14:paraId="744B4F00" w14:textId="77777777" w:rsidTr="006932FB">
        <w:trPr>
          <w:cantSplit/>
          <w:trHeight w:val="402"/>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B305D59" w14:textId="77777777" w:rsidR="00077D40" w:rsidRPr="0080479F" w:rsidRDefault="00077D40" w:rsidP="006932FB">
            <w:pPr>
              <w:suppressAutoHyphens w:val="0"/>
              <w:spacing w:after="120" w:line="240" w:lineRule="auto"/>
              <w:ind w:left="113" w:right="153"/>
              <w:jc w:val="both"/>
              <w:rPr>
                <w:rFonts w:eastAsia="Calibri"/>
              </w:rPr>
            </w:pPr>
            <w:r w:rsidRPr="0080479F">
              <w:rPr>
                <w:rFonts w:eastAsia="Calibri"/>
              </w:rPr>
              <w:t xml:space="preserve">The vehicle shall be secured in a strong, rigid outer packaging </w:t>
            </w:r>
            <w:r w:rsidRPr="0080479F">
              <w:rPr>
                <w:rFonts w:ascii="TimesNewRomanPSMT" w:hAnsi="TimesNewRomanPSMT" w:cs="TimesNewRomanPSMT"/>
              </w:rPr>
              <w:t xml:space="preserve">constructed of suitable material, and of adequate strength and design in relation to the packaging capacity and its intended use. </w:t>
            </w:r>
            <w:r>
              <w:rPr>
                <w:rFonts w:ascii="TimesNewRomanPSMT" w:hAnsi="TimesNewRomanPSMT" w:cs="TimesNewRomanPSMT"/>
              </w:rPr>
              <w:t>It</w:t>
            </w:r>
            <w:r w:rsidRPr="0080479F">
              <w:rPr>
                <w:rFonts w:ascii="TimesNewRomanPSMT" w:hAnsi="TimesNewRomanPSMT" w:cs="TimesNewRomanPSMT"/>
              </w:rPr>
              <w:t xml:space="preserve"> shall be constructed in such a manner as to prevent accidental operation during transport. Packagings need not meet the requirements of 4.1.1.3.</w:t>
            </w:r>
            <w:r w:rsidRPr="0080479F">
              <w:rPr>
                <w:rFonts w:eastAsia="Calibri"/>
              </w:rPr>
              <w:t xml:space="preserve"> The vehicle shall be secured by means capable of restraining the vehicle in the outer packaging to prevent any movement during transport which would change the orientation or cause the battery in the vehicle to be damaged. </w:t>
            </w:r>
          </w:p>
          <w:p w14:paraId="4979FCD8" w14:textId="77777777" w:rsidR="00077D40" w:rsidRPr="00304EA6" w:rsidRDefault="00077D40" w:rsidP="006932FB">
            <w:pPr>
              <w:suppressAutoHyphens w:val="0"/>
              <w:spacing w:after="120" w:line="240" w:lineRule="auto"/>
              <w:ind w:left="113" w:right="153"/>
              <w:jc w:val="both"/>
              <w:rPr>
                <w:rFonts w:eastAsia="Calibri"/>
              </w:rPr>
            </w:pPr>
            <w:r w:rsidRPr="00304EA6">
              <w:rPr>
                <w:rFonts w:eastAsia="Calibri"/>
              </w:rPr>
              <w:t>Vehicles transported in a packaging may have some parts of the vehicle, other than the battery, detached from its frame to fit into the packaging.</w:t>
            </w:r>
          </w:p>
          <w:p w14:paraId="67E5B851" w14:textId="77777777" w:rsidR="00077D40" w:rsidRPr="0080479F" w:rsidRDefault="00077D40" w:rsidP="006932FB">
            <w:pPr>
              <w:suppressAutoHyphens w:val="0"/>
              <w:spacing w:after="120" w:line="240" w:lineRule="auto"/>
              <w:ind w:left="113" w:right="153"/>
              <w:jc w:val="both"/>
              <w:rPr>
                <w:rFonts w:eastAsia="Calibri"/>
                <w:i/>
                <w:iCs/>
              </w:rPr>
            </w:pPr>
            <w:r w:rsidRPr="0080479F">
              <w:rPr>
                <w:rFonts w:eastAsia="Calibri"/>
                <w:b/>
                <w:bCs/>
                <w:i/>
                <w:iCs/>
              </w:rPr>
              <w:t>NOTE:</w:t>
            </w:r>
            <w:r w:rsidRPr="0080479F">
              <w:rPr>
                <w:rFonts w:eastAsia="Calibri"/>
                <w:i/>
                <w:iCs/>
              </w:rPr>
              <w:t xml:space="preserve"> The packagings may exceed a net mass of 400 kg (see 4.1.3.3).</w:t>
            </w:r>
          </w:p>
          <w:p w14:paraId="72DCF10F" w14:textId="77777777" w:rsidR="00077D40" w:rsidRPr="0080479F" w:rsidRDefault="00077D40" w:rsidP="006932FB">
            <w:pPr>
              <w:suppressAutoHyphens w:val="0"/>
              <w:spacing w:after="120" w:line="240" w:lineRule="auto"/>
              <w:ind w:left="113" w:right="153"/>
              <w:jc w:val="both"/>
              <w:rPr>
                <w:rFonts w:eastAsia="Calibri"/>
              </w:rPr>
            </w:pPr>
            <w:r w:rsidRPr="0080479F">
              <w:rPr>
                <w:rFonts w:eastAsia="Calibri"/>
              </w:rPr>
              <w:t>Vehicles with an individual net mass of 30 kg or more:</w:t>
            </w:r>
          </w:p>
          <w:p w14:paraId="2118D366" w14:textId="77777777" w:rsidR="00077D40" w:rsidRPr="0080479F" w:rsidRDefault="00077D40" w:rsidP="00077D40">
            <w:pPr>
              <w:pStyle w:val="ListParagraph"/>
              <w:numPr>
                <w:ilvl w:val="0"/>
                <w:numId w:val="28"/>
              </w:numPr>
              <w:suppressAutoHyphens w:val="0"/>
              <w:autoSpaceDE w:val="0"/>
              <w:autoSpaceDN w:val="0"/>
              <w:adjustRightInd w:val="0"/>
              <w:spacing w:after="120" w:line="240" w:lineRule="auto"/>
              <w:ind w:left="470" w:right="153" w:hanging="357"/>
              <w:contextualSpacing w:val="0"/>
              <w:jc w:val="both"/>
              <w:rPr>
                <w:rFonts w:eastAsia="Calibri"/>
              </w:rPr>
            </w:pPr>
            <w:r w:rsidRPr="0080479F">
              <w:rPr>
                <w:rFonts w:eastAsia="Calibri"/>
              </w:rPr>
              <w:t>may be loaded into crates or secured to pallets; or</w:t>
            </w:r>
          </w:p>
          <w:p w14:paraId="5072A8C6" w14:textId="77777777" w:rsidR="00077D40" w:rsidRPr="0080479F" w:rsidRDefault="00077D40" w:rsidP="00077D40">
            <w:pPr>
              <w:pStyle w:val="ListParagraph"/>
              <w:numPr>
                <w:ilvl w:val="0"/>
                <w:numId w:val="28"/>
              </w:numPr>
              <w:suppressAutoHyphens w:val="0"/>
              <w:autoSpaceDE w:val="0"/>
              <w:autoSpaceDN w:val="0"/>
              <w:adjustRightInd w:val="0"/>
              <w:spacing w:after="120" w:line="240" w:lineRule="auto"/>
              <w:ind w:left="470" w:right="153" w:hanging="357"/>
              <w:contextualSpacing w:val="0"/>
              <w:jc w:val="both"/>
              <w:rPr>
                <w:rFonts w:eastAsia="Calibri"/>
              </w:rPr>
            </w:pPr>
            <w:r w:rsidRPr="0080479F">
              <w:rPr>
                <w:rFonts w:eastAsia="Calibri"/>
              </w:rPr>
              <w:t>may be transported unpackaged providing that the vehicle is capable of remaining upright during transport without additional support and the vehicle provides adequate protection to the battery so that no damage to the battery can occur; or</w:t>
            </w:r>
          </w:p>
          <w:p w14:paraId="59C1A106" w14:textId="77777777" w:rsidR="00077D40" w:rsidRPr="0080479F" w:rsidRDefault="00077D40" w:rsidP="00077D40">
            <w:pPr>
              <w:pStyle w:val="ListParagraph"/>
              <w:numPr>
                <w:ilvl w:val="0"/>
                <w:numId w:val="28"/>
              </w:numPr>
              <w:suppressAutoHyphens w:val="0"/>
              <w:autoSpaceDE w:val="0"/>
              <w:autoSpaceDN w:val="0"/>
              <w:adjustRightInd w:val="0"/>
              <w:spacing w:after="120" w:line="240" w:lineRule="auto"/>
              <w:ind w:left="470" w:right="153" w:hanging="357"/>
              <w:contextualSpacing w:val="0"/>
              <w:jc w:val="both"/>
              <w:rPr>
                <w:rFonts w:eastAsia="Calibri"/>
              </w:rPr>
            </w:pPr>
            <w:r w:rsidRPr="0080479F">
              <w:rPr>
                <w:rFonts w:eastAsia="Calibri"/>
              </w:rPr>
              <w:t>where the vehicle has the potential to topple over during transport (e.g. motor cycles), may be transported unpackaged in a cargo transport unit fitted out with the means to prevent toppling in transport, such as by the use of bracing, frames or racking.</w:t>
            </w:r>
          </w:p>
        </w:tc>
      </w:tr>
    </w:tbl>
    <w:p w14:paraId="08229B74" w14:textId="77777777" w:rsidR="00077D40" w:rsidRDefault="00077D40" w:rsidP="00077D40">
      <w:pPr>
        <w:pStyle w:val="SingleTxtG"/>
        <w:spacing w:before="120"/>
        <w:rPr>
          <w:i/>
          <w:iCs/>
        </w:rPr>
      </w:pPr>
      <w:r>
        <w:rPr>
          <w:i/>
          <w:iCs/>
        </w:rPr>
        <w:t>(Reference document: informal document INF.51/Rev.1, as amended for the English version)</w:t>
      </w:r>
    </w:p>
    <w:p w14:paraId="32B26CB6" w14:textId="77777777" w:rsidR="00077D40" w:rsidRPr="00EE5B5E" w:rsidRDefault="00077D40" w:rsidP="00077D40">
      <w:pPr>
        <w:pStyle w:val="SingleTxtG"/>
        <w:tabs>
          <w:tab w:val="left" w:pos="6521"/>
        </w:tabs>
        <w:ind w:left="2268" w:hanging="1134"/>
      </w:pPr>
      <w:r w:rsidRPr="00EE5B5E">
        <w:t>4.1.4.2, IBC02, IBC03, IBC05, IBC06, IBC07, IBC08, IBC100</w:t>
      </w:r>
      <w:r w:rsidRPr="00EE5B5E">
        <w:tab/>
        <w:t>Delete the numbers in front of the list in the row below the heading.</w:t>
      </w:r>
    </w:p>
    <w:p w14:paraId="0201451B" w14:textId="77777777" w:rsidR="00077D40" w:rsidRPr="00EE5B5E" w:rsidRDefault="00077D40" w:rsidP="00077D40">
      <w:pPr>
        <w:pStyle w:val="SingleTxtG"/>
        <w:rPr>
          <w:i/>
          <w:iCs/>
        </w:rPr>
      </w:pPr>
      <w:r w:rsidRPr="00EE5B5E">
        <w:rPr>
          <w:i/>
          <w:iCs/>
        </w:rPr>
        <w:t>(Reference document: ST/SG/AC.10/C.3/2022/76, proposal 5)</w:t>
      </w:r>
    </w:p>
    <w:p w14:paraId="05C4DF20" w14:textId="77777777" w:rsidR="00077D40" w:rsidRPr="00163701" w:rsidRDefault="00077D40" w:rsidP="00077D40">
      <w:pPr>
        <w:pStyle w:val="SingleTxtG"/>
        <w:ind w:left="2268" w:hanging="1134"/>
      </w:pPr>
      <w:r>
        <w:t>4.1.4.2, IBC520</w:t>
      </w:r>
      <w:r>
        <w:tab/>
        <w:t>For UN 3109, in the entry for “</w:t>
      </w:r>
      <w:r w:rsidRPr="006565BC">
        <w:t>tert-Butyl hydroperoxide, not more than 72 % with water</w:t>
      </w:r>
      <w:r>
        <w:t>”, remove the horizontal line between the rows for IBC types “31A” and “31HA1”.</w:t>
      </w:r>
    </w:p>
    <w:p w14:paraId="6CB07896" w14:textId="77777777" w:rsidR="00077D40" w:rsidRPr="00EE5B5E" w:rsidRDefault="00077D40" w:rsidP="00077D40">
      <w:pPr>
        <w:pStyle w:val="SingleTxtG"/>
        <w:rPr>
          <w:i/>
          <w:iCs/>
        </w:rPr>
      </w:pPr>
      <w:r w:rsidRPr="00EE5B5E">
        <w:rPr>
          <w:i/>
          <w:iCs/>
        </w:rPr>
        <w:t xml:space="preserve">(Reference document: ST/SG/AC.10/C.3/2022/76, proposal </w:t>
      </w:r>
      <w:r>
        <w:rPr>
          <w:i/>
          <w:iCs/>
        </w:rPr>
        <w:t>10</w:t>
      </w:r>
      <w:r w:rsidRPr="00EE5B5E">
        <w:rPr>
          <w:i/>
          <w:iCs/>
        </w:rPr>
        <w:t>)</w:t>
      </w:r>
    </w:p>
    <w:p w14:paraId="490EF889" w14:textId="77777777" w:rsidR="00077D40" w:rsidRDefault="00077D40" w:rsidP="00077D40">
      <w:pPr>
        <w:pStyle w:val="SingleTxtG"/>
        <w:ind w:left="2268" w:hanging="1134"/>
        <w:rPr>
          <w:lang w:val="en-US"/>
        </w:rPr>
      </w:pPr>
      <w:r>
        <w:rPr>
          <w:lang w:val="en-US"/>
        </w:rPr>
        <w:t>4.1.4.3, LP02 and LP906</w:t>
      </w:r>
      <w:r>
        <w:rPr>
          <w:lang w:val="en-US"/>
        </w:rPr>
        <w:tab/>
        <w:t>Place the footnotes directly below the packing instruction, in those pages in which they appear.</w:t>
      </w:r>
    </w:p>
    <w:p w14:paraId="5E61799B" w14:textId="77777777" w:rsidR="00077D40" w:rsidRPr="00843762" w:rsidRDefault="00077D40" w:rsidP="00077D40">
      <w:pPr>
        <w:pStyle w:val="SingleTxtG"/>
        <w:rPr>
          <w:i/>
          <w:iCs/>
        </w:rPr>
      </w:pPr>
      <w:r w:rsidRPr="00804977">
        <w:rPr>
          <w:i/>
          <w:iCs/>
        </w:rPr>
        <w:t>(Reference document: ST/SG/AC.10/C.3/20</w:t>
      </w:r>
      <w:r>
        <w:rPr>
          <w:i/>
          <w:iCs/>
        </w:rPr>
        <w:t>22</w:t>
      </w:r>
      <w:r w:rsidRPr="00804977">
        <w:rPr>
          <w:i/>
          <w:iCs/>
        </w:rPr>
        <w:t>/</w:t>
      </w:r>
      <w:r>
        <w:rPr>
          <w:i/>
          <w:iCs/>
        </w:rPr>
        <w:t>76, proposal 3</w:t>
      </w:r>
      <w:r w:rsidRPr="00804977">
        <w:rPr>
          <w:i/>
          <w:iCs/>
        </w:rPr>
        <w:t>)</w:t>
      </w:r>
    </w:p>
    <w:p w14:paraId="5C832758" w14:textId="77777777" w:rsidR="00077D40" w:rsidRPr="00EE5B5E" w:rsidRDefault="00077D40" w:rsidP="00077D40">
      <w:pPr>
        <w:pStyle w:val="SingleTxtG"/>
        <w:ind w:left="2268" w:hanging="1134"/>
      </w:pPr>
      <w:r w:rsidRPr="00EE5B5E">
        <w:t>4.1.4.3, LP902</w:t>
      </w:r>
      <w:r w:rsidRPr="00EE5B5E">
        <w:tab/>
        <w:t>In the second row under the heading, insert “(1)” before “</w:t>
      </w:r>
      <w:r w:rsidRPr="00EE5B5E">
        <w:rPr>
          <w:b/>
          <w:bCs/>
        </w:rPr>
        <w:t>Packaged articles:</w:t>
      </w:r>
      <w:r w:rsidRPr="00EE5B5E">
        <w:t>” and remove the boldface, and insert “(2)” before “</w:t>
      </w:r>
      <w:r w:rsidRPr="00EE5B5E">
        <w:rPr>
          <w:b/>
          <w:bCs/>
        </w:rPr>
        <w:t>Unpackaged articles:</w:t>
      </w:r>
      <w:r w:rsidRPr="00EE5B5E">
        <w:t>” and remove the boldface.</w:t>
      </w:r>
    </w:p>
    <w:p w14:paraId="2E89345C" w14:textId="77777777" w:rsidR="00077D40" w:rsidRPr="00EE5B5E" w:rsidRDefault="00077D40" w:rsidP="00077D40">
      <w:pPr>
        <w:pStyle w:val="SingleTxtG"/>
        <w:rPr>
          <w:i/>
          <w:iCs/>
        </w:rPr>
      </w:pPr>
      <w:r w:rsidRPr="00EE5B5E">
        <w:rPr>
          <w:i/>
          <w:iCs/>
        </w:rPr>
        <w:t>(Reference document: ST/SG/AC.10/C.3/2022/76, proposal 5)</w:t>
      </w:r>
    </w:p>
    <w:p w14:paraId="60AA7BA5" w14:textId="77777777" w:rsidR="00077D40" w:rsidRPr="00EE5B5E" w:rsidRDefault="00077D40" w:rsidP="00077D40">
      <w:pPr>
        <w:pStyle w:val="SingleTxtG"/>
        <w:ind w:left="2268" w:hanging="1134"/>
      </w:pPr>
      <w:r w:rsidRPr="00EE5B5E">
        <w:t>4.1.4.3, LP904</w:t>
      </w:r>
      <w:r w:rsidRPr="00EE5B5E">
        <w:tab/>
        <w:t>In the second row under the heading, before the numbered list, insert a new paragraph reading “Large packagings shall also meet the following requirements:”. In the list, renumber 1. to 5. as (a) to (e).</w:t>
      </w:r>
    </w:p>
    <w:p w14:paraId="07565B10" w14:textId="77777777" w:rsidR="00077D40" w:rsidRPr="00EE5B5E" w:rsidRDefault="00077D40" w:rsidP="00077D40">
      <w:pPr>
        <w:pStyle w:val="SingleTxtG"/>
        <w:rPr>
          <w:i/>
          <w:iCs/>
        </w:rPr>
      </w:pPr>
      <w:r w:rsidRPr="00EE5B5E">
        <w:rPr>
          <w:i/>
          <w:iCs/>
        </w:rPr>
        <w:t>(Reference document: ST/SG/AC.10/C.3/2022/76, proposal 5)</w:t>
      </w:r>
    </w:p>
    <w:p w14:paraId="16F01A6E" w14:textId="77777777" w:rsidR="00077D40" w:rsidRPr="00163701" w:rsidRDefault="00077D40" w:rsidP="00077D40">
      <w:pPr>
        <w:pStyle w:val="SingleTxtG"/>
        <w:ind w:left="2268" w:hanging="1134"/>
      </w:pPr>
      <w:r>
        <w:t>4.1.4.3, LP906</w:t>
      </w:r>
      <w:r>
        <w:tab/>
        <w:t>In the second row under the heading, in the second sentence, replace “For a batteries” by “For batteries”.</w:t>
      </w:r>
    </w:p>
    <w:p w14:paraId="1432A87C" w14:textId="77777777" w:rsidR="00077D40" w:rsidRPr="00EE5B5E" w:rsidRDefault="00077D40" w:rsidP="00077D40">
      <w:pPr>
        <w:pStyle w:val="SingleTxtG"/>
        <w:rPr>
          <w:i/>
          <w:iCs/>
        </w:rPr>
      </w:pPr>
      <w:r w:rsidRPr="00EE5B5E">
        <w:rPr>
          <w:i/>
          <w:iCs/>
        </w:rPr>
        <w:t xml:space="preserve">(Reference document: ST/SG/AC.10/C.3/2022/76, proposal </w:t>
      </w:r>
      <w:r>
        <w:rPr>
          <w:i/>
          <w:iCs/>
        </w:rPr>
        <w:t>10</w:t>
      </w:r>
      <w:r w:rsidRPr="00EE5B5E">
        <w:rPr>
          <w:i/>
          <w:iCs/>
        </w:rPr>
        <w:t>)</w:t>
      </w:r>
    </w:p>
    <w:p w14:paraId="76764B33" w14:textId="77777777" w:rsidR="00077D40" w:rsidRDefault="00077D40" w:rsidP="0076698F">
      <w:pPr>
        <w:pStyle w:val="H1G"/>
        <w:spacing w:before="240" w:after="120"/>
      </w:pPr>
      <w:r>
        <w:tab/>
      </w:r>
      <w:r>
        <w:tab/>
        <w:t>Chapter 4.2</w:t>
      </w:r>
    </w:p>
    <w:p w14:paraId="332FDF89" w14:textId="77777777" w:rsidR="00077D40" w:rsidRDefault="00077D40" w:rsidP="00077D40">
      <w:pPr>
        <w:pStyle w:val="SingleTxtG"/>
        <w:ind w:left="2268" w:hanging="1134"/>
      </w:pPr>
      <w:r>
        <w:t>4.2.5.3</w:t>
      </w:r>
      <w:r>
        <w:tab/>
        <w:t>Add the following new portable tank special provision:</w:t>
      </w:r>
    </w:p>
    <w:p w14:paraId="4E9F55EC" w14:textId="77777777" w:rsidR="00077D40" w:rsidRDefault="00077D40" w:rsidP="00077D40">
      <w:pPr>
        <w:pStyle w:val="SingleTxtG"/>
        <w:ind w:left="2268" w:hanging="1134"/>
      </w:pPr>
      <w:r>
        <w:t>“TP42</w:t>
      </w:r>
      <w:r>
        <w:tab/>
        <w:t>Portable tanks are not authorized for the transport of caesium or rubidium dispersions.”</w:t>
      </w:r>
    </w:p>
    <w:p w14:paraId="51B01FB1" w14:textId="77777777" w:rsidR="00077D40" w:rsidRDefault="00077D40" w:rsidP="00077D40">
      <w:pPr>
        <w:pStyle w:val="SingleTxtG"/>
        <w:rPr>
          <w:i/>
          <w:iCs/>
        </w:rPr>
      </w:pPr>
      <w:r>
        <w:rPr>
          <w:i/>
          <w:iCs/>
        </w:rPr>
        <w:t>(Reference document: informal document INF.56)</w:t>
      </w:r>
    </w:p>
    <w:p w14:paraId="6CBCA4C9" w14:textId="77777777" w:rsidR="00077D40" w:rsidRPr="00FF3E52" w:rsidRDefault="00077D40" w:rsidP="0076698F">
      <w:pPr>
        <w:pStyle w:val="H1G"/>
        <w:spacing w:before="240" w:after="120"/>
      </w:pPr>
      <w:r>
        <w:tab/>
      </w:r>
      <w:r>
        <w:tab/>
        <w:t>Chapter 6.2</w:t>
      </w:r>
    </w:p>
    <w:p w14:paraId="1C0AAAE8" w14:textId="77777777" w:rsidR="00077D40" w:rsidRPr="00163701" w:rsidRDefault="00077D40" w:rsidP="00077D40">
      <w:pPr>
        <w:pStyle w:val="SingleTxtG"/>
        <w:ind w:left="2268" w:hanging="1134"/>
      </w:pPr>
      <w:r w:rsidRPr="00126D2E">
        <w:t>6.2.1.6.1</w:t>
      </w:r>
      <w:r>
        <w:tab/>
        <w:t xml:space="preserve">In </w:t>
      </w:r>
      <w:r w:rsidRPr="00126D2E">
        <w:t>(d)</w:t>
      </w:r>
      <w:r>
        <w:t>,</w:t>
      </w:r>
      <w:r w:rsidRPr="00126D2E">
        <w:t xml:space="preserve"> replace “ISO 10461:2005 + A1:2006” by “ISO 10461:2005 + Amd:2006”</w:t>
      </w:r>
      <w:r>
        <w:t>.</w:t>
      </w:r>
    </w:p>
    <w:p w14:paraId="604B51BB" w14:textId="77777777" w:rsidR="00077D40" w:rsidRPr="00843762" w:rsidRDefault="00077D40" w:rsidP="00077D40">
      <w:pPr>
        <w:pStyle w:val="SingleTxtG"/>
        <w:rPr>
          <w:i/>
          <w:iCs/>
        </w:rPr>
      </w:pPr>
      <w:r w:rsidRPr="00804977">
        <w:rPr>
          <w:i/>
          <w:iCs/>
        </w:rPr>
        <w:t>(Reference document: ST/SG/AC.10/C.3/20</w:t>
      </w:r>
      <w:r>
        <w:rPr>
          <w:i/>
          <w:iCs/>
        </w:rPr>
        <w:t>22</w:t>
      </w:r>
      <w:r w:rsidRPr="00804977">
        <w:rPr>
          <w:i/>
          <w:iCs/>
        </w:rPr>
        <w:t>/</w:t>
      </w:r>
      <w:r>
        <w:rPr>
          <w:i/>
          <w:iCs/>
        </w:rPr>
        <w:t>60, proposal on editorial amendments</w:t>
      </w:r>
      <w:r w:rsidRPr="00804977">
        <w:rPr>
          <w:i/>
          <w:iCs/>
        </w:rPr>
        <w:t>)</w:t>
      </w:r>
    </w:p>
    <w:p w14:paraId="448B6FC4" w14:textId="77777777" w:rsidR="00077D40" w:rsidRPr="00163701" w:rsidRDefault="00077D40" w:rsidP="00077D40">
      <w:pPr>
        <w:pStyle w:val="SingleTxtG"/>
        <w:ind w:left="2268" w:hanging="1134"/>
      </w:pPr>
      <w:r w:rsidRPr="00126D2E">
        <w:t>6.2.</w:t>
      </w:r>
      <w:r>
        <w:t>2.1.1</w:t>
      </w:r>
      <w:r>
        <w:tab/>
      </w:r>
      <w:r w:rsidRPr="001C5029">
        <w:t xml:space="preserve">In the table, in the row for ISO </w:t>
      </w:r>
      <w:r>
        <w:t>9809-4:2014</w:t>
      </w:r>
      <w:r w:rsidRPr="001C5029">
        <w:t>, replace “Until further notice” by “Until 31 December 202</w:t>
      </w:r>
      <w:r>
        <w:t>8</w:t>
      </w:r>
      <w:r w:rsidRPr="001C5029">
        <w:t>”. Add a new row beneath this row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820"/>
        <w:gridCol w:w="1275"/>
      </w:tblGrid>
      <w:tr w:rsidR="00077D40" w14:paraId="25D37D9E" w14:textId="77777777" w:rsidTr="006932FB">
        <w:tc>
          <w:tcPr>
            <w:tcW w:w="1271" w:type="dxa"/>
            <w:tcBorders>
              <w:top w:val="single" w:sz="4" w:space="0" w:color="auto"/>
              <w:left w:val="single" w:sz="4" w:space="0" w:color="auto"/>
              <w:bottom w:val="single" w:sz="4" w:space="0" w:color="auto"/>
              <w:right w:val="single" w:sz="4" w:space="0" w:color="auto"/>
            </w:tcBorders>
            <w:hideMark/>
          </w:tcPr>
          <w:p w14:paraId="344B7D35" w14:textId="77777777" w:rsidR="00077D40" w:rsidRDefault="00077D40" w:rsidP="006932FB">
            <w:r>
              <w:t xml:space="preserve">ISO 9809-4:2021 </w:t>
            </w:r>
          </w:p>
        </w:tc>
        <w:tc>
          <w:tcPr>
            <w:tcW w:w="4820" w:type="dxa"/>
            <w:tcBorders>
              <w:top w:val="single" w:sz="4" w:space="0" w:color="auto"/>
              <w:left w:val="single" w:sz="4" w:space="0" w:color="auto"/>
              <w:bottom w:val="single" w:sz="4" w:space="0" w:color="auto"/>
              <w:right w:val="single" w:sz="4" w:space="0" w:color="auto"/>
            </w:tcBorders>
            <w:hideMark/>
          </w:tcPr>
          <w:p w14:paraId="4F0F2D46" w14:textId="77777777" w:rsidR="00077D40" w:rsidRDefault="00077D40" w:rsidP="006932FB">
            <w:pPr>
              <w:jc w:val="both"/>
              <w:rPr>
                <w:iCs/>
                <w:color w:val="000000"/>
              </w:rPr>
            </w:pPr>
            <w:r>
              <w:rPr>
                <w:iCs/>
                <w:color w:val="000000"/>
              </w:rPr>
              <w:t>Gas cylinders – Design, construction and testing of refillable seamless steel gas cylinders and tubes – Part 4: Stainless steel cylinders with an Rm value of less than 1 100 MPa</w:t>
            </w:r>
          </w:p>
          <w:p w14:paraId="1448BA2A" w14:textId="77777777" w:rsidR="00077D40" w:rsidRDefault="00077D40" w:rsidP="006932FB">
            <w:pPr>
              <w:jc w:val="both"/>
              <w:rPr>
                <w:i/>
              </w:rPr>
            </w:pPr>
            <w:r>
              <w:rPr>
                <w:b/>
                <w:bCs/>
                <w:i/>
                <w:color w:val="000000"/>
              </w:rPr>
              <w:t>NOTE:</w:t>
            </w:r>
            <w:r>
              <w:rPr>
                <w:i/>
                <w:color w:val="000000"/>
              </w:rPr>
              <w:t xml:space="preserve"> Small quantities are a batch of cylinders not exceeding 200 </w:t>
            </w:r>
          </w:p>
        </w:tc>
        <w:tc>
          <w:tcPr>
            <w:tcW w:w="1275" w:type="dxa"/>
            <w:tcBorders>
              <w:top w:val="single" w:sz="4" w:space="0" w:color="auto"/>
              <w:left w:val="single" w:sz="4" w:space="0" w:color="auto"/>
              <w:bottom w:val="single" w:sz="4" w:space="0" w:color="auto"/>
              <w:right w:val="single" w:sz="4" w:space="0" w:color="auto"/>
            </w:tcBorders>
            <w:hideMark/>
          </w:tcPr>
          <w:p w14:paraId="451A87AB" w14:textId="77777777" w:rsidR="00077D40" w:rsidRDefault="00077D40" w:rsidP="006932FB">
            <w:r>
              <w:t>Until further notice</w:t>
            </w:r>
          </w:p>
        </w:tc>
      </w:tr>
    </w:tbl>
    <w:p w14:paraId="3D86EFB7" w14:textId="77777777" w:rsidR="00077D40" w:rsidRPr="00843762" w:rsidRDefault="00077D40" w:rsidP="00077D40">
      <w:pPr>
        <w:pStyle w:val="SingleTxtG"/>
        <w:spacing w:before="120"/>
        <w:rPr>
          <w:i/>
          <w:iCs/>
        </w:rPr>
      </w:pPr>
      <w:r w:rsidRPr="00804977">
        <w:rPr>
          <w:i/>
          <w:iCs/>
        </w:rPr>
        <w:t xml:space="preserve"> (Reference document: ST/SG/AC.10/C.3/20</w:t>
      </w:r>
      <w:r>
        <w:rPr>
          <w:i/>
          <w:iCs/>
        </w:rPr>
        <w:t>22</w:t>
      </w:r>
      <w:r w:rsidRPr="00804977">
        <w:rPr>
          <w:i/>
          <w:iCs/>
        </w:rPr>
        <w:t>/</w:t>
      </w:r>
      <w:r>
        <w:rPr>
          <w:i/>
          <w:iCs/>
        </w:rPr>
        <w:t>60, proposal 1</w:t>
      </w:r>
      <w:r w:rsidRPr="00804977">
        <w:rPr>
          <w:i/>
          <w:iCs/>
        </w:rPr>
        <w:t>)</w:t>
      </w:r>
    </w:p>
    <w:p w14:paraId="7CA706BC" w14:textId="77777777" w:rsidR="00077D40" w:rsidRDefault="00077D40" w:rsidP="00077D40">
      <w:pPr>
        <w:pStyle w:val="SingleTxtG"/>
        <w:ind w:left="2268" w:hanging="1134"/>
      </w:pPr>
      <w:r w:rsidRPr="00126D2E">
        <w:t>6.2.</w:t>
      </w:r>
      <w:r>
        <w:t>2.1.1 and 6.2.2.1.2</w:t>
      </w:r>
      <w:r>
        <w:tab/>
      </w:r>
      <w:r w:rsidRPr="001C5029">
        <w:t>In the table</w:t>
      </w:r>
      <w:r>
        <w:t>:</w:t>
      </w:r>
    </w:p>
    <w:p w14:paraId="2EBA5089" w14:textId="77777777" w:rsidR="00077D40" w:rsidRPr="00163701" w:rsidRDefault="00077D40" w:rsidP="00077D40">
      <w:pPr>
        <w:pStyle w:val="SingleTxtG"/>
        <w:ind w:left="2268" w:hanging="1134"/>
      </w:pPr>
      <w:r>
        <w:tab/>
        <w:t>-</w:t>
      </w:r>
      <w:r w:rsidRPr="001C5029">
        <w:t xml:space="preserve"> </w:t>
      </w:r>
      <w:r>
        <w:t>I</w:t>
      </w:r>
      <w:r w:rsidRPr="001C5029">
        <w:t xml:space="preserve">n the row for ISO </w:t>
      </w:r>
      <w:r w:rsidRPr="00516324">
        <w:t>11119</w:t>
      </w:r>
      <w:r w:rsidRPr="00BB2CEF">
        <w:t>-1:2012</w:t>
      </w:r>
      <w:r w:rsidRPr="001C5029">
        <w:t>, replace “Until further notice” by “Until 31 December 202</w:t>
      </w:r>
      <w:r>
        <w:t>8</w:t>
      </w:r>
      <w:r w:rsidRPr="001C5029">
        <w:t>”. Add a new row beneath this row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077D40" w:rsidRPr="00BB2CEF" w14:paraId="65EA6D86" w14:textId="77777777" w:rsidTr="006932FB">
        <w:tc>
          <w:tcPr>
            <w:tcW w:w="1544" w:type="dxa"/>
            <w:shd w:val="clear" w:color="auto" w:fill="auto"/>
          </w:tcPr>
          <w:p w14:paraId="3CB06386" w14:textId="77777777" w:rsidR="00077D40" w:rsidRPr="00BB2CEF" w:rsidRDefault="00077D40" w:rsidP="006932FB">
            <w:r w:rsidRPr="00BB2CEF">
              <w:t>ISO 11119-1:2020</w:t>
            </w:r>
          </w:p>
        </w:tc>
        <w:tc>
          <w:tcPr>
            <w:tcW w:w="4820" w:type="dxa"/>
            <w:shd w:val="clear" w:color="auto" w:fill="auto"/>
          </w:tcPr>
          <w:p w14:paraId="55E6D7A8" w14:textId="77777777" w:rsidR="00077D40" w:rsidRPr="00BB2CEF" w:rsidRDefault="00077D40" w:rsidP="006932FB">
            <w:pPr>
              <w:jc w:val="both"/>
            </w:pPr>
            <w:r w:rsidRPr="00BB2CEF">
              <w:rPr>
                <w:iCs/>
                <w:color w:val="000000"/>
              </w:rPr>
              <w:t>Gas cylinders — Design, construction and testing of refillable composite gas cylinders and tubes — Part 1: Hoop wrapped fibre reinforced composite gas cylinders and tubes up to 450 l</w:t>
            </w:r>
          </w:p>
        </w:tc>
        <w:tc>
          <w:tcPr>
            <w:tcW w:w="1275" w:type="dxa"/>
            <w:shd w:val="clear" w:color="auto" w:fill="auto"/>
          </w:tcPr>
          <w:p w14:paraId="13EC28EB" w14:textId="77777777" w:rsidR="00077D40" w:rsidRPr="00BB2CEF" w:rsidRDefault="00077D40" w:rsidP="006932FB">
            <w:r w:rsidRPr="00BB2CEF">
              <w:t>Until further notice</w:t>
            </w:r>
          </w:p>
        </w:tc>
      </w:tr>
    </w:tbl>
    <w:p w14:paraId="6D78A9AF" w14:textId="77777777" w:rsidR="00077D40" w:rsidRPr="00163701" w:rsidRDefault="00077D40" w:rsidP="00077D40">
      <w:pPr>
        <w:pStyle w:val="SingleTxtG"/>
        <w:spacing w:before="120"/>
        <w:ind w:left="2268" w:hanging="1134"/>
      </w:pPr>
      <w:r>
        <w:tab/>
        <w:t>-</w:t>
      </w:r>
      <w:r w:rsidRPr="001C5029">
        <w:t xml:space="preserve"> </w:t>
      </w:r>
      <w:r>
        <w:t>I</w:t>
      </w:r>
      <w:r w:rsidRPr="001C5029">
        <w:t xml:space="preserve">n the row for ISO </w:t>
      </w:r>
      <w:r w:rsidRPr="00516324">
        <w:t>11119</w:t>
      </w:r>
      <w:r w:rsidRPr="00BB2CEF">
        <w:t>-</w:t>
      </w:r>
      <w:r>
        <w:t>2</w:t>
      </w:r>
      <w:r w:rsidRPr="00BB2CEF">
        <w:t>:2012</w:t>
      </w:r>
      <w:r w:rsidRPr="001C5029">
        <w:t>, replace “Until further notice” by “Until 31 December 202</w:t>
      </w:r>
      <w:r>
        <w:t>8</w:t>
      </w:r>
      <w:r w:rsidRPr="001C5029">
        <w:t>”. Add a new row beneath this row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649"/>
        <w:gridCol w:w="1275"/>
      </w:tblGrid>
      <w:tr w:rsidR="00077D40" w:rsidRPr="00BB2CEF" w14:paraId="546DE953" w14:textId="77777777" w:rsidTr="006932FB">
        <w:tc>
          <w:tcPr>
            <w:tcW w:w="1555" w:type="dxa"/>
            <w:shd w:val="clear" w:color="auto" w:fill="auto"/>
          </w:tcPr>
          <w:p w14:paraId="49129004" w14:textId="77777777" w:rsidR="00077D40" w:rsidRPr="00BB2CEF" w:rsidRDefault="00077D40" w:rsidP="006932FB">
            <w:r w:rsidRPr="00BB2CEF">
              <w:t>ISO 11119-2:2020</w:t>
            </w:r>
          </w:p>
        </w:tc>
        <w:tc>
          <w:tcPr>
            <w:tcW w:w="4649" w:type="dxa"/>
            <w:shd w:val="clear" w:color="auto" w:fill="auto"/>
          </w:tcPr>
          <w:p w14:paraId="682BC397" w14:textId="77777777" w:rsidR="00077D40" w:rsidRPr="00BB2CEF" w:rsidRDefault="00077D40" w:rsidP="006932FB">
            <w:pPr>
              <w:jc w:val="both"/>
            </w:pPr>
            <w:r w:rsidRPr="00BB2CEF">
              <w:t>Gas cylinders — Design, construction and testing of refillable composite gas cylinders and tubes — Part 2: Fully wrapped fibre reinforced composite gas cylinders and tubes up to 450 l with load-sharing metal liners</w:t>
            </w:r>
          </w:p>
        </w:tc>
        <w:tc>
          <w:tcPr>
            <w:tcW w:w="1275" w:type="dxa"/>
            <w:shd w:val="clear" w:color="auto" w:fill="auto"/>
          </w:tcPr>
          <w:p w14:paraId="71FB6566" w14:textId="77777777" w:rsidR="00077D40" w:rsidRPr="00BB2CEF" w:rsidRDefault="00077D40" w:rsidP="006932FB">
            <w:r w:rsidRPr="00BB2CEF">
              <w:t>Until further notice</w:t>
            </w:r>
          </w:p>
        </w:tc>
      </w:tr>
    </w:tbl>
    <w:p w14:paraId="179CE4F4" w14:textId="77777777" w:rsidR="00077D40" w:rsidRPr="00163701" w:rsidRDefault="00077D40" w:rsidP="00077D40">
      <w:pPr>
        <w:pStyle w:val="SingleTxtG"/>
        <w:spacing w:before="120"/>
        <w:ind w:left="2268" w:hanging="1134"/>
      </w:pPr>
      <w:r>
        <w:tab/>
        <w:t>-</w:t>
      </w:r>
      <w:r w:rsidRPr="001C5029">
        <w:t xml:space="preserve"> </w:t>
      </w:r>
      <w:r>
        <w:t>I</w:t>
      </w:r>
      <w:r w:rsidRPr="001C5029">
        <w:t xml:space="preserve">n the row for ISO </w:t>
      </w:r>
      <w:r w:rsidRPr="00516324">
        <w:t>11119</w:t>
      </w:r>
      <w:r w:rsidRPr="00BB2CEF">
        <w:t>-</w:t>
      </w:r>
      <w:r>
        <w:t>3</w:t>
      </w:r>
      <w:r w:rsidRPr="00BB2CEF">
        <w:t>:201</w:t>
      </w:r>
      <w:r>
        <w:t>3</w:t>
      </w:r>
      <w:r w:rsidRPr="001C5029">
        <w:t>, replace “Until further notice” by “Until 31 December 202</w:t>
      </w:r>
      <w:r>
        <w:t>8</w:t>
      </w:r>
      <w:r w:rsidRPr="001C5029">
        <w:t>”. Add a new row beneath this row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077D40" w:rsidRPr="00BB2CEF" w14:paraId="422DC27E" w14:textId="77777777" w:rsidTr="006932FB">
        <w:tc>
          <w:tcPr>
            <w:tcW w:w="1544" w:type="dxa"/>
            <w:shd w:val="clear" w:color="auto" w:fill="auto"/>
          </w:tcPr>
          <w:p w14:paraId="79082946" w14:textId="77777777" w:rsidR="00077D40" w:rsidRPr="00BB2CEF" w:rsidRDefault="00077D40" w:rsidP="006932FB">
            <w:r w:rsidRPr="00BB2CEF">
              <w:t xml:space="preserve">ISO 11119-3:2020 </w:t>
            </w:r>
          </w:p>
        </w:tc>
        <w:tc>
          <w:tcPr>
            <w:tcW w:w="4820" w:type="dxa"/>
            <w:shd w:val="clear" w:color="auto" w:fill="auto"/>
          </w:tcPr>
          <w:p w14:paraId="49244AF4" w14:textId="77777777" w:rsidR="00077D40" w:rsidRPr="00BB2CEF" w:rsidRDefault="00077D40" w:rsidP="006932FB">
            <w:pPr>
              <w:jc w:val="both"/>
            </w:pPr>
            <w:r w:rsidRPr="00BB2CEF">
              <w:rPr>
                <w:iCs/>
                <w:color w:val="000000"/>
              </w:rPr>
              <w:t>Gas cylinders — Design, construction and testing of refillable composite gas cylinders and tubes — Part 3: Fully wrapped fibre reinforced composite gas cylinders and tubes up to 450 l with non-load-sharing metallic or non-metallic liners or without liners</w:t>
            </w:r>
          </w:p>
        </w:tc>
        <w:tc>
          <w:tcPr>
            <w:tcW w:w="1275" w:type="dxa"/>
            <w:shd w:val="clear" w:color="auto" w:fill="auto"/>
          </w:tcPr>
          <w:p w14:paraId="105C5B78" w14:textId="77777777" w:rsidR="00077D40" w:rsidRPr="00BB2CEF" w:rsidRDefault="00077D40" w:rsidP="006932FB">
            <w:r w:rsidRPr="00BB2CEF">
              <w:t>Until further notice</w:t>
            </w:r>
          </w:p>
        </w:tc>
      </w:tr>
    </w:tbl>
    <w:p w14:paraId="708B2294" w14:textId="77777777" w:rsidR="00077D40" w:rsidRPr="00843762" w:rsidRDefault="00077D40" w:rsidP="00077D40">
      <w:pPr>
        <w:pStyle w:val="SingleTxtG"/>
        <w:spacing w:before="120"/>
        <w:rPr>
          <w:i/>
          <w:iCs/>
        </w:rPr>
      </w:pPr>
      <w:r w:rsidRPr="00804977">
        <w:rPr>
          <w:i/>
          <w:iCs/>
        </w:rPr>
        <w:t>(Reference document: ST/SG/AC.10/C.3/20</w:t>
      </w:r>
      <w:r>
        <w:rPr>
          <w:i/>
          <w:iCs/>
        </w:rPr>
        <w:t>22</w:t>
      </w:r>
      <w:r w:rsidRPr="00804977">
        <w:rPr>
          <w:i/>
          <w:iCs/>
        </w:rPr>
        <w:t>/</w:t>
      </w:r>
      <w:r>
        <w:rPr>
          <w:i/>
          <w:iCs/>
        </w:rPr>
        <w:t>60, as amended</w:t>
      </w:r>
      <w:r w:rsidRPr="00804977">
        <w:rPr>
          <w:i/>
          <w:iCs/>
        </w:rPr>
        <w:t>)</w:t>
      </w:r>
    </w:p>
    <w:p w14:paraId="24BA7A8F" w14:textId="77777777" w:rsidR="00077D40" w:rsidRPr="00163701" w:rsidRDefault="00077D40" w:rsidP="00077D40">
      <w:pPr>
        <w:pStyle w:val="SingleTxtG"/>
        <w:ind w:left="2268" w:hanging="1134"/>
      </w:pPr>
      <w:r w:rsidRPr="00126D2E">
        <w:t>6.2.</w:t>
      </w:r>
      <w:r>
        <w:t>2.3</w:t>
      </w:r>
      <w:r>
        <w:tab/>
        <w:t>Add the following new row at the end of the first table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547"/>
        <w:gridCol w:w="1275"/>
      </w:tblGrid>
      <w:tr w:rsidR="00077D40" w14:paraId="41DB811E" w14:textId="77777777" w:rsidTr="006932FB">
        <w:tc>
          <w:tcPr>
            <w:tcW w:w="1544" w:type="dxa"/>
            <w:tcBorders>
              <w:top w:val="single" w:sz="4" w:space="0" w:color="auto"/>
              <w:left w:val="single" w:sz="4" w:space="0" w:color="auto"/>
              <w:bottom w:val="single" w:sz="4" w:space="0" w:color="auto"/>
              <w:right w:val="single" w:sz="4" w:space="0" w:color="auto"/>
            </w:tcBorders>
            <w:hideMark/>
          </w:tcPr>
          <w:p w14:paraId="20FC7DEB" w14:textId="77777777" w:rsidR="00077D40" w:rsidRDefault="00077D40" w:rsidP="006932FB">
            <w:r>
              <w:t>ISO </w:t>
            </w:r>
            <w:r>
              <w:rPr>
                <w:iCs/>
                <w:color w:val="000000"/>
              </w:rPr>
              <w:t>23826:2021</w:t>
            </w:r>
            <w:r>
              <w:t xml:space="preserve"> </w:t>
            </w:r>
          </w:p>
        </w:tc>
        <w:tc>
          <w:tcPr>
            <w:tcW w:w="4547" w:type="dxa"/>
            <w:tcBorders>
              <w:top w:val="single" w:sz="4" w:space="0" w:color="auto"/>
              <w:left w:val="single" w:sz="4" w:space="0" w:color="auto"/>
              <w:bottom w:val="single" w:sz="4" w:space="0" w:color="auto"/>
              <w:right w:val="single" w:sz="4" w:space="0" w:color="auto"/>
            </w:tcBorders>
            <w:hideMark/>
          </w:tcPr>
          <w:p w14:paraId="11775C2B" w14:textId="77777777" w:rsidR="00077D40" w:rsidRPr="007E2267" w:rsidRDefault="00077D40" w:rsidP="006932FB">
            <w:pPr>
              <w:jc w:val="both"/>
              <w:rPr>
                <w:iCs/>
                <w:color w:val="000000"/>
              </w:rPr>
            </w:pPr>
            <w:r>
              <w:rPr>
                <w:iCs/>
                <w:color w:val="000000"/>
              </w:rPr>
              <w:t>Gas cylinders – Ball valves – Specification and testing</w:t>
            </w:r>
          </w:p>
        </w:tc>
        <w:tc>
          <w:tcPr>
            <w:tcW w:w="1275" w:type="dxa"/>
            <w:tcBorders>
              <w:top w:val="single" w:sz="4" w:space="0" w:color="auto"/>
              <w:left w:val="single" w:sz="4" w:space="0" w:color="auto"/>
              <w:bottom w:val="single" w:sz="4" w:space="0" w:color="auto"/>
              <w:right w:val="single" w:sz="4" w:space="0" w:color="auto"/>
            </w:tcBorders>
            <w:hideMark/>
          </w:tcPr>
          <w:p w14:paraId="2B178F26" w14:textId="77777777" w:rsidR="00077D40" w:rsidRDefault="00077D40" w:rsidP="006932FB">
            <w:r>
              <w:t>Until further notice</w:t>
            </w:r>
          </w:p>
        </w:tc>
      </w:tr>
    </w:tbl>
    <w:p w14:paraId="1CF52D59" w14:textId="77777777" w:rsidR="00077D40" w:rsidRPr="00843762" w:rsidRDefault="00077D40" w:rsidP="00077D40">
      <w:pPr>
        <w:pStyle w:val="SingleTxtG"/>
        <w:spacing w:before="120"/>
        <w:rPr>
          <w:i/>
          <w:iCs/>
        </w:rPr>
      </w:pPr>
      <w:r w:rsidRPr="00804977">
        <w:rPr>
          <w:i/>
          <w:iCs/>
        </w:rPr>
        <w:t>(Reference document: ST/SG/AC.10/C.3/20</w:t>
      </w:r>
      <w:r>
        <w:rPr>
          <w:i/>
          <w:iCs/>
        </w:rPr>
        <w:t>22</w:t>
      </w:r>
      <w:r w:rsidRPr="00804977">
        <w:rPr>
          <w:i/>
          <w:iCs/>
        </w:rPr>
        <w:t>/</w:t>
      </w:r>
      <w:r>
        <w:rPr>
          <w:i/>
          <w:iCs/>
        </w:rPr>
        <w:t>60, proposal 2</w:t>
      </w:r>
      <w:r w:rsidRPr="00804977">
        <w:rPr>
          <w:i/>
          <w:iCs/>
        </w:rPr>
        <w:t>)</w:t>
      </w:r>
    </w:p>
    <w:p w14:paraId="04D973D2" w14:textId="77777777" w:rsidR="00077D40" w:rsidRDefault="00077D40" w:rsidP="0076698F">
      <w:pPr>
        <w:pStyle w:val="H1G"/>
        <w:spacing w:before="240" w:after="120"/>
      </w:pPr>
      <w:r>
        <w:tab/>
      </w:r>
      <w:r>
        <w:tab/>
        <w:t xml:space="preserve">Document </w:t>
      </w:r>
      <w:r w:rsidRPr="00400679">
        <w:t>ST/SG/AC.10/C.3/202</w:t>
      </w:r>
      <w:r>
        <w:t>2/75, Part I was adopted with the following modifications:</w:t>
      </w:r>
    </w:p>
    <w:p w14:paraId="253CF384" w14:textId="77777777" w:rsidR="00077D40" w:rsidRDefault="00077D40" w:rsidP="00077D40">
      <w:pPr>
        <w:pStyle w:val="SingleTxtG"/>
      </w:pPr>
      <w:r>
        <w:tab/>
        <w:t>Remove all the square brackets.</w:t>
      </w:r>
    </w:p>
    <w:p w14:paraId="2E56D995" w14:textId="77777777" w:rsidR="00077D40" w:rsidRPr="00B457A7" w:rsidRDefault="00077D40" w:rsidP="00077D40">
      <w:pPr>
        <w:pStyle w:val="SingleTxtG"/>
        <w:ind w:left="2268" w:hanging="1134"/>
      </w:pPr>
      <w:r>
        <w:t>2.9.2</w:t>
      </w:r>
      <w:r>
        <w:tab/>
        <w:t>In the new section for “</w:t>
      </w:r>
      <w:r>
        <w:rPr>
          <w:b/>
          <w:bCs/>
          <w:i/>
          <w:iCs/>
        </w:rPr>
        <w:t>Sodium ion batteries</w:t>
      </w:r>
      <w:r>
        <w:t>”, for UN 3552, modify the name to read “</w:t>
      </w:r>
      <w:r w:rsidRPr="002249D8">
        <w:rPr>
          <w:lang w:val="en-US"/>
        </w:rPr>
        <w:t>SODIUM</w:t>
      </w:r>
      <w:r w:rsidRPr="00C15BCD">
        <w:t xml:space="preserve"> ION BATTERIES CONTAINED IN EQUIPMENT or SODIUM ION BATTERIES PACKED WITH EQUIPMENT, with organic electrolyte</w:t>
      </w:r>
      <w:r>
        <w:t>”.</w:t>
      </w:r>
    </w:p>
    <w:p w14:paraId="54E5FFAC" w14:textId="77777777" w:rsidR="00077D40" w:rsidRDefault="00077D40" w:rsidP="00077D40">
      <w:pPr>
        <w:pStyle w:val="SingleTxtG"/>
      </w:pPr>
      <w:r>
        <w:t>In chapter 3.2, in the dangerous goods list:</w:t>
      </w:r>
    </w:p>
    <w:p w14:paraId="168E3B75" w14:textId="77777777" w:rsidR="00077D40" w:rsidRDefault="00077D40" w:rsidP="00077D40">
      <w:pPr>
        <w:pStyle w:val="SingleTxtG"/>
        <w:numPr>
          <w:ilvl w:val="0"/>
          <w:numId w:val="27"/>
        </w:numPr>
      </w:pPr>
      <w:r>
        <w:t>In the amendment to UN 1010, replace “XXX” by “402”.</w:t>
      </w:r>
    </w:p>
    <w:p w14:paraId="698BC667" w14:textId="77777777" w:rsidR="00077D40" w:rsidRDefault="00077D40" w:rsidP="00077D40">
      <w:pPr>
        <w:pStyle w:val="SingleTxtG"/>
        <w:numPr>
          <w:ilvl w:val="0"/>
          <w:numId w:val="27"/>
        </w:numPr>
      </w:pPr>
      <w:r>
        <w:t>For the new UN 3552, modify column (2) to read “</w:t>
      </w:r>
      <w:r w:rsidRPr="00C15BCD">
        <w:t>SODIUM ION BATTERIES CONTAINED IN EQUIPMENT or SODIUM ION BATTERIES PACKED WITH EQUIPMENT, with organic electrolyte</w:t>
      </w:r>
      <w:r>
        <w:t>”.</w:t>
      </w:r>
    </w:p>
    <w:p w14:paraId="32474186" w14:textId="77777777" w:rsidR="00077D40" w:rsidRDefault="00077D40" w:rsidP="00077D40">
      <w:pPr>
        <w:pStyle w:val="SingleTxtG"/>
      </w:pPr>
      <w:r>
        <w:t>In chapter 3.3:</w:t>
      </w:r>
    </w:p>
    <w:p w14:paraId="72A97EEE" w14:textId="77777777" w:rsidR="00077D40" w:rsidRDefault="00077D40" w:rsidP="00077D40">
      <w:pPr>
        <w:pStyle w:val="SingleTxtG"/>
        <w:numPr>
          <w:ilvl w:val="0"/>
          <w:numId w:val="27"/>
        </w:numPr>
      </w:pPr>
      <w:r>
        <w:t>In the new SP 401, replace “sodium-ion batteries” by “sodium-ion cells and batteries”.</w:t>
      </w:r>
    </w:p>
    <w:p w14:paraId="6B7754B6" w14:textId="77777777" w:rsidR="00077D40" w:rsidRDefault="00077D40" w:rsidP="00077D40">
      <w:pPr>
        <w:pStyle w:val="SingleTxtG"/>
        <w:numPr>
          <w:ilvl w:val="0"/>
          <w:numId w:val="27"/>
        </w:numPr>
      </w:pPr>
      <w:r>
        <w:t>Renumber SP XXX as SP 402</w:t>
      </w:r>
    </w:p>
    <w:p w14:paraId="5BF9CBD1" w14:textId="77777777" w:rsidR="00077D40" w:rsidRDefault="00077D40" w:rsidP="00077D40">
      <w:pPr>
        <w:pStyle w:val="SingleTxtG"/>
      </w:pPr>
      <w:r>
        <w:t>In the table with new entries for the alphabetical index, add the following new entries:</w:t>
      </w:r>
    </w:p>
    <w:tbl>
      <w:tblPr>
        <w:tblStyle w:val="TableGrid"/>
        <w:tblW w:w="3754" w:type="pct"/>
        <w:tblInd w:w="1129" w:type="dxa"/>
        <w:tblCellMar>
          <w:left w:w="57" w:type="dxa"/>
          <w:right w:w="57" w:type="dxa"/>
        </w:tblCellMar>
        <w:tblLook w:val="04A0" w:firstRow="1" w:lastRow="0" w:firstColumn="1" w:lastColumn="0" w:noHBand="0" w:noVBand="1"/>
      </w:tblPr>
      <w:tblGrid>
        <w:gridCol w:w="4962"/>
        <w:gridCol w:w="1135"/>
        <w:gridCol w:w="1132"/>
      </w:tblGrid>
      <w:tr w:rsidR="00077D40" w:rsidRPr="00CE5EDB" w14:paraId="62C69D39" w14:textId="77777777" w:rsidTr="006932FB">
        <w:tc>
          <w:tcPr>
            <w:tcW w:w="3432" w:type="pct"/>
            <w:vAlign w:val="center"/>
          </w:tcPr>
          <w:p w14:paraId="190CFAF4" w14:textId="77777777" w:rsidR="00077D40" w:rsidRPr="00876A14" w:rsidRDefault="00077D40" w:rsidP="006932FB">
            <w:pPr>
              <w:pStyle w:val="SingleTxtG"/>
              <w:spacing w:before="120" w:line="240" w:lineRule="auto"/>
              <w:ind w:left="0" w:right="0"/>
              <w:jc w:val="left"/>
              <w:rPr>
                <w:rFonts w:asciiTheme="majorBidi" w:hAnsiTheme="majorBidi" w:cstheme="majorBidi"/>
                <w:sz w:val="16"/>
                <w:szCs w:val="16"/>
              </w:rPr>
            </w:pPr>
            <w:r w:rsidRPr="00EA521E">
              <w:rPr>
                <w:rFonts w:asciiTheme="majorBidi" w:hAnsiTheme="majorBidi" w:cstheme="majorBidi"/>
                <w:sz w:val="16"/>
                <w:szCs w:val="16"/>
              </w:rPr>
              <w:t>SODIUM ION BATTERIES with organic electrolyte</w:t>
            </w:r>
          </w:p>
        </w:tc>
        <w:tc>
          <w:tcPr>
            <w:tcW w:w="785" w:type="pct"/>
            <w:vAlign w:val="center"/>
          </w:tcPr>
          <w:p w14:paraId="220416F1" w14:textId="77777777" w:rsidR="00077D40" w:rsidRPr="00876A14" w:rsidRDefault="00077D40" w:rsidP="006932FB">
            <w:pPr>
              <w:pStyle w:val="SingleTxtG"/>
              <w:spacing w:before="120"/>
              <w:ind w:left="0" w:right="0"/>
              <w:jc w:val="center"/>
              <w:rPr>
                <w:rFonts w:asciiTheme="majorBidi" w:hAnsiTheme="majorBidi" w:cstheme="majorBidi"/>
                <w:sz w:val="16"/>
                <w:szCs w:val="16"/>
              </w:rPr>
            </w:pPr>
            <w:r w:rsidRPr="00876A14">
              <w:rPr>
                <w:rFonts w:asciiTheme="majorBidi" w:hAnsiTheme="majorBidi" w:cstheme="majorBidi"/>
                <w:sz w:val="16"/>
                <w:szCs w:val="16"/>
              </w:rPr>
              <w:t>9</w:t>
            </w:r>
          </w:p>
        </w:tc>
        <w:tc>
          <w:tcPr>
            <w:tcW w:w="783" w:type="pct"/>
            <w:vAlign w:val="center"/>
          </w:tcPr>
          <w:p w14:paraId="11F0ED27" w14:textId="77777777" w:rsidR="00077D40" w:rsidRPr="00876A14" w:rsidRDefault="00077D40" w:rsidP="006932FB">
            <w:pPr>
              <w:pStyle w:val="SingleTxtG"/>
              <w:spacing w:before="120"/>
              <w:ind w:left="0" w:right="0"/>
              <w:jc w:val="center"/>
              <w:rPr>
                <w:rFonts w:asciiTheme="majorBidi" w:hAnsiTheme="majorBidi" w:cstheme="majorBidi"/>
                <w:sz w:val="16"/>
                <w:szCs w:val="16"/>
              </w:rPr>
            </w:pPr>
            <w:r w:rsidRPr="00876A14">
              <w:rPr>
                <w:rFonts w:asciiTheme="majorBidi" w:hAnsiTheme="majorBidi" w:cstheme="majorBidi"/>
                <w:sz w:val="16"/>
                <w:szCs w:val="16"/>
              </w:rPr>
              <w:t>3551</w:t>
            </w:r>
          </w:p>
        </w:tc>
      </w:tr>
      <w:tr w:rsidR="00077D40" w:rsidRPr="00CE5EDB" w14:paraId="7FB192B0" w14:textId="77777777" w:rsidTr="006932FB">
        <w:tc>
          <w:tcPr>
            <w:tcW w:w="3432" w:type="pct"/>
            <w:vAlign w:val="center"/>
          </w:tcPr>
          <w:p w14:paraId="788A8C6A" w14:textId="77777777" w:rsidR="00077D40" w:rsidRPr="00876A14" w:rsidRDefault="00077D40" w:rsidP="006932FB">
            <w:pPr>
              <w:pStyle w:val="SingleTxtG"/>
              <w:spacing w:before="120" w:line="240" w:lineRule="auto"/>
              <w:ind w:left="0" w:right="0"/>
              <w:jc w:val="left"/>
              <w:rPr>
                <w:rFonts w:asciiTheme="majorBidi" w:hAnsiTheme="majorBidi" w:cstheme="majorBidi"/>
                <w:sz w:val="16"/>
                <w:szCs w:val="16"/>
              </w:rPr>
            </w:pPr>
            <w:r w:rsidRPr="00876A14">
              <w:rPr>
                <w:rFonts w:asciiTheme="majorBidi" w:hAnsiTheme="majorBidi" w:cstheme="majorBidi"/>
                <w:sz w:val="16"/>
                <w:szCs w:val="16"/>
              </w:rPr>
              <w:t>SODIUM ION BATTERIES CONTAINED IN EQUIPMENT, with organic electrolyte</w:t>
            </w:r>
          </w:p>
        </w:tc>
        <w:tc>
          <w:tcPr>
            <w:tcW w:w="785" w:type="pct"/>
            <w:vAlign w:val="center"/>
          </w:tcPr>
          <w:p w14:paraId="7639B03F" w14:textId="77777777" w:rsidR="00077D40" w:rsidRPr="00876A14" w:rsidRDefault="00077D40" w:rsidP="006932FB">
            <w:pPr>
              <w:pStyle w:val="SingleTxtG"/>
              <w:spacing w:before="120" w:line="240" w:lineRule="auto"/>
              <w:ind w:left="0" w:right="0"/>
              <w:jc w:val="center"/>
              <w:rPr>
                <w:rFonts w:asciiTheme="majorBidi" w:hAnsiTheme="majorBidi" w:cstheme="majorBidi"/>
                <w:sz w:val="16"/>
                <w:szCs w:val="16"/>
              </w:rPr>
            </w:pPr>
            <w:r w:rsidRPr="00876A14">
              <w:rPr>
                <w:rFonts w:asciiTheme="majorBidi" w:hAnsiTheme="majorBidi" w:cstheme="majorBidi"/>
                <w:sz w:val="16"/>
                <w:szCs w:val="16"/>
              </w:rPr>
              <w:t>9</w:t>
            </w:r>
          </w:p>
        </w:tc>
        <w:tc>
          <w:tcPr>
            <w:tcW w:w="783" w:type="pct"/>
            <w:vAlign w:val="center"/>
          </w:tcPr>
          <w:p w14:paraId="1E2B56E7" w14:textId="77777777" w:rsidR="00077D40" w:rsidRPr="00876A14" w:rsidRDefault="00077D40" w:rsidP="006932FB">
            <w:pPr>
              <w:pStyle w:val="SingleTxtG"/>
              <w:spacing w:before="120" w:line="240" w:lineRule="auto"/>
              <w:ind w:left="0" w:right="0"/>
              <w:jc w:val="center"/>
              <w:rPr>
                <w:rFonts w:asciiTheme="majorBidi" w:hAnsiTheme="majorBidi" w:cstheme="majorBidi"/>
                <w:sz w:val="16"/>
                <w:szCs w:val="16"/>
              </w:rPr>
            </w:pPr>
            <w:r w:rsidRPr="00876A14">
              <w:rPr>
                <w:rFonts w:asciiTheme="majorBidi" w:hAnsiTheme="majorBidi" w:cstheme="majorBidi"/>
                <w:sz w:val="16"/>
                <w:szCs w:val="16"/>
              </w:rPr>
              <w:t>3552</w:t>
            </w:r>
          </w:p>
        </w:tc>
      </w:tr>
      <w:tr w:rsidR="00077D40" w:rsidRPr="00CE5EDB" w14:paraId="684DDB2B" w14:textId="77777777" w:rsidTr="006932FB">
        <w:tc>
          <w:tcPr>
            <w:tcW w:w="3432" w:type="pct"/>
            <w:vAlign w:val="center"/>
          </w:tcPr>
          <w:p w14:paraId="5A5561AC" w14:textId="77777777" w:rsidR="00077D40" w:rsidRPr="00876A14" w:rsidRDefault="00077D40" w:rsidP="006932FB">
            <w:pPr>
              <w:pStyle w:val="SingleTxtG"/>
              <w:spacing w:before="120" w:line="240" w:lineRule="auto"/>
              <w:ind w:left="0" w:right="0"/>
              <w:jc w:val="left"/>
              <w:rPr>
                <w:rFonts w:asciiTheme="majorBidi" w:hAnsiTheme="majorBidi" w:cstheme="majorBidi"/>
                <w:sz w:val="16"/>
                <w:szCs w:val="16"/>
              </w:rPr>
            </w:pPr>
            <w:r w:rsidRPr="00876A14">
              <w:rPr>
                <w:rFonts w:asciiTheme="majorBidi" w:hAnsiTheme="majorBidi" w:cstheme="majorBidi"/>
                <w:sz w:val="16"/>
                <w:szCs w:val="16"/>
              </w:rPr>
              <w:t>SODIUM ION BATTERIES PACKED WITH EQUIPMENT, with organic electrolyte</w:t>
            </w:r>
          </w:p>
        </w:tc>
        <w:tc>
          <w:tcPr>
            <w:tcW w:w="785" w:type="pct"/>
            <w:vAlign w:val="center"/>
          </w:tcPr>
          <w:p w14:paraId="1890E784" w14:textId="77777777" w:rsidR="00077D40" w:rsidRPr="00876A14" w:rsidRDefault="00077D40" w:rsidP="006932FB">
            <w:pPr>
              <w:pStyle w:val="SingleTxtG"/>
              <w:spacing w:before="120" w:line="240" w:lineRule="auto"/>
              <w:ind w:left="0" w:right="0"/>
              <w:jc w:val="center"/>
              <w:rPr>
                <w:rFonts w:asciiTheme="majorBidi" w:hAnsiTheme="majorBidi" w:cstheme="majorBidi"/>
                <w:sz w:val="16"/>
                <w:szCs w:val="16"/>
              </w:rPr>
            </w:pPr>
            <w:r w:rsidRPr="00876A14">
              <w:rPr>
                <w:rFonts w:asciiTheme="majorBidi" w:hAnsiTheme="majorBidi" w:cstheme="majorBidi"/>
                <w:sz w:val="16"/>
                <w:szCs w:val="16"/>
              </w:rPr>
              <w:t>9</w:t>
            </w:r>
          </w:p>
        </w:tc>
        <w:tc>
          <w:tcPr>
            <w:tcW w:w="783" w:type="pct"/>
            <w:vAlign w:val="center"/>
          </w:tcPr>
          <w:p w14:paraId="0A0E793D" w14:textId="77777777" w:rsidR="00077D40" w:rsidRPr="00876A14" w:rsidRDefault="00077D40" w:rsidP="006932FB">
            <w:pPr>
              <w:pStyle w:val="SingleTxtG"/>
              <w:spacing w:before="120" w:line="240" w:lineRule="auto"/>
              <w:ind w:left="0" w:right="0"/>
              <w:jc w:val="center"/>
              <w:rPr>
                <w:rFonts w:asciiTheme="majorBidi" w:hAnsiTheme="majorBidi" w:cstheme="majorBidi"/>
                <w:sz w:val="16"/>
                <w:szCs w:val="16"/>
              </w:rPr>
            </w:pPr>
            <w:r w:rsidRPr="00876A14">
              <w:rPr>
                <w:rFonts w:asciiTheme="majorBidi" w:hAnsiTheme="majorBidi" w:cstheme="majorBidi"/>
                <w:sz w:val="16"/>
                <w:szCs w:val="16"/>
              </w:rPr>
              <w:t>3552</w:t>
            </w:r>
          </w:p>
        </w:tc>
      </w:tr>
    </w:tbl>
    <w:p w14:paraId="0DDE01CD" w14:textId="77777777" w:rsidR="00077D40" w:rsidRPr="00CE5EDB" w:rsidRDefault="00077D40" w:rsidP="00077D40">
      <w:pPr>
        <w:pStyle w:val="SingleTxtG"/>
        <w:spacing w:before="120"/>
        <w:ind w:left="2268" w:hanging="1134"/>
      </w:pPr>
      <w:r>
        <w:t>6.1.4.12</w:t>
      </w:r>
      <w:r>
        <w:tab/>
        <w:t>Modify the heading to read “</w:t>
      </w:r>
      <w:r w:rsidRPr="00CE5EDB">
        <w:rPr>
          <w:b/>
          <w:bCs/>
          <w:i/>
          <w:iCs/>
        </w:rPr>
        <w:t xml:space="preserve">Fibreboard </w:t>
      </w:r>
      <w:r>
        <w:rPr>
          <w:b/>
          <w:bCs/>
          <w:i/>
          <w:iCs/>
        </w:rPr>
        <w:t xml:space="preserve">boxes </w:t>
      </w:r>
      <w:r w:rsidRPr="00CE5EDB">
        <w:rPr>
          <w:b/>
          <w:bCs/>
          <w:i/>
          <w:iCs/>
        </w:rPr>
        <w:t>(including corrugated fibreboard</w:t>
      </w:r>
      <w:r>
        <w:rPr>
          <w:b/>
          <w:bCs/>
          <w:i/>
          <w:iCs/>
        </w:rPr>
        <w:t xml:space="preserve"> boxes</w:t>
      </w:r>
      <w:r w:rsidRPr="00CE5EDB">
        <w:rPr>
          <w:b/>
          <w:bCs/>
          <w:i/>
          <w:iCs/>
        </w:rPr>
        <w:t>)</w:t>
      </w:r>
      <w:r w:rsidRPr="00CE5EDB">
        <w:t>”.</w:t>
      </w:r>
    </w:p>
    <w:p w14:paraId="18F7CEA5" w14:textId="77777777" w:rsidR="00077D40" w:rsidRPr="00843762" w:rsidRDefault="00077D40" w:rsidP="00077D40">
      <w:pPr>
        <w:pStyle w:val="SingleTxtG"/>
        <w:rPr>
          <w:i/>
          <w:iCs/>
        </w:rPr>
      </w:pPr>
      <w:r w:rsidRPr="00804977">
        <w:rPr>
          <w:i/>
          <w:iCs/>
        </w:rPr>
        <w:t xml:space="preserve">(Reference document: </w:t>
      </w:r>
      <w:r>
        <w:rPr>
          <w:i/>
          <w:iCs/>
        </w:rPr>
        <w:t>informal document INF.39/Rev.1</w:t>
      </w:r>
      <w:r w:rsidRPr="00804977">
        <w:rPr>
          <w:i/>
          <w:iCs/>
        </w:rPr>
        <w:t>)</w:t>
      </w:r>
    </w:p>
    <w:p w14:paraId="75BF5A1E" w14:textId="77777777" w:rsidR="00077D40" w:rsidRPr="00B457A7" w:rsidRDefault="00077D40" w:rsidP="00077D40">
      <w:pPr>
        <w:pStyle w:val="SingleTxtG"/>
        <w:ind w:left="2268" w:hanging="1134"/>
      </w:pPr>
      <w:r>
        <w:t>6.2.2.4</w:t>
      </w:r>
      <w:r>
        <w:tab/>
        <w:t xml:space="preserve">In the instruction under the table, replace </w:t>
      </w:r>
      <w:r w:rsidRPr="001C5029">
        <w:t>“ISO 10461:20</w:t>
      </w:r>
      <w:r>
        <w:t>14</w:t>
      </w:r>
      <w:r w:rsidRPr="001C5029">
        <w:t xml:space="preserve"> + Amd 1:200</w:t>
      </w:r>
      <w:r>
        <w:t>5</w:t>
      </w:r>
      <w:r w:rsidRPr="001C5029">
        <w:t>”</w:t>
      </w:r>
      <w:r>
        <w:t xml:space="preserve"> by </w:t>
      </w:r>
      <w:r w:rsidRPr="001C5029">
        <w:t>“ISO 10461:20</w:t>
      </w:r>
      <w:r>
        <w:t>05</w:t>
      </w:r>
      <w:r w:rsidRPr="001C5029">
        <w:t xml:space="preserve"> + Amd 1:200</w:t>
      </w:r>
      <w:r>
        <w:t>6</w:t>
      </w:r>
      <w:r w:rsidRPr="001C5029">
        <w:t>”</w:t>
      </w:r>
      <w:r>
        <w:t>.</w:t>
      </w:r>
    </w:p>
    <w:p w14:paraId="48F12A5B" w14:textId="77777777" w:rsidR="00077D40" w:rsidRPr="00843762" w:rsidRDefault="00077D40" w:rsidP="00077D40">
      <w:pPr>
        <w:pStyle w:val="SingleTxtG"/>
        <w:rPr>
          <w:i/>
          <w:iCs/>
        </w:rPr>
      </w:pPr>
      <w:r w:rsidRPr="00804977">
        <w:rPr>
          <w:i/>
          <w:iCs/>
        </w:rPr>
        <w:t xml:space="preserve">(Reference document: </w:t>
      </w:r>
      <w:r>
        <w:rPr>
          <w:i/>
          <w:iCs/>
        </w:rPr>
        <w:t>informal document INF.39/Rev.1</w:t>
      </w:r>
      <w:r w:rsidRPr="00804977">
        <w:rPr>
          <w:i/>
          <w:iCs/>
        </w:rPr>
        <w:t>)</w:t>
      </w:r>
    </w:p>
    <w:p w14:paraId="66F2CFD4" w14:textId="77777777" w:rsidR="00077D40" w:rsidRDefault="00077D40" w:rsidP="00077D40">
      <w:pPr>
        <w:pStyle w:val="SingleTxtG"/>
        <w:ind w:left="2268" w:hanging="1134"/>
      </w:pPr>
      <w:r>
        <w:t>6.2.2.11</w:t>
      </w:r>
      <w:r>
        <w:tab/>
        <w:t>In the new note, before “manufactured”, delete “constructed”.</w:t>
      </w:r>
    </w:p>
    <w:p w14:paraId="0C1BF201" w14:textId="77777777" w:rsidR="00077D40" w:rsidRPr="00843762" w:rsidRDefault="00077D40" w:rsidP="00077D40">
      <w:pPr>
        <w:pStyle w:val="SingleTxtG"/>
        <w:rPr>
          <w:i/>
          <w:iCs/>
        </w:rPr>
      </w:pPr>
      <w:r w:rsidRPr="00804977">
        <w:rPr>
          <w:i/>
          <w:iCs/>
        </w:rPr>
        <w:t xml:space="preserve">(Reference document: </w:t>
      </w:r>
      <w:r>
        <w:rPr>
          <w:i/>
          <w:iCs/>
        </w:rPr>
        <w:t>informal document INF.39/Rev.1</w:t>
      </w:r>
      <w:r w:rsidRPr="00804977">
        <w:rPr>
          <w:i/>
          <w:iCs/>
        </w:rPr>
        <w:t>)</w:t>
      </w:r>
    </w:p>
    <w:p w14:paraId="271FB8C0" w14:textId="77777777" w:rsidR="00077D40" w:rsidRPr="001C5029" w:rsidRDefault="00077D40" w:rsidP="0076698F">
      <w:pPr>
        <w:pStyle w:val="H1G"/>
        <w:keepNext w:val="0"/>
        <w:keepLines w:val="0"/>
      </w:pPr>
      <w:r w:rsidRPr="001C5029">
        <w:tab/>
      </w:r>
      <w:r w:rsidRPr="001C5029">
        <w:tab/>
      </w:r>
      <w:r w:rsidRPr="009979FC">
        <w:t>Informal document INF.1</w:t>
      </w:r>
      <w:r>
        <w:t xml:space="preserve">1 </w:t>
      </w:r>
      <w:r w:rsidRPr="009979FC">
        <w:t>with additional amendments to the Spanish version was adopted.</w:t>
      </w:r>
    </w:p>
    <w:p w14:paraId="6142D177" w14:textId="77777777" w:rsidR="0076698F" w:rsidRDefault="0076698F">
      <w:pPr>
        <w:suppressAutoHyphens w:val="0"/>
        <w:kinsoku/>
        <w:overflowPunct/>
        <w:autoSpaceDE/>
        <w:autoSpaceDN/>
        <w:adjustRightInd/>
        <w:snapToGrid/>
        <w:spacing w:after="200" w:line="276" w:lineRule="auto"/>
        <w:rPr>
          <w:b/>
          <w:sz w:val="28"/>
        </w:rPr>
      </w:pPr>
      <w:r>
        <w:br w:type="page"/>
      </w:r>
    </w:p>
    <w:p w14:paraId="06FF73EC" w14:textId="398292B4" w:rsidR="00077D40" w:rsidRPr="00024F0F" w:rsidRDefault="00077D40" w:rsidP="0076698F">
      <w:pPr>
        <w:pStyle w:val="HChG"/>
        <w:keepNext w:val="0"/>
        <w:keepLines w:val="0"/>
        <w:rPr>
          <w:i/>
          <w:iCs/>
        </w:rPr>
      </w:pPr>
      <w:r>
        <w:tab/>
      </w:r>
      <w:r w:rsidRPr="008F7B6D">
        <w:t>I</w:t>
      </w:r>
      <w:r>
        <w:t>I</w:t>
      </w:r>
      <w:r w:rsidRPr="008F7B6D">
        <w:t>.</w:t>
      </w:r>
      <w:r w:rsidRPr="008F7B6D">
        <w:tab/>
        <w:t>Draft amendments to the Manual of Tests and Criteria (ST/SG/AC.10/11/Rev.7 and Amend.1)</w:t>
      </w:r>
    </w:p>
    <w:p w14:paraId="110ED3DE" w14:textId="77777777" w:rsidR="00077D40" w:rsidRDefault="00077D40" w:rsidP="0076698F">
      <w:pPr>
        <w:pStyle w:val="H1G"/>
        <w:keepNext w:val="0"/>
        <w:keepLines w:val="0"/>
      </w:pPr>
      <w:r>
        <w:tab/>
      </w:r>
      <w:r>
        <w:tab/>
        <w:t>Section 1</w:t>
      </w:r>
    </w:p>
    <w:p w14:paraId="00E2A8CB" w14:textId="77777777" w:rsidR="00077D40" w:rsidRDefault="00077D40" w:rsidP="00077D40">
      <w:pPr>
        <w:pStyle w:val="SingleTxtG"/>
        <w:ind w:left="2268" w:hanging="1134"/>
      </w:pPr>
      <w:r>
        <w:t>1.2.1.4.3</w:t>
      </w:r>
      <w:r>
        <w:tab/>
        <w:t>Amend the beginning of the first sentence to read “Self-reactive substances (type A to type G), organic peroxides (type A to type G) or polymerizing substances should not...”. In the first sentence, after “thermal decomposition”, add “or polymerization”.</w:t>
      </w:r>
    </w:p>
    <w:p w14:paraId="12722F9E" w14:textId="77777777" w:rsidR="00077D40" w:rsidRPr="00843762" w:rsidRDefault="00077D40" w:rsidP="00077D40">
      <w:pPr>
        <w:pStyle w:val="SingleTxtG"/>
        <w:rPr>
          <w:i/>
          <w:iCs/>
        </w:rPr>
      </w:pPr>
      <w:r w:rsidRPr="00804977">
        <w:rPr>
          <w:i/>
          <w:iCs/>
        </w:rPr>
        <w:t>(Reference document: ST/SG/AC.10/C.3/20</w:t>
      </w:r>
      <w:r>
        <w:rPr>
          <w:i/>
          <w:iCs/>
        </w:rPr>
        <w:t>22</w:t>
      </w:r>
      <w:r w:rsidRPr="00804977">
        <w:rPr>
          <w:i/>
          <w:iCs/>
        </w:rPr>
        <w:t>/</w:t>
      </w:r>
      <w:r>
        <w:rPr>
          <w:i/>
          <w:iCs/>
        </w:rPr>
        <w:t>57, editorially revised</w:t>
      </w:r>
      <w:r w:rsidRPr="00804977">
        <w:rPr>
          <w:i/>
          <w:iCs/>
        </w:rPr>
        <w:t>)</w:t>
      </w:r>
    </w:p>
    <w:p w14:paraId="419978E5" w14:textId="77777777" w:rsidR="00077D40" w:rsidRDefault="00077D40" w:rsidP="00077D40">
      <w:pPr>
        <w:pStyle w:val="H1G"/>
      </w:pPr>
      <w:r>
        <w:tab/>
      </w:r>
      <w:r>
        <w:tab/>
        <w:t>Section 20</w:t>
      </w:r>
    </w:p>
    <w:p w14:paraId="37BFCCE2" w14:textId="77777777" w:rsidR="00077D40" w:rsidRDefault="00077D40" w:rsidP="00077D40">
      <w:pPr>
        <w:pStyle w:val="SingleTxtG"/>
        <w:ind w:left="2268" w:hanging="1134"/>
      </w:pPr>
      <w:r>
        <w:t>20.2.5</w:t>
      </w:r>
      <w:r>
        <w:tab/>
        <w:t>Amend the beginning of the first sentence to read “Any substance which shows the properties of a self-reactive substance (type A to type G), an organic peroxide (type A to type G) or a polymerizing substance should not...”. At the end, after “thermal decomposition”, add “or polymerization”.</w:t>
      </w:r>
    </w:p>
    <w:p w14:paraId="5423DA9C" w14:textId="77777777" w:rsidR="00077D40" w:rsidRPr="00843762" w:rsidRDefault="00077D40" w:rsidP="00077D40">
      <w:pPr>
        <w:pStyle w:val="SingleTxtG"/>
        <w:rPr>
          <w:i/>
          <w:iCs/>
        </w:rPr>
      </w:pPr>
      <w:r w:rsidRPr="00804977">
        <w:rPr>
          <w:i/>
          <w:iCs/>
        </w:rPr>
        <w:t>(Reference document: ST/SG/AC.10/C.3/20</w:t>
      </w:r>
      <w:r>
        <w:rPr>
          <w:i/>
          <w:iCs/>
        </w:rPr>
        <w:t>22</w:t>
      </w:r>
      <w:r w:rsidRPr="00804977">
        <w:rPr>
          <w:i/>
          <w:iCs/>
        </w:rPr>
        <w:t>/</w:t>
      </w:r>
      <w:r>
        <w:rPr>
          <w:i/>
          <w:iCs/>
        </w:rPr>
        <w:t>57, editorially revised</w:t>
      </w:r>
      <w:r w:rsidRPr="00804977">
        <w:rPr>
          <w:i/>
          <w:iCs/>
        </w:rPr>
        <w:t>)</w:t>
      </w:r>
    </w:p>
    <w:p w14:paraId="7E866AB6" w14:textId="77777777" w:rsidR="00077D40" w:rsidRDefault="00077D40" w:rsidP="00077D40">
      <w:pPr>
        <w:pStyle w:val="H1G"/>
      </w:pPr>
      <w:r>
        <w:tab/>
      </w:r>
      <w:r>
        <w:tab/>
        <w:t>Section 32</w:t>
      </w:r>
    </w:p>
    <w:p w14:paraId="05B8B25F" w14:textId="77777777" w:rsidR="00077D40" w:rsidRDefault="00077D40" w:rsidP="00077D40">
      <w:pPr>
        <w:pStyle w:val="SingleTxtG"/>
        <w:ind w:left="2268" w:hanging="1134"/>
      </w:pPr>
      <w:r>
        <w:t>32.2.3</w:t>
      </w:r>
      <w:r>
        <w:tab/>
        <w:t>In the third sentence, after “60 ºC”, delete “</w:t>
      </w:r>
      <w:r w:rsidRPr="00A5717B">
        <w:t>in a closed-cup test, or more than 65.6 °C in an open-cup test</w:t>
      </w:r>
      <w:r>
        <w:t>,”.</w:t>
      </w:r>
    </w:p>
    <w:p w14:paraId="199F8982" w14:textId="77777777" w:rsidR="00077D40" w:rsidRDefault="00077D40" w:rsidP="00077D40">
      <w:pPr>
        <w:pStyle w:val="SingleTxtG"/>
        <w:rPr>
          <w:i/>
          <w:iCs/>
        </w:rPr>
      </w:pPr>
      <w:r w:rsidRPr="009157FB">
        <w:rPr>
          <w:i/>
          <w:iCs/>
        </w:rPr>
        <w:t>(Reference document: ST/SG/AC.10/C.3/2022/52)</w:t>
      </w:r>
    </w:p>
    <w:p w14:paraId="186AED09" w14:textId="77777777" w:rsidR="00077D40" w:rsidRDefault="00077D40" w:rsidP="00077D40">
      <w:pPr>
        <w:pStyle w:val="SingleTxtG"/>
        <w:ind w:left="2268" w:hanging="1134"/>
      </w:pPr>
      <w:r>
        <w:t>32.4</w:t>
      </w:r>
      <w:r>
        <w:tab/>
        <w:t>Insert the following new paragraph under the heading:</w:t>
      </w:r>
    </w:p>
    <w:p w14:paraId="59143D92" w14:textId="77777777" w:rsidR="00077D40" w:rsidRDefault="00077D40" w:rsidP="00077D40">
      <w:pPr>
        <w:pStyle w:val="SingleTxtG"/>
        <w:tabs>
          <w:tab w:val="left" w:pos="2268"/>
        </w:tabs>
      </w:pPr>
      <w:r>
        <w:t>“</w:t>
      </w:r>
      <w:r>
        <w:tab/>
      </w:r>
      <w:r w:rsidRPr="004A1921">
        <w:t xml:space="preserve">It is recommended to use closed-cup test methods for the determination of the flash point. Open-cup test methods are acceptable for liquids which cannot be tested in closed-cup test methods (e.g., due to their viscosity) </w:t>
      </w:r>
      <w:r>
        <w:t>or when open-cup test data is already available</w:t>
      </w:r>
      <w:r w:rsidRPr="004A1921">
        <w:t>. In these cases, 5</w:t>
      </w:r>
      <w:r>
        <w:t>.6</w:t>
      </w:r>
      <w:r w:rsidRPr="004A1921">
        <w:t xml:space="preserve"> °C should be subtracted from the measured value, because open cup test methods generally result in higher values than closed-cup test methods.</w:t>
      </w:r>
      <w:r>
        <w:t>”</w:t>
      </w:r>
    </w:p>
    <w:p w14:paraId="788AF8EE" w14:textId="77777777" w:rsidR="00077D40" w:rsidRDefault="00077D40" w:rsidP="00077D40">
      <w:pPr>
        <w:pStyle w:val="SingleTxtG"/>
        <w:rPr>
          <w:i/>
          <w:iCs/>
        </w:rPr>
      </w:pPr>
      <w:r>
        <w:rPr>
          <w:i/>
          <w:iCs/>
        </w:rPr>
        <w:t xml:space="preserve">(Reference document: </w:t>
      </w:r>
      <w:r w:rsidRPr="00B518F1">
        <w:rPr>
          <w:i/>
          <w:iCs/>
        </w:rPr>
        <w:t>ST/SG/AC.10/C.3/2022/52</w:t>
      </w:r>
      <w:r>
        <w:rPr>
          <w:i/>
          <w:iCs/>
        </w:rPr>
        <w:t>, as amended)</w:t>
      </w:r>
    </w:p>
    <w:p w14:paraId="067CBC13" w14:textId="77777777" w:rsidR="00077D40" w:rsidRDefault="00077D40" w:rsidP="00077D40">
      <w:pPr>
        <w:pStyle w:val="H1G"/>
      </w:pPr>
      <w:r>
        <w:tab/>
      </w:r>
      <w:r>
        <w:tab/>
        <w:t>Section 33</w:t>
      </w:r>
    </w:p>
    <w:p w14:paraId="7A47D0E2" w14:textId="77777777" w:rsidR="00077D40" w:rsidRDefault="00077D40" w:rsidP="00077D40">
      <w:pPr>
        <w:pStyle w:val="SingleTxtG"/>
        <w:ind w:left="2268" w:hanging="1134"/>
      </w:pPr>
      <w:r>
        <w:t>33.2</w:t>
      </w:r>
      <w:r>
        <w:tab/>
        <w:t>Add a new note under the heading to read as follows:</w:t>
      </w:r>
    </w:p>
    <w:p w14:paraId="30255FD8" w14:textId="77777777" w:rsidR="00077D40" w:rsidRDefault="00077D40" w:rsidP="00077D40">
      <w:pPr>
        <w:pStyle w:val="SingleTxtG"/>
        <w:ind w:left="2268" w:hanging="1134"/>
      </w:pPr>
      <w:r w:rsidRPr="00AF3DC9">
        <w:t>“</w:t>
      </w:r>
      <w:r w:rsidRPr="00AF3DC9">
        <w:rPr>
          <w:b/>
          <w:bCs/>
          <w:i/>
          <w:iCs/>
        </w:rPr>
        <w:t>NOTE:</w:t>
      </w:r>
      <w:r w:rsidRPr="00AF3DC9">
        <w:rPr>
          <w:b/>
          <w:bCs/>
          <w:i/>
          <w:iCs/>
        </w:rPr>
        <w:tab/>
      </w:r>
      <w:r w:rsidRPr="00AF3DC9">
        <w:rPr>
          <w:i/>
          <w:iCs/>
        </w:rPr>
        <w:t xml:space="preserve">The term </w:t>
      </w:r>
      <w:r>
        <w:rPr>
          <w:i/>
          <w:iCs/>
        </w:rPr>
        <w:t>"</w:t>
      </w:r>
      <w:r w:rsidRPr="00AF3DC9">
        <w:rPr>
          <w:i/>
          <w:iCs/>
        </w:rPr>
        <w:t>metal powders</w:t>
      </w:r>
      <w:r>
        <w:rPr>
          <w:i/>
          <w:iCs/>
        </w:rPr>
        <w:t>"</w:t>
      </w:r>
      <w:r w:rsidRPr="00AF3DC9">
        <w:rPr>
          <w:i/>
          <w:iCs/>
        </w:rPr>
        <w:t xml:space="preserve"> covers powders of metals or metal alloys.</w:t>
      </w:r>
      <w:r w:rsidRPr="00AF3DC9">
        <w:t>”</w:t>
      </w:r>
    </w:p>
    <w:p w14:paraId="24DAB11F" w14:textId="77777777" w:rsidR="00077D40" w:rsidRDefault="00077D40" w:rsidP="00077D40">
      <w:pPr>
        <w:pStyle w:val="SingleTxtG"/>
        <w:ind w:left="2268" w:hanging="1134"/>
      </w:pPr>
      <w:r>
        <w:t>33.2.4.3.1</w:t>
      </w:r>
      <w:r>
        <w:tab/>
        <w:t>In the second sentence, replace “</w:t>
      </w:r>
      <w:r w:rsidRPr="003E3060">
        <w:t>powders of metals or metal-alloys</w:t>
      </w:r>
      <w:r>
        <w:t>” by</w:t>
      </w:r>
      <w:r w:rsidRPr="003E3060">
        <w:t xml:space="preserve"> </w:t>
      </w:r>
      <w:r>
        <w:t>“</w:t>
      </w:r>
      <w:r w:rsidRPr="003E3060">
        <w:t>metal powders</w:t>
      </w:r>
      <w:r>
        <w:t>”.</w:t>
      </w:r>
    </w:p>
    <w:p w14:paraId="74C9A8F5" w14:textId="77777777" w:rsidR="00077D40" w:rsidRDefault="00077D40" w:rsidP="00077D40">
      <w:pPr>
        <w:pStyle w:val="SingleTxtG"/>
        <w:ind w:left="2268" w:hanging="1134"/>
      </w:pPr>
      <w:r>
        <w:t>33.2.4.4.1</w:t>
      </w:r>
      <w:r>
        <w:tab/>
        <w:t>In the second sentence, replace “P</w:t>
      </w:r>
      <w:r w:rsidRPr="003E3060">
        <w:t>owders of metals or metal-alloys</w:t>
      </w:r>
      <w:r>
        <w:t>” by</w:t>
      </w:r>
      <w:r w:rsidRPr="003E3060">
        <w:t xml:space="preserve"> </w:t>
      </w:r>
      <w:r>
        <w:t>“M</w:t>
      </w:r>
      <w:r w:rsidRPr="003E3060">
        <w:t>etal powders</w:t>
      </w:r>
      <w:r>
        <w:t>”.</w:t>
      </w:r>
    </w:p>
    <w:p w14:paraId="7763AFC5" w14:textId="77777777" w:rsidR="00077D40" w:rsidRDefault="00077D40" w:rsidP="00077D40">
      <w:pPr>
        <w:pStyle w:val="SingleTxtG"/>
        <w:ind w:left="2268" w:hanging="1134"/>
      </w:pPr>
      <w:r>
        <w:t>33.2.4.4.2</w:t>
      </w:r>
      <w:r>
        <w:tab/>
        <w:t>In the second sentence, replace “p</w:t>
      </w:r>
      <w:r w:rsidRPr="003E3060">
        <w:t>owders of metals or metal-alloys</w:t>
      </w:r>
      <w:r>
        <w:t>” by</w:t>
      </w:r>
      <w:r w:rsidRPr="003E3060">
        <w:t xml:space="preserve"> </w:t>
      </w:r>
      <w:r>
        <w:t>“m</w:t>
      </w:r>
      <w:r w:rsidRPr="003E3060">
        <w:t>etal powders</w:t>
      </w:r>
      <w:r>
        <w:t>”.</w:t>
      </w:r>
    </w:p>
    <w:p w14:paraId="465B00A4" w14:textId="77777777" w:rsidR="00077D40" w:rsidRDefault="00077D40" w:rsidP="00077D40">
      <w:pPr>
        <w:pStyle w:val="SingleTxtG"/>
        <w:rPr>
          <w:i/>
          <w:iCs/>
        </w:rPr>
      </w:pPr>
      <w:r>
        <w:rPr>
          <w:i/>
          <w:iCs/>
        </w:rPr>
        <w:t>(Reference document: informal document INF.44)</w:t>
      </w:r>
    </w:p>
    <w:p w14:paraId="2C3478F5" w14:textId="77777777" w:rsidR="00077D40" w:rsidRDefault="00077D40" w:rsidP="00077D40">
      <w:pPr>
        <w:pStyle w:val="H1G"/>
      </w:pPr>
      <w:r>
        <w:tab/>
      </w:r>
      <w:r>
        <w:tab/>
        <w:t>Section 51</w:t>
      </w:r>
    </w:p>
    <w:p w14:paraId="74111FA0" w14:textId="77777777" w:rsidR="00077D40" w:rsidRDefault="00077D40" w:rsidP="00077D40">
      <w:pPr>
        <w:pStyle w:val="SingleTxtG"/>
        <w:ind w:left="2268" w:hanging="1134"/>
      </w:pPr>
      <w:r w:rsidRPr="003870B8">
        <w:t>51.1.1</w:t>
      </w:r>
      <w:r w:rsidRPr="003870B8">
        <w:tab/>
      </w:r>
      <w:r w:rsidRPr="003870B8">
        <w:tab/>
        <w:t>In the</w:t>
      </w:r>
      <w:r>
        <w:t xml:space="preserve"> second </w:t>
      </w:r>
      <w:r w:rsidRPr="003870B8">
        <w:t>sentence</w:t>
      </w:r>
      <w:r>
        <w:t>,</w:t>
      </w:r>
      <w:r w:rsidRPr="003870B8">
        <w:t xml:space="preserve"> before “sub-sections 16.4 and”</w:t>
      </w:r>
      <w:r>
        <w:t xml:space="preserve">, </w:t>
      </w:r>
      <w:r w:rsidRPr="003870B8">
        <w:t xml:space="preserve">insert </w:t>
      </w:r>
      <w:r>
        <w:t>“</w:t>
      </w:r>
      <w:r w:rsidRPr="003870B8">
        <w:t>sections 12 and 13 and”</w:t>
      </w:r>
      <w:r>
        <w:t>.</w:t>
      </w:r>
    </w:p>
    <w:p w14:paraId="4FF7280C" w14:textId="77777777" w:rsidR="00077D40" w:rsidRDefault="00077D40" w:rsidP="00077D40">
      <w:pPr>
        <w:pStyle w:val="SingleTxtG"/>
        <w:ind w:left="2268" w:hanging="1134"/>
      </w:pPr>
      <w:r w:rsidRPr="00510AEB">
        <w:t>51.2.1</w:t>
      </w:r>
      <w:r w:rsidRPr="00510AEB">
        <w:tab/>
      </w:r>
      <w:r>
        <w:t>Amend to read as follows (footnote 1 is deleted):</w:t>
      </w:r>
    </w:p>
    <w:p w14:paraId="57C835FD" w14:textId="77777777" w:rsidR="00077D40" w:rsidRDefault="00077D40" w:rsidP="00077D40">
      <w:pPr>
        <w:pStyle w:val="SingleTxtG"/>
        <w:ind w:left="2268" w:hanging="1134"/>
      </w:pPr>
      <w:r>
        <w:t>“51.2.1</w:t>
      </w:r>
      <w:r>
        <w:tab/>
      </w:r>
      <w:r w:rsidRPr="00510AEB">
        <w:t xml:space="preserve">Desensitized explosives are substances and mixtures in the scope of Chapter 2.1 of the GHS which are phlegmatized to suppress their explosive properties in such a manner that they meet the criteria as specified in 2.17.2 of the GHS and thus may be exempted from the hazard class </w:t>
      </w:r>
      <w:r>
        <w:t>"</w:t>
      </w:r>
      <w:r w:rsidRPr="00510AEB">
        <w:t>Explosives</w:t>
      </w:r>
      <w:r>
        <w:t>"</w:t>
      </w:r>
      <w:r w:rsidRPr="00510AEB">
        <w:t xml:space="preserve"> (Chapter 2.1 of GHS).</w:t>
      </w:r>
      <w:r>
        <w:t>”</w:t>
      </w:r>
    </w:p>
    <w:p w14:paraId="36CC1EC0" w14:textId="77777777" w:rsidR="00077D40" w:rsidRDefault="00077D40" w:rsidP="00077D40">
      <w:pPr>
        <w:pStyle w:val="SingleTxtG"/>
        <w:ind w:left="2268" w:hanging="1134"/>
        <w:rPr>
          <w:lang w:val="en-US"/>
        </w:rPr>
      </w:pPr>
      <w:r>
        <w:t>51.2.2</w:t>
      </w:r>
      <w:r>
        <w:tab/>
        <w:t>Amend to read as follows and renumber</w:t>
      </w:r>
      <w:r>
        <w:rPr>
          <w:lang w:val="en-US"/>
        </w:rPr>
        <w:t xml:space="preserve"> </w:t>
      </w:r>
      <w:r w:rsidRPr="00A04E9F">
        <w:t>footnote</w:t>
      </w:r>
      <w:r>
        <w:rPr>
          <w:lang w:val="en-US"/>
        </w:rPr>
        <w:t xml:space="preserve"> 2 as 1:</w:t>
      </w:r>
    </w:p>
    <w:p w14:paraId="4FC47E8C" w14:textId="77777777" w:rsidR="00077D40" w:rsidRPr="00530AFF" w:rsidRDefault="00077D40" w:rsidP="00077D40">
      <w:pPr>
        <w:pStyle w:val="SingleTxtG"/>
        <w:ind w:left="2268" w:hanging="1134"/>
        <w:rPr>
          <w:lang w:val="en-US"/>
        </w:rPr>
      </w:pPr>
      <w:r>
        <w:rPr>
          <w:lang w:val="en-US"/>
        </w:rPr>
        <w:t>“</w:t>
      </w:r>
      <w:r w:rsidRPr="00530AFF">
        <w:rPr>
          <w:lang w:val="en-US"/>
        </w:rPr>
        <w:t>51.2.2</w:t>
      </w:r>
      <w:r w:rsidRPr="00530AFF">
        <w:rPr>
          <w:lang w:val="en-US"/>
        </w:rPr>
        <w:tab/>
        <w:t>Desensitized explosives should be tested</w:t>
      </w:r>
      <w:r>
        <w:rPr>
          <w:lang w:val="en-US"/>
        </w:rPr>
        <w:t>:</w:t>
      </w:r>
    </w:p>
    <w:p w14:paraId="40378FAF" w14:textId="77777777" w:rsidR="00077D40" w:rsidRPr="00530AFF" w:rsidRDefault="00077D40" w:rsidP="00077D40">
      <w:pPr>
        <w:pStyle w:val="SingleTxtG"/>
        <w:ind w:left="2835" w:hanging="567"/>
        <w:rPr>
          <w:lang w:val="en-US"/>
        </w:rPr>
      </w:pPr>
      <w:r w:rsidRPr="00530AFF">
        <w:rPr>
          <w:lang w:val="en-US"/>
        </w:rPr>
        <w:t>(a)</w:t>
      </w:r>
      <w:r w:rsidRPr="00530AFF">
        <w:rPr>
          <w:lang w:val="en-US"/>
        </w:rPr>
        <w:tab/>
      </w:r>
      <w:r>
        <w:rPr>
          <w:lang w:val="en-US"/>
        </w:rPr>
        <w:t>F</w:t>
      </w:r>
      <w:r w:rsidRPr="00530AFF">
        <w:rPr>
          <w:lang w:val="en-US"/>
        </w:rPr>
        <w:t>or their exothermic decomposition energy</w:t>
      </w:r>
      <w:r>
        <w:rPr>
          <w:b/>
          <w:bCs/>
          <w:vertAlign w:val="superscript"/>
          <w:lang w:val="en-US"/>
        </w:rPr>
        <w:t>1</w:t>
      </w:r>
      <w:r w:rsidRPr="00530AFF">
        <w:rPr>
          <w:lang w:val="en-US"/>
        </w:rPr>
        <w:t>, if attempting to exit the class of desensitized explosives;</w:t>
      </w:r>
    </w:p>
    <w:p w14:paraId="2E9009B6" w14:textId="77777777" w:rsidR="00077D40" w:rsidRPr="00530AFF" w:rsidRDefault="00077D40" w:rsidP="00077D40">
      <w:pPr>
        <w:pStyle w:val="SingleTxtG"/>
        <w:ind w:left="2835" w:hanging="567"/>
        <w:rPr>
          <w:lang w:val="en-US"/>
        </w:rPr>
      </w:pPr>
      <w:r w:rsidRPr="00530AFF">
        <w:rPr>
          <w:lang w:val="en-US"/>
        </w:rPr>
        <w:t>(b)</w:t>
      </w:r>
      <w:r w:rsidRPr="00530AFF">
        <w:rPr>
          <w:lang w:val="en-US"/>
        </w:rPr>
        <w:tab/>
      </w:r>
      <w:r>
        <w:rPr>
          <w:lang w:val="en-US"/>
        </w:rPr>
        <w:t>I</w:t>
      </w:r>
      <w:r w:rsidRPr="00530AFF">
        <w:rPr>
          <w:lang w:val="en-US"/>
        </w:rPr>
        <w:t>n accordance with test 1 (a), test series 2 and 3 and tests 6 (a) and (b), respectively of this Manual and in accordance with the classification procedure in section 51.3, to preclude a mass explosion in the corrected burning rate test;</w:t>
      </w:r>
    </w:p>
    <w:p w14:paraId="66D15C7D" w14:textId="77777777" w:rsidR="00077D40" w:rsidRPr="00530AFF" w:rsidRDefault="00077D40" w:rsidP="00077D40">
      <w:pPr>
        <w:pStyle w:val="SingleTxtG"/>
        <w:ind w:left="2835" w:hanging="567"/>
        <w:rPr>
          <w:lang w:val="en-US"/>
        </w:rPr>
      </w:pPr>
      <w:r w:rsidRPr="00530AFF">
        <w:rPr>
          <w:lang w:val="en-US"/>
        </w:rPr>
        <w:t>(c)</w:t>
      </w:r>
      <w:r w:rsidRPr="00530AFF">
        <w:rPr>
          <w:lang w:val="en-US"/>
        </w:rPr>
        <w:tab/>
      </w:r>
      <w:r>
        <w:rPr>
          <w:lang w:val="en-US"/>
        </w:rPr>
        <w:t>I</w:t>
      </w:r>
      <w:r w:rsidRPr="00530AFF">
        <w:rPr>
          <w:lang w:val="en-US"/>
        </w:rPr>
        <w:t>n accordance with the corrected burning rate test; and</w:t>
      </w:r>
    </w:p>
    <w:p w14:paraId="08D60B4B" w14:textId="77777777" w:rsidR="00077D40" w:rsidRDefault="00077D40" w:rsidP="00077D40">
      <w:pPr>
        <w:pStyle w:val="SingleTxtG"/>
        <w:ind w:left="2835" w:hanging="567"/>
        <w:rPr>
          <w:lang w:val="en-US"/>
        </w:rPr>
      </w:pPr>
      <w:r w:rsidRPr="00530AFF">
        <w:rPr>
          <w:lang w:val="en-US"/>
        </w:rPr>
        <w:t>(d)</w:t>
      </w:r>
      <w:r w:rsidRPr="00530AFF">
        <w:rPr>
          <w:lang w:val="en-US"/>
        </w:rPr>
        <w:tab/>
      </w:r>
      <w:r>
        <w:rPr>
          <w:lang w:val="en-US"/>
        </w:rPr>
        <w:t>N</w:t>
      </w:r>
      <w:r w:rsidRPr="00530AFF">
        <w:rPr>
          <w:lang w:val="en-US"/>
        </w:rPr>
        <w:t>itrocellulose should be tested in accordance with Appendix 10 of this Manual in order to be used in nitrocellulose mixtures.</w:t>
      </w:r>
      <w:r>
        <w:rPr>
          <w:lang w:val="en-US"/>
        </w:rPr>
        <w:t>”</w:t>
      </w:r>
    </w:p>
    <w:p w14:paraId="167BF498" w14:textId="77777777" w:rsidR="00077D40" w:rsidRDefault="00077D40" w:rsidP="00077D40">
      <w:pPr>
        <w:pStyle w:val="SingleTxtG"/>
        <w:ind w:left="2268" w:hanging="1134"/>
        <w:rPr>
          <w:lang w:val="en-US"/>
        </w:rPr>
      </w:pPr>
      <w:r>
        <w:rPr>
          <w:lang w:val="en-US"/>
        </w:rPr>
        <w:t>51.3.1</w:t>
      </w:r>
      <w:r>
        <w:rPr>
          <w:lang w:val="en-US"/>
        </w:rPr>
        <w:tab/>
        <w:t>In the first sentence, replace “</w:t>
      </w:r>
      <w:r w:rsidRPr="000A53F6">
        <w:rPr>
          <w:lang w:val="en-US"/>
        </w:rPr>
        <w:t>the test series 6 types 6 (a) and 6 (b) shall be performed in alphabetical order</w:t>
      </w:r>
      <w:r>
        <w:rPr>
          <w:lang w:val="en-US"/>
        </w:rPr>
        <w:t>” by “</w:t>
      </w:r>
      <w:r w:rsidRPr="0094153D">
        <w:rPr>
          <w:lang w:val="en-US"/>
        </w:rPr>
        <w:t>tests as specified below should be performed to rule out the possibility of mass explosion</w:t>
      </w:r>
      <w:r>
        <w:rPr>
          <w:lang w:val="en-US"/>
        </w:rPr>
        <w:t>”. In the second sentence, replace “</w:t>
      </w:r>
      <w:r w:rsidRPr="00972B92">
        <w:rPr>
          <w:lang w:val="en-US"/>
        </w:rPr>
        <w:t>The substances or mixtures</w:t>
      </w:r>
      <w:r>
        <w:rPr>
          <w:lang w:val="en-US"/>
        </w:rPr>
        <w:t>” by “</w:t>
      </w:r>
      <w:r w:rsidRPr="00CF1302">
        <w:rPr>
          <w:lang w:val="en-US"/>
        </w:rPr>
        <w:t>In accordance with test 6</w:t>
      </w:r>
      <w:r>
        <w:rPr>
          <w:lang w:val="en-US"/>
        </w:rPr>
        <w:t> </w:t>
      </w:r>
      <w:r w:rsidRPr="00CF1302">
        <w:rPr>
          <w:lang w:val="en-US"/>
        </w:rPr>
        <w:t>(a), substances and mixtures</w:t>
      </w:r>
      <w:r>
        <w:rPr>
          <w:lang w:val="en-US"/>
        </w:rPr>
        <w:t>”. Amend the third sentence to read: “</w:t>
      </w:r>
      <w:r w:rsidRPr="0049469D">
        <w:rPr>
          <w:lang w:val="en-US"/>
        </w:rPr>
        <w:t>If there is a positive result in test 6 (a), test 6 (b) should be performed with the same initiation system that caused the positive result in test 6 (a).</w:t>
      </w:r>
      <w:r>
        <w:rPr>
          <w:lang w:val="en-US"/>
        </w:rPr>
        <w:t>”.</w:t>
      </w:r>
    </w:p>
    <w:p w14:paraId="2C633579" w14:textId="77777777" w:rsidR="00077D40" w:rsidRDefault="00077D40" w:rsidP="00077D40">
      <w:pPr>
        <w:pStyle w:val="SingleTxtG"/>
        <w:ind w:left="2268" w:hanging="1134"/>
        <w:rPr>
          <w:lang w:val="en-US"/>
        </w:rPr>
      </w:pPr>
      <w:r>
        <w:rPr>
          <w:lang w:val="en-US"/>
        </w:rPr>
        <w:t>51.3.2</w:t>
      </w:r>
      <w:r>
        <w:rPr>
          <w:lang w:val="en-US"/>
        </w:rPr>
        <w:tab/>
        <w:t>Amend to read as follows (second sentence becomes (e)):</w:t>
      </w:r>
    </w:p>
    <w:p w14:paraId="75073D05" w14:textId="77777777" w:rsidR="00077D40" w:rsidRPr="00264D95" w:rsidRDefault="00077D40" w:rsidP="00077D40">
      <w:pPr>
        <w:pStyle w:val="SingleTxtG"/>
        <w:ind w:left="2268" w:hanging="1134"/>
        <w:rPr>
          <w:lang w:val="en-US"/>
        </w:rPr>
      </w:pPr>
      <w:r>
        <w:rPr>
          <w:lang w:val="en-US"/>
        </w:rPr>
        <w:t>“</w:t>
      </w:r>
      <w:r w:rsidRPr="00264D95">
        <w:rPr>
          <w:lang w:val="en-US"/>
        </w:rPr>
        <w:t>51.3.2</w:t>
      </w:r>
      <w:r w:rsidRPr="00264D95">
        <w:rPr>
          <w:lang w:val="en-US"/>
        </w:rPr>
        <w:tab/>
        <w:t>It is not always necessary to conduct tests of all types:</w:t>
      </w:r>
    </w:p>
    <w:p w14:paraId="31BCCF65" w14:textId="77777777" w:rsidR="00077D40" w:rsidRPr="00264D95" w:rsidRDefault="00077D40" w:rsidP="00077D40">
      <w:pPr>
        <w:pStyle w:val="SingleTxtG"/>
        <w:ind w:left="2835" w:hanging="567"/>
        <w:rPr>
          <w:lang w:val="en-US"/>
        </w:rPr>
      </w:pPr>
      <w:r w:rsidRPr="00264D95">
        <w:rPr>
          <w:lang w:val="en-US"/>
        </w:rPr>
        <w:t>(a)</w:t>
      </w:r>
      <w:r w:rsidRPr="00264D95">
        <w:rPr>
          <w:lang w:val="en-US"/>
        </w:rPr>
        <w:tab/>
        <w:t>Test series 3 may be waived if the explosive itself (i.e. before being phlegmatized) is not too sensitive or thermally unstable in accordance with test series 3.</w:t>
      </w:r>
    </w:p>
    <w:p w14:paraId="336D22CB" w14:textId="77777777" w:rsidR="00077D40" w:rsidRPr="00264D95" w:rsidRDefault="00077D40" w:rsidP="00077D40">
      <w:pPr>
        <w:pStyle w:val="SingleTxtG"/>
        <w:ind w:left="2835" w:hanging="567"/>
        <w:rPr>
          <w:lang w:val="en-US"/>
        </w:rPr>
      </w:pPr>
      <w:r w:rsidRPr="00264D95">
        <w:rPr>
          <w:lang w:val="en-US"/>
        </w:rPr>
        <w:t>(b)</w:t>
      </w:r>
      <w:r w:rsidRPr="00264D95">
        <w:rPr>
          <w:lang w:val="en-US"/>
        </w:rPr>
        <w:tab/>
        <w:t>Test series 3 and tests 6 (a) and (b) may be waived if test series 2 has been passed.</w:t>
      </w:r>
    </w:p>
    <w:p w14:paraId="7CDC9C0F" w14:textId="77777777" w:rsidR="00077D40" w:rsidRPr="00264D95" w:rsidRDefault="00077D40" w:rsidP="00077D40">
      <w:pPr>
        <w:pStyle w:val="SingleTxtG"/>
        <w:ind w:left="2835" w:hanging="567"/>
        <w:rPr>
          <w:lang w:val="en-US"/>
        </w:rPr>
      </w:pPr>
      <w:r w:rsidRPr="00264D95">
        <w:rPr>
          <w:lang w:val="en-US"/>
        </w:rPr>
        <w:t>(c)</w:t>
      </w:r>
      <w:r w:rsidRPr="00264D95">
        <w:rPr>
          <w:lang w:val="en-US"/>
        </w:rPr>
        <w:tab/>
        <w:t>Test series 3 is not applicable to nitrocellulose mixtures containing no explosives other than nitrocellulose, for which the stability of the nitrocellulose has been established in accordance with Appendix 10.</w:t>
      </w:r>
    </w:p>
    <w:p w14:paraId="365BF53E" w14:textId="77777777" w:rsidR="00077D40" w:rsidRPr="00264D95" w:rsidRDefault="00077D40" w:rsidP="00077D40">
      <w:pPr>
        <w:pStyle w:val="SingleTxtG"/>
        <w:ind w:left="2835" w:hanging="567"/>
        <w:rPr>
          <w:lang w:val="en-US"/>
        </w:rPr>
      </w:pPr>
      <w:r w:rsidRPr="00264D95">
        <w:rPr>
          <w:lang w:val="en-US"/>
        </w:rPr>
        <w:t>(d)</w:t>
      </w:r>
      <w:r w:rsidRPr="00264D95">
        <w:rPr>
          <w:lang w:val="en-US"/>
        </w:rPr>
        <w:tab/>
        <w:t>Tests 6 (a) and 6 (b) may be modified or waived in accordance with section 51.3.3.</w:t>
      </w:r>
    </w:p>
    <w:p w14:paraId="00DC26DD" w14:textId="77777777" w:rsidR="00077D40" w:rsidRPr="00264D95" w:rsidRDefault="00077D40" w:rsidP="00077D40">
      <w:pPr>
        <w:pStyle w:val="SingleTxtG"/>
        <w:ind w:left="2835" w:hanging="567"/>
        <w:rPr>
          <w:lang w:val="en-US"/>
        </w:rPr>
      </w:pPr>
      <w:r w:rsidRPr="00264D95">
        <w:rPr>
          <w:lang w:val="en-US"/>
        </w:rPr>
        <w:t>(e)</w:t>
      </w:r>
      <w:r w:rsidRPr="00264D95">
        <w:rPr>
          <w:lang w:val="en-US"/>
        </w:rPr>
        <w:tab/>
        <w:t>Test 6 (b) may be waived if in each type 6 (a) test:</w:t>
      </w:r>
    </w:p>
    <w:p w14:paraId="18CBAFE0" w14:textId="77777777" w:rsidR="00077D40" w:rsidRPr="00264D95" w:rsidRDefault="00077D40" w:rsidP="00077D40">
      <w:pPr>
        <w:pStyle w:val="SingleTxtG"/>
        <w:ind w:left="3402" w:hanging="567"/>
        <w:rPr>
          <w:lang w:val="en-US"/>
        </w:rPr>
      </w:pPr>
      <w:r w:rsidRPr="00264D95">
        <w:rPr>
          <w:lang w:val="en-US"/>
        </w:rPr>
        <w:t>(i)</w:t>
      </w:r>
      <w:r w:rsidRPr="00264D95">
        <w:rPr>
          <w:lang w:val="en-US"/>
        </w:rPr>
        <w:tab/>
        <w:t>The exterior of the package is undamaged by internal detonation and/or ignition; or</w:t>
      </w:r>
    </w:p>
    <w:p w14:paraId="5926D1B5" w14:textId="77777777" w:rsidR="00077D40" w:rsidRPr="00345975" w:rsidRDefault="00077D40" w:rsidP="00077D40">
      <w:pPr>
        <w:pStyle w:val="SingleTxtG"/>
        <w:ind w:left="3402" w:hanging="567"/>
        <w:rPr>
          <w:lang w:val="en-US"/>
        </w:rPr>
      </w:pPr>
      <w:r w:rsidRPr="00264D95">
        <w:rPr>
          <w:lang w:val="en-US"/>
        </w:rPr>
        <w:t>(ii)</w:t>
      </w:r>
      <w:r w:rsidRPr="00264D95">
        <w:rPr>
          <w:lang w:val="en-US"/>
        </w:rPr>
        <w:tab/>
        <w:t>The contents of the package fail to explode, or explode so feebly as would exclude propagation of the explosive effect from one package to another in test 6 (b).</w:t>
      </w:r>
      <w:r>
        <w:rPr>
          <w:lang w:val="en-US"/>
        </w:rPr>
        <w:t>”</w:t>
      </w:r>
    </w:p>
    <w:p w14:paraId="4147EDF9" w14:textId="77777777" w:rsidR="00077D40" w:rsidRDefault="00077D40" w:rsidP="00077D40">
      <w:pPr>
        <w:pStyle w:val="SingleTxtG"/>
        <w:ind w:left="2268" w:hanging="1134"/>
        <w:rPr>
          <w:lang w:val="en-US"/>
        </w:rPr>
      </w:pPr>
      <w:r>
        <w:rPr>
          <w:lang w:val="en-US"/>
        </w:rPr>
        <w:t>51.3.3</w:t>
      </w:r>
      <w:r>
        <w:rPr>
          <w:lang w:val="en-US"/>
        </w:rPr>
        <w:tab/>
        <w:t>Amend to read as follows:</w:t>
      </w:r>
    </w:p>
    <w:p w14:paraId="7F814A1C" w14:textId="77777777" w:rsidR="00077D40" w:rsidRDefault="00077D40" w:rsidP="00077D40">
      <w:pPr>
        <w:pStyle w:val="SingleTxtG"/>
        <w:ind w:left="2268" w:hanging="1134"/>
        <w:rPr>
          <w:lang w:val="en-US"/>
        </w:rPr>
      </w:pPr>
      <w:r>
        <w:rPr>
          <w:lang w:val="en-US"/>
        </w:rPr>
        <w:t>“</w:t>
      </w:r>
      <w:r w:rsidRPr="00707516">
        <w:rPr>
          <w:lang w:val="en-US"/>
        </w:rPr>
        <w:t>51.3.3</w:t>
      </w:r>
      <w:r w:rsidRPr="00707516">
        <w:rPr>
          <w:lang w:val="en-US"/>
        </w:rPr>
        <w:tab/>
        <w:t>If a substance or mixture gives a negative result (no propagation of detonation) in test 1 (a), test 6 (a) with a detonator may be waived</w:t>
      </w:r>
      <w:r w:rsidRPr="005F23FA">
        <w:rPr>
          <w:b/>
          <w:bCs/>
          <w:vertAlign w:val="superscript"/>
          <w:lang w:val="en-US"/>
        </w:rPr>
        <w:t>2</w:t>
      </w:r>
      <w:r w:rsidRPr="00707516">
        <w:rPr>
          <w:lang w:val="en-US"/>
        </w:rPr>
        <w:t>. If a substance or mixture gives a negative result (no or slow deflagration) in test 2 (c), test 6 (a) with an igniter may be waived.</w:t>
      </w:r>
      <w:r>
        <w:rPr>
          <w:lang w:val="en-US"/>
        </w:rPr>
        <w:t>”</w:t>
      </w:r>
    </w:p>
    <w:p w14:paraId="1E052084" w14:textId="77777777" w:rsidR="00077D40" w:rsidRPr="00903112" w:rsidRDefault="00077D40" w:rsidP="00077D40">
      <w:pPr>
        <w:pStyle w:val="SingleTxtG"/>
        <w:ind w:left="2268" w:hanging="1134"/>
        <w:rPr>
          <w:lang w:val="en-US"/>
        </w:rPr>
      </w:pPr>
      <w:r>
        <w:rPr>
          <w:lang w:val="en-US"/>
        </w:rPr>
        <w:tab/>
      </w:r>
      <w:r w:rsidRPr="0008727A">
        <w:rPr>
          <w:lang w:val="en-US"/>
        </w:rPr>
        <w:t xml:space="preserve">Renumber footnote 3 as 2 and replace “the type 1 (a) test” by “test 1 (a)” and </w:t>
      </w:r>
      <w:r w:rsidRPr="00903112">
        <w:rPr>
          <w:lang w:val="en-US"/>
        </w:rPr>
        <w:t>“</w:t>
      </w:r>
      <w:r w:rsidRPr="0008727A">
        <w:rPr>
          <w:lang w:val="en-US"/>
        </w:rPr>
        <w:t>the Series 6 type 6(a) test” by “test 6 (a).”</w:t>
      </w:r>
      <w:r>
        <w:rPr>
          <w:lang w:val="en-US"/>
        </w:rPr>
        <w:t>.</w:t>
      </w:r>
    </w:p>
    <w:p w14:paraId="45BD23AC" w14:textId="77777777" w:rsidR="00077D40" w:rsidRDefault="00077D40" w:rsidP="00077D40">
      <w:pPr>
        <w:pStyle w:val="SingleTxtG"/>
        <w:ind w:left="2268" w:hanging="1134"/>
        <w:rPr>
          <w:lang w:val="en-US"/>
        </w:rPr>
      </w:pPr>
      <w:r>
        <w:rPr>
          <w:lang w:val="en-US"/>
        </w:rPr>
        <w:t>51.3.4</w:t>
      </w:r>
      <w:r>
        <w:rPr>
          <w:lang w:val="en-US"/>
        </w:rPr>
        <w:tab/>
        <w:t>In the first sentence, replace “a test type 6 (b)” as “test 6 (b)”. In the second sentence, replace “Division 1.1” by “</w:t>
      </w:r>
      <w:r w:rsidRPr="00D34D88">
        <w:rPr>
          <w:lang w:val="en-US"/>
        </w:rPr>
        <w:t>the class of explosives (see Chapter 2.1 of the GHS)</w:t>
      </w:r>
      <w:r>
        <w:rPr>
          <w:lang w:val="en-US"/>
        </w:rPr>
        <w:t>”.</w:t>
      </w:r>
    </w:p>
    <w:p w14:paraId="040E4E69" w14:textId="77777777" w:rsidR="00077D40" w:rsidRDefault="00077D40" w:rsidP="00077D40">
      <w:pPr>
        <w:pStyle w:val="SingleTxtG"/>
        <w:rPr>
          <w:i/>
          <w:iCs/>
        </w:rPr>
      </w:pPr>
      <w:r w:rsidRPr="00D34D88">
        <w:rPr>
          <w:i/>
          <w:iCs/>
        </w:rPr>
        <w:t>(Reference document: ST/SG/AC.10/C.3/2022/5</w:t>
      </w:r>
      <w:r>
        <w:rPr>
          <w:i/>
          <w:iCs/>
        </w:rPr>
        <w:t>0 as shown in informal document INF.4 and as amended by informal document INF.59</w:t>
      </w:r>
      <w:r w:rsidRPr="00D34D88">
        <w:rPr>
          <w:i/>
          <w:iCs/>
        </w:rPr>
        <w:t>)</w:t>
      </w:r>
    </w:p>
    <w:p w14:paraId="33E2CC37" w14:textId="77777777" w:rsidR="00077D40" w:rsidRDefault="00077D40" w:rsidP="00077D40">
      <w:pPr>
        <w:pStyle w:val="SingleTxtG"/>
        <w:ind w:left="2268" w:hanging="1134"/>
        <w:rPr>
          <w:lang w:val="en-US"/>
        </w:rPr>
      </w:pPr>
      <w:r>
        <w:rPr>
          <w:lang w:val="en-US"/>
        </w:rPr>
        <w:t>51.4.4.2 (b)</w:t>
      </w:r>
      <w:r>
        <w:rPr>
          <w:lang w:val="en-US"/>
        </w:rPr>
        <w:tab/>
        <w:t>Renumber footnote 4 as 3.</w:t>
      </w:r>
    </w:p>
    <w:p w14:paraId="1EC12B0E" w14:textId="77777777" w:rsidR="00077D40" w:rsidRPr="00804113" w:rsidRDefault="00077D40" w:rsidP="00077D40">
      <w:pPr>
        <w:pStyle w:val="SingleTxtG"/>
        <w:ind w:left="2268" w:hanging="1134"/>
        <w:rPr>
          <w:i/>
          <w:iCs/>
          <w:lang w:val="en-US"/>
        </w:rPr>
      </w:pPr>
      <w:r>
        <w:rPr>
          <w:i/>
          <w:iCs/>
          <w:lang w:val="en-US"/>
        </w:rPr>
        <w:t>(Consequential amendment)</w:t>
      </w:r>
    </w:p>
    <w:p w14:paraId="739D8017" w14:textId="77777777" w:rsidR="00077D40" w:rsidRDefault="00077D40" w:rsidP="00077D40">
      <w:pPr>
        <w:pStyle w:val="H1G"/>
      </w:pPr>
      <w:r>
        <w:tab/>
      </w:r>
      <w:r>
        <w:tab/>
        <w:t xml:space="preserve">Document </w:t>
      </w:r>
      <w:r w:rsidRPr="00400679">
        <w:t>ST/SG/AC.10/C.3/202</w:t>
      </w:r>
      <w:r>
        <w:t>2/75, Part II was adopted with the following modifications:</w:t>
      </w:r>
    </w:p>
    <w:p w14:paraId="7C47E18C" w14:textId="77777777" w:rsidR="00077D40" w:rsidRDefault="00077D40" w:rsidP="00077D40">
      <w:pPr>
        <w:pStyle w:val="SingleTxtG"/>
      </w:pPr>
      <w:r>
        <w:tab/>
        <w:t>Remove all the square brackets.</w:t>
      </w:r>
    </w:p>
    <w:p w14:paraId="6CA4A6FA" w14:textId="77777777" w:rsidR="00077D40" w:rsidRDefault="00077D40" w:rsidP="00077D40">
      <w:pPr>
        <w:pStyle w:val="SingleTxtG"/>
        <w:ind w:left="2268" w:hanging="1134"/>
      </w:pPr>
      <w:r>
        <w:t>38.3.3</w:t>
      </w:r>
      <w:r>
        <w:tab/>
        <w:t>In the list of amendments to the renumbered 38.3.3.1 add the following new item:</w:t>
      </w:r>
    </w:p>
    <w:p w14:paraId="03A6AD0D" w14:textId="77777777" w:rsidR="00077D40" w:rsidRDefault="00077D40" w:rsidP="00077D40">
      <w:pPr>
        <w:pStyle w:val="SingleTxtG"/>
        <w:ind w:left="2268" w:hanging="1134"/>
      </w:pPr>
      <w:r>
        <w:tab/>
        <w:t>“-</w:t>
      </w:r>
      <w:r>
        <w:tab/>
        <w:t>Insert a new heading to read: “</w:t>
      </w:r>
      <w:r w:rsidRPr="00AD6FB5">
        <w:t>Testing of lithium cells and batteries</w:t>
      </w:r>
      <w:r>
        <w:t>”.”</w:t>
      </w:r>
    </w:p>
    <w:p w14:paraId="2C497250" w14:textId="77777777" w:rsidR="00077D40" w:rsidRPr="00843762" w:rsidRDefault="00077D40" w:rsidP="00077D40">
      <w:pPr>
        <w:pStyle w:val="SingleTxtG"/>
        <w:rPr>
          <w:i/>
          <w:iCs/>
        </w:rPr>
      </w:pPr>
      <w:r w:rsidRPr="00804977">
        <w:rPr>
          <w:i/>
          <w:iCs/>
        </w:rPr>
        <w:t xml:space="preserve">(Reference document: </w:t>
      </w:r>
      <w:r>
        <w:rPr>
          <w:i/>
          <w:iCs/>
        </w:rPr>
        <w:t>informal document INF.39/Rev.1</w:t>
      </w:r>
      <w:r w:rsidRPr="00804977">
        <w:rPr>
          <w:i/>
          <w:iCs/>
        </w:rPr>
        <w:t>)</w:t>
      </w:r>
    </w:p>
    <w:p w14:paraId="6E6140AE" w14:textId="77777777" w:rsidR="00D50719" w:rsidRDefault="00D50719">
      <w:pPr>
        <w:suppressAutoHyphens w:val="0"/>
        <w:kinsoku/>
        <w:overflowPunct/>
        <w:autoSpaceDE/>
        <w:autoSpaceDN/>
        <w:adjustRightInd/>
        <w:snapToGrid/>
        <w:spacing w:after="200" w:line="276" w:lineRule="auto"/>
        <w:rPr>
          <w:b/>
          <w:sz w:val="28"/>
        </w:rPr>
      </w:pPr>
      <w:r>
        <w:br w:type="page"/>
      </w:r>
    </w:p>
    <w:p w14:paraId="18B32F72" w14:textId="54557B1F" w:rsidR="00077D40" w:rsidRPr="001C5029" w:rsidRDefault="00077D40" w:rsidP="00077D40">
      <w:pPr>
        <w:pStyle w:val="HChG"/>
      </w:pPr>
      <w:r w:rsidRPr="001C5029">
        <w:tab/>
        <w:t>II</w:t>
      </w:r>
      <w:r>
        <w:t>I</w:t>
      </w:r>
      <w:r w:rsidRPr="001C5029">
        <w:t>.</w:t>
      </w:r>
      <w:r w:rsidRPr="001C5029">
        <w:tab/>
      </w:r>
      <w:r>
        <w:t>Modifications to the sixth version of the Guiding Principles for the Development of the Model Regulations on the Transport of Dangerous Goods [English only]</w:t>
      </w:r>
    </w:p>
    <w:p w14:paraId="2D2FEDB9" w14:textId="77777777" w:rsidR="00077D40" w:rsidRDefault="00077D40" w:rsidP="00077D40">
      <w:pPr>
        <w:kinsoku/>
        <w:overflowPunct/>
        <w:autoSpaceDE/>
        <w:autoSpaceDN/>
        <w:adjustRightInd/>
        <w:snapToGrid/>
        <w:spacing w:after="120"/>
        <w:ind w:left="2268" w:right="1134" w:hanging="1134"/>
        <w:jc w:val="both"/>
      </w:pPr>
      <w:r w:rsidRPr="00833AC2">
        <w:t xml:space="preserve">Part 4, </w:t>
      </w:r>
      <w:r>
        <w:t>B</w:t>
      </w:r>
      <w:r w:rsidRPr="00833AC2">
        <w:t>.2</w:t>
      </w:r>
      <w:r w:rsidRPr="00833AC2">
        <w:tab/>
      </w:r>
      <w:r>
        <w:t>In table 4.2, add the following new entry:</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4128"/>
        <w:gridCol w:w="1134"/>
        <w:gridCol w:w="525"/>
        <w:gridCol w:w="1176"/>
      </w:tblGrid>
      <w:tr w:rsidR="00077D40" w:rsidRPr="00044803" w14:paraId="52E76645" w14:textId="77777777" w:rsidTr="006932FB">
        <w:trPr>
          <w:trHeight w:val="134"/>
        </w:trPr>
        <w:tc>
          <w:tcPr>
            <w:tcW w:w="692" w:type="dxa"/>
          </w:tcPr>
          <w:p w14:paraId="22BFACB9" w14:textId="77777777" w:rsidR="00077D40" w:rsidRPr="00044803" w:rsidRDefault="00077D40" w:rsidP="006932FB">
            <w:pPr>
              <w:pStyle w:val="Default"/>
              <w:rPr>
                <w:sz w:val="20"/>
                <w:szCs w:val="20"/>
              </w:rPr>
            </w:pPr>
            <w:r w:rsidRPr="00044803">
              <w:rPr>
                <w:sz w:val="20"/>
                <w:szCs w:val="20"/>
              </w:rPr>
              <w:t xml:space="preserve">3423 </w:t>
            </w:r>
          </w:p>
        </w:tc>
        <w:tc>
          <w:tcPr>
            <w:tcW w:w="4128" w:type="dxa"/>
          </w:tcPr>
          <w:p w14:paraId="2E51F8DE" w14:textId="77777777" w:rsidR="00077D40" w:rsidRPr="00044803" w:rsidRDefault="00077D40" w:rsidP="006932FB">
            <w:pPr>
              <w:suppressAutoHyphens w:val="0"/>
              <w:spacing w:line="240" w:lineRule="auto"/>
            </w:pPr>
            <w:r w:rsidRPr="00044803">
              <w:rPr>
                <w:rFonts w:asciiTheme="majorBidi" w:hAnsiTheme="majorBidi" w:cstheme="majorBidi"/>
              </w:rPr>
              <w:t>TETRAMETHYLAMMONIUM HYDROXIDE, SOLID</w:t>
            </w:r>
          </w:p>
        </w:tc>
        <w:tc>
          <w:tcPr>
            <w:tcW w:w="1134" w:type="dxa"/>
          </w:tcPr>
          <w:p w14:paraId="19C53750" w14:textId="77777777" w:rsidR="00077D40" w:rsidRPr="00044803" w:rsidRDefault="00077D40" w:rsidP="006932FB">
            <w:pPr>
              <w:pStyle w:val="Default"/>
              <w:rPr>
                <w:sz w:val="20"/>
                <w:szCs w:val="20"/>
              </w:rPr>
            </w:pPr>
            <w:r w:rsidRPr="00044803">
              <w:rPr>
                <w:sz w:val="20"/>
                <w:szCs w:val="20"/>
              </w:rPr>
              <w:t>6.1</w:t>
            </w:r>
          </w:p>
        </w:tc>
        <w:tc>
          <w:tcPr>
            <w:tcW w:w="525" w:type="dxa"/>
          </w:tcPr>
          <w:p w14:paraId="3DE7C9A9" w14:textId="77777777" w:rsidR="00077D40" w:rsidRPr="00044803" w:rsidRDefault="00077D40" w:rsidP="006932FB">
            <w:pPr>
              <w:pStyle w:val="Default"/>
              <w:rPr>
                <w:sz w:val="20"/>
                <w:szCs w:val="20"/>
              </w:rPr>
            </w:pPr>
            <w:r w:rsidRPr="00044803">
              <w:rPr>
                <w:sz w:val="20"/>
                <w:szCs w:val="20"/>
              </w:rPr>
              <w:t>I</w:t>
            </w:r>
          </w:p>
        </w:tc>
        <w:tc>
          <w:tcPr>
            <w:tcW w:w="1176" w:type="dxa"/>
          </w:tcPr>
          <w:p w14:paraId="00302AD2" w14:textId="77777777" w:rsidR="00077D40" w:rsidRPr="00044803" w:rsidRDefault="00077D40" w:rsidP="006932FB">
            <w:pPr>
              <w:pStyle w:val="Default"/>
              <w:rPr>
                <w:sz w:val="20"/>
                <w:szCs w:val="20"/>
              </w:rPr>
            </w:pPr>
            <w:r w:rsidRPr="00044803">
              <w:rPr>
                <w:sz w:val="20"/>
                <w:szCs w:val="20"/>
              </w:rPr>
              <w:t xml:space="preserve">8 </w:t>
            </w:r>
          </w:p>
        </w:tc>
      </w:tr>
    </w:tbl>
    <w:p w14:paraId="124B56D0" w14:textId="77777777" w:rsidR="00077D40" w:rsidRDefault="00077D40" w:rsidP="00077D40">
      <w:pPr>
        <w:pStyle w:val="SingleTxtG"/>
        <w:spacing w:before="120"/>
        <w:rPr>
          <w:i/>
          <w:iCs/>
        </w:rPr>
      </w:pPr>
      <w:r>
        <w:rPr>
          <w:i/>
          <w:iCs/>
        </w:rPr>
        <w:t>(Reference document: informal document INF.54)</w:t>
      </w:r>
    </w:p>
    <w:p w14:paraId="6F4E2115" w14:textId="77777777" w:rsidR="00077D40" w:rsidRPr="00833AC2" w:rsidRDefault="00077D40" w:rsidP="00077D40">
      <w:pPr>
        <w:kinsoku/>
        <w:overflowPunct/>
        <w:autoSpaceDE/>
        <w:autoSpaceDN/>
        <w:adjustRightInd/>
        <w:snapToGrid/>
        <w:spacing w:after="120"/>
        <w:ind w:left="2268" w:right="1134" w:hanging="1134"/>
        <w:jc w:val="both"/>
      </w:pPr>
      <w:r w:rsidRPr="00833AC2">
        <w:t>Part 4, C.2</w:t>
      </w:r>
      <w:r w:rsidRPr="00833AC2">
        <w:tab/>
        <w:t>Amend paragraph 7 to read as follows:</w:t>
      </w:r>
    </w:p>
    <w:p w14:paraId="23581353" w14:textId="77777777" w:rsidR="00077D40" w:rsidRPr="00833AC2" w:rsidRDefault="00077D40" w:rsidP="00077D40">
      <w:pPr>
        <w:kinsoku/>
        <w:overflowPunct/>
        <w:autoSpaceDE/>
        <w:autoSpaceDN/>
        <w:adjustRightInd/>
        <w:snapToGrid/>
        <w:spacing w:after="120"/>
        <w:ind w:left="1134" w:right="1134"/>
        <w:jc w:val="both"/>
      </w:pPr>
      <w:r w:rsidRPr="00833AC2">
        <w:t>“7.</w:t>
      </w:r>
      <w:r w:rsidRPr="00833AC2">
        <w:tab/>
        <w:t>When a specific portable tank instruction is specified in Column 10 for a specific dangerous goods entry, additional portable tanks with higher test pressures, greater shell thicknesses, more stringent bottom openings and pressure-relief device arrangements may be used, in accordance with the table in 4.2.5.2.5.”</w:t>
      </w:r>
    </w:p>
    <w:p w14:paraId="04EA11D3" w14:textId="77777777" w:rsidR="00077D40" w:rsidRPr="00833AC2" w:rsidRDefault="00077D40" w:rsidP="00077D40">
      <w:pPr>
        <w:kinsoku/>
        <w:overflowPunct/>
        <w:autoSpaceDE/>
        <w:autoSpaceDN/>
        <w:adjustRightInd/>
        <w:snapToGrid/>
        <w:spacing w:after="120"/>
        <w:ind w:left="2268" w:right="1134" w:hanging="1134"/>
        <w:jc w:val="both"/>
      </w:pPr>
      <w:r w:rsidRPr="00833AC2">
        <w:tab/>
        <w:t>After paragraph 7, insert the following new paragraph:</w:t>
      </w:r>
    </w:p>
    <w:p w14:paraId="22BA87BF" w14:textId="77777777" w:rsidR="00077D40" w:rsidRPr="00833AC2" w:rsidRDefault="00077D40" w:rsidP="00077D40">
      <w:pPr>
        <w:kinsoku/>
        <w:overflowPunct/>
        <w:autoSpaceDE/>
        <w:autoSpaceDN/>
        <w:adjustRightInd/>
        <w:snapToGrid/>
        <w:spacing w:after="120"/>
        <w:ind w:left="1134" w:right="1134"/>
        <w:jc w:val="both"/>
      </w:pPr>
      <w:r w:rsidRPr="00833AC2">
        <w:t>“8.</w:t>
      </w:r>
      <w:r w:rsidRPr="00833AC2">
        <w:tab/>
        <w:t>Some of the portable tank instructions in the T1 to T22 range are currently unused. In other words, there are no substances in the dangerous goods list which have these instructions assigned to them. These portable tank instructions are nevertheless kept in the regulations, as portable tanks can be constructed and marked according to any of these portable tank instructions and used to transport substances with other codes, in accordance with the table in 4.2.5.2.5.”</w:t>
      </w:r>
    </w:p>
    <w:p w14:paraId="68F677C9" w14:textId="77777777" w:rsidR="00077D40" w:rsidRPr="00833AC2" w:rsidRDefault="00077D40" w:rsidP="00077D40">
      <w:pPr>
        <w:kinsoku/>
        <w:overflowPunct/>
        <w:autoSpaceDE/>
        <w:autoSpaceDN/>
        <w:adjustRightInd/>
        <w:snapToGrid/>
        <w:spacing w:after="120"/>
        <w:ind w:left="2268" w:right="1134" w:hanging="1134"/>
        <w:jc w:val="both"/>
      </w:pPr>
      <w:r w:rsidRPr="00833AC2">
        <w:tab/>
        <w:t>Renumber subsequent paragraphs.</w:t>
      </w:r>
    </w:p>
    <w:p w14:paraId="525E4C36" w14:textId="77777777" w:rsidR="00077D40" w:rsidRPr="00833AC2" w:rsidRDefault="00077D40" w:rsidP="00077D40">
      <w:pPr>
        <w:kinsoku/>
        <w:overflowPunct/>
        <w:autoSpaceDE/>
        <w:autoSpaceDN/>
        <w:adjustRightInd/>
        <w:snapToGrid/>
        <w:spacing w:after="120"/>
        <w:ind w:left="2268" w:right="1134" w:hanging="1134"/>
        <w:jc w:val="both"/>
        <w:rPr>
          <w:i/>
          <w:iCs/>
          <w:lang w:eastAsia="en-US"/>
        </w:rPr>
      </w:pPr>
      <w:r w:rsidRPr="00833AC2">
        <w:rPr>
          <w:i/>
          <w:iCs/>
          <w:lang w:eastAsia="en-US"/>
        </w:rPr>
        <w:t>(</w:t>
      </w:r>
      <w:r w:rsidRPr="00804977">
        <w:rPr>
          <w:i/>
          <w:iCs/>
        </w:rPr>
        <w:t>Reference document</w:t>
      </w:r>
      <w:r w:rsidRPr="00833AC2">
        <w:rPr>
          <w:i/>
          <w:iCs/>
          <w:lang w:eastAsia="en-US"/>
        </w:rPr>
        <w:t xml:space="preserve">: ST/SG/AC.10/C.3/2022/77, </w:t>
      </w:r>
      <w:r>
        <w:rPr>
          <w:i/>
          <w:iCs/>
          <w:lang w:eastAsia="en-US"/>
        </w:rPr>
        <w:t>proposal</w:t>
      </w:r>
      <w:r w:rsidRPr="00833AC2">
        <w:rPr>
          <w:i/>
          <w:iCs/>
          <w:lang w:eastAsia="en-US"/>
        </w:rPr>
        <w:t xml:space="preserve"> 3)</w:t>
      </w:r>
    </w:p>
    <w:p w14:paraId="3FB8BBB5" w14:textId="20019F5D" w:rsidR="006D5CA9" w:rsidRPr="00C46875" w:rsidRDefault="00C46875" w:rsidP="00C46875">
      <w:pPr>
        <w:spacing w:before="240"/>
        <w:jc w:val="center"/>
        <w:rPr>
          <w:u w:val="single"/>
        </w:rPr>
      </w:pPr>
      <w:r>
        <w:rPr>
          <w:u w:val="single"/>
        </w:rPr>
        <w:tab/>
      </w:r>
      <w:r>
        <w:rPr>
          <w:u w:val="single"/>
        </w:rPr>
        <w:tab/>
      </w:r>
      <w:r>
        <w:rPr>
          <w:u w:val="single"/>
        </w:rPr>
        <w:tab/>
      </w:r>
    </w:p>
    <w:p w14:paraId="5853EE65" w14:textId="77777777" w:rsidR="006D5CA9" w:rsidRPr="00CE5EDB" w:rsidRDefault="006D5CA9" w:rsidP="00155726">
      <w:pPr>
        <w:suppressAutoHyphens w:val="0"/>
        <w:kinsoku/>
        <w:overflowPunct/>
        <w:autoSpaceDE/>
        <w:autoSpaceDN/>
        <w:adjustRightInd/>
        <w:snapToGrid/>
        <w:spacing w:after="200" w:line="276" w:lineRule="auto"/>
      </w:pPr>
    </w:p>
    <w:sectPr w:rsidR="006D5CA9" w:rsidRPr="00CE5EDB" w:rsidSect="00D5429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A95C6" w14:textId="77777777" w:rsidR="001F64D9" w:rsidRPr="00C47B2E" w:rsidRDefault="001F64D9" w:rsidP="00C47B2E">
      <w:pPr>
        <w:pStyle w:val="Footer"/>
      </w:pPr>
    </w:p>
  </w:endnote>
  <w:endnote w:type="continuationSeparator" w:id="0">
    <w:p w14:paraId="198FC33F" w14:textId="77777777" w:rsidR="001F64D9" w:rsidRPr="00C47B2E" w:rsidRDefault="001F64D9" w:rsidP="00C47B2E">
      <w:pPr>
        <w:pStyle w:val="Footer"/>
      </w:pPr>
    </w:p>
  </w:endnote>
  <w:endnote w:type="continuationNotice" w:id="1">
    <w:p w14:paraId="6CD0B667" w14:textId="77777777" w:rsidR="001F64D9" w:rsidRPr="00C47B2E" w:rsidRDefault="001F64D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TimesNewRomanPSMT">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0F3B" w14:textId="4004E2E3" w:rsidR="00D94B05" w:rsidRPr="00D54292" w:rsidRDefault="00D54292" w:rsidP="00D54292">
    <w:pPr>
      <w:pStyle w:val="Footer"/>
      <w:tabs>
        <w:tab w:val="right" w:pos="9598"/>
        <w:tab w:val="right" w:pos="9638"/>
      </w:tabs>
      <w:rPr>
        <w:sz w:val="18"/>
      </w:rPr>
    </w:pPr>
    <w:r w:rsidRPr="00D54292">
      <w:rPr>
        <w:b/>
        <w:sz w:val="18"/>
      </w:rPr>
      <w:fldChar w:fldCharType="begin"/>
    </w:r>
    <w:r w:rsidRPr="00D54292">
      <w:rPr>
        <w:b/>
        <w:sz w:val="18"/>
      </w:rPr>
      <w:instrText xml:space="preserve"> PAGE  \* MERGEFORMAT </w:instrText>
    </w:r>
    <w:r w:rsidRPr="00D54292">
      <w:rPr>
        <w:b/>
        <w:sz w:val="18"/>
      </w:rPr>
      <w:fldChar w:fldCharType="separate"/>
    </w:r>
    <w:r w:rsidRPr="00D54292">
      <w:rPr>
        <w:b/>
        <w:noProof/>
        <w:sz w:val="18"/>
      </w:rPr>
      <w:t>2</w:t>
    </w:r>
    <w:r w:rsidRPr="00D5429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E8BB" w14:textId="44297738" w:rsidR="00D94B05" w:rsidRPr="004337C2" w:rsidRDefault="00D54292" w:rsidP="00513742">
    <w:pPr>
      <w:pStyle w:val="Footer"/>
      <w:tabs>
        <w:tab w:val="left" w:pos="5775"/>
        <w:tab w:val="right" w:pos="9598"/>
        <w:tab w:val="right" w:pos="9638"/>
      </w:tabs>
      <w:jc w:val="right"/>
      <w:rPr>
        <w:b/>
        <w:bCs/>
        <w:sz w:val="18"/>
      </w:rPr>
    </w:pPr>
    <w:r>
      <w:rPr>
        <w:b/>
        <w:sz w:val="18"/>
      </w:rPr>
      <w:tab/>
    </w:r>
    <w:r w:rsidRPr="004337C2">
      <w:rPr>
        <w:b/>
        <w:bCs/>
        <w:sz w:val="18"/>
      </w:rPr>
      <w:fldChar w:fldCharType="begin"/>
    </w:r>
    <w:r w:rsidRPr="004337C2">
      <w:rPr>
        <w:b/>
        <w:bCs/>
        <w:sz w:val="18"/>
      </w:rPr>
      <w:instrText xml:space="preserve"> PAGE  \* MERGEFORMAT </w:instrText>
    </w:r>
    <w:r w:rsidRPr="004337C2">
      <w:rPr>
        <w:b/>
        <w:bCs/>
        <w:sz w:val="18"/>
      </w:rPr>
      <w:fldChar w:fldCharType="separate"/>
    </w:r>
    <w:r w:rsidRPr="004337C2">
      <w:rPr>
        <w:b/>
        <w:bCs/>
        <w:noProof/>
        <w:sz w:val="18"/>
      </w:rPr>
      <w:t>3</w:t>
    </w:r>
    <w:r w:rsidRPr="004337C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761D" w14:textId="77777777" w:rsidR="00D94B05" w:rsidRPr="00D5429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60FAA68A" wp14:editId="0AD3DF44">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608D" w14:textId="77777777" w:rsidR="001F64D9" w:rsidRPr="00C47B2E" w:rsidRDefault="001F64D9" w:rsidP="00C47B2E">
      <w:pPr>
        <w:tabs>
          <w:tab w:val="right" w:pos="2155"/>
        </w:tabs>
        <w:spacing w:after="80" w:line="240" w:lineRule="auto"/>
        <w:ind w:left="680"/>
      </w:pPr>
      <w:r>
        <w:rPr>
          <w:u w:val="single"/>
        </w:rPr>
        <w:tab/>
      </w:r>
    </w:p>
  </w:footnote>
  <w:footnote w:type="continuationSeparator" w:id="0">
    <w:p w14:paraId="3681CFAF" w14:textId="77777777" w:rsidR="001F64D9" w:rsidRPr="00C47B2E" w:rsidRDefault="001F64D9" w:rsidP="005E716E">
      <w:pPr>
        <w:tabs>
          <w:tab w:val="right" w:pos="2155"/>
        </w:tabs>
        <w:spacing w:after="80" w:line="240" w:lineRule="auto"/>
        <w:ind w:left="680"/>
      </w:pPr>
      <w:r>
        <w:rPr>
          <w:u w:val="single"/>
        </w:rPr>
        <w:tab/>
      </w:r>
    </w:p>
  </w:footnote>
  <w:footnote w:type="continuationNotice" w:id="1">
    <w:p w14:paraId="56A8B025" w14:textId="77777777" w:rsidR="001F64D9" w:rsidRPr="00C47B2E" w:rsidRDefault="001F64D9" w:rsidP="00C47B2E">
      <w:pPr>
        <w:pStyle w:val="Footer"/>
      </w:pPr>
    </w:p>
  </w:footnote>
  <w:footnote w:id="2">
    <w:p w14:paraId="6A8C7608" w14:textId="612761FA" w:rsidR="00EC3668" w:rsidRPr="001C19F5" w:rsidRDefault="00EC3668" w:rsidP="00EC3668">
      <w:pPr>
        <w:pStyle w:val="FootnoteText"/>
      </w:pPr>
      <w:r>
        <w:tab/>
      </w:r>
      <w:r>
        <w:rPr>
          <w:rStyle w:val="FootnoteReference"/>
        </w:rPr>
        <w:footnoteRef/>
      </w:r>
      <w:r>
        <w:t xml:space="preserve"> </w:t>
      </w:r>
      <w:r w:rsidRPr="001C19F5">
        <w:tab/>
      </w:r>
      <w:r>
        <w:t>For practical reasons, these annexes have been published as an addendum with the symbol ST/SG/AC.10/C.3/12</w:t>
      </w:r>
      <w:r w:rsidR="0096356F">
        <w:t>2</w:t>
      </w:r>
      <w:r>
        <w:t>/Add.1.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37FD" w14:textId="32FCC2B5" w:rsidR="00D54292" w:rsidRPr="00F10828" w:rsidRDefault="005C77DB">
    <w:pPr>
      <w:pStyle w:val="Header"/>
    </w:pPr>
    <w:r w:rsidRPr="00F10828">
      <w:t>ST/SG/AC.10/C.3/1</w:t>
    </w:r>
    <w:r w:rsidR="00B9218A">
      <w:t>2</w:t>
    </w:r>
    <w:r w:rsidR="0096356F">
      <w:t>2</w:t>
    </w:r>
    <w:r w:rsidR="00F96A32" w:rsidRPr="00F10828">
      <w:t>/Add.</w:t>
    </w:r>
    <w:r w:rsidR="00F96A32">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5A33" w14:textId="018F1B0B" w:rsidR="00D94B05" w:rsidRPr="00F10828" w:rsidRDefault="0089663C" w:rsidP="00D54292">
    <w:pPr>
      <w:pStyle w:val="Header"/>
      <w:jc w:val="right"/>
    </w:pPr>
    <w:r w:rsidRPr="001145F3">
      <w:t>ST/SG/AC.10/C.3/1</w:t>
    </w:r>
    <w:r w:rsidR="00B9218A">
      <w:t>2</w:t>
    </w:r>
    <w:r w:rsidR="0096356F">
      <w:t>2/</w:t>
    </w:r>
    <w:r w:rsidR="001145F3">
      <w:t>A</w:t>
    </w:r>
    <w:r w:rsidR="001145F3" w:rsidRPr="00F10828">
      <w:t>dd.</w:t>
    </w:r>
    <w:r w:rsidR="001145F3">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F82E" w14:textId="77777777" w:rsidR="00F96A32" w:rsidRDefault="00F96A32" w:rsidP="00F108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70A53"/>
    <w:multiLevelType w:val="hybridMultilevel"/>
    <w:tmpl w:val="FD8C9490"/>
    <w:lvl w:ilvl="0" w:tplc="9E56B492">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C46063"/>
    <w:multiLevelType w:val="hybridMultilevel"/>
    <w:tmpl w:val="6108CBE4"/>
    <w:lvl w:ilvl="0" w:tplc="60FE4BAC">
      <w:start w:val="1"/>
      <w:numFmt w:val="decimal"/>
      <w:lvlText w:val="%1."/>
      <w:lvlJc w:val="left"/>
      <w:pPr>
        <w:ind w:left="1917" w:hanging="360"/>
      </w:pPr>
      <w:rPr>
        <w:rFonts w:hint="default"/>
      </w:rPr>
    </w:lvl>
    <w:lvl w:ilvl="1" w:tplc="08090019" w:tentative="1">
      <w:start w:val="1"/>
      <w:numFmt w:val="lowerLetter"/>
      <w:lvlText w:val="%2."/>
      <w:lvlJc w:val="left"/>
      <w:pPr>
        <w:ind w:left="2637" w:hanging="360"/>
      </w:pPr>
    </w:lvl>
    <w:lvl w:ilvl="2" w:tplc="0809001B" w:tentative="1">
      <w:start w:val="1"/>
      <w:numFmt w:val="lowerRoman"/>
      <w:lvlText w:val="%3."/>
      <w:lvlJc w:val="right"/>
      <w:pPr>
        <w:ind w:left="3357" w:hanging="180"/>
      </w:pPr>
    </w:lvl>
    <w:lvl w:ilvl="3" w:tplc="0809000F" w:tentative="1">
      <w:start w:val="1"/>
      <w:numFmt w:val="decimal"/>
      <w:lvlText w:val="%4."/>
      <w:lvlJc w:val="left"/>
      <w:pPr>
        <w:ind w:left="4077" w:hanging="360"/>
      </w:pPr>
    </w:lvl>
    <w:lvl w:ilvl="4" w:tplc="08090019" w:tentative="1">
      <w:start w:val="1"/>
      <w:numFmt w:val="lowerLetter"/>
      <w:lvlText w:val="%5."/>
      <w:lvlJc w:val="left"/>
      <w:pPr>
        <w:ind w:left="4797" w:hanging="360"/>
      </w:pPr>
    </w:lvl>
    <w:lvl w:ilvl="5" w:tplc="0809001B" w:tentative="1">
      <w:start w:val="1"/>
      <w:numFmt w:val="lowerRoman"/>
      <w:lvlText w:val="%6."/>
      <w:lvlJc w:val="right"/>
      <w:pPr>
        <w:ind w:left="5517" w:hanging="180"/>
      </w:pPr>
    </w:lvl>
    <w:lvl w:ilvl="6" w:tplc="0809000F" w:tentative="1">
      <w:start w:val="1"/>
      <w:numFmt w:val="decimal"/>
      <w:lvlText w:val="%7."/>
      <w:lvlJc w:val="left"/>
      <w:pPr>
        <w:ind w:left="6237" w:hanging="360"/>
      </w:pPr>
    </w:lvl>
    <w:lvl w:ilvl="7" w:tplc="08090019" w:tentative="1">
      <w:start w:val="1"/>
      <w:numFmt w:val="lowerLetter"/>
      <w:lvlText w:val="%8."/>
      <w:lvlJc w:val="left"/>
      <w:pPr>
        <w:ind w:left="6957" w:hanging="360"/>
      </w:pPr>
    </w:lvl>
    <w:lvl w:ilvl="8" w:tplc="0809001B" w:tentative="1">
      <w:start w:val="1"/>
      <w:numFmt w:val="lowerRoman"/>
      <w:lvlText w:val="%9."/>
      <w:lvlJc w:val="right"/>
      <w:pPr>
        <w:ind w:left="7677"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83DA6"/>
    <w:multiLevelType w:val="hybridMultilevel"/>
    <w:tmpl w:val="B23E93EE"/>
    <w:lvl w:ilvl="0" w:tplc="BADE65BE">
      <w:start w:val="1"/>
      <w:numFmt w:val="upperLetter"/>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9" w15:restartNumberingAfterBreak="0">
    <w:nsid w:val="2B3009BA"/>
    <w:multiLevelType w:val="hybridMultilevel"/>
    <w:tmpl w:val="44DE8E3C"/>
    <w:lvl w:ilvl="0" w:tplc="189ED09A">
      <w:start w:val="1"/>
      <w:numFmt w:val="upperRoman"/>
      <w:lvlText w:val="%1."/>
      <w:lvlJc w:val="left"/>
      <w:pPr>
        <w:ind w:left="1287" w:hanging="72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B29FE"/>
    <w:multiLevelType w:val="hybridMultilevel"/>
    <w:tmpl w:val="AF7C9992"/>
    <w:lvl w:ilvl="0" w:tplc="10E6867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33A87895"/>
    <w:multiLevelType w:val="hybridMultilevel"/>
    <w:tmpl w:val="E6281B28"/>
    <w:lvl w:ilvl="0" w:tplc="77FC81E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3828237B"/>
    <w:multiLevelType w:val="hybridMultilevel"/>
    <w:tmpl w:val="975877FA"/>
    <w:lvl w:ilvl="0" w:tplc="53D6B5B0">
      <w:start w:val="1"/>
      <w:numFmt w:val="upp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4" w15:restartNumberingAfterBreak="0">
    <w:nsid w:val="42992C37"/>
    <w:multiLevelType w:val="hybridMultilevel"/>
    <w:tmpl w:val="423089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3111F25"/>
    <w:multiLevelType w:val="hybridMultilevel"/>
    <w:tmpl w:val="3E8E336E"/>
    <w:lvl w:ilvl="0" w:tplc="4BE61388">
      <w:start w:val="1"/>
      <w:numFmt w:val="lowerLetter"/>
      <w:lvlText w:val="(%1)"/>
      <w:lvlJc w:val="left"/>
      <w:pPr>
        <w:ind w:left="473" w:hanging="360"/>
      </w:pPr>
      <w:rPr>
        <w:rFonts w:hint="default"/>
        <w:sz w:val="20"/>
        <w:szCs w:val="2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6" w15:restartNumberingAfterBreak="0">
    <w:nsid w:val="54DB10BE"/>
    <w:multiLevelType w:val="hybridMultilevel"/>
    <w:tmpl w:val="6958B070"/>
    <w:lvl w:ilvl="0" w:tplc="1794D51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6047D7E"/>
    <w:multiLevelType w:val="hybridMultilevel"/>
    <w:tmpl w:val="F266E012"/>
    <w:lvl w:ilvl="0" w:tplc="B060FD2A">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BD56D18"/>
    <w:multiLevelType w:val="hybridMultilevel"/>
    <w:tmpl w:val="D18EE874"/>
    <w:lvl w:ilvl="0" w:tplc="46C2DC08">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7D671DF7"/>
    <w:multiLevelType w:val="hybridMultilevel"/>
    <w:tmpl w:val="AA6C8B00"/>
    <w:lvl w:ilvl="0" w:tplc="0D302534">
      <w:start w:val="1"/>
      <w:numFmt w:val="decimal"/>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num w:numId="1">
    <w:abstractNumId w:val="10"/>
  </w:num>
  <w:num w:numId="2">
    <w:abstractNumId w:val="7"/>
  </w:num>
  <w:num w:numId="3">
    <w:abstractNumId w:val="1"/>
  </w:num>
  <w:num w:numId="4">
    <w:abstractNumId w:val="17"/>
  </w:num>
  <w:num w:numId="5">
    <w:abstractNumId w:val="18"/>
  </w:num>
  <w:num w:numId="6">
    <w:abstractNumId w:val="21"/>
  </w:num>
  <w:num w:numId="7">
    <w:abstractNumId w:val="5"/>
  </w:num>
  <w:num w:numId="8">
    <w:abstractNumId w:val="3"/>
  </w:num>
  <w:num w:numId="9">
    <w:abstractNumId w:val="20"/>
  </w:num>
  <w:num w:numId="10">
    <w:abstractNumId w:val="3"/>
  </w:num>
  <w:num w:numId="11">
    <w:abstractNumId w:val="20"/>
  </w:num>
  <w:num w:numId="12">
    <w:abstractNumId w:val="4"/>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6"/>
  </w:num>
  <w:num w:numId="24">
    <w:abstractNumId w:val="13"/>
  </w:num>
  <w:num w:numId="25">
    <w:abstractNumId w:val="0"/>
  </w:num>
  <w:num w:numId="26">
    <w:abstractNumId w:val="2"/>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92"/>
    <w:rsid w:val="000001CF"/>
    <w:rsid w:val="00000F78"/>
    <w:rsid w:val="00005960"/>
    <w:rsid w:val="00006EFE"/>
    <w:rsid w:val="00013E76"/>
    <w:rsid w:val="0002083D"/>
    <w:rsid w:val="00020E61"/>
    <w:rsid w:val="00020F6E"/>
    <w:rsid w:val="00021089"/>
    <w:rsid w:val="00021107"/>
    <w:rsid w:val="00021DEB"/>
    <w:rsid w:val="00023C6D"/>
    <w:rsid w:val="00025CC0"/>
    <w:rsid w:val="00025D80"/>
    <w:rsid w:val="0003164F"/>
    <w:rsid w:val="000366B5"/>
    <w:rsid w:val="00044E7F"/>
    <w:rsid w:val="00046A65"/>
    <w:rsid w:val="00046E92"/>
    <w:rsid w:val="00046FB4"/>
    <w:rsid w:val="00047CC9"/>
    <w:rsid w:val="00052A99"/>
    <w:rsid w:val="00057C37"/>
    <w:rsid w:val="00057C6D"/>
    <w:rsid w:val="00057F29"/>
    <w:rsid w:val="00060283"/>
    <w:rsid w:val="00063BE5"/>
    <w:rsid w:val="00063C90"/>
    <w:rsid w:val="00066EF4"/>
    <w:rsid w:val="00067B47"/>
    <w:rsid w:val="00067C9F"/>
    <w:rsid w:val="00072727"/>
    <w:rsid w:val="0007272D"/>
    <w:rsid w:val="00075F5E"/>
    <w:rsid w:val="00077D40"/>
    <w:rsid w:val="000800E6"/>
    <w:rsid w:val="000823C3"/>
    <w:rsid w:val="00085726"/>
    <w:rsid w:val="000861E3"/>
    <w:rsid w:val="00091029"/>
    <w:rsid w:val="00094537"/>
    <w:rsid w:val="000968AA"/>
    <w:rsid w:val="000A19EB"/>
    <w:rsid w:val="000A20B6"/>
    <w:rsid w:val="000A515C"/>
    <w:rsid w:val="000B0FB1"/>
    <w:rsid w:val="000B2F6C"/>
    <w:rsid w:val="000C0B0D"/>
    <w:rsid w:val="000D686F"/>
    <w:rsid w:val="000D6D41"/>
    <w:rsid w:val="000E1D04"/>
    <w:rsid w:val="000E3553"/>
    <w:rsid w:val="000F03FD"/>
    <w:rsid w:val="000F05BB"/>
    <w:rsid w:val="000F19CD"/>
    <w:rsid w:val="000F4856"/>
    <w:rsid w:val="000F6640"/>
    <w:rsid w:val="000F6707"/>
    <w:rsid w:val="000F6ABD"/>
    <w:rsid w:val="000F6C75"/>
    <w:rsid w:val="000F7AB8"/>
    <w:rsid w:val="000F7C92"/>
    <w:rsid w:val="00101B98"/>
    <w:rsid w:val="001033A0"/>
    <w:rsid w:val="00103D7F"/>
    <w:rsid w:val="001042FA"/>
    <w:rsid w:val="00111365"/>
    <w:rsid w:val="001140A4"/>
    <w:rsid w:val="001145F3"/>
    <w:rsid w:val="001155D1"/>
    <w:rsid w:val="0012066F"/>
    <w:rsid w:val="001274D8"/>
    <w:rsid w:val="0013744B"/>
    <w:rsid w:val="00141972"/>
    <w:rsid w:val="00143458"/>
    <w:rsid w:val="0014454F"/>
    <w:rsid w:val="00144B00"/>
    <w:rsid w:val="00144D3D"/>
    <w:rsid w:val="0014704B"/>
    <w:rsid w:val="00150746"/>
    <w:rsid w:val="001514D1"/>
    <w:rsid w:val="00152AF1"/>
    <w:rsid w:val="00152E7A"/>
    <w:rsid w:val="001537AF"/>
    <w:rsid w:val="00153AD4"/>
    <w:rsid w:val="00154D57"/>
    <w:rsid w:val="00155726"/>
    <w:rsid w:val="00161F88"/>
    <w:rsid w:val="001705F4"/>
    <w:rsid w:val="00171F37"/>
    <w:rsid w:val="001754FC"/>
    <w:rsid w:val="001801CF"/>
    <w:rsid w:val="0018324D"/>
    <w:rsid w:val="001832F2"/>
    <w:rsid w:val="001863D4"/>
    <w:rsid w:val="0018649E"/>
    <w:rsid w:val="00187687"/>
    <w:rsid w:val="001940BD"/>
    <w:rsid w:val="00195029"/>
    <w:rsid w:val="00195761"/>
    <w:rsid w:val="00196B8B"/>
    <w:rsid w:val="0019705E"/>
    <w:rsid w:val="001A1878"/>
    <w:rsid w:val="001A3C68"/>
    <w:rsid w:val="001A4A3F"/>
    <w:rsid w:val="001A66BB"/>
    <w:rsid w:val="001A67A5"/>
    <w:rsid w:val="001B153C"/>
    <w:rsid w:val="001C01A0"/>
    <w:rsid w:val="001C0841"/>
    <w:rsid w:val="001C23A6"/>
    <w:rsid w:val="001C2422"/>
    <w:rsid w:val="001C3D2C"/>
    <w:rsid w:val="001C5AAA"/>
    <w:rsid w:val="001C7706"/>
    <w:rsid w:val="001C7F93"/>
    <w:rsid w:val="001D25F1"/>
    <w:rsid w:val="001E116F"/>
    <w:rsid w:val="001E1863"/>
    <w:rsid w:val="001F2746"/>
    <w:rsid w:val="001F64D9"/>
    <w:rsid w:val="001F6CC6"/>
    <w:rsid w:val="00203559"/>
    <w:rsid w:val="002038A9"/>
    <w:rsid w:val="0020509B"/>
    <w:rsid w:val="00206787"/>
    <w:rsid w:val="002076F9"/>
    <w:rsid w:val="00215942"/>
    <w:rsid w:val="00216369"/>
    <w:rsid w:val="00217E21"/>
    <w:rsid w:val="002200B4"/>
    <w:rsid w:val="0022055F"/>
    <w:rsid w:val="00220C71"/>
    <w:rsid w:val="00220FFB"/>
    <w:rsid w:val="00224807"/>
    <w:rsid w:val="002260B7"/>
    <w:rsid w:val="00230FF0"/>
    <w:rsid w:val="002339CD"/>
    <w:rsid w:val="00246990"/>
    <w:rsid w:val="0024770E"/>
    <w:rsid w:val="00247E2C"/>
    <w:rsid w:val="00251F62"/>
    <w:rsid w:val="00252B07"/>
    <w:rsid w:val="0026027A"/>
    <w:rsid w:val="002606D5"/>
    <w:rsid w:val="00266558"/>
    <w:rsid w:val="002709F6"/>
    <w:rsid w:val="00272A92"/>
    <w:rsid w:val="002778B1"/>
    <w:rsid w:val="0028032F"/>
    <w:rsid w:val="00282BFB"/>
    <w:rsid w:val="00282C87"/>
    <w:rsid w:val="00283390"/>
    <w:rsid w:val="00284615"/>
    <w:rsid w:val="00286957"/>
    <w:rsid w:val="00292496"/>
    <w:rsid w:val="00296D06"/>
    <w:rsid w:val="00297CBA"/>
    <w:rsid w:val="002A1007"/>
    <w:rsid w:val="002A2679"/>
    <w:rsid w:val="002A29A9"/>
    <w:rsid w:val="002A32CB"/>
    <w:rsid w:val="002B03C5"/>
    <w:rsid w:val="002B5910"/>
    <w:rsid w:val="002B5E09"/>
    <w:rsid w:val="002B6B98"/>
    <w:rsid w:val="002B70E4"/>
    <w:rsid w:val="002C44AD"/>
    <w:rsid w:val="002C6809"/>
    <w:rsid w:val="002D0A89"/>
    <w:rsid w:val="002D5B2C"/>
    <w:rsid w:val="002D6C53"/>
    <w:rsid w:val="002E0FDB"/>
    <w:rsid w:val="002E2D79"/>
    <w:rsid w:val="002E2F97"/>
    <w:rsid w:val="002E4961"/>
    <w:rsid w:val="002E5C39"/>
    <w:rsid w:val="002E643D"/>
    <w:rsid w:val="002E6BE0"/>
    <w:rsid w:val="002F1FB7"/>
    <w:rsid w:val="002F5486"/>
    <w:rsid w:val="002F5595"/>
    <w:rsid w:val="002F6CD9"/>
    <w:rsid w:val="0030215A"/>
    <w:rsid w:val="003114DB"/>
    <w:rsid w:val="00313ADA"/>
    <w:rsid w:val="003179A7"/>
    <w:rsid w:val="00323B7D"/>
    <w:rsid w:val="0032502A"/>
    <w:rsid w:val="003259E1"/>
    <w:rsid w:val="00331A79"/>
    <w:rsid w:val="00334460"/>
    <w:rsid w:val="00334F6A"/>
    <w:rsid w:val="00336936"/>
    <w:rsid w:val="003378F8"/>
    <w:rsid w:val="00342AC8"/>
    <w:rsid w:val="00343302"/>
    <w:rsid w:val="003515D2"/>
    <w:rsid w:val="0035259C"/>
    <w:rsid w:val="00353C0D"/>
    <w:rsid w:val="00354056"/>
    <w:rsid w:val="00355D6B"/>
    <w:rsid w:val="00361598"/>
    <w:rsid w:val="00362884"/>
    <w:rsid w:val="00364141"/>
    <w:rsid w:val="00371057"/>
    <w:rsid w:val="0037185D"/>
    <w:rsid w:val="00371FA0"/>
    <w:rsid w:val="00372799"/>
    <w:rsid w:val="003730C2"/>
    <w:rsid w:val="00373940"/>
    <w:rsid w:val="00377E77"/>
    <w:rsid w:val="00390E25"/>
    <w:rsid w:val="00393EC4"/>
    <w:rsid w:val="00394E48"/>
    <w:rsid w:val="003979DE"/>
    <w:rsid w:val="003A2C68"/>
    <w:rsid w:val="003A2F82"/>
    <w:rsid w:val="003A5181"/>
    <w:rsid w:val="003A668F"/>
    <w:rsid w:val="003B1FCD"/>
    <w:rsid w:val="003B29FA"/>
    <w:rsid w:val="003B2D0D"/>
    <w:rsid w:val="003B4550"/>
    <w:rsid w:val="003B5075"/>
    <w:rsid w:val="003C0A9B"/>
    <w:rsid w:val="003C1E3F"/>
    <w:rsid w:val="003C6F1E"/>
    <w:rsid w:val="003C6F5E"/>
    <w:rsid w:val="003D25D7"/>
    <w:rsid w:val="003D2A18"/>
    <w:rsid w:val="003D370B"/>
    <w:rsid w:val="003D3996"/>
    <w:rsid w:val="003D42BF"/>
    <w:rsid w:val="003D7E96"/>
    <w:rsid w:val="003E2F0E"/>
    <w:rsid w:val="003E3252"/>
    <w:rsid w:val="003E5641"/>
    <w:rsid w:val="003F4ED2"/>
    <w:rsid w:val="003F74E0"/>
    <w:rsid w:val="00400DF4"/>
    <w:rsid w:val="0040275F"/>
    <w:rsid w:val="004049C8"/>
    <w:rsid w:val="0040568D"/>
    <w:rsid w:val="00405B9C"/>
    <w:rsid w:val="00406635"/>
    <w:rsid w:val="0041023B"/>
    <w:rsid w:val="0041298E"/>
    <w:rsid w:val="00413386"/>
    <w:rsid w:val="00421062"/>
    <w:rsid w:val="00425E41"/>
    <w:rsid w:val="0042686B"/>
    <w:rsid w:val="00426B3C"/>
    <w:rsid w:val="00430953"/>
    <w:rsid w:val="0043176D"/>
    <w:rsid w:val="004337C2"/>
    <w:rsid w:val="00434125"/>
    <w:rsid w:val="0043772D"/>
    <w:rsid w:val="0045188D"/>
    <w:rsid w:val="00453493"/>
    <w:rsid w:val="00461253"/>
    <w:rsid w:val="00462D00"/>
    <w:rsid w:val="00470C3C"/>
    <w:rsid w:val="00473743"/>
    <w:rsid w:val="00477708"/>
    <w:rsid w:val="0048169E"/>
    <w:rsid w:val="004858F5"/>
    <w:rsid w:val="0048682A"/>
    <w:rsid w:val="00492EEE"/>
    <w:rsid w:val="00493687"/>
    <w:rsid w:val="0049547C"/>
    <w:rsid w:val="0049552F"/>
    <w:rsid w:val="004A05A7"/>
    <w:rsid w:val="004A2814"/>
    <w:rsid w:val="004A3033"/>
    <w:rsid w:val="004A3E5A"/>
    <w:rsid w:val="004A6230"/>
    <w:rsid w:val="004A6C7A"/>
    <w:rsid w:val="004B6B29"/>
    <w:rsid w:val="004B6FA6"/>
    <w:rsid w:val="004B726F"/>
    <w:rsid w:val="004C0622"/>
    <w:rsid w:val="004C0C68"/>
    <w:rsid w:val="004C1C1D"/>
    <w:rsid w:val="004C20D2"/>
    <w:rsid w:val="004C24A7"/>
    <w:rsid w:val="004C7BF1"/>
    <w:rsid w:val="004E1C4B"/>
    <w:rsid w:val="004E445C"/>
    <w:rsid w:val="004E5684"/>
    <w:rsid w:val="004E5704"/>
    <w:rsid w:val="004E60E3"/>
    <w:rsid w:val="004E6BAB"/>
    <w:rsid w:val="004E7B33"/>
    <w:rsid w:val="004F2F4E"/>
    <w:rsid w:val="004F30AA"/>
    <w:rsid w:val="004F7D1A"/>
    <w:rsid w:val="00501CCF"/>
    <w:rsid w:val="0050224B"/>
    <w:rsid w:val="00502ADC"/>
    <w:rsid w:val="005042C2"/>
    <w:rsid w:val="00507C3B"/>
    <w:rsid w:val="00513742"/>
    <w:rsid w:val="00515953"/>
    <w:rsid w:val="00520CB1"/>
    <w:rsid w:val="00520D03"/>
    <w:rsid w:val="00521A5D"/>
    <w:rsid w:val="00522138"/>
    <w:rsid w:val="00523D20"/>
    <w:rsid w:val="005247E3"/>
    <w:rsid w:val="00530B2B"/>
    <w:rsid w:val="00531A0E"/>
    <w:rsid w:val="00531E00"/>
    <w:rsid w:val="005348B9"/>
    <w:rsid w:val="00534B4B"/>
    <w:rsid w:val="00534E17"/>
    <w:rsid w:val="005373C8"/>
    <w:rsid w:val="00544419"/>
    <w:rsid w:val="0054677A"/>
    <w:rsid w:val="00551C45"/>
    <w:rsid w:val="005522C5"/>
    <w:rsid w:val="0055304D"/>
    <w:rsid w:val="00553BB1"/>
    <w:rsid w:val="005565F4"/>
    <w:rsid w:val="005644EF"/>
    <w:rsid w:val="00576E92"/>
    <w:rsid w:val="0058397B"/>
    <w:rsid w:val="005844FB"/>
    <w:rsid w:val="005872D7"/>
    <w:rsid w:val="00591E19"/>
    <w:rsid w:val="0059441D"/>
    <w:rsid w:val="00594E3A"/>
    <w:rsid w:val="005A0542"/>
    <w:rsid w:val="005A2639"/>
    <w:rsid w:val="005A6CB8"/>
    <w:rsid w:val="005B322C"/>
    <w:rsid w:val="005C37BE"/>
    <w:rsid w:val="005C6E96"/>
    <w:rsid w:val="005C77DB"/>
    <w:rsid w:val="005D1E15"/>
    <w:rsid w:val="005D31B5"/>
    <w:rsid w:val="005D3C17"/>
    <w:rsid w:val="005D42A6"/>
    <w:rsid w:val="005D5AC1"/>
    <w:rsid w:val="005D7452"/>
    <w:rsid w:val="005E32D0"/>
    <w:rsid w:val="005E6AF7"/>
    <w:rsid w:val="005E716E"/>
    <w:rsid w:val="005F1A1A"/>
    <w:rsid w:val="005F2143"/>
    <w:rsid w:val="005F3398"/>
    <w:rsid w:val="005F5962"/>
    <w:rsid w:val="00607F0F"/>
    <w:rsid w:val="00611238"/>
    <w:rsid w:val="006122AE"/>
    <w:rsid w:val="00613CB3"/>
    <w:rsid w:val="00623E83"/>
    <w:rsid w:val="00624585"/>
    <w:rsid w:val="00624D06"/>
    <w:rsid w:val="00626972"/>
    <w:rsid w:val="00627469"/>
    <w:rsid w:val="0063046F"/>
    <w:rsid w:val="006315B9"/>
    <w:rsid w:val="00631B77"/>
    <w:rsid w:val="00632F37"/>
    <w:rsid w:val="00634AB6"/>
    <w:rsid w:val="00637DE6"/>
    <w:rsid w:val="006448A6"/>
    <w:rsid w:val="0064733E"/>
    <w:rsid w:val="006476E1"/>
    <w:rsid w:val="0065563F"/>
    <w:rsid w:val="00657CC1"/>
    <w:rsid w:val="006604DF"/>
    <w:rsid w:val="00663CBF"/>
    <w:rsid w:val="00663D94"/>
    <w:rsid w:val="00671529"/>
    <w:rsid w:val="0067346F"/>
    <w:rsid w:val="00676ADA"/>
    <w:rsid w:val="006838D9"/>
    <w:rsid w:val="00683B3D"/>
    <w:rsid w:val="00684A6E"/>
    <w:rsid w:val="00685381"/>
    <w:rsid w:val="0068705F"/>
    <w:rsid w:val="006920B6"/>
    <w:rsid w:val="00692A36"/>
    <w:rsid w:val="00695C94"/>
    <w:rsid w:val="006A1B3B"/>
    <w:rsid w:val="006B25D4"/>
    <w:rsid w:val="006B7C36"/>
    <w:rsid w:val="006C410F"/>
    <w:rsid w:val="006C4B83"/>
    <w:rsid w:val="006D142A"/>
    <w:rsid w:val="006D2301"/>
    <w:rsid w:val="006D5CA9"/>
    <w:rsid w:val="006E07BA"/>
    <w:rsid w:val="006E60EF"/>
    <w:rsid w:val="006E6B07"/>
    <w:rsid w:val="006E7737"/>
    <w:rsid w:val="00700812"/>
    <w:rsid w:val="00704187"/>
    <w:rsid w:val="0070489D"/>
    <w:rsid w:val="00710BD5"/>
    <w:rsid w:val="0071215F"/>
    <w:rsid w:val="00714175"/>
    <w:rsid w:val="00715225"/>
    <w:rsid w:val="00725684"/>
    <w:rsid w:val="007268F9"/>
    <w:rsid w:val="00732951"/>
    <w:rsid w:val="0073637D"/>
    <w:rsid w:val="00736F6D"/>
    <w:rsid w:val="00737D3B"/>
    <w:rsid w:val="007400D9"/>
    <w:rsid w:val="00740247"/>
    <w:rsid w:val="00740607"/>
    <w:rsid w:val="007414E8"/>
    <w:rsid w:val="00741974"/>
    <w:rsid w:val="007436D3"/>
    <w:rsid w:val="00744DD8"/>
    <w:rsid w:val="007455EA"/>
    <w:rsid w:val="00750282"/>
    <w:rsid w:val="00752186"/>
    <w:rsid w:val="007522B9"/>
    <w:rsid w:val="00752CDF"/>
    <w:rsid w:val="00756129"/>
    <w:rsid w:val="007563BA"/>
    <w:rsid w:val="00756430"/>
    <w:rsid w:val="007575F5"/>
    <w:rsid w:val="00757866"/>
    <w:rsid w:val="0076429D"/>
    <w:rsid w:val="00764440"/>
    <w:rsid w:val="0076698F"/>
    <w:rsid w:val="00766AC4"/>
    <w:rsid w:val="0077101B"/>
    <w:rsid w:val="00771D27"/>
    <w:rsid w:val="007734B7"/>
    <w:rsid w:val="0077658B"/>
    <w:rsid w:val="007806A3"/>
    <w:rsid w:val="007834CB"/>
    <w:rsid w:val="00783BB6"/>
    <w:rsid w:val="00785325"/>
    <w:rsid w:val="007876A9"/>
    <w:rsid w:val="00795E32"/>
    <w:rsid w:val="00797B45"/>
    <w:rsid w:val="007A10F6"/>
    <w:rsid w:val="007C0096"/>
    <w:rsid w:val="007C3C1F"/>
    <w:rsid w:val="007C52B0"/>
    <w:rsid w:val="007C5740"/>
    <w:rsid w:val="007C6033"/>
    <w:rsid w:val="007C6A0E"/>
    <w:rsid w:val="007C796E"/>
    <w:rsid w:val="007D0CB5"/>
    <w:rsid w:val="007D570E"/>
    <w:rsid w:val="007E3941"/>
    <w:rsid w:val="007E4C73"/>
    <w:rsid w:val="007F0154"/>
    <w:rsid w:val="007F124C"/>
    <w:rsid w:val="007F21E7"/>
    <w:rsid w:val="007F2DD9"/>
    <w:rsid w:val="007F3E3C"/>
    <w:rsid w:val="007F4786"/>
    <w:rsid w:val="007F48BD"/>
    <w:rsid w:val="007F5FDA"/>
    <w:rsid w:val="008015F2"/>
    <w:rsid w:val="00804EF5"/>
    <w:rsid w:val="00806112"/>
    <w:rsid w:val="008130FD"/>
    <w:rsid w:val="008147C8"/>
    <w:rsid w:val="00816467"/>
    <w:rsid w:val="0081753A"/>
    <w:rsid w:val="00817975"/>
    <w:rsid w:val="00822082"/>
    <w:rsid w:val="00822F0D"/>
    <w:rsid w:val="0082546D"/>
    <w:rsid w:val="00825EE2"/>
    <w:rsid w:val="0083080A"/>
    <w:rsid w:val="00830D0E"/>
    <w:rsid w:val="00834C1A"/>
    <w:rsid w:val="008356CB"/>
    <w:rsid w:val="00842D7D"/>
    <w:rsid w:val="00844FD5"/>
    <w:rsid w:val="00850500"/>
    <w:rsid w:val="00850D04"/>
    <w:rsid w:val="008549EE"/>
    <w:rsid w:val="0085751B"/>
    <w:rsid w:val="00857D23"/>
    <w:rsid w:val="00860CEF"/>
    <w:rsid w:val="008643F7"/>
    <w:rsid w:val="008671DD"/>
    <w:rsid w:val="00871372"/>
    <w:rsid w:val="008731D1"/>
    <w:rsid w:val="00873D9E"/>
    <w:rsid w:val="0087408D"/>
    <w:rsid w:val="00874740"/>
    <w:rsid w:val="00874B46"/>
    <w:rsid w:val="00874F25"/>
    <w:rsid w:val="0087594A"/>
    <w:rsid w:val="0087667E"/>
    <w:rsid w:val="00876935"/>
    <w:rsid w:val="00880178"/>
    <w:rsid w:val="00881E9C"/>
    <w:rsid w:val="00882D2C"/>
    <w:rsid w:val="008912DE"/>
    <w:rsid w:val="00891E35"/>
    <w:rsid w:val="0089274C"/>
    <w:rsid w:val="00894720"/>
    <w:rsid w:val="0089663C"/>
    <w:rsid w:val="008977DE"/>
    <w:rsid w:val="008A353F"/>
    <w:rsid w:val="008A5A90"/>
    <w:rsid w:val="008A5C87"/>
    <w:rsid w:val="008A6D7E"/>
    <w:rsid w:val="008B321C"/>
    <w:rsid w:val="008B362D"/>
    <w:rsid w:val="008C17A0"/>
    <w:rsid w:val="008C6E38"/>
    <w:rsid w:val="008C7ABD"/>
    <w:rsid w:val="008D0387"/>
    <w:rsid w:val="008D3546"/>
    <w:rsid w:val="008D5E52"/>
    <w:rsid w:val="008E100A"/>
    <w:rsid w:val="008E4EEA"/>
    <w:rsid w:val="008E639F"/>
    <w:rsid w:val="008E7DD9"/>
    <w:rsid w:val="008F0802"/>
    <w:rsid w:val="008F0B47"/>
    <w:rsid w:val="008F20F5"/>
    <w:rsid w:val="008F450D"/>
    <w:rsid w:val="008F6248"/>
    <w:rsid w:val="008F63E9"/>
    <w:rsid w:val="00900EE8"/>
    <w:rsid w:val="009034FE"/>
    <w:rsid w:val="009063A9"/>
    <w:rsid w:val="00906F98"/>
    <w:rsid w:val="009101BB"/>
    <w:rsid w:val="00910E7F"/>
    <w:rsid w:val="00913023"/>
    <w:rsid w:val="00921054"/>
    <w:rsid w:val="00921614"/>
    <w:rsid w:val="00923099"/>
    <w:rsid w:val="009230B0"/>
    <w:rsid w:val="00923924"/>
    <w:rsid w:val="00932F38"/>
    <w:rsid w:val="00933BC9"/>
    <w:rsid w:val="009346FD"/>
    <w:rsid w:val="0094017D"/>
    <w:rsid w:val="009405BA"/>
    <w:rsid w:val="00940E52"/>
    <w:rsid w:val="009411B4"/>
    <w:rsid w:val="009441DF"/>
    <w:rsid w:val="00945668"/>
    <w:rsid w:val="00946341"/>
    <w:rsid w:val="00946F1D"/>
    <w:rsid w:val="00947A3C"/>
    <w:rsid w:val="00951C6F"/>
    <w:rsid w:val="00954DF6"/>
    <w:rsid w:val="00954F84"/>
    <w:rsid w:val="009552EA"/>
    <w:rsid w:val="00956B5C"/>
    <w:rsid w:val="00961515"/>
    <w:rsid w:val="0096356F"/>
    <w:rsid w:val="0097212B"/>
    <w:rsid w:val="00973E9B"/>
    <w:rsid w:val="0097435D"/>
    <w:rsid w:val="00974CE0"/>
    <w:rsid w:val="00975339"/>
    <w:rsid w:val="0097686D"/>
    <w:rsid w:val="009829BB"/>
    <w:rsid w:val="00984AE0"/>
    <w:rsid w:val="00985327"/>
    <w:rsid w:val="009877B7"/>
    <w:rsid w:val="00991701"/>
    <w:rsid w:val="009A319A"/>
    <w:rsid w:val="009A3A37"/>
    <w:rsid w:val="009B0331"/>
    <w:rsid w:val="009B3686"/>
    <w:rsid w:val="009B3D87"/>
    <w:rsid w:val="009C0D26"/>
    <w:rsid w:val="009C3406"/>
    <w:rsid w:val="009C5193"/>
    <w:rsid w:val="009C54DA"/>
    <w:rsid w:val="009C5F66"/>
    <w:rsid w:val="009C6814"/>
    <w:rsid w:val="009D0139"/>
    <w:rsid w:val="009D3BA4"/>
    <w:rsid w:val="009D6BA8"/>
    <w:rsid w:val="009D717D"/>
    <w:rsid w:val="009E229B"/>
    <w:rsid w:val="009E63DE"/>
    <w:rsid w:val="009E778A"/>
    <w:rsid w:val="009F01A9"/>
    <w:rsid w:val="009F1FCD"/>
    <w:rsid w:val="009F2EFF"/>
    <w:rsid w:val="009F5CDC"/>
    <w:rsid w:val="009F6C12"/>
    <w:rsid w:val="009F7A04"/>
    <w:rsid w:val="00A0112E"/>
    <w:rsid w:val="00A037CD"/>
    <w:rsid w:val="00A0447E"/>
    <w:rsid w:val="00A0581B"/>
    <w:rsid w:val="00A0627E"/>
    <w:rsid w:val="00A06362"/>
    <w:rsid w:val="00A072D7"/>
    <w:rsid w:val="00A144AB"/>
    <w:rsid w:val="00A2290A"/>
    <w:rsid w:val="00A22FC5"/>
    <w:rsid w:val="00A26109"/>
    <w:rsid w:val="00A26D97"/>
    <w:rsid w:val="00A30AAB"/>
    <w:rsid w:val="00A33786"/>
    <w:rsid w:val="00A366DE"/>
    <w:rsid w:val="00A42BE6"/>
    <w:rsid w:val="00A4464E"/>
    <w:rsid w:val="00A47BB6"/>
    <w:rsid w:val="00A509A9"/>
    <w:rsid w:val="00A513A8"/>
    <w:rsid w:val="00A51A24"/>
    <w:rsid w:val="00A51B0B"/>
    <w:rsid w:val="00A5336F"/>
    <w:rsid w:val="00A53A14"/>
    <w:rsid w:val="00A67271"/>
    <w:rsid w:val="00A73C80"/>
    <w:rsid w:val="00A7479F"/>
    <w:rsid w:val="00A74F67"/>
    <w:rsid w:val="00A761F8"/>
    <w:rsid w:val="00A775CF"/>
    <w:rsid w:val="00A81CC2"/>
    <w:rsid w:val="00A84B51"/>
    <w:rsid w:val="00A93F1E"/>
    <w:rsid w:val="00A94641"/>
    <w:rsid w:val="00A94756"/>
    <w:rsid w:val="00A948A3"/>
    <w:rsid w:val="00A96218"/>
    <w:rsid w:val="00A964DE"/>
    <w:rsid w:val="00AA666B"/>
    <w:rsid w:val="00AA7A02"/>
    <w:rsid w:val="00AB0478"/>
    <w:rsid w:val="00AB105E"/>
    <w:rsid w:val="00AB164F"/>
    <w:rsid w:val="00AB1C48"/>
    <w:rsid w:val="00AB279F"/>
    <w:rsid w:val="00AB2A14"/>
    <w:rsid w:val="00AB624E"/>
    <w:rsid w:val="00AD1A9C"/>
    <w:rsid w:val="00AE18E9"/>
    <w:rsid w:val="00AE297C"/>
    <w:rsid w:val="00AE5F5F"/>
    <w:rsid w:val="00AE6160"/>
    <w:rsid w:val="00AF040C"/>
    <w:rsid w:val="00AF16F7"/>
    <w:rsid w:val="00AF2D1C"/>
    <w:rsid w:val="00AF5DE1"/>
    <w:rsid w:val="00B02344"/>
    <w:rsid w:val="00B03525"/>
    <w:rsid w:val="00B036EC"/>
    <w:rsid w:val="00B05992"/>
    <w:rsid w:val="00B06045"/>
    <w:rsid w:val="00B109FD"/>
    <w:rsid w:val="00B152A9"/>
    <w:rsid w:val="00B206DD"/>
    <w:rsid w:val="00B35B6F"/>
    <w:rsid w:val="00B35FFD"/>
    <w:rsid w:val="00B4326E"/>
    <w:rsid w:val="00B43771"/>
    <w:rsid w:val="00B4409C"/>
    <w:rsid w:val="00B5233F"/>
    <w:rsid w:val="00B52EF4"/>
    <w:rsid w:val="00B53465"/>
    <w:rsid w:val="00B54544"/>
    <w:rsid w:val="00B55343"/>
    <w:rsid w:val="00B60BEF"/>
    <w:rsid w:val="00B619B8"/>
    <w:rsid w:val="00B72E4F"/>
    <w:rsid w:val="00B734F3"/>
    <w:rsid w:val="00B777AD"/>
    <w:rsid w:val="00B80116"/>
    <w:rsid w:val="00B8026E"/>
    <w:rsid w:val="00B81087"/>
    <w:rsid w:val="00B818CB"/>
    <w:rsid w:val="00B83830"/>
    <w:rsid w:val="00B84B90"/>
    <w:rsid w:val="00B87267"/>
    <w:rsid w:val="00B9218A"/>
    <w:rsid w:val="00B935A7"/>
    <w:rsid w:val="00B979F1"/>
    <w:rsid w:val="00BA77B0"/>
    <w:rsid w:val="00BA7D1A"/>
    <w:rsid w:val="00BB1683"/>
    <w:rsid w:val="00BB43D3"/>
    <w:rsid w:val="00BC211C"/>
    <w:rsid w:val="00BC4364"/>
    <w:rsid w:val="00BC5D71"/>
    <w:rsid w:val="00BC67DE"/>
    <w:rsid w:val="00BD536A"/>
    <w:rsid w:val="00BD54F3"/>
    <w:rsid w:val="00BD7D5D"/>
    <w:rsid w:val="00BE364D"/>
    <w:rsid w:val="00BE3B48"/>
    <w:rsid w:val="00BE429D"/>
    <w:rsid w:val="00BE64AF"/>
    <w:rsid w:val="00BE7E74"/>
    <w:rsid w:val="00BF1F41"/>
    <w:rsid w:val="00BF3A4E"/>
    <w:rsid w:val="00C03015"/>
    <w:rsid w:val="00C0358D"/>
    <w:rsid w:val="00C04DB2"/>
    <w:rsid w:val="00C0736D"/>
    <w:rsid w:val="00C10738"/>
    <w:rsid w:val="00C17B9E"/>
    <w:rsid w:val="00C26FE2"/>
    <w:rsid w:val="00C27997"/>
    <w:rsid w:val="00C305B5"/>
    <w:rsid w:val="00C32D40"/>
    <w:rsid w:val="00C35A27"/>
    <w:rsid w:val="00C3657B"/>
    <w:rsid w:val="00C42DAB"/>
    <w:rsid w:val="00C457A8"/>
    <w:rsid w:val="00C464B8"/>
    <w:rsid w:val="00C46875"/>
    <w:rsid w:val="00C47B2E"/>
    <w:rsid w:val="00C514CF"/>
    <w:rsid w:val="00C51B87"/>
    <w:rsid w:val="00C53236"/>
    <w:rsid w:val="00C5462E"/>
    <w:rsid w:val="00C56074"/>
    <w:rsid w:val="00C575A4"/>
    <w:rsid w:val="00C6182C"/>
    <w:rsid w:val="00C638E2"/>
    <w:rsid w:val="00C66E58"/>
    <w:rsid w:val="00C74056"/>
    <w:rsid w:val="00C74CBB"/>
    <w:rsid w:val="00C75F94"/>
    <w:rsid w:val="00C83378"/>
    <w:rsid w:val="00C9780C"/>
    <w:rsid w:val="00C97994"/>
    <w:rsid w:val="00C97C5C"/>
    <w:rsid w:val="00C97CF3"/>
    <w:rsid w:val="00CA079B"/>
    <w:rsid w:val="00CA7225"/>
    <w:rsid w:val="00CB3740"/>
    <w:rsid w:val="00CB3872"/>
    <w:rsid w:val="00CC2276"/>
    <w:rsid w:val="00CC4866"/>
    <w:rsid w:val="00CC61FB"/>
    <w:rsid w:val="00CC7B2D"/>
    <w:rsid w:val="00CD1209"/>
    <w:rsid w:val="00CD5E34"/>
    <w:rsid w:val="00CE1C96"/>
    <w:rsid w:val="00CE4544"/>
    <w:rsid w:val="00CE5EDB"/>
    <w:rsid w:val="00CE6A4B"/>
    <w:rsid w:val="00CF098C"/>
    <w:rsid w:val="00CF1D7F"/>
    <w:rsid w:val="00D02338"/>
    <w:rsid w:val="00D024D9"/>
    <w:rsid w:val="00D029C7"/>
    <w:rsid w:val="00D02ED9"/>
    <w:rsid w:val="00D03B13"/>
    <w:rsid w:val="00D0584E"/>
    <w:rsid w:val="00D05AA2"/>
    <w:rsid w:val="00D067F8"/>
    <w:rsid w:val="00D07B99"/>
    <w:rsid w:val="00D07F0D"/>
    <w:rsid w:val="00D1171D"/>
    <w:rsid w:val="00D12F87"/>
    <w:rsid w:val="00D13785"/>
    <w:rsid w:val="00D15A1D"/>
    <w:rsid w:val="00D163B7"/>
    <w:rsid w:val="00D22425"/>
    <w:rsid w:val="00D30507"/>
    <w:rsid w:val="00D4013A"/>
    <w:rsid w:val="00D41EDE"/>
    <w:rsid w:val="00D46214"/>
    <w:rsid w:val="00D47D73"/>
    <w:rsid w:val="00D47E74"/>
    <w:rsid w:val="00D50719"/>
    <w:rsid w:val="00D52799"/>
    <w:rsid w:val="00D54292"/>
    <w:rsid w:val="00D5604F"/>
    <w:rsid w:val="00D57D47"/>
    <w:rsid w:val="00D63CD2"/>
    <w:rsid w:val="00D6501A"/>
    <w:rsid w:val="00D73526"/>
    <w:rsid w:val="00D760A4"/>
    <w:rsid w:val="00D76C97"/>
    <w:rsid w:val="00D774F4"/>
    <w:rsid w:val="00D80732"/>
    <w:rsid w:val="00D810DB"/>
    <w:rsid w:val="00D8432A"/>
    <w:rsid w:val="00D86970"/>
    <w:rsid w:val="00D87DC2"/>
    <w:rsid w:val="00D90E11"/>
    <w:rsid w:val="00D93B39"/>
    <w:rsid w:val="00D94B05"/>
    <w:rsid w:val="00D94BC6"/>
    <w:rsid w:val="00D94C5B"/>
    <w:rsid w:val="00D9614B"/>
    <w:rsid w:val="00DA2387"/>
    <w:rsid w:val="00DA502C"/>
    <w:rsid w:val="00DA63D6"/>
    <w:rsid w:val="00DC5DD4"/>
    <w:rsid w:val="00DD566D"/>
    <w:rsid w:val="00DD6FF9"/>
    <w:rsid w:val="00DE2798"/>
    <w:rsid w:val="00DF0BFD"/>
    <w:rsid w:val="00DF1733"/>
    <w:rsid w:val="00DF1F49"/>
    <w:rsid w:val="00DF3264"/>
    <w:rsid w:val="00E002C7"/>
    <w:rsid w:val="00E01BA2"/>
    <w:rsid w:val="00E02C2B"/>
    <w:rsid w:val="00E04FF7"/>
    <w:rsid w:val="00E0533F"/>
    <w:rsid w:val="00E07513"/>
    <w:rsid w:val="00E11C74"/>
    <w:rsid w:val="00E12DE4"/>
    <w:rsid w:val="00E174A4"/>
    <w:rsid w:val="00E2114F"/>
    <w:rsid w:val="00E21C27"/>
    <w:rsid w:val="00E225C8"/>
    <w:rsid w:val="00E2662D"/>
    <w:rsid w:val="00E26BCF"/>
    <w:rsid w:val="00E36C62"/>
    <w:rsid w:val="00E43212"/>
    <w:rsid w:val="00E478CC"/>
    <w:rsid w:val="00E52109"/>
    <w:rsid w:val="00E60DDE"/>
    <w:rsid w:val="00E633CA"/>
    <w:rsid w:val="00E66925"/>
    <w:rsid w:val="00E6731D"/>
    <w:rsid w:val="00E75317"/>
    <w:rsid w:val="00E775D9"/>
    <w:rsid w:val="00E80774"/>
    <w:rsid w:val="00E8363D"/>
    <w:rsid w:val="00E93EDA"/>
    <w:rsid w:val="00E94217"/>
    <w:rsid w:val="00EA09B2"/>
    <w:rsid w:val="00EA30F6"/>
    <w:rsid w:val="00EA3A7F"/>
    <w:rsid w:val="00EA46D8"/>
    <w:rsid w:val="00EB1333"/>
    <w:rsid w:val="00EB70BF"/>
    <w:rsid w:val="00EC0CE6"/>
    <w:rsid w:val="00EC3668"/>
    <w:rsid w:val="00EC3AFB"/>
    <w:rsid w:val="00EC7C1D"/>
    <w:rsid w:val="00ED2745"/>
    <w:rsid w:val="00ED3525"/>
    <w:rsid w:val="00ED5D86"/>
    <w:rsid w:val="00ED6812"/>
    <w:rsid w:val="00ED6C48"/>
    <w:rsid w:val="00ED7E1D"/>
    <w:rsid w:val="00EE083D"/>
    <w:rsid w:val="00EE2B61"/>
    <w:rsid w:val="00EE3045"/>
    <w:rsid w:val="00EE5F70"/>
    <w:rsid w:val="00EE7263"/>
    <w:rsid w:val="00EF07C9"/>
    <w:rsid w:val="00EF7598"/>
    <w:rsid w:val="00EF7EB6"/>
    <w:rsid w:val="00F03958"/>
    <w:rsid w:val="00F04BE5"/>
    <w:rsid w:val="00F04EDD"/>
    <w:rsid w:val="00F10828"/>
    <w:rsid w:val="00F125F4"/>
    <w:rsid w:val="00F13208"/>
    <w:rsid w:val="00F13C5C"/>
    <w:rsid w:val="00F147AE"/>
    <w:rsid w:val="00F147DB"/>
    <w:rsid w:val="00F20111"/>
    <w:rsid w:val="00F215E4"/>
    <w:rsid w:val="00F21E7B"/>
    <w:rsid w:val="00F24D39"/>
    <w:rsid w:val="00F26ACB"/>
    <w:rsid w:val="00F3058B"/>
    <w:rsid w:val="00F3278F"/>
    <w:rsid w:val="00F327C8"/>
    <w:rsid w:val="00F3327B"/>
    <w:rsid w:val="00F444D2"/>
    <w:rsid w:val="00F44B10"/>
    <w:rsid w:val="00F55B79"/>
    <w:rsid w:val="00F5712E"/>
    <w:rsid w:val="00F57499"/>
    <w:rsid w:val="00F60C9F"/>
    <w:rsid w:val="00F6176D"/>
    <w:rsid w:val="00F624BA"/>
    <w:rsid w:val="00F65F5D"/>
    <w:rsid w:val="00F722ED"/>
    <w:rsid w:val="00F73777"/>
    <w:rsid w:val="00F74513"/>
    <w:rsid w:val="00F75983"/>
    <w:rsid w:val="00F75B03"/>
    <w:rsid w:val="00F77B68"/>
    <w:rsid w:val="00F8251A"/>
    <w:rsid w:val="00F8406B"/>
    <w:rsid w:val="00F86A3A"/>
    <w:rsid w:val="00F96756"/>
    <w:rsid w:val="00F96A32"/>
    <w:rsid w:val="00F97DCA"/>
    <w:rsid w:val="00FA0C2D"/>
    <w:rsid w:val="00FA2191"/>
    <w:rsid w:val="00FA39EA"/>
    <w:rsid w:val="00FB03DC"/>
    <w:rsid w:val="00FB1B31"/>
    <w:rsid w:val="00FB22D0"/>
    <w:rsid w:val="00FB5683"/>
    <w:rsid w:val="00FB59DC"/>
    <w:rsid w:val="00FC6647"/>
    <w:rsid w:val="00FC6EB6"/>
    <w:rsid w:val="00FD62AD"/>
    <w:rsid w:val="00FE0A14"/>
    <w:rsid w:val="00FE0B30"/>
    <w:rsid w:val="00FE2DA5"/>
    <w:rsid w:val="00FF1EF6"/>
    <w:rsid w:val="00FF3D9D"/>
    <w:rsid w:val="00FF439E"/>
    <w:rsid w:val="00FF4D86"/>
    <w:rsid w:val="00FF50D8"/>
    <w:rsid w:val="00FF531D"/>
    <w:rsid w:val="00FF5DD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2ACD2"/>
  <w15:docId w15:val="{5A55C38B-63BD-4B02-B4E3-C517A933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24E"/>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rsid w:val="00817975"/>
    <w:rPr>
      <w:b/>
      <w:sz w:val="28"/>
    </w:rPr>
  </w:style>
  <w:style w:type="paragraph" w:styleId="ListParagraph">
    <w:name w:val="List Paragraph"/>
    <w:basedOn w:val="Normal"/>
    <w:uiPriority w:val="34"/>
    <w:qFormat/>
    <w:rsid w:val="00E66925"/>
    <w:pPr>
      <w:kinsoku/>
      <w:overflowPunct/>
      <w:autoSpaceDE/>
      <w:autoSpaceDN/>
      <w:adjustRightInd/>
      <w:snapToGrid/>
      <w:ind w:left="720"/>
      <w:contextualSpacing/>
    </w:pPr>
    <w:rPr>
      <w:rFonts w:eastAsia="Times New Roman"/>
      <w:lang w:eastAsia="en-US"/>
    </w:rPr>
  </w:style>
  <w:style w:type="character" w:customStyle="1" w:styleId="SingleTxtGChar">
    <w:name w:val="_ Single Txt_G Char"/>
    <w:link w:val="SingleTxtG"/>
    <w:qFormat/>
    <w:rsid w:val="005373C8"/>
  </w:style>
  <w:style w:type="character" w:customStyle="1" w:styleId="H1GChar">
    <w:name w:val="_ H_1_G Char"/>
    <w:link w:val="H1G"/>
    <w:qFormat/>
    <w:rsid w:val="00766AC4"/>
    <w:rPr>
      <w:b/>
      <w:sz w:val="24"/>
    </w:rPr>
  </w:style>
  <w:style w:type="character" w:customStyle="1" w:styleId="H23GChar">
    <w:name w:val="_ H_2/3_G Char"/>
    <w:link w:val="H23G"/>
    <w:rsid w:val="00766AC4"/>
    <w:rPr>
      <w:b/>
    </w:rPr>
  </w:style>
  <w:style w:type="character" w:styleId="CommentReference">
    <w:name w:val="annotation reference"/>
    <w:basedOn w:val="DefaultParagraphFont"/>
    <w:uiPriority w:val="99"/>
    <w:unhideWhenUsed/>
    <w:rsid w:val="00844FD5"/>
    <w:rPr>
      <w:sz w:val="16"/>
      <w:szCs w:val="16"/>
    </w:rPr>
  </w:style>
  <w:style w:type="paragraph" w:styleId="CommentText">
    <w:name w:val="annotation text"/>
    <w:basedOn w:val="Normal"/>
    <w:link w:val="CommentTextChar"/>
    <w:uiPriority w:val="99"/>
    <w:unhideWhenUsed/>
    <w:rsid w:val="00844FD5"/>
    <w:pPr>
      <w:spacing w:line="240" w:lineRule="auto"/>
    </w:pPr>
  </w:style>
  <w:style w:type="character" w:customStyle="1" w:styleId="CommentTextChar">
    <w:name w:val="Comment Text Char"/>
    <w:basedOn w:val="DefaultParagraphFont"/>
    <w:link w:val="CommentText"/>
    <w:uiPriority w:val="99"/>
    <w:rsid w:val="00844FD5"/>
  </w:style>
  <w:style w:type="paragraph" w:styleId="CommentSubject">
    <w:name w:val="annotation subject"/>
    <w:basedOn w:val="CommentText"/>
    <w:next w:val="CommentText"/>
    <w:link w:val="CommentSubjectChar"/>
    <w:uiPriority w:val="99"/>
    <w:semiHidden/>
    <w:unhideWhenUsed/>
    <w:rsid w:val="00844FD5"/>
    <w:rPr>
      <w:b/>
      <w:bCs/>
    </w:rPr>
  </w:style>
  <w:style w:type="character" w:customStyle="1" w:styleId="CommentSubjectChar">
    <w:name w:val="Comment Subject Char"/>
    <w:basedOn w:val="CommentTextChar"/>
    <w:link w:val="CommentSubject"/>
    <w:uiPriority w:val="99"/>
    <w:semiHidden/>
    <w:rsid w:val="00844FD5"/>
    <w:rPr>
      <w:b/>
      <w:bCs/>
    </w:rPr>
  </w:style>
  <w:style w:type="paragraph" w:styleId="Revision">
    <w:name w:val="Revision"/>
    <w:hidden/>
    <w:uiPriority w:val="99"/>
    <w:semiHidden/>
    <w:rsid w:val="0003164F"/>
    <w:pPr>
      <w:spacing w:after="0" w:line="240" w:lineRule="auto"/>
    </w:pPr>
  </w:style>
  <w:style w:type="character" w:customStyle="1" w:styleId="normaltextrun">
    <w:name w:val="normaltextrun"/>
    <w:basedOn w:val="DefaultParagraphFont"/>
    <w:rsid w:val="000823C3"/>
  </w:style>
  <w:style w:type="character" w:styleId="UnresolvedMention">
    <w:name w:val="Unresolved Mention"/>
    <w:basedOn w:val="DefaultParagraphFont"/>
    <w:uiPriority w:val="99"/>
    <w:semiHidden/>
    <w:unhideWhenUsed/>
    <w:rsid w:val="009C5193"/>
    <w:rPr>
      <w:color w:val="605E5C"/>
      <w:shd w:val="clear" w:color="auto" w:fill="E1DFDD"/>
    </w:rPr>
  </w:style>
  <w:style w:type="table" w:customStyle="1" w:styleId="TableGrid1">
    <w:name w:val="Table Grid1"/>
    <w:basedOn w:val="TableNormal"/>
    <w:uiPriority w:val="39"/>
    <w:rsid w:val="00973E9B"/>
    <w:pPr>
      <w:suppressAutoHyphens/>
      <w:spacing w:after="0" w:line="240" w:lineRule="atLeast"/>
    </w:pPr>
    <w:rPr>
      <w:rFonts w:eastAsia="Times New Roman"/>
      <w:lang w:val="fr-CH"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Number">
    <w:name w:val="List Number"/>
    <w:basedOn w:val="Normal"/>
    <w:semiHidden/>
    <w:rsid w:val="00973E9B"/>
    <w:pPr>
      <w:numPr>
        <w:numId w:val="25"/>
      </w:numPr>
      <w:kinsoku/>
      <w:overflowPunct/>
      <w:autoSpaceDE/>
      <w:autoSpaceDN/>
      <w:adjustRightInd/>
      <w:snapToGrid/>
    </w:pPr>
    <w:rPr>
      <w:rFonts w:eastAsia="Times New Roman"/>
      <w:lang w:eastAsia="en-US"/>
    </w:rPr>
  </w:style>
  <w:style w:type="paragraph" w:customStyle="1" w:styleId="Pnormal">
    <w:name w:val="P_normal"/>
    <w:basedOn w:val="Normal"/>
    <w:link w:val="PnormalChar"/>
    <w:qFormat/>
    <w:rsid w:val="00077D40"/>
    <w:pPr>
      <w:suppressAutoHyphens w:val="0"/>
      <w:kinsoku/>
      <w:overflowPunct/>
      <w:autoSpaceDE/>
      <w:autoSpaceDN/>
      <w:adjustRightInd/>
      <w:snapToGrid/>
      <w:spacing w:before="80" w:after="80" w:line="240" w:lineRule="auto"/>
      <w:jc w:val="both"/>
    </w:pPr>
    <w:rPr>
      <w:rFonts w:eastAsia="Times New Roman"/>
      <w:lang w:eastAsia="en-US"/>
    </w:rPr>
  </w:style>
  <w:style w:type="character" w:customStyle="1" w:styleId="PnormalChar">
    <w:name w:val="P_normal Char"/>
    <w:basedOn w:val="DefaultParagraphFont"/>
    <w:link w:val="Pnormal"/>
    <w:rsid w:val="00077D40"/>
    <w:rPr>
      <w:rFonts w:eastAsia="Times New Roman"/>
      <w:lang w:eastAsia="en-US"/>
    </w:rPr>
  </w:style>
  <w:style w:type="paragraph" w:customStyle="1" w:styleId="Pu4d2">
    <w:name w:val="P_u4_d2"/>
    <w:basedOn w:val="Pnormal"/>
    <w:link w:val="Pu4d2Char"/>
    <w:qFormat/>
    <w:rsid w:val="00077D40"/>
    <w:pPr>
      <w:spacing w:after="40"/>
    </w:pPr>
  </w:style>
  <w:style w:type="paragraph" w:customStyle="1" w:styleId="Pud2">
    <w:name w:val="P_ud2"/>
    <w:basedOn w:val="Pnormal"/>
    <w:link w:val="Pud2Char"/>
    <w:qFormat/>
    <w:rsid w:val="00077D40"/>
    <w:pPr>
      <w:spacing w:before="40" w:after="40"/>
    </w:pPr>
  </w:style>
  <w:style w:type="character" w:customStyle="1" w:styleId="Pu4d2Char">
    <w:name w:val="P_u4_d2 Char"/>
    <w:basedOn w:val="PnormalChar"/>
    <w:link w:val="Pu4d2"/>
    <w:rsid w:val="00077D40"/>
    <w:rPr>
      <w:rFonts w:eastAsia="Times New Roman"/>
      <w:lang w:eastAsia="en-US"/>
    </w:rPr>
  </w:style>
  <w:style w:type="character" w:customStyle="1" w:styleId="Pud2Char">
    <w:name w:val="P_ud2 Char"/>
    <w:basedOn w:val="PnormalChar"/>
    <w:link w:val="Pud2"/>
    <w:rsid w:val="00077D40"/>
    <w:rPr>
      <w:rFonts w:eastAsia="Times New Roman"/>
      <w:lang w:eastAsia="en-US"/>
    </w:rPr>
  </w:style>
  <w:style w:type="paragraph" w:customStyle="1" w:styleId="Ph08">
    <w:name w:val="P_h0.8"/>
    <w:basedOn w:val="Pnormal"/>
    <w:link w:val="Ph08Char"/>
    <w:qFormat/>
    <w:rsid w:val="00077D40"/>
    <w:pPr>
      <w:ind w:left="454" w:hanging="454"/>
    </w:pPr>
  </w:style>
  <w:style w:type="character" w:customStyle="1" w:styleId="Ph08Char">
    <w:name w:val="P_h0.8 Char"/>
    <w:basedOn w:val="PnormalChar"/>
    <w:link w:val="Ph08"/>
    <w:rsid w:val="00077D40"/>
    <w:rPr>
      <w:rFonts w:eastAsia="Times New Roman"/>
      <w:lang w:eastAsia="en-US"/>
    </w:rPr>
  </w:style>
  <w:style w:type="paragraph" w:customStyle="1" w:styleId="Pb04h02ud2">
    <w:name w:val="P_b0.4_h0.2_ud2"/>
    <w:basedOn w:val="Pud2"/>
    <w:link w:val="Pb04h02ud2Char"/>
    <w:qFormat/>
    <w:rsid w:val="00077D40"/>
    <w:pPr>
      <w:ind w:left="340" w:hanging="113"/>
      <w:jc w:val="left"/>
    </w:pPr>
  </w:style>
  <w:style w:type="character" w:customStyle="1" w:styleId="Pb04h02ud2Char">
    <w:name w:val="P_b0.4_h0.2_ud2 Char"/>
    <w:basedOn w:val="DefaultParagraphFont"/>
    <w:link w:val="Pb04h02ud2"/>
    <w:rsid w:val="00077D40"/>
    <w:rPr>
      <w:rFonts w:eastAsia="Times New Roman"/>
      <w:lang w:eastAsia="en-US"/>
    </w:rPr>
  </w:style>
  <w:style w:type="paragraph" w:customStyle="1" w:styleId="Pu2d4">
    <w:name w:val="P_u2_d4"/>
    <w:basedOn w:val="Pnormal"/>
    <w:link w:val="Pu2d4Char"/>
    <w:qFormat/>
    <w:rsid w:val="00077D40"/>
    <w:pPr>
      <w:spacing w:before="40"/>
    </w:pPr>
  </w:style>
  <w:style w:type="character" w:customStyle="1" w:styleId="Pu2d4Char">
    <w:name w:val="P_u2_d4 Char"/>
    <w:basedOn w:val="PnormalChar"/>
    <w:link w:val="Pu2d4"/>
    <w:rsid w:val="00077D40"/>
    <w:rPr>
      <w:rFonts w:eastAsia="Times New Roman"/>
      <w:lang w:eastAsia="en-US"/>
    </w:rPr>
  </w:style>
  <w:style w:type="paragraph" w:customStyle="1" w:styleId="Pb08h08">
    <w:name w:val="P_b0.8h0.8"/>
    <w:basedOn w:val="Normal"/>
    <w:link w:val="Pb08h08Char"/>
    <w:qFormat/>
    <w:rsid w:val="00077D40"/>
    <w:pPr>
      <w:suppressAutoHyphens w:val="0"/>
      <w:kinsoku/>
      <w:overflowPunct/>
      <w:autoSpaceDE/>
      <w:autoSpaceDN/>
      <w:adjustRightInd/>
      <w:snapToGrid/>
      <w:spacing w:before="80" w:after="80" w:line="240" w:lineRule="auto"/>
      <w:ind w:left="908" w:hanging="454"/>
      <w:jc w:val="both"/>
    </w:pPr>
    <w:rPr>
      <w:rFonts w:eastAsia="Times New Roman"/>
      <w:lang w:eastAsia="en-US"/>
    </w:rPr>
  </w:style>
  <w:style w:type="character" w:customStyle="1" w:styleId="Pb08h08Char">
    <w:name w:val="P_b0.8h0.8 Char"/>
    <w:basedOn w:val="DefaultParagraphFont"/>
    <w:link w:val="Pb08h08"/>
    <w:rsid w:val="00077D40"/>
    <w:rPr>
      <w:rFonts w:eastAsia="Times New Roman"/>
      <w:lang w:eastAsia="en-US"/>
    </w:rPr>
  </w:style>
  <w:style w:type="paragraph" w:customStyle="1" w:styleId="Pb16h08">
    <w:name w:val="P_b1.6_h0.8"/>
    <w:basedOn w:val="Normal"/>
    <w:link w:val="Pb16h08Char"/>
    <w:qFormat/>
    <w:rsid w:val="00077D40"/>
    <w:pPr>
      <w:suppressAutoHyphens w:val="0"/>
      <w:kinsoku/>
      <w:overflowPunct/>
      <w:autoSpaceDE/>
      <w:autoSpaceDN/>
      <w:adjustRightInd/>
      <w:snapToGrid/>
      <w:spacing w:before="80" w:after="80" w:line="240" w:lineRule="auto"/>
      <w:ind w:left="1361" w:hanging="454"/>
      <w:jc w:val="both"/>
    </w:pPr>
    <w:rPr>
      <w:rFonts w:eastAsia="Times New Roman"/>
      <w:lang w:eastAsia="en-US"/>
    </w:rPr>
  </w:style>
  <w:style w:type="character" w:customStyle="1" w:styleId="Pb16h08Char">
    <w:name w:val="P_b1.6_h0.8 Char"/>
    <w:basedOn w:val="DefaultParagraphFont"/>
    <w:link w:val="Pb16h08"/>
    <w:rsid w:val="00077D40"/>
    <w:rPr>
      <w:rFonts w:eastAsia="Times New Roman"/>
      <w:lang w:eastAsia="en-US"/>
    </w:rPr>
  </w:style>
  <w:style w:type="paragraph" w:customStyle="1" w:styleId="Default">
    <w:name w:val="Default"/>
    <w:rsid w:val="00077D40"/>
    <w:pPr>
      <w:autoSpaceDE w:val="0"/>
      <w:autoSpaceDN w:val="0"/>
      <w:adjustRightInd w:val="0"/>
      <w:spacing w:after="0" w:line="240" w:lineRule="auto"/>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8451">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83318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55D21-E9DA-4930-83D6-0F6BD73F311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8FE593F9-102E-4539-85B9-AD461CAFF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24553249-FB6E-4F7E-BBE1-CA49A57094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19</TotalTime>
  <Pages>16</Pages>
  <Words>5308</Words>
  <Characters>30257</Characters>
  <Application>Microsoft Office Word</Application>
  <DocSecurity>0</DocSecurity>
  <Lines>252</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35495</CharactersWithSpaces>
  <SharedDoc>false</SharedDoc>
  <HLinks>
    <vt:vector size="18" baseType="variant">
      <vt:variant>
        <vt:i4>262188</vt:i4>
      </vt:variant>
      <vt:variant>
        <vt:i4>6</vt:i4>
      </vt:variant>
      <vt:variant>
        <vt:i4>0</vt:i4>
      </vt:variant>
      <vt:variant>
        <vt:i4>5</vt:i4>
      </vt:variant>
      <vt:variant>
        <vt:lpwstr>http://www.cgedd.developpement-durable.gouv.fr/IMG/pdf/013535-p_rapport_publie_cle051f41.pdf</vt:lpwstr>
      </vt:variant>
      <vt:variant>
        <vt:lpwstr/>
      </vt:variant>
      <vt:variant>
        <vt:i4>7733323</vt:i4>
      </vt:variant>
      <vt:variant>
        <vt:i4>3</vt:i4>
      </vt:variant>
      <vt:variant>
        <vt:i4>0</vt:i4>
      </vt:variant>
      <vt:variant>
        <vt:i4>5</vt:i4>
      </vt:variant>
      <vt:variant>
        <vt:lpwstr>mailto:info@idgca.org</vt:lpwstr>
      </vt:variant>
      <vt:variant>
        <vt:lpwstr/>
      </vt:variant>
      <vt:variant>
        <vt:i4>5701714</vt:i4>
      </vt:variant>
      <vt:variant>
        <vt:i4>0</vt:i4>
      </vt:variant>
      <vt:variant>
        <vt:i4>0</vt:i4>
      </vt:variant>
      <vt:variant>
        <vt:i4>5</vt:i4>
      </vt:variant>
      <vt:variant>
        <vt:lpwstr>https://unece.org/guiding-principles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ST/SG/AC.10/C.3/116</dc:title>
  <dc:subject/>
  <dc:creator>Laurence BERTHET</dc:creator>
  <cp:keywords/>
  <cp:lastModifiedBy>Laurence Berthet</cp:lastModifiedBy>
  <cp:revision>26</cp:revision>
  <cp:lastPrinted>2022-01-05T17:17:00Z</cp:lastPrinted>
  <dcterms:created xsi:type="dcterms:W3CDTF">2022-12-19T14:16:00Z</dcterms:created>
  <dcterms:modified xsi:type="dcterms:W3CDTF">2022-12-21T11:32:00Z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