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03A2" w14:textId="77777777" w:rsidR="00E03A64" w:rsidRPr="00E03A64" w:rsidRDefault="00E03A64" w:rsidP="00E03A64">
      <w:pPr>
        <w:keepNext/>
        <w:keepLines/>
        <w:tabs>
          <w:tab w:val="right" w:pos="851"/>
        </w:tabs>
        <w:spacing w:before="360" w:after="240" w:line="300" w:lineRule="exact"/>
        <w:ind w:left="1134" w:right="1134" w:hanging="1134"/>
        <w:rPr>
          <w:b/>
          <w:color w:val="0000FF"/>
          <w:sz w:val="24"/>
          <w:szCs w:val="24"/>
          <w:lang w:val="en-US"/>
        </w:rPr>
      </w:pPr>
      <w:r w:rsidRPr="00E03A64">
        <w:rPr>
          <w:b/>
          <w:sz w:val="28"/>
          <w:lang w:val="en-US"/>
        </w:rPr>
        <w:tab/>
      </w:r>
      <w:r w:rsidRPr="00E03A64">
        <w:rPr>
          <w:b/>
          <w:sz w:val="28"/>
          <w:lang w:val="en-US"/>
        </w:rPr>
        <w:tab/>
        <w:t xml:space="preserve">Proposal for </w:t>
      </w:r>
      <w:r w:rsidR="003C0630">
        <w:rPr>
          <w:b/>
          <w:sz w:val="28"/>
          <w:lang w:val="en-US"/>
        </w:rPr>
        <w:t xml:space="preserve">Supplement 9 to the 03 series of </w:t>
      </w:r>
      <w:r w:rsidRPr="00E03A64">
        <w:rPr>
          <w:b/>
          <w:sz w:val="28"/>
          <w:lang w:val="en-US"/>
        </w:rPr>
        <w:t xml:space="preserve">amendments to Regulation No. </w:t>
      </w:r>
      <w:r w:rsidR="003C0630">
        <w:rPr>
          <w:b/>
          <w:sz w:val="28"/>
          <w:lang w:val="en-US"/>
        </w:rPr>
        <w:t>129 (Enhanced Child Restraint Systems)</w:t>
      </w:r>
    </w:p>
    <w:p w14:paraId="4A1E3824" w14:textId="77777777" w:rsidR="00E03A64" w:rsidRPr="00E03A64" w:rsidRDefault="00E03A64" w:rsidP="00E03A64">
      <w:pPr>
        <w:keepNext/>
        <w:keepLines/>
        <w:tabs>
          <w:tab w:val="right" w:pos="851"/>
        </w:tabs>
        <w:spacing w:before="360" w:after="240" w:line="270" w:lineRule="exact"/>
        <w:ind w:left="1134" w:right="1134" w:hanging="1134"/>
        <w:rPr>
          <w:b/>
          <w:color w:val="0000FF"/>
          <w:sz w:val="24"/>
          <w:lang w:val="en-US"/>
        </w:rPr>
      </w:pPr>
      <w:r w:rsidRPr="00E03A64">
        <w:rPr>
          <w:b/>
          <w:sz w:val="24"/>
          <w:lang w:val="en-US"/>
        </w:rPr>
        <w:tab/>
      </w:r>
      <w:r w:rsidRPr="00E03A64">
        <w:rPr>
          <w:b/>
          <w:sz w:val="24"/>
          <w:lang w:val="en-US"/>
        </w:rPr>
        <w:tab/>
        <w:t xml:space="preserve">Submitted by the </w:t>
      </w:r>
      <w:r w:rsidR="003C0630">
        <w:rPr>
          <w:b/>
          <w:sz w:val="24"/>
          <w:lang w:val="en-US"/>
        </w:rPr>
        <w:t>expert from the European Association of Automotive Suppliers</w:t>
      </w:r>
      <w:r w:rsidRPr="00E03A64">
        <w:rPr>
          <w:b/>
          <w:sz w:val="24"/>
          <w:lang w:val="en-US"/>
        </w:rPr>
        <w:t xml:space="preserve"> </w:t>
      </w:r>
    </w:p>
    <w:p w14:paraId="045C9233" w14:textId="77777777" w:rsidR="00E03A64" w:rsidRPr="00E03A64" w:rsidRDefault="00E03A64" w:rsidP="00E03A64">
      <w:pPr>
        <w:spacing w:after="120"/>
        <w:ind w:left="1134" w:right="1134" w:firstLine="567"/>
        <w:jc w:val="both"/>
        <w:rPr>
          <w:lang w:val="en-US"/>
        </w:rPr>
      </w:pPr>
      <w:r w:rsidRPr="00E03A64">
        <w:rPr>
          <w:lang w:val="en-US"/>
        </w:rPr>
        <w:t>Th</w:t>
      </w:r>
      <w:r w:rsidR="00011FEF">
        <w:rPr>
          <w:lang w:val="en-US"/>
        </w:rPr>
        <w:t>e text reproduced below was prepared by the expert from the European Association of Automotive Suppliers (CLEPA)</w:t>
      </w:r>
      <w:r w:rsidR="007141EE">
        <w:rPr>
          <w:lang w:val="en-US"/>
        </w:rPr>
        <w:t>. It proposes</w:t>
      </w:r>
      <w:r w:rsidR="00011FEF">
        <w:rPr>
          <w:lang w:val="en-US"/>
        </w:rPr>
        <w:t xml:space="preserve"> to amend UN Regulation No. 129 to update the references to EN Standards for toxicity and flammability.</w:t>
      </w:r>
      <w:r w:rsidRPr="00E03A64">
        <w:rPr>
          <w:lang w:val="en-US"/>
        </w:rPr>
        <w:t xml:space="preserve"> </w:t>
      </w:r>
      <w:r w:rsidR="00011FEF">
        <w:rPr>
          <w:lang w:val="en-US"/>
        </w:rPr>
        <w:t>The modifications to the current text of the UN Regulation are marked in bold for new or strikethrough for deleted characters.</w:t>
      </w:r>
    </w:p>
    <w:p w14:paraId="6E616F30" w14:textId="5483D2BC" w:rsidR="00E03A64" w:rsidRPr="00AE76E5" w:rsidRDefault="00E03A64" w:rsidP="00E03A64">
      <w:pPr>
        <w:keepNext/>
        <w:keepLines/>
        <w:tabs>
          <w:tab w:val="right" w:pos="851"/>
        </w:tabs>
        <w:spacing w:before="360" w:after="240" w:line="300" w:lineRule="exact"/>
        <w:ind w:left="1134" w:right="1134" w:hanging="1134"/>
        <w:rPr>
          <w:b/>
          <w:color w:val="FF0000"/>
          <w:sz w:val="28"/>
          <w:lang w:val="pt-BR"/>
        </w:rPr>
      </w:pPr>
      <w:r w:rsidRPr="00011FEF">
        <w:rPr>
          <w:b/>
          <w:sz w:val="28"/>
          <w:lang w:val="en-GB"/>
        </w:rPr>
        <w:tab/>
      </w:r>
      <w:r w:rsidR="00AE16CE" w:rsidRPr="00AE76E5">
        <w:rPr>
          <w:b/>
          <w:sz w:val="28"/>
          <w:lang w:val="pt-BR"/>
        </w:rPr>
        <w:t>I</w:t>
      </w:r>
      <w:r w:rsidRPr="00AE76E5">
        <w:rPr>
          <w:b/>
          <w:sz w:val="28"/>
          <w:lang w:val="pt-BR"/>
        </w:rPr>
        <w:t>.</w:t>
      </w:r>
      <w:r w:rsidRPr="00AE76E5">
        <w:rPr>
          <w:b/>
          <w:sz w:val="28"/>
          <w:lang w:val="pt-BR"/>
        </w:rPr>
        <w:tab/>
        <w:t>Proposal</w:t>
      </w:r>
    </w:p>
    <w:p w14:paraId="2AF37B47" w14:textId="77777777" w:rsidR="00E03A64" w:rsidRPr="00E03A64" w:rsidRDefault="00E03A64" w:rsidP="00E03A64">
      <w:pPr>
        <w:tabs>
          <w:tab w:val="left" w:pos="2300"/>
          <w:tab w:val="left" w:pos="2800"/>
        </w:tabs>
        <w:spacing w:after="120"/>
        <w:ind w:left="2302" w:right="1134" w:hanging="1168"/>
        <w:jc w:val="both"/>
        <w:rPr>
          <w:i/>
          <w:lang w:val="en-GB"/>
        </w:rPr>
      </w:pPr>
      <w:r w:rsidRPr="00E03A64">
        <w:rPr>
          <w:i/>
          <w:lang w:val="en-GB"/>
        </w:rPr>
        <w:t xml:space="preserve">Paragraph </w:t>
      </w:r>
      <w:r w:rsidR="00AE76E5">
        <w:rPr>
          <w:i/>
          <w:lang w:val="en-GB"/>
        </w:rPr>
        <w:t>6</w:t>
      </w:r>
      <w:r w:rsidRPr="00E03A64">
        <w:rPr>
          <w:i/>
          <w:lang w:val="en-GB"/>
        </w:rPr>
        <w:t>.</w:t>
      </w:r>
      <w:r w:rsidR="00AE76E5">
        <w:rPr>
          <w:i/>
          <w:lang w:val="en-GB"/>
        </w:rPr>
        <w:t>3.1.1</w:t>
      </w:r>
      <w:r w:rsidRPr="00E03A64">
        <w:rPr>
          <w:i/>
          <w:lang w:val="en-GB"/>
        </w:rPr>
        <w:t>.</w:t>
      </w:r>
      <w:r w:rsidRPr="00E03A64">
        <w:rPr>
          <w:lang w:val="en-GB"/>
        </w:rPr>
        <w:t>,</w:t>
      </w:r>
      <w:r w:rsidRPr="00E03A64">
        <w:rPr>
          <w:i/>
          <w:lang w:val="en-GB"/>
        </w:rPr>
        <w:t xml:space="preserve"> </w:t>
      </w:r>
      <w:r w:rsidRPr="00E03A64">
        <w:rPr>
          <w:lang w:val="en-GB"/>
        </w:rPr>
        <w:t>amend to read</w:t>
      </w:r>
      <w:r w:rsidRPr="00E03A64">
        <w:rPr>
          <w:iCs/>
          <w:lang w:val="en-GB"/>
        </w:rPr>
        <w:t>:</w:t>
      </w:r>
    </w:p>
    <w:p w14:paraId="59CD0990" w14:textId="77777777" w:rsidR="00E03A64" w:rsidRPr="00E03A64" w:rsidRDefault="00E03A64" w:rsidP="00E03A64">
      <w:pPr>
        <w:spacing w:after="120"/>
        <w:ind w:left="2268" w:right="1134" w:hanging="1134"/>
        <w:jc w:val="both"/>
        <w:rPr>
          <w:bCs/>
          <w:lang w:val="en-GB"/>
        </w:rPr>
      </w:pPr>
      <w:r w:rsidRPr="00E03A64">
        <w:rPr>
          <w:bCs/>
          <w:lang w:val="en-GB"/>
        </w:rPr>
        <w:t>"</w:t>
      </w:r>
      <w:r w:rsidR="00AE76E5">
        <w:rPr>
          <w:bCs/>
          <w:lang w:val="en-GB"/>
        </w:rPr>
        <w:t>6</w:t>
      </w:r>
      <w:r w:rsidRPr="00E03A64">
        <w:rPr>
          <w:bCs/>
          <w:lang w:val="en-GB"/>
        </w:rPr>
        <w:t>.</w:t>
      </w:r>
      <w:r w:rsidR="00AE76E5">
        <w:rPr>
          <w:bCs/>
          <w:lang w:val="en-GB"/>
        </w:rPr>
        <w:t>3.1.1</w:t>
      </w:r>
      <w:r w:rsidRPr="00E03A64">
        <w:rPr>
          <w:bCs/>
          <w:lang w:val="en-GB"/>
        </w:rPr>
        <w:t>.</w:t>
      </w:r>
      <w:r w:rsidRPr="00E03A64">
        <w:rPr>
          <w:bCs/>
          <w:lang w:val="en-GB"/>
        </w:rPr>
        <w:tab/>
      </w:r>
      <w:r w:rsidR="00AE76E5">
        <w:rPr>
          <w:bCs/>
          <w:lang w:val="en-GB"/>
        </w:rPr>
        <w:t xml:space="preserve">The Enhanced Child Restraint System manufacturer </w:t>
      </w:r>
      <w:r w:rsidR="00AE76E5" w:rsidRPr="00AE76E5">
        <w:rPr>
          <w:bCs/>
          <w:lang w:val="en-GB"/>
        </w:rPr>
        <w:t>shall declare in writing that the toxicity of materials used in the manufacture of restraint systems and accessible to the restrained child is in conformity with the test requirements of EN 71-3:2019</w:t>
      </w:r>
      <w:r w:rsidR="00AE76E5" w:rsidRPr="00F66DEA">
        <w:rPr>
          <w:b/>
          <w:lang w:val="en-GB"/>
        </w:rPr>
        <w:t>+</w:t>
      </w:r>
      <w:r w:rsidR="00AE76E5" w:rsidRPr="00AE76E5">
        <w:rPr>
          <w:b/>
          <w:lang w:val="en-GB"/>
        </w:rPr>
        <w:t>A1:2021</w:t>
      </w:r>
      <w:r w:rsidR="00AE76E5" w:rsidRPr="00AE76E5">
        <w:rPr>
          <w:bCs/>
          <w:lang w:val="en-GB"/>
        </w:rPr>
        <w:t>, for a Category III material as defined in paragraph 4.2., Table 2 and following the test method of paragraph 7.2., specifically paragraph 7.2.2., Table 3, Category III sampling method. Tests confirming the validity of the declaration may be carried out at the discretion of the Technical Service. This paragraph does not apply to Non-integral ECRS with a stature range starting at 100 cm or above.</w:t>
      </w:r>
      <w:r w:rsidRPr="00E03A64">
        <w:rPr>
          <w:bCs/>
          <w:lang w:val="en-GB"/>
        </w:rPr>
        <w:t>"</w:t>
      </w:r>
    </w:p>
    <w:p w14:paraId="29F4D10D" w14:textId="77777777" w:rsidR="00E03A64" w:rsidRPr="00E03A64" w:rsidRDefault="00E03A64" w:rsidP="00E03A64">
      <w:pPr>
        <w:tabs>
          <w:tab w:val="left" w:pos="2300"/>
          <w:tab w:val="left" w:pos="2800"/>
        </w:tabs>
        <w:spacing w:after="120"/>
        <w:ind w:left="2302" w:right="1134" w:hanging="1168"/>
        <w:jc w:val="both"/>
        <w:rPr>
          <w:lang w:val="en-GB"/>
        </w:rPr>
      </w:pPr>
      <w:r w:rsidRPr="00E03A64">
        <w:rPr>
          <w:i/>
          <w:lang w:val="en-GB"/>
        </w:rPr>
        <w:t>Paragraph 6.</w:t>
      </w:r>
      <w:r w:rsidR="00AE76E5">
        <w:rPr>
          <w:i/>
          <w:lang w:val="en-GB"/>
        </w:rPr>
        <w:t>3.1.2</w:t>
      </w:r>
      <w:r w:rsidRPr="00E03A64">
        <w:rPr>
          <w:i/>
          <w:lang w:val="en-GB"/>
        </w:rPr>
        <w:t>.</w:t>
      </w:r>
      <w:r w:rsidRPr="00E03A64">
        <w:rPr>
          <w:lang w:val="en-GB"/>
        </w:rPr>
        <w:t>, amend to read:</w:t>
      </w:r>
    </w:p>
    <w:p w14:paraId="30049D3D" w14:textId="77777777" w:rsidR="00AE76E5" w:rsidRPr="00AE76E5" w:rsidRDefault="00E03A64" w:rsidP="00AE76E5">
      <w:pPr>
        <w:spacing w:before="120" w:after="120"/>
        <w:ind w:left="2268" w:right="1134" w:hanging="1134"/>
        <w:jc w:val="both"/>
        <w:rPr>
          <w:bCs/>
          <w:lang w:val="en-GB"/>
        </w:rPr>
      </w:pPr>
      <w:r w:rsidRPr="00E03A64">
        <w:rPr>
          <w:bCs/>
          <w:lang w:val="en-GB"/>
        </w:rPr>
        <w:t>"6.</w:t>
      </w:r>
      <w:r w:rsidR="00AE76E5">
        <w:rPr>
          <w:bCs/>
          <w:lang w:val="en-GB"/>
        </w:rPr>
        <w:t>3</w:t>
      </w:r>
      <w:r w:rsidRPr="00E03A64">
        <w:rPr>
          <w:bCs/>
          <w:lang w:val="en-GB"/>
        </w:rPr>
        <w:t>.</w:t>
      </w:r>
      <w:r w:rsidR="00AE76E5">
        <w:rPr>
          <w:bCs/>
          <w:lang w:val="en-GB"/>
        </w:rPr>
        <w:t>1.2.</w:t>
      </w:r>
      <w:r w:rsidRPr="00E03A64">
        <w:rPr>
          <w:bCs/>
          <w:lang w:val="en-GB"/>
        </w:rPr>
        <w:tab/>
      </w:r>
      <w:r w:rsidR="00AE76E5" w:rsidRPr="00AE76E5">
        <w:rPr>
          <w:bCs/>
          <w:lang w:val="en-GB"/>
        </w:rPr>
        <w:t>The flammability of Enhanced Child Restraint Systems submitted for approval shall be assessed by one of the following methods:</w:t>
      </w:r>
    </w:p>
    <w:p w14:paraId="3C110BDF" w14:textId="77777777" w:rsidR="00AE76E5" w:rsidRPr="00AE76E5" w:rsidRDefault="00AE76E5" w:rsidP="00AE76E5">
      <w:pPr>
        <w:tabs>
          <w:tab w:val="left" w:pos="2325"/>
        </w:tabs>
        <w:spacing w:before="120" w:after="120"/>
        <w:ind w:left="2268" w:right="1134" w:hanging="1134"/>
        <w:jc w:val="both"/>
        <w:rPr>
          <w:bCs/>
          <w:lang w:val="en-GB"/>
        </w:rPr>
      </w:pPr>
      <w:r>
        <w:rPr>
          <w:bCs/>
          <w:lang w:val="en-GB"/>
        </w:rPr>
        <w:tab/>
      </w:r>
      <w:r w:rsidRPr="00AE76E5">
        <w:rPr>
          <w:bCs/>
          <w:lang w:val="en-GB"/>
        </w:rPr>
        <w:t>Method 1 is applicable only to non-built-in Enhanced Child Restraint Systems and Method 2 is applicable only to vehicle specific built-in Enhanced Child Restraint Systems.</w:t>
      </w:r>
    </w:p>
    <w:p w14:paraId="75013443" w14:textId="77777777" w:rsidR="00AE76E5" w:rsidRPr="00AE76E5" w:rsidRDefault="00AE76E5" w:rsidP="00AE76E5">
      <w:pPr>
        <w:spacing w:before="120" w:after="120"/>
        <w:ind w:left="2268" w:right="1134"/>
        <w:jc w:val="both"/>
        <w:rPr>
          <w:bCs/>
          <w:lang w:val="en-GB"/>
        </w:rPr>
      </w:pPr>
      <w:r w:rsidRPr="00AE76E5">
        <w:rPr>
          <w:bCs/>
          <w:lang w:val="en-GB"/>
        </w:rPr>
        <w:t>Method 1</w:t>
      </w:r>
    </w:p>
    <w:p w14:paraId="4A3EEEC4" w14:textId="77777777" w:rsidR="00AE76E5" w:rsidRPr="00AE76E5" w:rsidRDefault="00AE76E5" w:rsidP="00AE76E5">
      <w:pPr>
        <w:spacing w:before="120" w:after="120"/>
        <w:ind w:left="2268" w:right="1134"/>
        <w:jc w:val="both"/>
        <w:rPr>
          <w:bCs/>
          <w:lang w:val="en-GB"/>
        </w:rPr>
      </w:pPr>
      <w:r w:rsidRPr="00AE76E5">
        <w:rPr>
          <w:bCs/>
          <w:lang w:val="en-GB"/>
        </w:rPr>
        <w:t>The Enhanced Child Restraint System manufacturer shall declare in writing that the flammability of materials used to manufacture the Enhanced Child Restraint System is in conformity with the method of section 5.4 of EN 71-2:20</w:t>
      </w:r>
      <w:r w:rsidRPr="00AE76E5">
        <w:rPr>
          <w:b/>
          <w:lang w:val="en-GB"/>
        </w:rPr>
        <w:t>2</w:t>
      </w:r>
      <w:r w:rsidR="005866B7">
        <w:rPr>
          <w:b/>
          <w:lang w:val="en-GB"/>
        </w:rPr>
        <w:t>1</w:t>
      </w:r>
      <w:r w:rsidRPr="00AE76E5">
        <w:rPr>
          <w:bCs/>
          <w:strike/>
          <w:lang w:val="en-GB"/>
        </w:rPr>
        <w:t>11+A1:2014</w:t>
      </w:r>
      <w:r w:rsidRPr="00AE76E5">
        <w:rPr>
          <w:bCs/>
          <w:lang w:val="en-GB"/>
        </w:rPr>
        <w:t xml:space="preserve"> with a maximum rate of spread of flame of 30 mm/s. Tests confirming the validity of the declaration may be carried out at the discretion of the Technical Service. Where fabrics are </w:t>
      </w:r>
      <w:proofErr w:type="gramStart"/>
      <w:r w:rsidRPr="00AE76E5">
        <w:rPr>
          <w:bCs/>
          <w:lang w:val="en-GB"/>
        </w:rPr>
        <w:t>assembled together</w:t>
      </w:r>
      <w:proofErr w:type="gramEnd"/>
      <w:r w:rsidRPr="00AE76E5">
        <w:rPr>
          <w:bCs/>
          <w:lang w:val="en-GB"/>
        </w:rPr>
        <w:t>, these shall be tested as a composite.</w:t>
      </w:r>
    </w:p>
    <w:p w14:paraId="6B5ABBED" w14:textId="77777777" w:rsidR="00AE76E5" w:rsidRPr="00AE76E5" w:rsidRDefault="00AE76E5" w:rsidP="00AE76E5">
      <w:pPr>
        <w:spacing w:before="120" w:after="120"/>
        <w:ind w:left="2268" w:right="1134"/>
        <w:jc w:val="both"/>
        <w:rPr>
          <w:bCs/>
          <w:lang w:val="en-GB"/>
        </w:rPr>
      </w:pPr>
      <w:r w:rsidRPr="00AE76E5">
        <w:rPr>
          <w:bCs/>
          <w:lang w:val="en-GB"/>
        </w:rPr>
        <w:t xml:space="preserve">“Composite material" means a material composed of several layers of similar or different materials intimately held together at their surfaces by cementing, bonding, cladding, welding, etc. In such a case, the material shall be tested as a composite. When different materials are </w:t>
      </w:r>
      <w:proofErr w:type="gramStart"/>
      <w:r w:rsidRPr="00AE76E5">
        <w:rPr>
          <w:bCs/>
          <w:lang w:val="en-GB"/>
        </w:rPr>
        <w:t>connected together</w:t>
      </w:r>
      <w:proofErr w:type="gramEnd"/>
      <w:r w:rsidRPr="00AE76E5">
        <w:rPr>
          <w:bCs/>
          <w:lang w:val="en-GB"/>
        </w:rPr>
        <w:t xml:space="preserve"> intermittently, such materials shall not be considered as composite materials and therefore tested separately.</w:t>
      </w:r>
    </w:p>
    <w:p w14:paraId="12E8746D" w14:textId="77777777" w:rsidR="00AE76E5" w:rsidRPr="00AE76E5" w:rsidRDefault="00AE76E5" w:rsidP="00AE76E5">
      <w:pPr>
        <w:spacing w:before="120" w:after="120"/>
        <w:ind w:left="2268" w:right="1134"/>
        <w:jc w:val="both"/>
        <w:rPr>
          <w:bCs/>
          <w:lang w:val="en-GB"/>
        </w:rPr>
      </w:pPr>
      <w:r w:rsidRPr="00AE76E5">
        <w:rPr>
          <w:bCs/>
          <w:lang w:val="en-GB"/>
        </w:rPr>
        <w:lastRenderedPageBreak/>
        <w:t>Tests confirming the validity of the declaration may be carried out at the discretion of the Technical Service.</w:t>
      </w:r>
    </w:p>
    <w:p w14:paraId="7AC740DA" w14:textId="77777777" w:rsidR="00AE76E5" w:rsidRPr="00AE76E5" w:rsidRDefault="00AE76E5" w:rsidP="00AE76E5">
      <w:pPr>
        <w:spacing w:before="120" w:after="120"/>
        <w:ind w:left="2268" w:right="1134"/>
        <w:jc w:val="both"/>
        <w:rPr>
          <w:bCs/>
          <w:lang w:val="en-GB"/>
        </w:rPr>
      </w:pPr>
      <w:r w:rsidRPr="00AE76E5">
        <w:rPr>
          <w:bCs/>
          <w:lang w:val="en-GB"/>
        </w:rPr>
        <w:t>Method 2</w:t>
      </w:r>
    </w:p>
    <w:p w14:paraId="490FE16F" w14:textId="77777777" w:rsidR="00AE76E5" w:rsidRPr="00AE76E5" w:rsidRDefault="00AE76E5" w:rsidP="00AE76E5">
      <w:pPr>
        <w:spacing w:before="120" w:after="120"/>
        <w:ind w:left="2268" w:right="1134" w:hanging="1134"/>
        <w:jc w:val="both"/>
        <w:rPr>
          <w:bCs/>
          <w:lang w:val="en-GB"/>
        </w:rPr>
      </w:pPr>
      <w:r>
        <w:rPr>
          <w:bCs/>
          <w:lang w:val="en-GB"/>
        </w:rPr>
        <w:tab/>
      </w:r>
      <w:r>
        <w:rPr>
          <w:bCs/>
          <w:lang w:val="en-GB"/>
        </w:rPr>
        <w:tab/>
      </w:r>
      <w:r w:rsidRPr="00AE76E5">
        <w:rPr>
          <w:bCs/>
          <w:lang w:val="en-GB"/>
        </w:rPr>
        <w:t>The applicant shall declare in writing that when testing materials in accordance with Annex 22 of this regulation, the materials used shall not burn, nor transmit a flame front across its surface, at a rate of more than 100 mm per minute. Each material used in an enhanced child restraint system shall conform to these requirements. However, the requirement concerning transmission of a flame front shall not apply to a surface created by cutting a test specimen for purposes of testing pursuant to Annex 22.</w:t>
      </w:r>
    </w:p>
    <w:p w14:paraId="01482B15" w14:textId="77777777" w:rsidR="00AE76E5" w:rsidRPr="00AE76E5" w:rsidRDefault="00AE76E5" w:rsidP="00AE76E5">
      <w:pPr>
        <w:spacing w:before="120" w:after="120"/>
        <w:ind w:left="2268" w:right="1134" w:hanging="1134"/>
        <w:jc w:val="both"/>
        <w:rPr>
          <w:bCs/>
          <w:lang w:val="en-GB"/>
        </w:rPr>
      </w:pPr>
      <w:r>
        <w:rPr>
          <w:bCs/>
          <w:lang w:val="en-GB"/>
        </w:rPr>
        <w:tab/>
      </w:r>
      <w:r w:rsidRPr="00AE76E5">
        <w:rPr>
          <w:bCs/>
          <w:lang w:val="en-GB"/>
        </w:rPr>
        <w:t>The requirements shall be met in both the "in-use" and in the "stowed" positions of the built-in Enhanced Child Restraint System.</w:t>
      </w:r>
    </w:p>
    <w:p w14:paraId="48A96A3E" w14:textId="77777777" w:rsidR="00AE76E5" w:rsidRPr="00AE76E5" w:rsidRDefault="00AE76E5" w:rsidP="00AE76E5">
      <w:pPr>
        <w:spacing w:before="120" w:after="120"/>
        <w:ind w:left="2268" w:right="1134" w:hanging="1134"/>
        <w:jc w:val="both"/>
        <w:rPr>
          <w:bCs/>
          <w:lang w:val="en-GB"/>
        </w:rPr>
      </w:pPr>
      <w:r>
        <w:rPr>
          <w:bCs/>
          <w:lang w:val="en-GB"/>
        </w:rPr>
        <w:tab/>
      </w:r>
      <w:r w:rsidRPr="00AE76E5">
        <w:rPr>
          <w:bCs/>
          <w:lang w:val="en-GB"/>
        </w:rPr>
        <w:t xml:space="preserve">If a material stops burning before it has burned for 60 seconds from the start of </w:t>
      </w:r>
      <w:proofErr w:type="gramStart"/>
      <w:r w:rsidRPr="00AE76E5">
        <w:rPr>
          <w:bCs/>
          <w:lang w:val="en-GB"/>
        </w:rPr>
        <w:t>timing, and</w:t>
      </w:r>
      <w:proofErr w:type="gramEnd"/>
      <w:r w:rsidRPr="00AE76E5">
        <w:rPr>
          <w:bCs/>
          <w:lang w:val="en-GB"/>
        </w:rPr>
        <w:t xml:space="preserve"> has not burned more than 51 mm from the point where the timing was started, it shall be considered to meet the burn-rate requirement specified above.</w:t>
      </w:r>
    </w:p>
    <w:p w14:paraId="265DAD69" w14:textId="77777777" w:rsidR="00E03A64" w:rsidRPr="00E03A64" w:rsidRDefault="00AE76E5" w:rsidP="00AE76E5">
      <w:pPr>
        <w:spacing w:before="120" w:after="120"/>
        <w:ind w:left="2268" w:right="1134" w:hanging="1134"/>
        <w:jc w:val="both"/>
        <w:rPr>
          <w:bCs/>
          <w:lang w:val="en-GB"/>
        </w:rPr>
      </w:pPr>
      <w:r>
        <w:rPr>
          <w:bCs/>
          <w:lang w:val="en-GB"/>
        </w:rPr>
        <w:tab/>
      </w:r>
      <w:r w:rsidRPr="00AE76E5">
        <w:rPr>
          <w:bCs/>
          <w:lang w:val="en-GB"/>
        </w:rPr>
        <w:t>Tests confirming the validity of the declaration may be carried out at the discretion of the Technical Service.</w:t>
      </w:r>
      <w:r w:rsidR="00E03A64" w:rsidRPr="00E03A64">
        <w:rPr>
          <w:bCs/>
          <w:lang w:val="en-GB"/>
        </w:rPr>
        <w:t xml:space="preserve"> </w:t>
      </w:r>
    </w:p>
    <w:p w14:paraId="72D24EC3" w14:textId="77777777" w:rsidR="00E03A64" w:rsidRPr="00E03A64" w:rsidRDefault="00E03A64" w:rsidP="00E03A64">
      <w:pPr>
        <w:keepNext/>
        <w:keepLines/>
        <w:tabs>
          <w:tab w:val="right" w:pos="851"/>
        </w:tabs>
        <w:spacing w:before="360" w:after="240" w:line="300" w:lineRule="exact"/>
        <w:ind w:left="1134" w:right="1134" w:hanging="1134"/>
        <w:rPr>
          <w:b/>
          <w:color w:val="FF0000"/>
          <w:sz w:val="28"/>
          <w:lang w:val="en-US"/>
        </w:rPr>
      </w:pPr>
      <w:r w:rsidRPr="00E03A64">
        <w:rPr>
          <w:b/>
          <w:sz w:val="28"/>
          <w:lang w:val="en-US"/>
        </w:rPr>
        <w:tab/>
      </w:r>
      <w:r w:rsidR="00AE16CE">
        <w:rPr>
          <w:b/>
          <w:sz w:val="28"/>
          <w:lang w:val="en-GB"/>
        </w:rPr>
        <w:t>II</w:t>
      </w:r>
      <w:r w:rsidRPr="00E03A64">
        <w:rPr>
          <w:b/>
          <w:sz w:val="28"/>
          <w:lang w:val="en-GB"/>
        </w:rPr>
        <w:t>.</w:t>
      </w:r>
      <w:r w:rsidRPr="00E03A64">
        <w:rPr>
          <w:b/>
          <w:sz w:val="28"/>
          <w:lang w:val="en-GB"/>
        </w:rPr>
        <w:tab/>
        <w:t>Justification</w:t>
      </w:r>
    </w:p>
    <w:p w14:paraId="092482D5" w14:textId="77777777" w:rsidR="00F32D5D" w:rsidRDefault="00F32D5D" w:rsidP="00F32D5D">
      <w:pPr>
        <w:numPr>
          <w:ilvl w:val="0"/>
          <w:numId w:val="36"/>
        </w:numPr>
        <w:spacing w:after="120"/>
        <w:ind w:right="1134"/>
        <w:jc w:val="both"/>
        <w:rPr>
          <w:lang w:val="en-US"/>
        </w:rPr>
      </w:pPr>
      <w:r>
        <w:rPr>
          <w:lang w:val="en-US"/>
        </w:rPr>
        <w:t xml:space="preserve">UN Regulation No. 129 refers to European Standards (EN) for toxicity and flammability. </w:t>
      </w:r>
      <w:r w:rsidR="002D6CDA">
        <w:rPr>
          <w:lang w:val="en-US"/>
        </w:rPr>
        <w:t xml:space="preserve">In each case, </w:t>
      </w:r>
      <w:r w:rsidR="003D42FD">
        <w:rPr>
          <w:lang w:val="en-US"/>
        </w:rPr>
        <w:t xml:space="preserve">a declaration of </w:t>
      </w:r>
      <w:r w:rsidR="002D6CDA">
        <w:rPr>
          <w:lang w:val="en-US"/>
        </w:rPr>
        <w:t xml:space="preserve">compliance </w:t>
      </w:r>
      <w:proofErr w:type="gramStart"/>
      <w:r w:rsidR="002D6CDA">
        <w:rPr>
          <w:lang w:val="en-US"/>
        </w:rPr>
        <w:t>with  a</w:t>
      </w:r>
      <w:proofErr w:type="gramEnd"/>
      <w:r w:rsidR="002D6CDA">
        <w:rPr>
          <w:lang w:val="en-US"/>
        </w:rPr>
        <w:t xml:space="preserve"> s</w:t>
      </w:r>
      <w:r>
        <w:rPr>
          <w:lang w:val="en-US"/>
        </w:rPr>
        <w:t xml:space="preserve">pecific (i.e. dated) version of each standard </w:t>
      </w:r>
      <w:r w:rsidR="003D42FD">
        <w:rPr>
          <w:lang w:val="en-US"/>
        </w:rPr>
        <w:t>is required</w:t>
      </w:r>
      <w:r>
        <w:rPr>
          <w:lang w:val="en-US"/>
        </w:rPr>
        <w:t xml:space="preserve">. However, both versions have recently been revised </w:t>
      </w:r>
      <w:r w:rsidR="007141EE">
        <w:rPr>
          <w:lang w:val="en-US"/>
        </w:rPr>
        <w:t xml:space="preserve">by CEN </w:t>
      </w:r>
      <w:r>
        <w:rPr>
          <w:lang w:val="en-US"/>
        </w:rPr>
        <w:t xml:space="preserve">and </w:t>
      </w:r>
      <w:r w:rsidR="003D42FD">
        <w:rPr>
          <w:lang w:val="en-US"/>
        </w:rPr>
        <w:t>the versions referenced by</w:t>
      </w:r>
      <w:r>
        <w:rPr>
          <w:lang w:val="en-US"/>
        </w:rPr>
        <w:t xml:space="preserve"> UN Regulation No. 129 </w:t>
      </w:r>
      <w:r w:rsidR="003D42FD">
        <w:rPr>
          <w:lang w:val="en-US"/>
        </w:rPr>
        <w:t>have been withdrawn. This proposal updates the references to reflect the latest published version of each standard</w:t>
      </w:r>
      <w:r w:rsidR="007141EE">
        <w:rPr>
          <w:lang w:val="en-US"/>
        </w:rPr>
        <w:t xml:space="preserve"> </w:t>
      </w:r>
      <w:proofErr w:type="gramStart"/>
      <w:r w:rsidR="007141EE">
        <w:rPr>
          <w:lang w:val="en-US"/>
        </w:rPr>
        <w:t>in order to</w:t>
      </w:r>
      <w:proofErr w:type="gramEnd"/>
      <w:r w:rsidR="007141EE">
        <w:rPr>
          <w:lang w:val="en-US"/>
        </w:rPr>
        <w:t xml:space="preserve"> avoid administrative burdens during the type-approval process</w:t>
      </w:r>
      <w:r w:rsidR="00DF3FB5">
        <w:rPr>
          <w:lang w:val="en-US"/>
        </w:rPr>
        <w:t xml:space="preserve"> of ECRS</w:t>
      </w:r>
      <w:r w:rsidR="003D42FD">
        <w:rPr>
          <w:lang w:val="en-US"/>
        </w:rPr>
        <w:t xml:space="preserve">. </w:t>
      </w:r>
      <w:r w:rsidR="00F66DEA">
        <w:rPr>
          <w:lang w:val="en-US"/>
        </w:rPr>
        <w:t xml:space="preserve">In summary, </w:t>
      </w:r>
    </w:p>
    <w:p w14:paraId="58BBDFBF" w14:textId="77777777" w:rsidR="00F66DEA" w:rsidRPr="00F66DEA" w:rsidRDefault="00F66DEA" w:rsidP="00F66DEA">
      <w:pPr>
        <w:numPr>
          <w:ilvl w:val="1"/>
          <w:numId w:val="36"/>
        </w:numPr>
        <w:spacing w:after="120"/>
        <w:ind w:right="1134"/>
        <w:jc w:val="both"/>
        <w:rPr>
          <w:lang w:val="fr-FR"/>
        </w:rPr>
      </w:pPr>
      <w:r w:rsidRPr="00F66DEA">
        <w:rPr>
          <w:lang w:val="fr-FR"/>
        </w:rPr>
        <w:t>EN 71-</w:t>
      </w:r>
      <w:proofErr w:type="gramStart"/>
      <w:r w:rsidRPr="00F66DEA">
        <w:rPr>
          <w:lang w:val="fr-FR"/>
        </w:rPr>
        <w:t>3:</w:t>
      </w:r>
      <w:proofErr w:type="gramEnd"/>
      <w:r w:rsidRPr="00F66DEA">
        <w:rPr>
          <w:lang w:val="fr-FR"/>
        </w:rPr>
        <w:t>2019+A1:2021 replaces EN 71-3:2019 (t</w:t>
      </w:r>
      <w:r>
        <w:rPr>
          <w:lang w:val="fr-FR"/>
        </w:rPr>
        <w:t>oxicity)</w:t>
      </w:r>
    </w:p>
    <w:p w14:paraId="3A838F55" w14:textId="77777777" w:rsidR="00F66DEA" w:rsidRPr="00F66DEA" w:rsidRDefault="00F66DEA" w:rsidP="00F66DEA">
      <w:pPr>
        <w:numPr>
          <w:ilvl w:val="1"/>
          <w:numId w:val="36"/>
        </w:numPr>
        <w:spacing w:after="120"/>
        <w:ind w:right="1134"/>
        <w:jc w:val="both"/>
        <w:rPr>
          <w:lang w:val="fr-FR"/>
        </w:rPr>
      </w:pPr>
      <w:r w:rsidRPr="00F66DEA">
        <w:rPr>
          <w:lang w:val="fr-FR"/>
        </w:rPr>
        <w:t>EN 71-</w:t>
      </w:r>
      <w:proofErr w:type="gramStart"/>
      <w:r w:rsidRPr="00F66DEA">
        <w:rPr>
          <w:lang w:val="fr-FR"/>
        </w:rPr>
        <w:t>2:</w:t>
      </w:r>
      <w:proofErr w:type="gramEnd"/>
      <w:r w:rsidRPr="00F66DEA">
        <w:rPr>
          <w:lang w:val="fr-FR"/>
        </w:rPr>
        <w:t>2021 replaces EN 71-2:2011+A1:2014 (f</w:t>
      </w:r>
      <w:r>
        <w:rPr>
          <w:lang w:val="fr-FR"/>
        </w:rPr>
        <w:t>lammability)</w:t>
      </w:r>
    </w:p>
    <w:p w14:paraId="641E8DC3" w14:textId="77777777" w:rsidR="00E03A64" w:rsidRPr="00F66DEA" w:rsidRDefault="00E03A64" w:rsidP="00E03A64">
      <w:pPr>
        <w:spacing w:after="120"/>
        <w:ind w:left="1134" w:right="1134"/>
        <w:jc w:val="both"/>
        <w:rPr>
          <w:lang w:val="fr-FR"/>
        </w:rPr>
      </w:pPr>
    </w:p>
    <w:p w14:paraId="03316289" w14:textId="60386723" w:rsidR="00E03A64" w:rsidRPr="00E5445C" w:rsidRDefault="00E5445C" w:rsidP="00E5445C">
      <w:pPr>
        <w:spacing w:before="240"/>
        <w:jc w:val="center"/>
        <w:rPr>
          <w:u w:val="single"/>
          <w:lang w:val="fr-FR"/>
        </w:rPr>
      </w:pPr>
      <w:r>
        <w:rPr>
          <w:u w:val="single"/>
          <w:lang w:val="fr-FR"/>
        </w:rPr>
        <w:tab/>
      </w:r>
      <w:r>
        <w:rPr>
          <w:u w:val="single"/>
          <w:lang w:val="fr-FR"/>
        </w:rPr>
        <w:tab/>
      </w:r>
      <w:r>
        <w:rPr>
          <w:u w:val="single"/>
          <w:lang w:val="fr-FR"/>
        </w:rPr>
        <w:tab/>
      </w:r>
    </w:p>
    <w:p w14:paraId="189DDC71" w14:textId="77777777" w:rsidR="00E03A64" w:rsidRPr="00F66DEA" w:rsidRDefault="00E03A64" w:rsidP="00E03A64">
      <w:pPr>
        <w:spacing w:after="120"/>
        <w:ind w:left="1134" w:right="1134"/>
        <w:jc w:val="both"/>
        <w:rPr>
          <w:lang w:val="fr-FR"/>
        </w:rPr>
      </w:pPr>
    </w:p>
    <w:p w14:paraId="7B1E9724" w14:textId="77777777" w:rsidR="00E03A64" w:rsidRPr="00F66DEA" w:rsidRDefault="00E03A64" w:rsidP="00E03A64">
      <w:pPr>
        <w:spacing w:after="120"/>
        <w:ind w:left="1134" w:right="1134"/>
        <w:jc w:val="both"/>
        <w:rPr>
          <w:lang w:val="fr-FR"/>
        </w:rPr>
      </w:pPr>
    </w:p>
    <w:p w14:paraId="5F994AD8" w14:textId="77777777" w:rsidR="00E03A64" w:rsidRPr="00F66DEA" w:rsidRDefault="00E03A64" w:rsidP="00E03A64">
      <w:pPr>
        <w:spacing w:after="120"/>
        <w:ind w:left="1134" w:right="1134"/>
        <w:jc w:val="both"/>
        <w:rPr>
          <w:lang w:val="fr-FR"/>
        </w:rPr>
      </w:pPr>
    </w:p>
    <w:p w14:paraId="16D92999" w14:textId="77777777" w:rsidR="00240D36" w:rsidRPr="00F66DEA" w:rsidRDefault="00240D36" w:rsidP="00E03A64">
      <w:pPr>
        <w:spacing w:after="120"/>
        <w:ind w:left="1134" w:right="1134"/>
        <w:jc w:val="both"/>
        <w:rPr>
          <w:lang w:val="fr-FR"/>
        </w:rPr>
      </w:pPr>
    </w:p>
    <w:p w14:paraId="241D7FFE" w14:textId="77777777" w:rsidR="00240D36" w:rsidRPr="00F66DEA" w:rsidRDefault="00240D36" w:rsidP="00E03A64">
      <w:pPr>
        <w:spacing w:after="120"/>
        <w:ind w:left="1134" w:right="1134"/>
        <w:jc w:val="both"/>
        <w:rPr>
          <w:lang w:val="fr-FR"/>
        </w:rPr>
      </w:pPr>
    </w:p>
    <w:p w14:paraId="1AC3E999" w14:textId="77777777" w:rsidR="00E03A64" w:rsidRPr="00F66DEA" w:rsidRDefault="00E03A64" w:rsidP="003C0630">
      <w:pPr>
        <w:keepNext/>
        <w:keepLines/>
        <w:tabs>
          <w:tab w:val="right" w:pos="851"/>
        </w:tabs>
        <w:spacing w:before="360" w:after="240" w:line="300" w:lineRule="exact"/>
        <w:ind w:right="1134"/>
        <w:rPr>
          <w:b/>
          <w:sz w:val="36"/>
          <w:szCs w:val="36"/>
          <w:lang w:val="fr-FR"/>
        </w:rPr>
      </w:pPr>
    </w:p>
    <w:sectPr w:rsidR="00E03A64" w:rsidRPr="00F66DEA" w:rsidSect="00E03A6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AFF7E" w14:textId="77777777" w:rsidR="005E4564" w:rsidRDefault="005E4564"/>
  </w:endnote>
  <w:endnote w:type="continuationSeparator" w:id="0">
    <w:p w14:paraId="5EA465D2" w14:textId="77777777" w:rsidR="005E4564" w:rsidRDefault="005E4564"/>
  </w:endnote>
  <w:endnote w:type="continuationNotice" w:id="1">
    <w:p w14:paraId="16638184" w14:textId="77777777" w:rsidR="005E4564" w:rsidRDefault="005E4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CDA0" w14:textId="77777777" w:rsidR="00127D55" w:rsidRDefault="00127D55">
    <w:pPr>
      <w:pStyle w:val="Footer"/>
    </w:pPr>
    <w:r>
      <w:rPr>
        <w:rStyle w:val="PageNumber"/>
      </w:rPr>
      <w:fldChar w:fldCharType="begin"/>
    </w:r>
    <w:r>
      <w:rPr>
        <w:rStyle w:val="PageNumber"/>
      </w:rPr>
      <w:instrText xml:space="preserve"> PAGE </w:instrText>
    </w:r>
    <w:r>
      <w:rPr>
        <w:rStyle w:val="PageNumber"/>
      </w:rPr>
      <w:fldChar w:fldCharType="separate"/>
    </w:r>
    <w:r w:rsidR="00A97414">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64E0" w14:textId="77777777" w:rsidR="00127D55" w:rsidRDefault="00127D55"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sidR="00A97414">
      <w:rPr>
        <w:rStyle w:val="PageNumber"/>
        <w:noProof/>
      </w:rPr>
      <w:t>15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D52AC" w14:textId="77777777" w:rsidR="00127D55" w:rsidRDefault="00127D55"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sidR="00A97414">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43178" w14:textId="77777777" w:rsidR="005E4564" w:rsidRPr="00D27D5E" w:rsidRDefault="005E4564" w:rsidP="00D27D5E">
      <w:pPr>
        <w:tabs>
          <w:tab w:val="right" w:pos="2155"/>
        </w:tabs>
        <w:spacing w:after="80"/>
        <w:ind w:left="680"/>
        <w:rPr>
          <w:u w:val="single"/>
        </w:rPr>
      </w:pPr>
      <w:r>
        <w:rPr>
          <w:u w:val="single"/>
        </w:rPr>
        <w:tab/>
      </w:r>
    </w:p>
  </w:footnote>
  <w:footnote w:type="continuationSeparator" w:id="0">
    <w:p w14:paraId="7FFAE977" w14:textId="77777777" w:rsidR="005E4564" w:rsidRDefault="005E4564">
      <w:r>
        <w:rPr>
          <w:u w:val="single"/>
        </w:rPr>
        <w:tab/>
      </w:r>
      <w:r>
        <w:rPr>
          <w:u w:val="single"/>
        </w:rPr>
        <w:tab/>
      </w:r>
      <w:r>
        <w:rPr>
          <w:u w:val="single"/>
        </w:rPr>
        <w:tab/>
      </w:r>
      <w:r>
        <w:rPr>
          <w:u w:val="single"/>
        </w:rPr>
        <w:tab/>
      </w:r>
    </w:p>
  </w:footnote>
  <w:footnote w:type="continuationNotice" w:id="1">
    <w:p w14:paraId="1B4516DE" w14:textId="77777777" w:rsidR="005E4564" w:rsidRDefault="005E45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7880" w14:textId="77777777" w:rsidR="00127D55" w:rsidRPr="00AE76E5" w:rsidRDefault="002F1939">
    <w:pPr>
      <w:pStyle w:val="Header"/>
      <w:rPr>
        <w:color w:val="FF0000"/>
        <w:u w:val="single"/>
        <w:lang w:val="en-GB"/>
      </w:rPr>
    </w:pPr>
    <w:r w:rsidRPr="002F1939">
      <w:rPr>
        <w:b w:val="0"/>
        <w:bCs/>
        <w:u w:val="single"/>
        <w:lang w:val="en-GB"/>
      </w:rPr>
      <w:t>Informal Document</w:t>
    </w:r>
    <w:r>
      <w:rPr>
        <w:lang w:val="en-GB"/>
      </w:rPr>
      <w:t xml:space="preserve"> GRSP-72-XX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5385" w14:textId="77777777" w:rsidR="00127D55" w:rsidRDefault="002F1939" w:rsidP="002F1939">
    <w:pPr>
      <w:pStyle w:val="Header"/>
      <w:tabs>
        <w:tab w:val="right" w:pos="9639"/>
      </w:tabs>
    </w:pPr>
    <w:r w:rsidRPr="002F1939">
      <w:rPr>
        <w:b w:val="0"/>
        <w:bCs/>
        <w:u w:val="single"/>
      </w:rPr>
      <w:t>Informal Document</w:t>
    </w:r>
    <w:r>
      <w:t xml:space="preserve"> GRSP-72-XX</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2" w:type="dxa"/>
      <w:tblInd w:w="109" w:type="dxa"/>
      <w:tblLook w:val="04A0" w:firstRow="1" w:lastRow="0" w:firstColumn="1" w:lastColumn="0" w:noHBand="0" w:noVBand="1"/>
    </w:tblPr>
    <w:tblGrid>
      <w:gridCol w:w="4962"/>
      <w:gridCol w:w="4960"/>
    </w:tblGrid>
    <w:tr w:rsidR="00E5445C" w:rsidRPr="00E5445C" w14:paraId="56052ED5" w14:textId="77777777" w:rsidTr="00F67901">
      <w:tc>
        <w:tcPr>
          <w:tcW w:w="4961" w:type="dxa"/>
        </w:tcPr>
        <w:p w14:paraId="0EEC1EC5" w14:textId="6EFE4D14" w:rsidR="00E5445C" w:rsidRPr="009542A5" w:rsidRDefault="00E5445C" w:rsidP="00E5445C">
          <w:pPr>
            <w:tabs>
              <w:tab w:val="center" w:pos="4677"/>
              <w:tab w:val="right" w:pos="9355"/>
            </w:tabs>
            <w:rPr>
              <w:color w:val="00000A"/>
              <w:lang w:val="en-US" w:eastAsia="ar-SA"/>
            </w:rPr>
          </w:pPr>
          <w:r w:rsidRPr="00E5445C">
            <w:rPr>
              <w:color w:val="00000A"/>
              <w:lang w:val="en-GB" w:eastAsia="ar-SA"/>
            </w:rPr>
            <w:t xml:space="preserve">Submitted by the experts from </w:t>
          </w:r>
          <w:r>
            <w:rPr>
              <w:color w:val="00000A"/>
              <w:lang w:val="en-GB" w:eastAsia="ar-SA"/>
            </w:rPr>
            <w:t>CLEPA</w:t>
          </w:r>
          <w:r w:rsidRPr="00E5445C">
            <w:rPr>
              <w:color w:val="00000A"/>
              <w:lang w:val="en-GB" w:eastAsia="ar-SA"/>
            </w:rPr>
            <w:t xml:space="preserve"> </w:t>
          </w:r>
        </w:p>
        <w:p w14:paraId="136524F7" w14:textId="77777777" w:rsidR="00E5445C" w:rsidRPr="00E5445C" w:rsidRDefault="00E5445C" w:rsidP="00E5445C">
          <w:pPr>
            <w:tabs>
              <w:tab w:val="center" w:pos="4677"/>
              <w:tab w:val="right" w:pos="9355"/>
            </w:tabs>
            <w:rPr>
              <w:color w:val="00000A"/>
              <w:sz w:val="16"/>
              <w:szCs w:val="16"/>
              <w:lang w:val="en-GB" w:eastAsia="ar-SA"/>
            </w:rPr>
          </w:pPr>
        </w:p>
      </w:tc>
      <w:tc>
        <w:tcPr>
          <w:tcW w:w="4960" w:type="dxa"/>
          <w:hideMark/>
        </w:tcPr>
        <w:p w14:paraId="2A47D074" w14:textId="0E20A3FF" w:rsidR="00E5445C" w:rsidRPr="009542A5" w:rsidRDefault="00E5445C" w:rsidP="00E5445C">
          <w:pPr>
            <w:ind w:left="174"/>
            <w:rPr>
              <w:color w:val="00000A"/>
              <w:lang w:eastAsia="ar-SA"/>
            </w:rPr>
          </w:pPr>
          <w:r w:rsidRPr="009542A5">
            <w:rPr>
              <w:color w:val="00000A"/>
              <w:u w:val="single"/>
              <w:lang w:eastAsia="ar-SA"/>
            </w:rPr>
            <w:t>Informal document</w:t>
          </w:r>
          <w:r w:rsidRPr="009542A5">
            <w:rPr>
              <w:color w:val="00000A"/>
              <w:lang w:eastAsia="ar-SA"/>
            </w:rPr>
            <w:t xml:space="preserve"> </w:t>
          </w:r>
          <w:r w:rsidRPr="009542A5">
            <w:rPr>
              <w:b/>
              <w:bCs/>
              <w:color w:val="00000A"/>
              <w:lang w:eastAsia="ar-SA"/>
            </w:rPr>
            <w:t>GRSP-7</w:t>
          </w:r>
          <w:r>
            <w:rPr>
              <w:b/>
              <w:bCs/>
              <w:color w:val="00000A"/>
              <w:lang w:eastAsia="ar-SA"/>
            </w:rPr>
            <w:t>2</w:t>
          </w:r>
          <w:r w:rsidRPr="009542A5">
            <w:rPr>
              <w:b/>
              <w:bCs/>
              <w:color w:val="00000A"/>
              <w:lang w:eastAsia="ar-SA"/>
            </w:rPr>
            <w:t>-</w:t>
          </w:r>
          <w:r>
            <w:rPr>
              <w:b/>
              <w:bCs/>
              <w:color w:val="00000A"/>
              <w:lang w:eastAsia="ar-SA"/>
            </w:rPr>
            <w:t>16</w:t>
          </w:r>
        </w:p>
        <w:p w14:paraId="2014B8E0" w14:textId="58266880" w:rsidR="00E5445C" w:rsidRPr="00E5445C" w:rsidRDefault="00E5445C" w:rsidP="00E5445C">
          <w:pPr>
            <w:tabs>
              <w:tab w:val="center" w:pos="4677"/>
              <w:tab w:val="right" w:pos="9355"/>
            </w:tabs>
            <w:ind w:left="174"/>
            <w:rPr>
              <w:color w:val="00000A"/>
              <w:lang w:val="en-GB" w:eastAsia="ar-SA"/>
            </w:rPr>
          </w:pPr>
          <w:r w:rsidRPr="00E5445C">
            <w:rPr>
              <w:color w:val="00000A"/>
              <w:lang w:val="en-GB" w:eastAsia="ar-SA"/>
            </w:rPr>
            <w:t>(72nd GRSP, 5-9 December 2022</w:t>
          </w:r>
          <w:r w:rsidRPr="00E5445C">
            <w:rPr>
              <w:color w:val="00000A"/>
              <w:lang w:val="en-GB" w:eastAsia="ar-SA"/>
            </w:rPr>
            <w:br/>
            <w:t xml:space="preserve"> agenda item </w:t>
          </w:r>
          <w:r>
            <w:rPr>
              <w:color w:val="00000A"/>
              <w:lang w:val="en-GB" w:eastAsia="ar-SA"/>
            </w:rPr>
            <w:t>1</w:t>
          </w:r>
          <w:r w:rsidRPr="00E5445C">
            <w:rPr>
              <w:color w:val="00000A"/>
              <w:lang w:val="en-GB" w:eastAsia="ar-SA"/>
            </w:rPr>
            <w:t>0)</w:t>
          </w:r>
        </w:p>
      </w:tc>
    </w:tr>
  </w:tbl>
  <w:p w14:paraId="4B4903B9" w14:textId="6B79801D" w:rsidR="00127D55" w:rsidRPr="00AE76E5" w:rsidRDefault="00127D55" w:rsidP="00E03A64">
    <w:pPr>
      <w:pStyle w:val="Header"/>
      <w:rPr>
        <w:color w:val="FFFFFF"/>
        <w:u w:val="single"/>
        <w:lang w:val="en-GB"/>
      </w:rPr>
    </w:pPr>
    <w:r w:rsidRPr="00AE76E5">
      <w:rPr>
        <w:color w:val="FFFFFF"/>
        <w:lang w:val="en-GB"/>
      </w:rPr>
      <w:t xml:space="preserve">ECE/TRANS/WP.29/2012/xx </w:t>
    </w:r>
    <w:r w:rsidRPr="00AE76E5">
      <w:rPr>
        <w:color w:val="FFFFFF"/>
        <w:u w:val="single"/>
        <w:lang w:val="en-GB"/>
      </w:rPr>
      <w:t>(Header.6_G)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15:restartNumberingAfterBreak="0">
    <w:nsid w:val="14104B81"/>
    <w:multiLevelType w:val="hybridMultilevel"/>
    <w:tmpl w:val="802A30BC"/>
    <w:lvl w:ilvl="0" w:tplc="50F06A60">
      <w:start w:val="1"/>
      <w:numFmt w:val="decimal"/>
      <w:lvlText w:val="%1."/>
      <w:lvlJc w:val="left"/>
      <w:pPr>
        <w:ind w:left="1704" w:hanging="57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7"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8"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9"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1"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3"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6"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7"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29"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0"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8C4849AC">
      <w:start w:val="1"/>
      <w:numFmt w:val="bullet"/>
      <w:pStyle w:val="FootnoteTex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862366"/>
    <w:multiLevelType w:val="hybridMultilevel"/>
    <w:tmpl w:val="523E6D94"/>
    <w:lvl w:ilvl="0" w:tplc="E24C15DA">
      <w:start w:val="1"/>
      <w:numFmt w:val="bullet"/>
      <w:pStyle w:val="PageNumber"/>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75E223DA"/>
    <w:multiLevelType w:val="hybridMultilevel"/>
    <w:tmpl w:val="5B7ACB42"/>
    <w:lvl w:ilvl="0" w:tplc="3A60C988">
      <w:start w:val="1"/>
      <w:numFmt w:val="bullet"/>
      <w:pStyle w:val="CommentReference"/>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6"/>
  </w:num>
  <w:num w:numId="16">
    <w:abstractNumId w:val="26"/>
  </w:num>
  <w:num w:numId="17">
    <w:abstractNumId w:val="25"/>
  </w:num>
  <w:num w:numId="18">
    <w:abstractNumId w:val="28"/>
  </w:num>
  <w:num w:numId="19">
    <w:abstractNumId w:val="22"/>
  </w:num>
  <w:num w:numId="20">
    <w:abstractNumId w:val="21"/>
  </w:num>
  <w:num w:numId="21">
    <w:abstractNumId w:val="23"/>
  </w:num>
  <w:num w:numId="22">
    <w:abstractNumId w:val="27"/>
  </w:num>
  <w:num w:numId="23">
    <w:abstractNumId w:val="30"/>
  </w:num>
  <w:num w:numId="24">
    <w:abstractNumId w:val="17"/>
  </w:num>
  <w:num w:numId="25">
    <w:abstractNumId w:val="18"/>
  </w:num>
  <w:num w:numId="26">
    <w:abstractNumId w:val="33"/>
  </w:num>
  <w:num w:numId="27">
    <w:abstractNumId w:val="29"/>
  </w:num>
  <w:num w:numId="28">
    <w:abstractNumId w:val="20"/>
  </w:num>
  <w:num w:numId="29">
    <w:abstractNumId w:val="31"/>
  </w:num>
  <w:num w:numId="30">
    <w:abstractNumId w:val="15"/>
  </w:num>
  <w:num w:numId="31">
    <w:abstractNumId w:val="11"/>
  </w:num>
  <w:num w:numId="32">
    <w:abstractNumId w:val="32"/>
  </w:num>
  <w:num w:numId="33">
    <w:abstractNumId w:val="35"/>
  </w:num>
  <w:num w:numId="34">
    <w:abstractNumId w:val="10"/>
  </w:num>
  <w:num w:numId="35">
    <w:abstractNumId w:val="19"/>
  </w:num>
  <w:num w:numId="3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en-GB" w:vendorID="64" w:dllVersion="0" w:nlCheck="1" w:checkStyle="0"/>
  <w:activeWritingStyle w:appName="MSWord" w:lang="pt-BR"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13"/>
    <w:rsid w:val="00001E10"/>
    <w:rsid w:val="000047D9"/>
    <w:rsid w:val="00004EBE"/>
    <w:rsid w:val="0000737A"/>
    <w:rsid w:val="00011FEF"/>
    <w:rsid w:val="00016AC5"/>
    <w:rsid w:val="00020252"/>
    <w:rsid w:val="00030ADE"/>
    <w:rsid w:val="000312C0"/>
    <w:rsid w:val="00031CA3"/>
    <w:rsid w:val="00031EFC"/>
    <w:rsid w:val="00035F50"/>
    <w:rsid w:val="000403DA"/>
    <w:rsid w:val="00053AD5"/>
    <w:rsid w:val="000571C0"/>
    <w:rsid w:val="00057396"/>
    <w:rsid w:val="0008393C"/>
    <w:rsid w:val="00083F5E"/>
    <w:rsid w:val="00093ECB"/>
    <w:rsid w:val="000A2D72"/>
    <w:rsid w:val="000A500E"/>
    <w:rsid w:val="000A59AC"/>
    <w:rsid w:val="000B422A"/>
    <w:rsid w:val="000E40FD"/>
    <w:rsid w:val="000F2A46"/>
    <w:rsid w:val="000F3C75"/>
    <w:rsid w:val="000F41F2"/>
    <w:rsid w:val="0010544E"/>
    <w:rsid w:val="001138F1"/>
    <w:rsid w:val="0011447A"/>
    <w:rsid w:val="001249D5"/>
    <w:rsid w:val="00127D55"/>
    <w:rsid w:val="00135C0D"/>
    <w:rsid w:val="00136077"/>
    <w:rsid w:val="00153756"/>
    <w:rsid w:val="00160540"/>
    <w:rsid w:val="00161A5C"/>
    <w:rsid w:val="00164B1E"/>
    <w:rsid w:val="0017182C"/>
    <w:rsid w:val="00177007"/>
    <w:rsid w:val="00186C01"/>
    <w:rsid w:val="00186EE9"/>
    <w:rsid w:val="001901A6"/>
    <w:rsid w:val="00192EEB"/>
    <w:rsid w:val="001A1371"/>
    <w:rsid w:val="001A20FB"/>
    <w:rsid w:val="001A293E"/>
    <w:rsid w:val="001B6F40"/>
    <w:rsid w:val="001C2E31"/>
    <w:rsid w:val="001C60AE"/>
    <w:rsid w:val="001D7F8A"/>
    <w:rsid w:val="001E3FEB"/>
    <w:rsid w:val="001E4A02"/>
    <w:rsid w:val="002013C5"/>
    <w:rsid w:val="00207580"/>
    <w:rsid w:val="00217A86"/>
    <w:rsid w:val="002232AF"/>
    <w:rsid w:val="00223B89"/>
    <w:rsid w:val="00225A8C"/>
    <w:rsid w:val="00232EE1"/>
    <w:rsid w:val="002375DC"/>
    <w:rsid w:val="00240D36"/>
    <w:rsid w:val="00244494"/>
    <w:rsid w:val="00247143"/>
    <w:rsid w:val="00247FE8"/>
    <w:rsid w:val="002659F1"/>
    <w:rsid w:val="00271C7C"/>
    <w:rsid w:val="00285232"/>
    <w:rsid w:val="002873BA"/>
    <w:rsid w:val="00287B39"/>
    <w:rsid w:val="00287E79"/>
    <w:rsid w:val="0029070F"/>
    <w:rsid w:val="00291021"/>
    <w:rsid w:val="00291D90"/>
    <w:rsid w:val="002928F9"/>
    <w:rsid w:val="00293F81"/>
    <w:rsid w:val="002A073F"/>
    <w:rsid w:val="002A5D07"/>
    <w:rsid w:val="002C0CBE"/>
    <w:rsid w:val="002C16C3"/>
    <w:rsid w:val="002C2BCA"/>
    <w:rsid w:val="002D6CDA"/>
    <w:rsid w:val="002F1939"/>
    <w:rsid w:val="002F32A9"/>
    <w:rsid w:val="002F7163"/>
    <w:rsid w:val="003016B7"/>
    <w:rsid w:val="00310241"/>
    <w:rsid w:val="00317CE1"/>
    <w:rsid w:val="0032688E"/>
    <w:rsid w:val="003278BE"/>
    <w:rsid w:val="00330F9C"/>
    <w:rsid w:val="003360FB"/>
    <w:rsid w:val="00336E96"/>
    <w:rsid w:val="00340C35"/>
    <w:rsid w:val="00342FE6"/>
    <w:rsid w:val="003515AA"/>
    <w:rsid w:val="003616B4"/>
    <w:rsid w:val="00362871"/>
    <w:rsid w:val="00370E0F"/>
    <w:rsid w:val="00374106"/>
    <w:rsid w:val="003822EB"/>
    <w:rsid w:val="00387337"/>
    <w:rsid w:val="00395DFE"/>
    <w:rsid w:val="003976D5"/>
    <w:rsid w:val="003A0FE8"/>
    <w:rsid w:val="003B1596"/>
    <w:rsid w:val="003B3944"/>
    <w:rsid w:val="003B4E7F"/>
    <w:rsid w:val="003B71BA"/>
    <w:rsid w:val="003C0630"/>
    <w:rsid w:val="003D1DF3"/>
    <w:rsid w:val="003D4183"/>
    <w:rsid w:val="003D42FD"/>
    <w:rsid w:val="003D46A7"/>
    <w:rsid w:val="003D6C68"/>
    <w:rsid w:val="003D77CD"/>
    <w:rsid w:val="003E4A29"/>
    <w:rsid w:val="003F143E"/>
    <w:rsid w:val="003F6314"/>
    <w:rsid w:val="0041175A"/>
    <w:rsid w:val="00411A77"/>
    <w:rsid w:val="004159D0"/>
    <w:rsid w:val="004249E7"/>
    <w:rsid w:val="00426C6C"/>
    <w:rsid w:val="004302BF"/>
    <w:rsid w:val="0043072D"/>
    <w:rsid w:val="00430E44"/>
    <w:rsid w:val="00434F04"/>
    <w:rsid w:val="00440D4C"/>
    <w:rsid w:val="004456D6"/>
    <w:rsid w:val="004538FB"/>
    <w:rsid w:val="004720B1"/>
    <w:rsid w:val="00473A8F"/>
    <w:rsid w:val="00473D03"/>
    <w:rsid w:val="0048239C"/>
    <w:rsid w:val="00490450"/>
    <w:rsid w:val="004A7442"/>
    <w:rsid w:val="004C0D3F"/>
    <w:rsid w:val="004D2005"/>
    <w:rsid w:val="004D3124"/>
    <w:rsid w:val="004D6F75"/>
    <w:rsid w:val="004E5BF0"/>
    <w:rsid w:val="004F147A"/>
    <w:rsid w:val="00502C64"/>
    <w:rsid w:val="00503783"/>
    <w:rsid w:val="0050659C"/>
    <w:rsid w:val="00510FAC"/>
    <w:rsid w:val="00514DBB"/>
    <w:rsid w:val="0052189F"/>
    <w:rsid w:val="0052484D"/>
    <w:rsid w:val="00542549"/>
    <w:rsid w:val="0054385B"/>
    <w:rsid w:val="00543D5E"/>
    <w:rsid w:val="00550885"/>
    <w:rsid w:val="005552D8"/>
    <w:rsid w:val="005561F0"/>
    <w:rsid w:val="00571F41"/>
    <w:rsid w:val="00571FCA"/>
    <w:rsid w:val="005740D6"/>
    <w:rsid w:val="00575BDF"/>
    <w:rsid w:val="005837D4"/>
    <w:rsid w:val="005866B7"/>
    <w:rsid w:val="00595576"/>
    <w:rsid w:val="00595BE4"/>
    <w:rsid w:val="005A3CDD"/>
    <w:rsid w:val="005A636F"/>
    <w:rsid w:val="005B27C4"/>
    <w:rsid w:val="005B5842"/>
    <w:rsid w:val="005B76A3"/>
    <w:rsid w:val="005E2FF0"/>
    <w:rsid w:val="005E4564"/>
    <w:rsid w:val="005E5D1F"/>
    <w:rsid w:val="005F0D33"/>
    <w:rsid w:val="005F5902"/>
    <w:rsid w:val="005F5C4D"/>
    <w:rsid w:val="005F69A2"/>
    <w:rsid w:val="00603391"/>
    <w:rsid w:val="00611D43"/>
    <w:rsid w:val="00612D48"/>
    <w:rsid w:val="00614877"/>
    <w:rsid w:val="00615307"/>
    <w:rsid w:val="00616B45"/>
    <w:rsid w:val="00624003"/>
    <w:rsid w:val="00630D9B"/>
    <w:rsid w:val="00631953"/>
    <w:rsid w:val="00634E1A"/>
    <w:rsid w:val="006439EC"/>
    <w:rsid w:val="00644577"/>
    <w:rsid w:val="00661205"/>
    <w:rsid w:val="00661275"/>
    <w:rsid w:val="0068252A"/>
    <w:rsid w:val="00685843"/>
    <w:rsid w:val="006863E9"/>
    <w:rsid w:val="006A12E1"/>
    <w:rsid w:val="006B0D40"/>
    <w:rsid w:val="006B1399"/>
    <w:rsid w:val="006B4590"/>
    <w:rsid w:val="006B59C7"/>
    <w:rsid w:val="006C340C"/>
    <w:rsid w:val="006D1D1C"/>
    <w:rsid w:val="006D666F"/>
    <w:rsid w:val="006E1570"/>
    <w:rsid w:val="006E5FC7"/>
    <w:rsid w:val="006F3FA6"/>
    <w:rsid w:val="006F707A"/>
    <w:rsid w:val="006F73F4"/>
    <w:rsid w:val="006F7CD1"/>
    <w:rsid w:val="006F7F03"/>
    <w:rsid w:val="0070347C"/>
    <w:rsid w:val="00706101"/>
    <w:rsid w:val="00710302"/>
    <w:rsid w:val="007133B7"/>
    <w:rsid w:val="007141EE"/>
    <w:rsid w:val="007176C1"/>
    <w:rsid w:val="00724DA7"/>
    <w:rsid w:val="00730966"/>
    <w:rsid w:val="00732B3C"/>
    <w:rsid w:val="007338CE"/>
    <w:rsid w:val="00746F5E"/>
    <w:rsid w:val="00752E98"/>
    <w:rsid w:val="00756FE9"/>
    <w:rsid w:val="00762229"/>
    <w:rsid w:val="00763C21"/>
    <w:rsid w:val="00764136"/>
    <w:rsid w:val="00766D06"/>
    <w:rsid w:val="00766E2D"/>
    <w:rsid w:val="00770873"/>
    <w:rsid w:val="007774AE"/>
    <w:rsid w:val="00790F2F"/>
    <w:rsid w:val="007A4735"/>
    <w:rsid w:val="007C43A7"/>
    <w:rsid w:val="007D1A04"/>
    <w:rsid w:val="007D4E20"/>
    <w:rsid w:val="007D6D51"/>
    <w:rsid w:val="007E1B56"/>
    <w:rsid w:val="007F3451"/>
    <w:rsid w:val="007F55CB"/>
    <w:rsid w:val="00812C1A"/>
    <w:rsid w:val="00814573"/>
    <w:rsid w:val="00815D9C"/>
    <w:rsid w:val="00821AE9"/>
    <w:rsid w:val="008317F6"/>
    <w:rsid w:val="00844750"/>
    <w:rsid w:val="0084488A"/>
    <w:rsid w:val="00856B6B"/>
    <w:rsid w:val="00856D39"/>
    <w:rsid w:val="00860332"/>
    <w:rsid w:val="00862738"/>
    <w:rsid w:val="00866A05"/>
    <w:rsid w:val="0087460B"/>
    <w:rsid w:val="00893025"/>
    <w:rsid w:val="008962BF"/>
    <w:rsid w:val="008B44C4"/>
    <w:rsid w:val="008B7879"/>
    <w:rsid w:val="008C3758"/>
    <w:rsid w:val="008C39AC"/>
    <w:rsid w:val="008C52FB"/>
    <w:rsid w:val="008D3919"/>
    <w:rsid w:val="008E4410"/>
    <w:rsid w:val="008E7FAE"/>
    <w:rsid w:val="008F0F36"/>
    <w:rsid w:val="00901556"/>
    <w:rsid w:val="0090498A"/>
    <w:rsid w:val="00905FBF"/>
    <w:rsid w:val="009117E5"/>
    <w:rsid w:val="00911BF7"/>
    <w:rsid w:val="00917113"/>
    <w:rsid w:val="009211D4"/>
    <w:rsid w:val="009267F1"/>
    <w:rsid w:val="009279E7"/>
    <w:rsid w:val="00934D4C"/>
    <w:rsid w:val="00936F5A"/>
    <w:rsid w:val="009470BD"/>
    <w:rsid w:val="00952FDB"/>
    <w:rsid w:val="00955275"/>
    <w:rsid w:val="009556DB"/>
    <w:rsid w:val="0096487B"/>
    <w:rsid w:val="00970F6B"/>
    <w:rsid w:val="00977EC8"/>
    <w:rsid w:val="00980780"/>
    <w:rsid w:val="00983DA0"/>
    <w:rsid w:val="009948E3"/>
    <w:rsid w:val="00995D02"/>
    <w:rsid w:val="009A09FE"/>
    <w:rsid w:val="009A321F"/>
    <w:rsid w:val="009A6A9E"/>
    <w:rsid w:val="009B7AE1"/>
    <w:rsid w:val="009C00A3"/>
    <w:rsid w:val="009D3A8C"/>
    <w:rsid w:val="009D64C4"/>
    <w:rsid w:val="009E7956"/>
    <w:rsid w:val="009F3A13"/>
    <w:rsid w:val="00A0313F"/>
    <w:rsid w:val="00A050FA"/>
    <w:rsid w:val="00A103AF"/>
    <w:rsid w:val="00A21A8C"/>
    <w:rsid w:val="00A2492E"/>
    <w:rsid w:val="00A24FEE"/>
    <w:rsid w:val="00A326FA"/>
    <w:rsid w:val="00A34891"/>
    <w:rsid w:val="00A35E18"/>
    <w:rsid w:val="00A455E2"/>
    <w:rsid w:val="00A52538"/>
    <w:rsid w:val="00A5529C"/>
    <w:rsid w:val="00A55C74"/>
    <w:rsid w:val="00A566C8"/>
    <w:rsid w:val="00A57313"/>
    <w:rsid w:val="00A6018E"/>
    <w:rsid w:val="00A62D08"/>
    <w:rsid w:val="00A67496"/>
    <w:rsid w:val="00A70163"/>
    <w:rsid w:val="00A70EF3"/>
    <w:rsid w:val="00A71547"/>
    <w:rsid w:val="00A97264"/>
    <w:rsid w:val="00A97414"/>
    <w:rsid w:val="00AA477F"/>
    <w:rsid w:val="00AA4811"/>
    <w:rsid w:val="00AB21D5"/>
    <w:rsid w:val="00AC67A1"/>
    <w:rsid w:val="00AC7977"/>
    <w:rsid w:val="00AD56A1"/>
    <w:rsid w:val="00AD79AF"/>
    <w:rsid w:val="00AE1636"/>
    <w:rsid w:val="00AE16CE"/>
    <w:rsid w:val="00AE352C"/>
    <w:rsid w:val="00AE656F"/>
    <w:rsid w:val="00AE76E5"/>
    <w:rsid w:val="00AE794F"/>
    <w:rsid w:val="00B11FED"/>
    <w:rsid w:val="00B12AB4"/>
    <w:rsid w:val="00B20C7B"/>
    <w:rsid w:val="00B20E76"/>
    <w:rsid w:val="00B21B20"/>
    <w:rsid w:val="00B2541E"/>
    <w:rsid w:val="00B32E2D"/>
    <w:rsid w:val="00B367AE"/>
    <w:rsid w:val="00B412F8"/>
    <w:rsid w:val="00B4466B"/>
    <w:rsid w:val="00B61990"/>
    <w:rsid w:val="00B706B3"/>
    <w:rsid w:val="00B778BF"/>
    <w:rsid w:val="00B83DBD"/>
    <w:rsid w:val="00B85D99"/>
    <w:rsid w:val="00B93E72"/>
    <w:rsid w:val="00BC4943"/>
    <w:rsid w:val="00BC6718"/>
    <w:rsid w:val="00BD71C8"/>
    <w:rsid w:val="00BE78EB"/>
    <w:rsid w:val="00BE7B88"/>
    <w:rsid w:val="00BF0556"/>
    <w:rsid w:val="00BF2655"/>
    <w:rsid w:val="00C04A87"/>
    <w:rsid w:val="00C11802"/>
    <w:rsid w:val="00C17138"/>
    <w:rsid w:val="00C24B53"/>
    <w:rsid w:val="00C24E22"/>
    <w:rsid w:val="00C261F8"/>
    <w:rsid w:val="00C2665A"/>
    <w:rsid w:val="00C33100"/>
    <w:rsid w:val="00C52995"/>
    <w:rsid w:val="00C5325A"/>
    <w:rsid w:val="00C53BAF"/>
    <w:rsid w:val="00C53CCE"/>
    <w:rsid w:val="00C54AA6"/>
    <w:rsid w:val="00C60530"/>
    <w:rsid w:val="00C63328"/>
    <w:rsid w:val="00C6664E"/>
    <w:rsid w:val="00C70623"/>
    <w:rsid w:val="00C70CA1"/>
    <w:rsid w:val="00C7350D"/>
    <w:rsid w:val="00C83AC3"/>
    <w:rsid w:val="00C940E9"/>
    <w:rsid w:val="00C94120"/>
    <w:rsid w:val="00C96972"/>
    <w:rsid w:val="00CA49A6"/>
    <w:rsid w:val="00CB1F1C"/>
    <w:rsid w:val="00CB6267"/>
    <w:rsid w:val="00CD1A71"/>
    <w:rsid w:val="00CD1FBB"/>
    <w:rsid w:val="00CE32FE"/>
    <w:rsid w:val="00CE5A9C"/>
    <w:rsid w:val="00CE7227"/>
    <w:rsid w:val="00D016B5"/>
    <w:rsid w:val="00D034F1"/>
    <w:rsid w:val="00D11B17"/>
    <w:rsid w:val="00D11DC3"/>
    <w:rsid w:val="00D142CE"/>
    <w:rsid w:val="00D218F8"/>
    <w:rsid w:val="00D27D5E"/>
    <w:rsid w:val="00D30ABC"/>
    <w:rsid w:val="00D371F4"/>
    <w:rsid w:val="00D47A16"/>
    <w:rsid w:val="00D56A9E"/>
    <w:rsid w:val="00D57082"/>
    <w:rsid w:val="00D57C1E"/>
    <w:rsid w:val="00D60301"/>
    <w:rsid w:val="00D604F1"/>
    <w:rsid w:val="00D6454D"/>
    <w:rsid w:val="00D74C4B"/>
    <w:rsid w:val="00D9454D"/>
    <w:rsid w:val="00D967C7"/>
    <w:rsid w:val="00DA153B"/>
    <w:rsid w:val="00DA57D4"/>
    <w:rsid w:val="00DA7672"/>
    <w:rsid w:val="00DB4793"/>
    <w:rsid w:val="00DD6E2C"/>
    <w:rsid w:val="00DE01E3"/>
    <w:rsid w:val="00DE17DD"/>
    <w:rsid w:val="00DE6D90"/>
    <w:rsid w:val="00DF002F"/>
    <w:rsid w:val="00DF3FB5"/>
    <w:rsid w:val="00E0244D"/>
    <w:rsid w:val="00E02A4F"/>
    <w:rsid w:val="00E03A64"/>
    <w:rsid w:val="00E04CA6"/>
    <w:rsid w:val="00E14106"/>
    <w:rsid w:val="00E16C22"/>
    <w:rsid w:val="00E259A2"/>
    <w:rsid w:val="00E25CEE"/>
    <w:rsid w:val="00E42D23"/>
    <w:rsid w:val="00E42F9B"/>
    <w:rsid w:val="00E4491D"/>
    <w:rsid w:val="00E467D9"/>
    <w:rsid w:val="00E5445C"/>
    <w:rsid w:val="00E55D71"/>
    <w:rsid w:val="00E61A2F"/>
    <w:rsid w:val="00E63421"/>
    <w:rsid w:val="00E81E94"/>
    <w:rsid w:val="00E82607"/>
    <w:rsid w:val="00E84E79"/>
    <w:rsid w:val="00EA31C2"/>
    <w:rsid w:val="00EB04A0"/>
    <w:rsid w:val="00EB7C7C"/>
    <w:rsid w:val="00ED0A27"/>
    <w:rsid w:val="00ED2EDD"/>
    <w:rsid w:val="00EE2EA3"/>
    <w:rsid w:val="00EF3A5B"/>
    <w:rsid w:val="00EF6183"/>
    <w:rsid w:val="00EF73A7"/>
    <w:rsid w:val="00F00678"/>
    <w:rsid w:val="00F01516"/>
    <w:rsid w:val="00F06C2A"/>
    <w:rsid w:val="00F15C00"/>
    <w:rsid w:val="00F16AC6"/>
    <w:rsid w:val="00F20C8B"/>
    <w:rsid w:val="00F2438C"/>
    <w:rsid w:val="00F30D47"/>
    <w:rsid w:val="00F3201D"/>
    <w:rsid w:val="00F32D5D"/>
    <w:rsid w:val="00F56037"/>
    <w:rsid w:val="00F57129"/>
    <w:rsid w:val="00F610A1"/>
    <w:rsid w:val="00F614CA"/>
    <w:rsid w:val="00F6284B"/>
    <w:rsid w:val="00F6679D"/>
    <w:rsid w:val="00F66822"/>
    <w:rsid w:val="00F66DEA"/>
    <w:rsid w:val="00F822AD"/>
    <w:rsid w:val="00F870FA"/>
    <w:rsid w:val="00F87BC6"/>
    <w:rsid w:val="00F96B3F"/>
    <w:rsid w:val="00FA5A79"/>
    <w:rsid w:val="00FB00CB"/>
    <w:rsid w:val="00FB0BFE"/>
    <w:rsid w:val="00FB122F"/>
    <w:rsid w:val="00FB43DE"/>
    <w:rsid w:val="00FB4C51"/>
    <w:rsid w:val="00FC0F63"/>
    <w:rsid w:val="00FD04D2"/>
    <w:rsid w:val="00FE19D6"/>
    <w:rsid w:val="00FF1DBD"/>
    <w:rsid w:val="00FF2A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4:docId w14:val="438B7103"/>
  <w15:chartTrackingRefBased/>
  <w15:docId w15:val="{CD1DF6F8-2346-4C18-8BAB-6FBD1326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semiHidden/>
    <w:rsid w:val="00D11B1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11B17"/>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Footnote Text Char1"/>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 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64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ECE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ECB12554-FBA8-4842-AE6C-6B45C220749A}">
  <ds:schemaRefs>
    <ds:schemaRef ds:uri="http://schemas.openxmlformats.org/officeDocument/2006/bibliography"/>
  </ds:schemaRefs>
</ds:datastoreItem>
</file>

<file path=customXml/itemProps2.xml><?xml version="1.0" encoding="utf-8"?>
<ds:datastoreItem xmlns:ds="http://schemas.openxmlformats.org/officeDocument/2006/customXml" ds:itemID="{26940A96-4E8C-477D-B1D0-2E21554D45BC}"/>
</file>

<file path=customXml/itemProps3.xml><?xml version="1.0" encoding="utf-8"?>
<ds:datastoreItem xmlns:ds="http://schemas.openxmlformats.org/officeDocument/2006/customXml" ds:itemID="{EFCDAC57-5EBA-49DB-934E-D2A39C3899BD}"/>
</file>

<file path=customXml/itemProps4.xml><?xml version="1.0" encoding="utf-8"?>
<ds:datastoreItem xmlns:ds="http://schemas.openxmlformats.org/officeDocument/2006/customXml" ds:itemID="{E950C895-89CE-4266-BCC2-507D652E54AE}"/>
</file>

<file path=docProps/app.xml><?xml version="1.0" encoding="utf-8"?>
<Properties xmlns="http://schemas.openxmlformats.org/officeDocument/2006/extended-properties" xmlns:vt="http://schemas.openxmlformats.org/officeDocument/2006/docPropsVTypes">
  <Template>ECE11.dot</Template>
  <TotalTime>1</TotalTime>
  <Pages>2</Pages>
  <Words>763</Words>
  <Characters>3530</Characters>
  <Application>Microsoft Office Word</Application>
  <DocSecurity>4</DocSecurity>
  <Lines>294</Lines>
  <Paragraphs>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ECE/TRANS/WP.29/2009/...</vt:lpstr>
      <vt:lpstr>ECE/TRANS/WP.29/2009/...</vt:lpstr>
    </vt:vector>
  </TitlesOfParts>
  <Company>CSD</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subject/>
  <dc:creator>Corinne</dc:creator>
  <cp:keywords/>
  <cp:lastModifiedBy>Edoardo Gianotti</cp:lastModifiedBy>
  <cp:revision>2</cp:revision>
  <cp:lastPrinted>2012-07-18T08:50:00Z</cp:lastPrinted>
  <dcterms:created xsi:type="dcterms:W3CDTF">2022-12-01T22:46:00Z</dcterms:created>
  <dcterms:modified xsi:type="dcterms:W3CDTF">2022-12-01T22:46:00Z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