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ABB2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3F844B" w14:textId="77777777" w:rsidR="002D5AAC" w:rsidRDefault="002D5AAC" w:rsidP="00AC02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C30E6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0B96F9" w14:textId="0AB3EF48" w:rsidR="002D5AAC" w:rsidRDefault="00AC0253" w:rsidP="00AC0253">
            <w:pPr>
              <w:jc w:val="right"/>
            </w:pPr>
            <w:r w:rsidRPr="00AC0253">
              <w:rPr>
                <w:sz w:val="40"/>
              </w:rPr>
              <w:t>ECE</w:t>
            </w:r>
            <w:r>
              <w:t>/TRANS/WP.15/AC.2/2023/5</w:t>
            </w:r>
          </w:p>
        </w:tc>
      </w:tr>
      <w:tr w:rsidR="002D5AAC" w14:paraId="62E0043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E56BF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6F5D3A" wp14:editId="685855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6B39E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2FD77B" w14:textId="77777777" w:rsidR="002D5AAC" w:rsidRDefault="00AC02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618E73" w14:textId="77777777" w:rsidR="00AC0253" w:rsidRDefault="00AC0253" w:rsidP="00AC0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November 2022</w:t>
            </w:r>
          </w:p>
          <w:p w14:paraId="75ECE763" w14:textId="77777777" w:rsidR="00AC0253" w:rsidRDefault="00AC0253" w:rsidP="00AC0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98E041" w14:textId="6DEA9012" w:rsidR="00AC0253" w:rsidRPr="008D53B6" w:rsidRDefault="00AC0253" w:rsidP="00AC0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70D98E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EC0E20" w14:textId="77777777" w:rsidR="00AC0253" w:rsidRPr="008531B0" w:rsidRDefault="00AC0253" w:rsidP="00AC0253">
      <w:pPr>
        <w:spacing w:before="120"/>
        <w:rPr>
          <w:sz w:val="28"/>
          <w:szCs w:val="28"/>
        </w:rPr>
      </w:pPr>
      <w:r w:rsidRPr="008531B0">
        <w:rPr>
          <w:sz w:val="28"/>
          <w:szCs w:val="28"/>
        </w:rPr>
        <w:t>Комитет по</w:t>
      </w:r>
      <w:r>
        <w:rPr>
          <w:sz w:val="28"/>
          <w:szCs w:val="28"/>
        </w:rPr>
        <w:t xml:space="preserve"> </w:t>
      </w:r>
      <w:r w:rsidRPr="008531B0">
        <w:rPr>
          <w:sz w:val="28"/>
          <w:szCs w:val="28"/>
        </w:rPr>
        <w:t>внутреннему транспорту</w:t>
      </w:r>
    </w:p>
    <w:p w14:paraId="35E6E3DA" w14:textId="77777777" w:rsidR="00AC0253" w:rsidRPr="008531B0" w:rsidRDefault="00AC0253" w:rsidP="00AC0253">
      <w:pPr>
        <w:spacing w:before="120" w:line="240" w:lineRule="auto"/>
        <w:rPr>
          <w:b/>
          <w:sz w:val="24"/>
          <w:szCs w:val="24"/>
        </w:rPr>
      </w:pPr>
      <w:r w:rsidRPr="008531B0">
        <w:rPr>
          <w:b/>
          <w:bCs/>
          <w:sz w:val="24"/>
          <w:szCs w:val="24"/>
        </w:rPr>
        <w:t>Рабочая группа по перевозкам опасных грузов</w:t>
      </w:r>
    </w:p>
    <w:p w14:paraId="75BFF058" w14:textId="0331B466" w:rsidR="00AC0253" w:rsidRPr="008531B0" w:rsidRDefault="00AC0253" w:rsidP="00AC0253">
      <w:pPr>
        <w:spacing w:before="120" w:line="240" w:lineRule="auto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F744B1D" w14:textId="77777777" w:rsidR="00AC0253" w:rsidRPr="008531B0" w:rsidRDefault="00AC0253" w:rsidP="00AC0253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0B728E26" w14:textId="77777777" w:rsidR="00AC0253" w:rsidRPr="008531B0" w:rsidRDefault="00AC0253" w:rsidP="00AC0253">
      <w:pPr>
        <w:rPr>
          <w:bCs/>
        </w:rPr>
      </w:pPr>
      <w:r>
        <w:t>Женева, 23–27 января 2023 года</w:t>
      </w:r>
    </w:p>
    <w:p w14:paraId="44C40FE3" w14:textId="77777777" w:rsidR="00AC0253" w:rsidRPr="008531B0" w:rsidRDefault="00AC0253" w:rsidP="00AC0253">
      <w:r>
        <w:t>Пункт 5 b) предварительной повестки дня</w:t>
      </w:r>
    </w:p>
    <w:p w14:paraId="5C94C056" w14:textId="1255EF16" w:rsidR="00AC0253" w:rsidRPr="008531B0" w:rsidRDefault="00AC0253" w:rsidP="00AC0253">
      <w:pPr>
        <w:rPr>
          <w:rFonts w:eastAsiaTheme="minorEastAsia"/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AC0253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0A35C6F5" w14:textId="7298C718" w:rsidR="00AC0253" w:rsidRPr="008531B0" w:rsidRDefault="00AC0253" w:rsidP="00AC0253">
      <w:pPr>
        <w:pStyle w:val="HChG"/>
      </w:pPr>
      <w:r>
        <w:tab/>
      </w:r>
      <w:r>
        <w:tab/>
      </w:r>
      <w:r>
        <w:rPr>
          <w:bCs/>
        </w:rPr>
        <w:t xml:space="preserve">Признание классификационных обществ </w:t>
      </w:r>
      <w:r w:rsidR="005B250B" w:rsidRPr="005B250B">
        <w:rPr>
          <w:bCs/>
        </w:rPr>
        <w:t>—</w:t>
      </w:r>
      <w:r>
        <w:rPr>
          <w:bCs/>
        </w:rPr>
        <w:t xml:space="preserve"> Предлагаемая поправка к главе 1.15 (раздел 1.15.3) Правил, прилагаемых к ВОПОГ</w:t>
      </w:r>
    </w:p>
    <w:p w14:paraId="4C1E55EF" w14:textId="5F57B488" w:rsidR="00AC0253" w:rsidRDefault="00AC0253" w:rsidP="00AC0253">
      <w:pPr>
        <w:pStyle w:val="H1G"/>
        <w:rPr>
          <w:b w:val="0"/>
          <w:bCs/>
          <w:snapToGrid w:val="0"/>
          <w:sz w:val="20"/>
        </w:rPr>
      </w:pPr>
      <w:r>
        <w:tab/>
      </w:r>
      <w:r>
        <w:tab/>
      </w:r>
      <w:r>
        <w:rPr>
          <w:bCs/>
        </w:rPr>
        <w:t>Передано правительствами Бельгии и Люксембурга</w:t>
      </w:r>
      <w:r w:rsidRPr="00AC0253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8531B0">
        <w:rPr>
          <w:b w:val="0"/>
          <w:vertAlign w:val="superscript"/>
        </w:rPr>
        <w:t>,</w:t>
      </w:r>
      <w:r w:rsidRPr="00AC0253">
        <w:rPr>
          <w:b w:val="0"/>
          <w:vertAlign w:val="superscript"/>
        </w:rPr>
        <w:t xml:space="preserve"> </w:t>
      </w:r>
      <w:r w:rsidRPr="00AC0253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C0253" w:rsidRPr="00AC0253" w14:paraId="41020598" w14:textId="77777777" w:rsidTr="005B250B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65BDE4DE" w14:textId="77777777" w:rsidR="00AC0253" w:rsidRPr="00AC0253" w:rsidRDefault="00AC025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C0253">
              <w:rPr>
                <w:rFonts w:cs="Times New Roman"/>
              </w:rPr>
              <w:tab/>
            </w:r>
            <w:r w:rsidRPr="00AC025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C0253" w:rsidRPr="00AC0253" w14:paraId="04C8B424" w14:textId="77777777" w:rsidTr="005B250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9DBA37C" w14:textId="23143897" w:rsidR="00AC0253" w:rsidRPr="008531B0" w:rsidRDefault="00AC0253" w:rsidP="00AC0253">
            <w:pPr>
              <w:pStyle w:val="SingleTxtG"/>
              <w:ind w:left="2835" w:hanging="2551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>Предлагаемая поправка к главе 1.15 и, в частности, к разделу</w:t>
            </w:r>
            <w:r w:rsidR="005B250B">
              <w:rPr>
                <w:lang w:val="en-US"/>
              </w:rPr>
              <w:t> </w:t>
            </w:r>
            <w:r>
              <w:t>1.15.3 Правил, прилагаемых к ВОПОГ.</w:t>
            </w:r>
          </w:p>
          <w:p w14:paraId="6A1BA0F0" w14:textId="77777777" w:rsidR="00AC0253" w:rsidRPr="008531B0" w:rsidRDefault="00AC0253" w:rsidP="00AC0253">
            <w:pPr>
              <w:pStyle w:val="SingleTxtG"/>
              <w:ind w:left="2835" w:hanging="2551"/>
            </w:pPr>
            <w:r>
              <w:rPr>
                <w:b/>
                <w:bCs/>
              </w:rPr>
              <w:t>Предлагаемое решение:</w:t>
            </w:r>
            <w:r>
              <w:t xml:space="preserve"> </w:t>
            </w:r>
            <w:r>
              <w:tab/>
              <w:t>См. пункты 11 и 12.</w:t>
            </w:r>
          </w:p>
          <w:p w14:paraId="059D761C" w14:textId="40FA0FAC" w:rsidR="00AC0253" w:rsidRPr="00AC0253" w:rsidRDefault="00AC0253" w:rsidP="00AC0253">
            <w:pPr>
              <w:pStyle w:val="SingleTxtG"/>
              <w:ind w:left="278"/>
            </w:pPr>
            <w:r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</w:r>
          </w:p>
        </w:tc>
      </w:tr>
      <w:tr w:rsidR="00AC0253" w:rsidRPr="00AC0253" w14:paraId="5BD218D7" w14:textId="77777777" w:rsidTr="005B250B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2B383C0" w14:textId="77777777" w:rsidR="00AC0253" w:rsidRPr="00AC0253" w:rsidRDefault="00AC0253" w:rsidP="00850215">
            <w:pPr>
              <w:rPr>
                <w:rFonts w:cs="Times New Roman"/>
              </w:rPr>
            </w:pPr>
          </w:p>
        </w:tc>
      </w:tr>
    </w:tbl>
    <w:p w14:paraId="5559ED8E" w14:textId="75FB4E94" w:rsidR="00AC0253" w:rsidRDefault="00AC0253" w:rsidP="00AC0253">
      <w:pPr>
        <w:rPr>
          <w:lang w:eastAsia="ru-RU"/>
        </w:rPr>
      </w:pPr>
    </w:p>
    <w:p w14:paraId="578BB0F4" w14:textId="77777777" w:rsidR="00AC0253" w:rsidRDefault="00AC0253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26D068A6" w14:textId="41D305A0" w:rsidR="00AC0253" w:rsidRPr="00734511" w:rsidRDefault="00AC0253" w:rsidP="00AC0253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244B63F3" w14:textId="77777777" w:rsidR="00AC0253" w:rsidRPr="008531B0" w:rsidRDefault="00AC0253" w:rsidP="00AC0253">
      <w:pPr>
        <w:pStyle w:val="SingleTxtG"/>
      </w:pPr>
      <w:r>
        <w:t>1.</w:t>
      </w:r>
      <w:r>
        <w:tab/>
        <w:t>Бельгия и Люксембург считают необходимым изменить некоторые положения раздела 1.15.3, касающиеся признания классификационных обществ, и предлагают внести соответствующую поправку в прилагаемые Правила.</w:t>
      </w:r>
    </w:p>
    <w:p w14:paraId="7B462B3A" w14:textId="77777777" w:rsidR="00AC0253" w:rsidRPr="008531B0" w:rsidRDefault="00AC0253" w:rsidP="00AC0253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 и анализ</w:t>
      </w:r>
    </w:p>
    <w:p w14:paraId="4DF55AFD" w14:textId="77777777" w:rsidR="00AC0253" w:rsidRPr="008531B0" w:rsidRDefault="00AC0253" w:rsidP="00AC0253">
      <w:pPr>
        <w:pStyle w:val="SingleTxtG"/>
      </w:pPr>
      <w:r>
        <w:t>2.</w:t>
      </w:r>
      <w:r>
        <w:tab/>
        <w:t>Положения, определяющие условия и критерии признания классификационного общества, ходатайствующего о признании в рамках ВОПОГ, сгруппированы в разделе 1.15.3 Правил, прилагаемых к ВОПОГ (пункты 1.15.3.1–1.15.3.8).</w:t>
      </w:r>
    </w:p>
    <w:p w14:paraId="58B06CC2" w14:textId="0621D851" w:rsidR="00AC0253" w:rsidRPr="008531B0" w:rsidRDefault="00AC0253" w:rsidP="00AC0253">
      <w:pPr>
        <w:pStyle w:val="SingleTxtG"/>
      </w:pPr>
      <w:r>
        <w:t>3.</w:t>
      </w:r>
      <w:r>
        <w:tab/>
        <w:t>Существуют и другие международные документы, в которых определены условия и критерии для той же цели, например Директива (ЕС) 2016/1629 Европейского парламента и Совета от 14 сентября 2016 года, устанавливающая технические требования к судам внутреннего плавания, вносящая поправки в Директиву 2009/100/EC и отменяющая Директиву 2006/87/ЕС. Эти условия и критерии очень похожи на те, которые содержатся в Правилах, прилагаемых к ВОПОГ (см.</w:t>
      </w:r>
      <w:r>
        <w:rPr>
          <w:lang w:val="en-US"/>
        </w:rPr>
        <w:t> </w:t>
      </w:r>
      <w:r>
        <w:t>приложение к документу ECE/TRANS/WP.15/AC.2/2020/32).</w:t>
      </w:r>
    </w:p>
    <w:p w14:paraId="034927F2" w14:textId="77777777" w:rsidR="00AC0253" w:rsidRPr="008531B0" w:rsidRDefault="00AC0253" w:rsidP="00AC0253">
      <w:pPr>
        <w:pStyle w:val="SingleTxtG"/>
      </w:pPr>
      <w:r>
        <w:t>4.</w:t>
      </w:r>
      <w:r>
        <w:tab/>
        <w:t>При рассмотрении документа ECE/TRANS/WP.15/AC.2/2020/32 было отмечено, что положения, упомянутые в пункте 2, могут восприниматься по-разному. Однако в целях гармонизации Правил, прилагаемых к ВОПОГ, важно изменить формулировки соответствующих разделов и пунктов, чтобы обеспечить единообразное толкование во всех Договаривающихся сторонах.</w:t>
      </w:r>
    </w:p>
    <w:p w14:paraId="288E1DBF" w14:textId="77777777" w:rsidR="00AC0253" w:rsidRPr="008531B0" w:rsidRDefault="00AC0253" w:rsidP="00AC0253">
      <w:pPr>
        <w:pStyle w:val="SingleTxtG"/>
      </w:pPr>
      <w:r>
        <w:t>5.</w:t>
      </w:r>
      <w:r>
        <w:tab/>
        <w:t>Таким образом, условия и критерии, изложенные в пунктах 1.15.3.2–1.15.3.7, не требуют особых комментариев.</w:t>
      </w:r>
    </w:p>
    <w:p w14:paraId="6F17F005" w14:textId="77777777" w:rsidR="00AC0253" w:rsidRPr="008531B0" w:rsidRDefault="00AC0253" w:rsidP="00AC0253">
      <w:pPr>
        <w:pStyle w:val="SingleTxtG"/>
      </w:pPr>
      <w:r>
        <w:t>6.</w:t>
      </w:r>
      <w:r>
        <w:tab/>
        <w:t>В пункте 1.15.3.1, где изложены общие требования, отсутствует, как ни странно, требование о какой-либо компетенции или опыте, связанных со знанием ВОПОГ и прилагаемых к нему Правил.</w:t>
      </w:r>
    </w:p>
    <w:p w14:paraId="045FD32D" w14:textId="77777777" w:rsidR="00AC0253" w:rsidRPr="008531B0" w:rsidRDefault="00AC0253" w:rsidP="00AC0253">
      <w:pPr>
        <w:pStyle w:val="SingleTxtG"/>
      </w:pPr>
      <w:r>
        <w:t>7.</w:t>
      </w:r>
      <w:r>
        <w:tab/>
        <w:t>Пункт 1.15.3.8, в котором рассматриваются требования к внутренней системе качества, заслуживает нескольких замечаний:</w:t>
      </w:r>
    </w:p>
    <w:p w14:paraId="6B35136D" w14:textId="1911F970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В этом пункте содержится ссылка на два стандарта (EN ISO/IEC 17020:2012 (за</w:t>
      </w:r>
      <w:r>
        <w:rPr>
          <w:lang w:val="en-US"/>
        </w:rPr>
        <w:t> </w:t>
      </w:r>
      <w:r>
        <w:t>исключением пункта 8.1.3) и ISO 9001 или EN ISO 9001:2015).</w:t>
      </w:r>
    </w:p>
    <w:p w14:paraId="6E3731A2" w14:textId="77777777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Внутренняя система качества должна основываться «на соответствующих аспектах» этих двух стандартов, однако не поясняется, о каких соответствующих аспектах идет речь.</w:t>
      </w:r>
    </w:p>
    <w:p w14:paraId="56780990" w14:textId="77777777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Такая система подлежит «сертификации независимым органом аудиторов, признанным администрацией государства его местонахождения»:</w:t>
      </w:r>
    </w:p>
    <w:p w14:paraId="5613C0F0" w14:textId="77777777" w:rsidR="00AC0253" w:rsidRPr="008531B0" w:rsidRDefault="00AC0253" w:rsidP="00AC0253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</w:pPr>
      <w:r>
        <w:t>какое государство имеется в виду во фразе «признанным администрацией государства его местонахождения»: государство, в котором находится классификационное общество, или государство, в котором находится орган аудиторов?</w:t>
      </w:r>
    </w:p>
    <w:p w14:paraId="4EDD990B" w14:textId="77777777" w:rsidR="00AC0253" w:rsidRPr="008531B0" w:rsidRDefault="00AC0253" w:rsidP="00AC0253">
      <w:pPr>
        <w:pStyle w:val="Bullet2G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</w:pPr>
      <w:r>
        <w:t>что понимается под «независимым органом аудиторов»?</w:t>
      </w:r>
    </w:p>
    <w:p w14:paraId="26451D61" w14:textId="77777777" w:rsidR="00AC0253" w:rsidRPr="008531B0" w:rsidRDefault="00AC0253" w:rsidP="00AC0253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Ответы на вопросы, поднятые в пунктах 2–7 выше</w:t>
      </w:r>
    </w:p>
    <w:p w14:paraId="4484D8AC" w14:textId="77777777" w:rsidR="00AC0253" w:rsidRPr="008531B0" w:rsidRDefault="00AC0253" w:rsidP="00AC0253">
      <w:pPr>
        <w:pStyle w:val="SingleTxtG"/>
      </w:pPr>
      <w:r>
        <w:t>8.</w:t>
      </w:r>
      <w:r>
        <w:tab/>
        <w:t>На эти вопросы можно дать следующие ответы:</w:t>
      </w:r>
    </w:p>
    <w:p w14:paraId="37790E6F" w14:textId="77777777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Стандарт EN ISO/IEC 17020 предназначен для «органов, осуществляющих инспекцию», и классификационные общества попадают в эту категорию, поэтому соблюдение положений данного стандарта является актуальным.</w:t>
      </w:r>
    </w:p>
    <w:p w14:paraId="3A2B8AE5" w14:textId="77777777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lastRenderedPageBreak/>
        <w:t>Стандарт EN ISO/IEC 17020 (даже если исключить его пункт 8.1.3) охватывает требования стандарта EN ISO 9001:2015, поэтому нет необходимости требовать, чтобы внутренняя система качества основывалась на обоих стандартах, и достаточно ссылки на стандарт EN ISO/IEC 17020.</w:t>
      </w:r>
    </w:p>
    <w:p w14:paraId="337C537A" w14:textId="77777777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Стандарт EN ISO/IEC 17020, по существу, основан на концепции аккредитации, которая выдается после аудита органом по аккредитации (как правило, в государстве имеется один такой орган, и эти органы по аккредитации взаимодействуют между собой в режиме взаимного признания).</w:t>
      </w:r>
    </w:p>
    <w:p w14:paraId="439B3275" w14:textId="77777777" w:rsidR="00AC0253" w:rsidRPr="008531B0" w:rsidRDefault="00AC0253" w:rsidP="00AC0253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Требование о том, что классификационные общества должны быть аккредитованы органом по аккредитации, также устраняет существующую двусмысленность в отношении «независимого органа аудиторов», поскольку роль «независимого органа аудиторов» будет выполняться органом по аккредитации.</w:t>
      </w:r>
    </w:p>
    <w:p w14:paraId="33EB82C1" w14:textId="77777777" w:rsidR="00AC0253" w:rsidRPr="008531B0" w:rsidRDefault="00AC0253" w:rsidP="00AC0253">
      <w:pPr>
        <w:pStyle w:val="SingleTxtG"/>
      </w:pPr>
      <w:r>
        <w:t>9.</w:t>
      </w:r>
      <w:r>
        <w:tab/>
        <w:t>В этом контексте следует также отметить, что в рамках правил, разработанных ЕЭК ООН для перевозок опасных грузов внутренним транспортом, проверяющие органы (</w:t>
      </w:r>
      <w:bookmarkStart w:id="0" w:name="_Hlk119173377"/>
      <w:r>
        <w:t>органы по освидетельствованию</w:t>
      </w:r>
      <w:bookmarkEnd w:id="0"/>
      <w:r>
        <w:t>), действующие в рамках раздела 1.8.6 МПОГ или ДОПОГ, подлежат аккредитации в соответствии со стандартом EN ISO/IEC 17020 (см., например, подраздел 1.8.6.8 МПОГ/ДОПОГ). В рамках правил МПОГ/ДОПОГ проверяющие органы осуществляют свою деятельность в отношении оборудования, содержащего несколько десятков кубических метров опасных грузов.</w:t>
      </w:r>
    </w:p>
    <w:p w14:paraId="6D03EE31" w14:textId="4F5A41BD" w:rsidR="00AC0253" w:rsidRPr="008531B0" w:rsidRDefault="00AC0253" w:rsidP="00AC0253">
      <w:pPr>
        <w:pStyle w:val="SingleTxtG"/>
      </w:pPr>
      <w:r>
        <w:t>10.</w:t>
      </w:r>
      <w:r>
        <w:tab/>
        <w:t>Поэтому вполне логично предъявлять такие же требования к классификационным обществам ВОПОГ, деятельность которых предполага</w:t>
      </w:r>
      <w:r w:rsidR="00A128C4">
        <w:t>е</w:t>
      </w:r>
      <w:r>
        <w:t>т работу с оборудованием, которое может содержать несколько тысяч кубических метров опасных грузов.</w:t>
      </w:r>
    </w:p>
    <w:p w14:paraId="4AD5C3F6" w14:textId="77777777" w:rsidR="00AC0253" w:rsidRPr="008531B0" w:rsidRDefault="00AC0253" w:rsidP="00AC0253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Предложение</w:t>
      </w:r>
    </w:p>
    <w:p w14:paraId="05CB9F72" w14:textId="77777777" w:rsidR="00AC0253" w:rsidRPr="008531B0" w:rsidRDefault="00AC0253" w:rsidP="00AC0253">
      <w:pPr>
        <w:pStyle w:val="SingleTxtG"/>
      </w:pPr>
      <w:r>
        <w:t>11.</w:t>
      </w:r>
      <w:r>
        <w:tab/>
        <w:t>Предлагается изменить пункт 1.15.3.8 Правил, прилагаемых к ВОПОГ, следующим образом (добавленный текст подчеркнут, исключенный текст зачеркнут):</w:t>
      </w:r>
    </w:p>
    <w:p w14:paraId="6FB07B2E" w14:textId="77777777" w:rsidR="00AC0253" w:rsidRPr="008531B0" w:rsidRDefault="00AC0253" w:rsidP="00AC0253">
      <w:pPr>
        <w:pStyle w:val="SingleTxtG"/>
      </w:pPr>
      <w:r>
        <w:t>«1.15.3.8</w:t>
      </w:r>
      <w:r>
        <w:tab/>
      </w:r>
      <w:r>
        <w:rPr>
          <w:strike/>
        </w:rPr>
        <w:t>Классификационное общество должно разработать, внедрить и поддерживать эффективную внутреннюю систему качества, основанную на соответствующих аспектах международно признанных стандартов качества и удовлетворяющую стандартам EN ISO/IEС 17020:2012 (за исключением пункта 8.1.3) (органы по освидетельствованию) и ISO 9001 или EN ISO 9001:2015.</w:t>
      </w:r>
      <w:r>
        <w:t xml:space="preserve"> </w:t>
      </w:r>
      <w:r>
        <w:rPr>
          <w:strike/>
        </w:rPr>
        <w:t>Такая система качества классификационного общества подлежит сертификации независимым органом аудиторов, признанным администрацией государства его местонахождения.</w:t>
      </w:r>
    </w:p>
    <w:p w14:paraId="60727857" w14:textId="77777777" w:rsidR="00AC0253" w:rsidRPr="008531B0" w:rsidRDefault="00AC0253" w:rsidP="00AC0253">
      <w:pPr>
        <w:pStyle w:val="SingleTxtG"/>
        <w:rPr>
          <w:u w:val="single"/>
        </w:rPr>
      </w:pPr>
      <w:r>
        <w:rPr>
          <w:u w:val="single"/>
        </w:rPr>
        <w:t>Классификационное общество является инспекционным органом типа А в соответствии со стандартом EN ISO/IEC 17020:2012.</w:t>
      </w:r>
    </w:p>
    <w:p w14:paraId="227F7959" w14:textId="77777777" w:rsidR="00AC0253" w:rsidRPr="008531B0" w:rsidRDefault="00AC0253" w:rsidP="00AC0253">
      <w:pPr>
        <w:pStyle w:val="SingleTxtG"/>
        <w:rPr>
          <w:u w:val="single"/>
        </w:rPr>
      </w:pPr>
      <w:r>
        <w:rPr>
          <w:u w:val="single"/>
        </w:rPr>
        <w:t>Оно должно быть аккредитовано в соответствии со стандартом EN ISO/IEC 17020:2012 (за исключением пункта 8.1.3) органом по аккредитации Договаривающейся стороны ВОПОГ, который также является членом Международного форума по аккредитации (ИАФ).</w:t>
      </w:r>
    </w:p>
    <w:p w14:paraId="0F5F19B6" w14:textId="77777777" w:rsidR="00AC0253" w:rsidRPr="008531B0" w:rsidRDefault="00AC0253" w:rsidP="00AC0253">
      <w:pPr>
        <w:pStyle w:val="SingleTxtG"/>
      </w:pPr>
      <w:r>
        <w:rPr>
          <w:u w:val="single"/>
        </w:rPr>
        <w:t>Договаривающаяся сторона ВОПОГ признает аккредитацию, выданную в соответствии с положениями предыдущего абзаца.</w:t>
      </w:r>
      <w:r>
        <w:t>».</w:t>
      </w:r>
    </w:p>
    <w:p w14:paraId="4E6A0E71" w14:textId="77777777" w:rsidR="00AC0253" w:rsidRPr="008531B0" w:rsidRDefault="00AC0253" w:rsidP="00AC0253">
      <w:pPr>
        <w:pStyle w:val="SingleTxtG"/>
      </w:pPr>
      <w:r>
        <w:t>12.</w:t>
      </w:r>
      <w:r>
        <w:tab/>
        <w:t>Соответственно, в раздел 1.2.3 «Сокращения» Правил, прилагаемых к ВОПОГ, предлагается добавить строку, касающуюся ИАФ, следующего содержания:</w:t>
      </w:r>
    </w:p>
    <w:p w14:paraId="55B8EF26" w14:textId="718F544E" w:rsidR="00AC0253" w:rsidRPr="008531B0" w:rsidRDefault="00AC0253" w:rsidP="00AC0253">
      <w:pPr>
        <w:pStyle w:val="SingleTxtG"/>
      </w:pPr>
      <w:r>
        <w:t xml:space="preserve">«ИАФ: Международный форум по аккредитации, Box 1811, Chelsea Quebec J9B 1A1, Canada, </w:t>
      </w:r>
      <w:hyperlink r:id="rId8" w:history="1">
        <w:r w:rsidR="00A128C4" w:rsidRPr="0008232C">
          <w:rPr>
            <w:rStyle w:val="af1"/>
          </w:rPr>
          <w:t>https://iaf.nu</w:t>
        </w:r>
      </w:hyperlink>
      <w:r>
        <w:t>.».</w:t>
      </w:r>
    </w:p>
    <w:p w14:paraId="32BB6670" w14:textId="77777777" w:rsidR="00AC0253" w:rsidRPr="008531B0" w:rsidRDefault="00AC0253" w:rsidP="00AC0253">
      <w:pPr>
        <w:spacing w:before="240"/>
        <w:jc w:val="center"/>
        <w:rPr>
          <w:u w:val="single"/>
        </w:rPr>
      </w:pPr>
      <w:r w:rsidRPr="008531B0">
        <w:rPr>
          <w:u w:val="single"/>
        </w:rPr>
        <w:tab/>
      </w:r>
      <w:r w:rsidRPr="008531B0">
        <w:rPr>
          <w:u w:val="single"/>
        </w:rPr>
        <w:tab/>
      </w:r>
      <w:r w:rsidRPr="008531B0">
        <w:rPr>
          <w:u w:val="single"/>
        </w:rPr>
        <w:tab/>
      </w:r>
    </w:p>
    <w:p w14:paraId="094CECF1" w14:textId="77777777" w:rsidR="00E12C5F" w:rsidRPr="008D53B6" w:rsidRDefault="00E12C5F" w:rsidP="00D9145B"/>
    <w:sectPr w:rsidR="00E12C5F" w:rsidRPr="008D53B6" w:rsidSect="00AC025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F9D8" w14:textId="77777777" w:rsidR="00ED049D" w:rsidRPr="00A312BC" w:rsidRDefault="00ED049D" w:rsidP="00A312BC"/>
  </w:endnote>
  <w:endnote w:type="continuationSeparator" w:id="0">
    <w:p w14:paraId="4DCD78FB" w14:textId="77777777" w:rsidR="00ED049D" w:rsidRPr="00A312BC" w:rsidRDefault="00ED04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53D" w14:textId="1D05C1D0" w:rsidR="00AC0253" w:rsidRPr="00AC0253" w:rsidRDefault="00AC0253">
    <w:pPr>
      <w:pStyle w:val="a8"/>
    </w:pPr>
    <w:r w:rsidRPr="00AC0253">
      <w:rPr>
        <w:b/>
        <w:sz w:val="18"/>
      </w:rPr>
      <w:fldChar w:fldCharType="begin"/>
    </w:r>
    <w:r w:rsidRPr="00AC0253">
      <w:rPr>
        <w:b/>
        <w:sz w:val="18"/>
      </w:rPr>
      <w:instrText xml:space="preserve"> PAGE  \* MERGEFORMAT </w:instrText>
    </w:r>
    <w:r w:rsidRPr="00AC0253">
      <w:rPr>
        <w:b/>
        <w:sz w:val="18"/>
      </w:rPr>
      <w:fldChar w:fldCharType="separate"/>
    </w:r>
    <w:r w:rsidRPr="00AC0253">
      <w:rPr>
        <w:b/>
        <w:noProof/>
        <w:sz w:val="18"/>
      </w:rPr>
      <w:t>2</w:t>
    </w:r>
    <w:r w:rsidRPr="00AC0253">
      <w:rPr>
        <w:b/>
        <w:sz w:val="18"/>
      </w:rPr>
      <w:fldChar w:fldCharType="end"/>
    </w:r>
    <w:r>
      <w:rPr>
        <w:b/>
        <w:sz w:val="18"/>
      </w:rPr>
      <w:tab/>
    </w:r>
    <w:r>
      <w:t>GE.22-25381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4F89" w14:textId="54E96E9D" w:rsidR="00AC0253" w:rsidRPr="00AC0253" w:rsidRDefault="00AC0253" w:rsidP="00AC0253">
    <w:pPr>
      <w:pStyle w:val="a8"/>
      <w:tabs>
        <w:tab w:val="clear" w:pos="9639"/>
        <w:tab w:val="right" w:pos="9638"/>
      </w:tabs>
      <w:rPr>
        <w:b/>
        <w:sz w:val="18"/>
      </w:rPr>
    </w:pPr>
    <w:r>
      <w:t>GE.22-25381</w:t>
    </w:r>
    <w:r>
      <w:tab/>
    </w:r>
    <w:r w:rsidRPr="00AC0253">
      <w:rPr>
        <w:b/>
        <w:sz w:val="18"/>
      </w:rPr>
      <w:fldChar w:fldCharType="begin"/>
    </w:r>
    <w:r w:rsidRPr="00AC0253">
      <w:rPr>
        <w:b/>
        <w:sz w:val="18"/>
      </w:rPr>
      <w:instrText xml:space="preserve"> PAGE  \* MERGEFORMAT </w:instrText>
    </w:r>
    <w:r w:rsidRPr="00AC0253">
      <w:rPr>
        <w:b/>
        <w:sz w:val="18"/>
      </w:rPr>
      <w:fldChar w:fldCharType="separate"/>
    </w:r>
    <w:r w:rsidRPr="00AC0253">
      <w:rPr>
        <w:b/>
        <w:noProof/>
        <w:sz w:val="18"/>
      </w:rPr>
      <w:t>3</w:t>
    </w:r>
    <w:r w:rsidRPr="00AC02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B5F5" w14:textId="18A83050" w:rsidR="00042B72" w:rsidRPr="00AC0253" w:rsidRDefault="00AC0253" w:rsidP="00AC025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D490DE" wp14:editId="301CC1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22-25381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B4E686" wp14:editId="3AF072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141122  151122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60BB" w14:textId="77777777" w:rsidR="00ED049D" w:rsidRPr="001075E9" w:rsidRDefault="00ED04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762B35" w14:textId="77777777" w:rsidR="00ED049D" w:rsidRDefault="00ED04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A3D054" w14:textId="054AC08D" w:rsidR="00AC0253" w:rsidRPr="00AC0253" w:rsidRDefault="00AC0253">
      <w:pPr>
        <w:pStyle w:val="ad"/>
        <w:rPr>
          <w:sz w:val="20"/>
        </w:rPr>
      </w:pPr>
      <w:r>
        <w:tab/>
      </w:r>
      <w:r w:rsidRPr="00AC0253">
        <w:rPr>
          <w:rStyle w:val="aa"/>
          <w:sz w:val="20"/>
          <w:vertAlign w:val="baseline"/>
        </w:rPr>
        <w:t>*</w:t>
      </w:r>
      <w:r w:rsidRPr="00AC0253">
        <w:rPr>
          <w:rStyle w:val="aa"/>
          <w:vertAlign w:val="baseline"/>
        </w:rPr>
        <w:tab/>
      </w:r>
      <w:r>
        <w:t>Распространено на немецком языке Центральной комиссией судоходства по Рейну под условным обозначением CCNR-ZKR/ADN/WP.15/AC.2/2023/5.</w:t>
      </w:r>
    </w:p>
  </w:footnote>
  <w:footnote w:id="2">
    <w:p w14:paraId="2287B20E" w14:textId="77777777" w:rsidR="00AC0253" w:rsidRPr="003E5095" w:rsidRDefault="00AC0253" w:rsidP="00AC0253">
      <w:pPr>
        <w:pStyle w:val="ad"/>
      </w:pPr>
      <w:r>
        <w:tab/>
      </w:r>
      <w:r w:rsidRPr="00AC0253"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5C11" w14:textId="3C57F1D4" w:rsidR="00AC0253" w:rsidRPr="00AC0253" w:rsidRDefault="00AC0253">
    <w:pPr>
      <w:pStyle w:val="a5"/>
    </w:pPr>
    <w:fldSimple w:instr=" TITLE  \* MERGEFORMAT ">
      <w:r w:rsidR="0089721D">
        <w:t>ECE/TRANS/WP.15/AC.2/2023/5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2F21" w14:textId="368E2535" w:rsidR="00AC0253" w:rsidRPr="00AC0253" w:rsidRDefault="00AC0253" w:rsidP="00AC0253">
    <w:pPr>
      <w:pStyle w:val="a5"/>
      <w:jc w:val="right"/>
    </w:pPr>
    <w:fldSimple w:instr=" TITLE  \* MERGEFORMAT ">
      <w:r w:rsidR="0089721D">
        <w:t>ECE/TRANS/WP.15/AC.2/2023/5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TabNum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50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721D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28C4"/>
    <w:rsid w:val="00A14DA8"/>
    <w:rsid w:val="00A312BC"/>
    <w:rsid w:val="00A84021"/>
    <w:rsid w:val="00A84D35"/>
    <w:rsid w:val="00A917B3"/>
    <w:rsid w:val="00AB4B51"/>
    <w:rsid w:val="00AC025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49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2772"/>
  <w15:docId w15:val="{5F90A755-3745-4CCA-B2E6-C6706D2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C0253"/>
    <w:rPr>
      <w:lang w:val="ru-RU" w:eastAsia="en-US"/>
    </w:rPr>
  </w:style>
  <w:style w:type="character" w:customStyle="1" w:styleId="HChGChar">
    <w:name w:val="_ H _Ch_G Char"/>
    <w:link w:val="HChG"/>
    <w:rsid w:val="00AC0253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A1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f.n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B78B3-CE36-448B-9C0F-EE34BE3F24C9}"/>
</file>

<file path=customXml/itemProps2.xml><?xml version="1.0" encoding="utf-8"?>
<ds:datastoreItem xmlns:ds="http://schemas.openxmlformats.org/officeDocument/2006/customXml" ds:itemID="{61DB7EA4-E114-4E2F-BD38-46A6C4FE94C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824</Words>
  <Characters>5881</Characters>
  <Application>Microsoft Office Word</Application>
  <DocSecurity>0</DocSecurity>
  <Lines>127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ECE/TRANS/WP.15/AC.2/2023/5</vt:lpstr>
      <vt:lpstr>A/</vt:lpstr>
      <vt:lpstr>A/</vt:lpstr>
    </vt:vector>
  </TitlesOfParts>
  <Company>DCM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ECE/TRANS/WP.15/AC.2/2023/5</dc:title>
  <dc:subject/>
  <dc:creator>Anna BLAGODATSKIKH</dc:creator>
  <cp:keywords/>
  <cp:lastModifiedBy>Anna Blagodatskikh</cp:lastModifiedBy>
  <cp:revision>3</cp:revision>
  <cp:lastPrinted>2022-11-15T10:05:00Z</cp:lastPrinted>
  <dcterms:created xsi:type="dcterms:W3CDTF">2022-11-15T10:05:00Z</dcterms:created>
  <dcterms:modified xsi:type="dcterms:W3CDTF">2022-11-15T10:06:00Z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