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A73A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982258" w14:textId="77777777" w:rsidR="002D5AAC" w:rsidRDefault="002D5AAC" w:rsidP="00FC7A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6A519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C94D4B" w14:textId="0369955E" w:rsidR="002D5AAC" w:rsidRDefault="00FC7A82" w:rsidP="00FC7A82">
            <w:pPr>
              <w:jc w:val="right"/>
            </w:pPr>
            <w:r w:rsidRPr="00FC7A82">
              <w:rPr>
                <w:sz w:val="40"/>
              </w:rPr>
              <w:t>ECE</w:t>
            </w:r>
            <w:r>
              <w:t>/TRANS/WP.15/AC.2/2023/3</w:t>
            </w:r>
          </w:p>
        </w:tc>
      </w:tr>
      <w:tr w:rsidR="002D5AAC" w14:paraId="4D14B98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6AA55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FA4E4E" wp14:editId="309ACD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54EE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12FD3E" w14:textId="77777777" w:rsidR="002D5AAC" w:rsidRDefault="00FC7A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1E00BA" w14:textId="77777777" w:rsidR="00FC7A82" w:rsidRDefault="00FC7A82" w:rsidP="00FC7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2022</w:t>
            </w:r>
          </w:p>
          <w:p w14:paraId="2FB22041" w14:textId="77777777" w:rsidR="00FC7A82" w:rsidRDefault="00FC7A82" w:rsidP="00FC7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599779" w14:textId="2182EB74" w:rsidR="00FC7A82" w:rsidRPr="008D53B6" w:rsidRDefault="00FC7A82" w:rsidP="00FC7A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F1D34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A71EFB" w14:textId="77777777" w:rsidR="00FC7A82" w:rsidRPr="003D025C" w:rsidRDefault="00FC7A82" w:rsidP="00FC7A82">
      <w:pPr>
        <w:spacing w:before="120"/>
        <w:rPr>
          <w:sz w:val="28"/>
          <w:szCs w:val="28"/>
        </w:rPr>
      </w:pPr>
      <w:r w:rsidRPr="003D025C">
        <w:rPr>
          <w:sz w:val="28"/>
          <w:szCs w:val="28"/>
        </w:rPr>
        <w:t>Комитет по внутреннему транспорту</w:t>
      </w:r>
    </w:p>
    <w:p w14:paraId="1E5C7AEC" w14:textId="77777777" w:rsidR="00FC7A82" w:rsidRPr="003D025C" w:rsidRDefault="00FC7A82" w:rsidP="00FC7A82">
      <w:pPr>
        <w:spacing w:before="120" w:line="240" w:lineRule="auto"/>
        <w:rPr>
          <w:b/>
          <w:sz w:val="24"/>
          <w:szCs w:val="24"/>
        </w:rPr>
      </w:pPr>
      <w:r w:rsidRPr="003D025C">
        <w:rPr>
          <w:b/>
          <w:bCs/>
          <w:sz w:val="24"/>
          <w:szCs w:val="24"/>
        </w:rPr>
        <w:t>Рабочая группа по перевозкам опасных грузов</w:t>
      </w:r>
    </w:p>
    <w:p w14:paraId="5CE46D40" w14:textId="21A2F342" w:rsidR="00FC7A82" w:rsidRPr="00B474CC" w:rsidRDefault="00FC7A82" w:rsidP="00FC7A82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7248B7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7248B7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7248B7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7248B7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2400EF6" w14:textId="77777777" w:rsidR="00FC7A82" w:rsidRPr="00B474CC" w:rsidRDefault="00FC7A82" w:rsidP="00FC7A82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2E8ABD9F" w14:textId="77777777" w:rsidR="00FC7A82" w:rsidRPr="00B474CC" w:rsidRDefault="00FC7A82" w:rsidP="00FC7A82">
      <w:pPr>
        <w:rPr>
          <w:bCs/>
        </w:rPr>
      </w:pPr>
      <w:r>
        <w:t>Женева, 23–27 января 2023 года</w:t>
      </w:r>
    </w:p>
    <w:p w14:paraId="1B9956D4" w14:textId="77777777" w:rsidR="00FC7A82" w:rsidRPr="00B474CC" w:rsidRDefault="00FC7A82" w:rsidP="00FC7A82">
      <w:r>
        <w:t>Пункт 4 d) предварительной повестки дня</w:t>
      </w:r>
    </w:p>
    <w:p w14:paraId="1FE27B76" w14:textId="50974D60" w:rsidR="00FC7A82" w:rsidRPr="00B474CC" w:rsidRDefault="00FC7A82" w:rsidP="00FC7A82">
      <w:pPr>
        <w:rPr>
          <w:b/>
          <w:bCs/>
        </w:rPr>
      </w:pPr>
      <w:r>
        <w:rPr>
          <w:b/>
          <w:bCs/>
        </w:rPr>
        <w:t xml:space="preserve">Применение Европейского соглашения </w:t>
      </w:r>
      <w:r w:rsidR="007248B7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7248B7">
        <w:rPr>
          <w:b/>
          <w:bCs/>
        </w:rPr>
        <w:br/>
      </w:r>
      <w:r>
        <w:rPr>
          <w:b/>
          <w:bCs/>
        </w:rPr>
        <w:t>по внутренним водным путям (ВОПОГ):</w:t>
      </w:r>
      <w:r w:rsidR="007248B7" w:rsidRPr="007248B7">
        <w:rPr>
          <w:b/>
          <w:bCs/>
        </w:rPr>
        <w:t xml:space="preserve"> </w:t>
      </w:r>
      <w:r w:rsidR="007248B7">
        <w:rPr>
          <w:b/>
          <w:bCs/>
        </w:rPr>
        <w:br/>
      </w:r>
      <w:r>
        <w:rPr>
          <w:b/>
          <w:bCs/>
        </w:rPr>
        <w:t>подготовка экспертов</w:t>
      </w:r>
      <w:r>
        <w:t xml:space="preserve"> </w:t>
      </w:r>
    </w:p>
    <w:p w14:paraId="4EA72D37" w14:textId="77777777" w:rsidR="00FC7A82" w:rsidRPr="00B474CC" w:rsidRDefault="00FC7A82" w:rsidP="00FC7A82">
      <w:pPr>
        <w:pStyle w:val="HChG"/>
      </w:pPr>
      <w:r>
        <w:tab/>
      </w:r>
      <w:r>
        <w:tab/>
      </w:r>
      <w:r>
        <w:rPr>
          <w:bCs/>
        </w:rPr>
        <w:t>Доклад о работе двадцать третьего совещания неофициальной рабочей группы по подготовке экспертов</w:t>
      </w:r>
    </w:p>
    <w:p w14:paraId="7E7E7E87" w14:textId="4FE89152" w:rsidR="00FC7A82" w:rsidRPr="00B474CC" w:rsidRDefault="00FC7A82" w:rsidP="00FC7A82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 xml:space="preserve">Передано Центральной комиссией судоходства </w:t>
      </w:r>
      <w:r w:rsidR="00B327FB">
        <w:rPr>
          <w:bCs/>
        </w:rPr>
        <w:br/>
      </w:r>
      <w:r>
        <w:rPr>
          <w:bCs/>
        </w:rPr>
        <w:t>по Рейну (ЦКСР)</w:t>
      </w:r>
      <w:r w:rsidRPr="00B327FB">
        <w:rPr>
          <w:b w:val="0"/>
          <w:bCs/>
          <w:sz w:val="20"/>
          <w:lang w:eastAsia="fr-FR"/>
        </w:rPr>
        <w:footnoteReference w:customMarkFollows="1" w:id="1"/>
        <w:t xml:space="preserve">* </w:t>
      </w:r>
      <w:r w:rsidRPr="00B327FB">
        <w:rPr>
          <w:b w:val="0"/>
          <w:bCs/>
          <w:sz w:val="20"/>
          <w:lang w:eastAsia="fr-FR"/>
        </w:rPr>
        <w:footnoteReference w:customMarkFollows="1" w:id="2"/>
        <w:t>**</w:t>
      </w:r>
    </w:p>
    <w:p w14:paraId="55C9024B" w14:textId="099FCF64" w:rsidR="00FC7A82" w:rsidRPr="00B474CC" w:rsidRDefault="00FC7A82" w:rsidP="00FC7A82">
      <w:pPr>
        <w:pStyle w:val="SingleTxtG"/>
      </w:pPr>
      <w:r>
        <w:t>1.</w:t>
      </w:r>
      <w:r>
        <w:tab/>
        <w:t xml:space="preserve">Неофициальная рабочая группа по подготовке экспертов провела свое двадцать третье совещание в смешанном формате 20–22 сентября 2022 года в Страсбурге под председательством г-на </w:t>
      </w:r>
      <w:proofErr w:type="spellStart"/>
      <w:r>
        <w:t>Бёлькера</w:t>
      </w:r>
      <w:proofErr w:type="spellEnd"/>
      <w:r>
        <w:t xml:space="preserve"> (Германия). В работе совещания приняли участие представители следующих стран: Германии, Нидерландов и Швейцарии. Были представлены следующие неправительственные организации и организации по профессиональной подготовке: Европейский союз речного судоходства (ЕСРС), компания «GUSPAF GmbH», компания «HGK </w:t>
      </w:r>
      <w:proofErr w:type="spellStart"/>
      <w:r>
        <w:t>Ship</w:t>
      </w:r>
      <w:proofErr w:type="spellEnd"/>
      <w:r>
        <w:t xml:space="preserve"> Management» (учебный центр) и</w:t>
      </w:r>
      <w:r w:rsidR="000D144C">
        <w:rPr>
          <w:lang w:val="en-US"/>
        </w:rPr>
        <w:t> </w:t>
      </w:r>
      <w:r>
        <w:t>СИПА.</w:t>
      </w:r>
      <w:bookmarkStart w:id="1" w:name="_Hlk99952596"/>
      <w:bookmarkEnd w:id="1"/>
    </w:p>
    <w:p w14:paraId="1B69DDD3" w14:textId="77777777" w:rsidR="00FC7A82" w:rsidRPr="00B474CC" w:rsidRDefault="00FC7A82" w:rsidP="00FC7A82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476FB4AE" w14:textId="66856900" w:rsidR="00FC7A82" w:rsidRPr="00B474CC" w:rsidRDefault="00FC7A82" w:rsidP="00FC7A82">
      <w:pPr>
        <w:pStyle w:val="SingleTxtG"/>
      </w:pPr>
      <w:r>
        <w:t>CCNR-ZKR/ADN/WG/CQ/2022/13 a (Повестка дня)</w:t>
      </w:r>
    </w:p>
    <w:p w14:paraId="23734690" w14:textId="271A0895" w:rsidR="00FC7A82" w:rsidRPr="00B474CC" w:rsidRDefault="00FC7A82" w:rsidP="00FC7A82">
      <w:pPr>
        <w:pStyle w:val="SingleTxtG"/>
      </w:pPr>
      <w:r>
        <w:t>CCNR-ZKR/ADN/WG/CQ/2022/11 (Доклад)</w:t>
      </w:r>
    </w:p>
    <w:p w14:paraId="1866C381" w14:textId="7D743453" w:rsidR="00FC7A82" w:rsidRPr="00B474CC" w:rsidRDefault="00FC7A82" w:rsidP="00FC7A82">
      <w:pPr>
        <w:pStyle w:val="SingleTxtG"/>
      </w:pPr>
      <w:r>
        <w:t>2.</w:t>
      </w:r>
      <w:r>
        <w:tab/>
        <w:t xml:space="preserve">Неофициальная рабочая группа утвердила повестку дня, добавив в нее пункт 3.3 о вопросах, использование которых приостановлено в Нидерландах, и пункт 4.4 </w:t>
      </w:r>
      <w:r>
        <w:lastRenderedPageBreak/>
        <w:t>об</w:t>
      </w:r>
      <w:r w:rsidR="00F105F1">
        <w:rPr>
          <w:lang w:val="en-US"/>
        </w:rPr>
        <w:t> </w:t>
      </w:r>
      <w:r>
        <w:t>оценке статистических данных о сдаче экзаменов. Она также утвердила доклад о работе предыдущего совещания без изменений.</w:t>
      </w:r>
    </w:p>
    <w:p w14:paraId="3966E064" w14:textId="77777777" w:rsidR="00FC7A82" w:rsidRPr="00B474CC" w:rsidRDefault="00FC7A82" w:rsidP="00FC7A82">
      <w:pPr>
        <w:pStyle w:val="SingleTxtG"/>
      </w:pPr>
      <w:r>
        <w:t>3.</w:t>
      </w:r>
      <w:r>
        <w:tab/>
        <w:t>Председатель сообщил об основных результатах последнего совещания Комитета по вопросам безопасности ВОПОГ.</w:t>
      </w:r>
    </w:p>
    <w:p w14:paraId="3ABB1C78" w14:textId="77777777" w:rsidR="00FC7A82" w:rsidRPr="00B474CC" w:rsidRDefault="00FC7A82" w:rsidP="00FC7A82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График работы</w:t>
      </w:r>
    </w:p>
    <w:p w14:paraId="373FEDA7" w14:textId="77777777" w:rsidR="00FC7A82" w:rsidRPr="00B474CC" w:rsidRDefault="00FC7A82" w:rsidP="00FC7A82">
      <w:pPr>
        <w:pStyle w:val="SingleTxtG"/>
      </w:pPr>
      <w:r>
        <w:t>CCNR-ZKR/ADN/WG/CQ/2022/6 rev.2 (График работы)</w:t>
      </w:r>
    </w:p>
    <w:p w14:paraId="2A8CF324" w14:textId="5125D265" w:rsidR="00FC7A82" w:rsidRPr="00B474CC" w:rsidRDefault="00FC7A82" w:rsidP="00FC7A82">
      <w:pPr>
        <w:pStyle w:val="SingleTxtG"/>
      </w:pPr>
      <w:r>
        <w:t>4.</w:t>
      </w:r>
      <w:r>
        <w:tab/>
        <w:t>Неофициальная рабочая группа рассмотрела и утвердила график работы на 2023</w:t>
      </w:r>
      <w:r w:rsidR="00F105F1">
        <w:rPr>
          <w:lang w:val="en-US"/>
        </w:rPr>
        <w:t> </w:t>
      </w:r>
      <w:r>
        <w:t>и 2024 годы.</w:t>
      </w:r>
    </w:p>
    <w:p w14:paraId="7C586CE3" w14:textId="77777777" w:rsidR="00FC7A82" w:rsidRPr="00B474CC" w:rsidRDefault="00FC7A82" w:rsidP="00FC7A82">
      <w:pPr>
        <w:pStyle w:val="SingleTxtG"/>
      </w:pPr>
      <w:r>
        <w:t>5.</w:t>
      </w:r>
      <w:r>
        <w:tab/>
        <w:t>Председатель указал, что вопросы существа по химическим продуктам уже были пересмотрены. На весну 2023 года запланированы отдельные переговоры по дальнейшему пересмотру вопросов существа. Он предложил секретариату ЦКСР сообщить о проведенной в рамках РГПК КЕСНИ работе по пересмотру вопросов, касающихся первой помощи.</w:t>
      </w:r>
    </w:p>
    <w:p w14:paraId="6756453C" w14:textId="77777777" w:rsidR="00FC7A82" w:rsidRPr="00B474CC" w:rsidRDefault="00FC7A82" w:rsidP="00FC7A82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Постоянное адаптирование каталога вопросов по ВОПОГ 2021 года</w:t>
      </w:r>
    </w:p>
    <w:p w14:paraId="73AB09E7" w14:textId="77777777" w:rsidR="00FC7A82" w:rsidRPr="00B474CC" w:rsidRDefault="00FC7A82" w:rsidP="00FC7A82">
      <w:pPr>
        <w:pStyle w:val="SingleTxtG"/>
      </w:pPr>
      <w:r>
        <w:t>(пункт 1 графика работы)</w:t>
      </w:r>
    </w:p>
    <w:p w14:paraId="03A7CD78" w14:textId="77777777" w:rsidR="00FC7A82" w:rsidRPr="00B474CC" w:rsidRDefault="00FC7A82" w:rsidP="00FC7A82">
      <w:pPr>
        <w:pStyle w:val="SingleTxtG"/>
      </w:pPr>
      <w:r>
        <w:t xml:space="preserve">CCNR-ZKR/ADN/WG/CQ/2022/3 </w:t>
      </w:r>
      <w:proofErr w:type="spellStart"/>
      <w:r>
        <w:t>rev</w:t>
      </w:r>
      <w:proofErr w:type="spellEnd"/>
      <w:r>
        <w:t>. 2 (Общие вопросы)</w:t>
      </w:r>
    </w:p>
    <w:p w14:paraId="57823375" w14:textId="77777777" w:rsidR="00FC7A82" w:rsidRPr="00B474CC" w:rsidRDefault="00FC7A82" w:rsidP="00FC7A82">
      <w:pPr>
        <w:pStyle w:val="SingleTxtG"/>
      </w:pPr>
      <w:r>
        <w:t xml:space="preserve">CCNR-ZKR/ADN/WG/CQ/2022/4 </w:t>
      </w:r>
      <w:proofErr w:type="spellStart"/>
      <w:r>
        <w:t>rev</w:t>
      </w:r>
      <w:proofErr w:type="spellEnd"/>
      <w:r>
        <w:t>. 2 (Химические продукты)</w:t>
      </w:r>
    </w:p>
    <w:p w14:paraId="38FCF88E" w14:textId="77777777" w:rsidR="00FC7A82" w:rsidRPr="00B474CC" w:rsidRDefault="00FC7A82" w:rsidP="00FC7A82">
      <w:pPr>
        <w:pStyle w:val="SingleTxtG"/>
      </w:pPr>
      <w:r>
        <w:t xml:space="preserve">CCNR-ZKR/ADN/WG/CQ/2022/5 </w:t>
      </w:r>
      <w:proofErr w:type="spellStart"/>
      <w:r>
        <w:t>rev</w:t>
      </w:r>
      <w:proofErr w:type="spellEnd"/>
      <w:r>
        <w:t>. 2 (Газы)</w:t>
      </w:r>
    </w:p>
    <w:p w14:paraId="5BD82C63" w14:textId="77777777" w:rsidR="00FC7A82" w:rsidRPr="00B474CC" w:rsidRDefault="00FC7A82" w:rsidP="00FC7A82">
      <w:pPr>
        <w:pStyle w:val="H23G"/>
      </w:pPr>
      <w:bookmarkStart w:id="2" w:name="_Hlk99638309"/>
      <w:r>
        <w:rPr>
          <w:bCs/>
        </w:rPr>
        <w:tab/>
        <w:t>3.1</w:t>
      </w:r>
      <w:r>
        <w:tab/>
      </w:r>
      <w:r>
        <w:rPr>
          <w:bCs/>
        </w:rPr>
        <w:t>Издание ВОПОГ 2023 года</w:t>
      </w:r>
    </w:p>
    <w:bookmarkEnd w:id="2"/>
    <w:p w14:paraId="0F2BB2C7" w14:textId="77777777" w:rsidR="00FC7A82" w:rsidRPr="00B474CC" w:rsidRDefault="00FC7A82" w:rsidP="00FC7A82">
      <w:pPr>
        <w:pStyle w:val="SingleTxtG"/>
      </w:pPr>
      <w:r>
        <w:t>(пункт 1.3 графика работы)</w:t>
      </w:r>
    </w:p>
    <w:p w14:paraId="1A76237C" w14:textId="77777777" w:rsidR="00FC7A82" w:rsidRPr="00B474CC" w:rsidRDefault="00FC7A82" w:rsidP="00FC7A82">
      <w:pPr>
        <w:pStyle w:val="SingleTxtG"/>
      </w:pPr>
      <w:r>
        <w:t>6.</w:t>
      </w:r>
      <w:r>
        <w:tab/>
        <w:t>Неофициальная рабочая группа рассмотрела и обновила каталоги вопросов.</w:t>
      </w:r>
    </w:p>
    <w:p w14:paraId="413BFF73" w14:textId="47D3F3E6" w:rsidR="00FC7A82" w:rsidRPr="00B474CC" w:rsidRDefault="00FC7A82" w:rsidP="00FC7A82">
      <w:pPr>
        <w:pStyle w:val="SingleTxtG"/>
      </w:pPr>
      <w:r>
        <w:t>7.</w:t>
      </w:r>
      <w:r>
        <w:tab/>
        <w:t xml:space="preserve">Неофициальная рабочая группа в принципе согласилась с тем, что вопросы должны быть сформулированы кратко, а избыточная информация должна быть, насколько это возможно, удалена. Цель изменений </w:t>
      </w:r>
      <w:r w:rsidR="000028BD" w:rsidRPr="000028BD">
        <w:t>—</w:t>
      </w:r>
      <w:r>
        <w:t xml:space="preserve"> сделать формулировки вопросов как можно более краткими и ясными.</w:t>
      </w:r>
    </w:p>
    <w:p w14:paraId="35C3A97B" w14:textId="77777777" w:rsidR="00FC7A82" w:rsidRPr="00B474CC" w:rsidRDefault="00FC7A82" w:rsidP="00FC7A82">
      <w:pPr>
        <w:pStyle w:val="SingleTxtG"/>
      </w:pPr>
      <w:r>
        <w:t>8.</w:t>
      </w:r>
      <w:r>
        <w:tab/>
        <w:t>Секретариат указал, что замечания по вариантам каталогов вопросов на английском языке могут быть переданы в секретариат ЕЭК ООН в качестве приложения к вариантам на французском языке.</w:t>
      </w:r>
    </w:p>
    <w:p w14:paraId="2E49B132" w14:textId="77777777" w:rsidR="00FC7A82" w:rsidRPr="00B474CC" w:rsidRDefault="00FC7A82" w:rsidP="00FC7A82">
      <w:pPr>
        <w:pStyle w:val="SingleTxtG"/>
      </w:pPr>
      <w:r>
        <w:t>9.</w:t>
      </w:r>
      <w:r>
        <w:tab/>
        <w:t xml:space="preserve">Секретариат ЦКСР передаст в секретариат ЕЭК ООН изменения в вариантах каталогов вопросов на английском языке, предложенные делегацией Нидерландов в документе CCNR-ZKR/ADN/WG/CQ/2022/15 </w:t>
      </w:r>
      <w:proofErr w:type="spellStart"/>
      <w:r>
        <w:t>corr</w:t>
      </w:r>
      <w:proofErr w:type="spellEnd"/>
      <w:r>
        <w:t>. 1 и принятые неофициальной рабочей группой.</w:t>
      </w:r>
    </w:p>
    <w:p w14:paraId="5C1F9903" w14:textId="77777777" w:rsidR="00FC7A82" w:rsidRPr="00B474CC" w:rsidRDefault="00FC7A82" w:rsidP="00FC7A82">
      <w:pPr>
        <w:pStyle w:val="SingleTxtG"/>
      </w:pPr>
      <w:r>
        <w:t>10.</w:t>
      </w:r>
      <w:r>
        <w:tab/>
        <w:t>Неофициальная рабочая группа напомнила о том, что следует избегать «дихотомических» вопросов, предусматривающих только ответ «да» или «нет», поскольку это затрудняет составление ошибочных ответов.</w:t>
      </w:r>
    </w:p>
    <w:p w14:paraId="433DFDBA" w14:textId="77777777" w:rsidR="00FC7A82" w:rsidRPr="00B474CC" w:rsidRDefault="00FC7A82" w:rsidP="00FC7A82">
      <w:pPr>
        <w:pStyle w:val="SingleTxtG"/>
      </w:pPr>
      <w:r>
        <w:t>11.</w:t>
      </w:r>
      <w:r>
        <w:tab/>
        <w:t>Неофициальная рабочая группа провела обмен мнениями об использовании в вопросах коротких или длинных предложений. В настоящее время невозможно определить, в какой степени более длинные предложения приводят к большему количеству ошибок в ответах. Председатель предложил учесть этот аспект в будущем при оценке тестов. Для текущих поправок следует использовать четкие и быстро понимаемые формулировки. Однако в некоторых случаях это может привести к тому, что формулировки вопросов будут немного длиннее.</w:t>
      </w:r>
    </w:p>
    <w:p w14:paraId="3C3BA927" w14:textId="77777777" w:rsidR="00FC7A82" w:rsidRPr="00B474CC" w:rsidRDefault="00FC7A82" w:rsidP="00FC7A82">
      <w:pPr>
        <w:pStyle w:val="SingleTxtG"/>
      </w:pPr>
      <w:r>
        <w:t>12.</w:t>
      </w:r>
      <w:r>
        <w:tab/>
        <w:t>Неофициальная рабочая группа отметила, что в некоторых регионах существует особая практика в отношении счаленных групп (составов). Эта специфическая для регионов практика также должна быть учтена в каталоге вопросов.</w:t>
      </w:r>
    </w:p>
    <w:p w14:paraId="57D51C2D" w14:textId="77777777" w:rsidR="00FC7A82" w:rsidRPr="00B474CC" w:rsidRDefault="00FC7A82" w:rsidP="00FC7A82">
      <w:pPr>
        <w:pStyle w:val="SingleTxtG"/>
      </w:pPr>
      <w:r>
        <w:t>13.</w:t>
      </w:r>
      <w:r>
        <w:tab/>
        <w:t xml:space="preserve">Неофициальная рабочая группа решила, что вопросы, которые в настоящее время относятся к целевой теме «Остойчивость», но которые непосредственно не </w:t>
      </w:r>
      <w:r>
        <w:lastRenderedPageBreak/>
        <w:t>связаны с остойчивостью судна, будут перенесены в целевые темы, которые в большей мере соответствуют данной тематике, такие, например, как погрузка и разгрузка.</w:t>
      </w:r>
    </w:p>
    <w:p w14:paraId="25A6D07A" w14:textId="245AE0FF" w:rsidR="00FC7A82" w:rsidRPr="00B474CC" w:rsidRDefault="00FC7A82" w:rsidP="00FC7A82">
      <w:pPr>
        <w:pStyle w:val="SingleTxtG"/>
      </w:pPr>
      <w:r>
        <w:t>14.</w:t>
      </w:r>
      <w:r>
        <w:tab/>
        <w:t>В отношении специального оборудования, упомянутого в пункте 8.1.5.1, неофициальная рабочая группа отметила, что следует проверить количество соответствующих фильтрующих дыхательных аппаратов, которые должны перевозиться на борту, и при необходимости подготовить предложение по адаптации ВОПОГ. Неофициальная рабочая группа напомнила формулировку, содержащуюся в издании ППОГР 2001 года, маргинальный номер 210 260: «для каждого члена экипажа</w:t>
      </w:r>
      <w:r w:rsidR="000028BD">
        <w:rPr>
          <w:lang w:val="en-US"/>
        </w:rPr>
        <w:t> </w:t>
      </w:r>
      <w:r w:rsidR="000028BD" w:rsidRPr="000028BD">
        <w:t>—</w:t>
      </w:r>
      <w:r w:rsidR="000028BD">
        <w:rPr>
          <w:lang w:val="en-US"/>
        </w:rPr>
        <w:t> </w:t>
      </w:r>
      <w:r>
        <w:t>защитные очки, шлем-маска с подходящим респиратором, защитные перчатки, защитный костюм и защитные сапоги;». Эта формулировка была изменена при подготовке издания ППОГР 2003 года. С тех пор в пункте 8.1.5.1 предусмотрено, что на борту должен находиться только один фильтрующий дыхательный аппарат, а</w:t>
      </w:r>
      <w:r w:rsidR="000028BD">
        <w:rPr>
          <w:lang w:val="en-US"/>
        </w:rPr>
        <w:t> </w:t>
      </w:r>
      <w:r>
        <w:t>не</w:t>
      </w:r>
      <w:r w:rsidR="000028BD">
        <w:rPr>
          <w:lang w:val="en-US"/>
        </w:rPr>
        <w:t> </w:t>
      </w:r>
      <w:r>
        <w:t>один фильтрующий дыхательный аппарат для каждого члена экипажа.</w:t>
      </w:r>
    </w:p>
    <w:p w14:paraId="0B98A1E7" w14:textId="563209A4" w:rsidR="00FC7A82" w:rsidRPr="00B474CC" w:rsidRDefault="00FC7A82" w:rsidP="00FC7A82">
      <w:pPr>
        <w:pStyle w:val="SingleTxtG"/>
      </w:pPr>
      <w:r>
        <w:t>15.</w:t>
      </w:r>
      <w:r>
        <w:tab/>
        <w:t>Неофициальная рабочая группа отметила, что существует противоречие между указанием, содержащимся в позиции для бензина под № ООН 1203 в таблице C, и</w:t>
      </w:r>
      <w:r w:rsidR="00750C95">
        <w:rPr>
          <w:lang w:val="en-US"/>
        </w:rPr>
        <w:t> </w:t>
      </w:r>
      <w:r>
        <w:t>руководящими принципами VCI (Объединение химической промышленности Германии) по выполнению требований безопасности при перевозке опасных грузов</w:t>
      </w:r>
      <w:r w:rsidRPr="00FD0EF8">
        <w:rPr>
          <w:rStyle w:val="aa"/>
          <w:bCs/>
          <w:color w:val="000000"/>
        </w:rPr>
        <w:footnoteReference w:id="3"/>
      </w:r>
      <w:r>
        <w:t xml:space="preserve"> в</w:t>
      </w:r>
      <w:r w:rsidR="00750C95">
        <w:rPr>
          <w:lang w:val="en-US"/>
        </w:rPr>
        <w:t> </w:t>
      </w:r>
      <w:r>
        <w:t>отношении отверстия для взятия проб. Это противоречие может быть либо рассмотрено неофициальной рабочей группой по веществам, либо более подробно изучено в рамках работы по теме открытия отверстий.</w:t>
      </w:r>
    </w:p>
    <w:p w14:paraId="7987DCA0" w14:textId="0045F5CD" w:rsidR="00FC7A82" w:rsidRPr="00B474CC" w:rsidRDefault="00FC7A82" w:rsidP="00FC7A82">
      <w:pPr>
        <w:pStyle w:val="SingleTxtG"/>
      </w:pPr>
      <w:r>
        <w:t>16.</w:t>
      </w:r>
      <w:r>
        <w:tab/>
        <w:t>Неофициальная рабочая группа просила Комитет по вопросам безопасности разъяснить, почему цистерна для остаточных продуктов в соответствии с пунктом</w:t>
      </w:r>
      <w:r w:rsidR="008344BD">
        <w:rPr>
          <w:lang w:val="en-US"/>
        </w:rPr>
        <w:t> </w:t>
      </w:r>
      <w:r>
        <w:t xml:space="preserve">9.3.2.26.2 не должна подсоединяться к системе отвода газов, в то время как гораздо меньшие по объему емкости для остаточных продуктов в соответствии с пунктом 9.3.2.26.3 должны быть снабжены патрубком, позволяющим безопасным образом отводить </w:t>
      </w:r>
      <w:proofErr w:type="spellStart"/>
      <w:r>
        <w:t>газы</w:t>
      </w:r>
      <w:proofErr w:type="spellEnd"/>
      <w:r>
        <w:t>.</w:t>
      </w:r>
    </w:p>
    <w:p w14:paraId="6C27F1CA" w14:textId="77777777" w:rsidR="00FC7A82" w:rsidRPr="00B474CC" w:rsidRDefault="00FC7A82" w:rsidP="00FC7A82">
      <w:pPr>
        <w:pStyle w:val="SingleTxtG"/>
      </w:pPr>
      <w:r>
        <w:t>17.</w:t>
      </w:r>
      <w:r>
        <w:tab/>
        <w:t xml:space="preserve">В ходе рассмотрения каталога вопросов «Газы» неофициальная рабочая группа обменялась мнениями относительно абсолютного давления 1 </w:t>
      </w:r>
      <w:proofErr w:type="spellStart"/>
      <w:r>
        <w:t>кмоля</w:t>
      </w:r>
      <w:proofErr w:type="spellEnd"/>
      <w:r>
        <w:t xml:space="preserve"> идеального газа объемом 24 м³ при 100 кПа и 25 °C и отметила, что необходимо будет пересмотреть вопросы по целевой теме 3.1 (Закон Авогадро и расчет массы). Следует напомнить, что несколько лет назад температура была изменена с 15 °C на 25 °C. Неофициальная рабочая группа отметила, что для получения правильных ответов в расчетах следует использовать значение 15 °C.</w:t>
      </w:r>
    </w:p>
    <w:p w14:paraId="5373C266" w14:textId="16F363BC" w:rsidR="00FC7A82" w:rsidRPr="00B474CC" w:rsidRDefault="00FC7A82" w:rsidP="00FC7A82">
      <w:pPr>
        <w:pStyle w:val="SingleTxtG"/>
      </w:pPr>
      <w:r>
        <w:t>18.</w:t>
      </w:r>
      <w:r>
        <w:tab/>
        <w:t xml:space="preserve">Неофициальная рабочая группа рассмотрела девять вопросов, связанных </w:t>
      </w:r>
      <w:r w:rsidR="008344BD">
        <w:br/>
      </w:r>
      <w:r>
        <w:t>с № ООН 1011 «н-бутан», и в каждом конкретном случае изменила наименование на «Бутан».</w:t>
      </w:r>
    </w:p>
    <w:p w14:paraId="1AF5B22D" w14:textId="1FEFB475" w:rsidR="00FC7A82" w:rsidRPr="00B474CC" w:rsidRDefault="00FC7A82" w:rsidP="00FC7A82">
      <w:pPr>
        <w:pStyle w:val="H23G"/>
      </w:pPr>
      <w:r>
        <w:rPr>
          <w:bCs/>
        </w:rPr>
        <w:tab/>
        <w:t>3.2</w:t>
      </w:r>
      <w:r>
        <w:tab/>
      </w:r>
      <w:r>
        <w:rPr>
          <w:bCs/>
        </w:rPr>
        <w:t>Адаптирование директивы по использованию каталога вопросов для</w:t>
      </w:r>
      <w:r w:rsidR="00D117BC">
        <w:rPr>
          <w:bCs/>
          <w:lang w:val="en-US"/>
        </w:rPr>
        <w:t> </w:t>
      </w:r>
      <w:proofErr w:type="spellStart"/>
      <w:r>
        <w:rPr>
          <w:bCs/>
        </w:rPr>
        <w:t>экзаменования</w:t>
      </w:r>
      <w:proofErr w:type="spellEnd"/>
      <w:r>
        <w:rPr>
          <w:bCs/>
        </w:rPr>
        <w:t xml:space="preserve"> экспертов в области ВОПОГ</w:t>
      </w:r>
    </w:p>
    <w:p w14:paraId="5EC12A22" w14:textId="7203CC3B" w:rsidR="00FC7A82" w:rsidRPr="00B474CC" w:rsidRDefault="00FC7A82" w:rsidP="00FC7A82">
      <w:pPr>
        <w:pStyle w:val="SingleTxtG"/>
      </w:pPr>
      <w:bookmarkStart w:id="3" w:name="_Hlk99635912"/>
      <w:r>
        <w:t>(пункт 2.1 графика работы)</w:t>
      </w:r>
    </w:p>
    <w:p w14:paraId="337A46A0" w14:textId="77777777" w:rsidR="00FC7A82" w:rsidRPr="00B474CC" w:rsidRDefault="00FC7A82" w:rsidP="00FC7A82">
      <w:pPr>
        <w:pStyle w:val="SingleTxtG"/>
      </w:pPr>
      <w:bookmarkStart w:id="4" w:name="_Hlk99637501"/>
      <w:bookmarkEnd w:id="3"/>
      <w:r>
        <w:t>CCNR-ZKR/ADN/WG/CQ/2022/9 (Распределение работы над каталогом вопросов по ВОПОГ 2023 года)</w:t>
      </w:r>
      <w:bookmarkEnd w:id="4"/>
    </w:p>
    <w:p w14:paraId="74F42DA8" w14:textId="77777777" w:rsidR="00FC7A82" w:rsidRPr="00B474CC" w:rsidRDefault="00FC7A82" w:rsidP="00FC7A82">
      <w:pPr>
        <w:pStyle w:val="SingleTxtG"/>
      </w:pPr>
      <w:r>
        <w:t>19.</w:t>
      </w:r>
      <w:r>
        <w:tab/>
        <w:t xml:space="preserve">Неофициальная рабочая группа обсудила и обновила директиву по использованию каталога вопросов для </w:t>
      </w:r>
      <w:proofErr w:type="spellStart"/>
      <w:r>
        <w:t>экзаменования</w:t>
      </w:r>
      <w:proofErr w:type="spellEnd"/>
      <w:r>
        <w:t xml:space="preserve"> экспертов в области ВОПОГ.</w:t>
      </w:r>
    </w:p>
    <w:p w14:paraId="56887573" w14:textId="77777777" w:rsidR="00FC7A82" w:rsidRPr="00B474CC" w:rsidRDefault="00FC7A82" w:rsidP="00FC7A82">
      <w:pPr>
        <w:pStyle w:val="SingleTxtG"/>
      </w:pPr>
      <w:r>
        <w:t>20.</w:t>
      </w:r>
      <w:r>
        <w:tab/>
        <w:t>Неофициальная рабочая группа отметила различия в использовании терминов «</w:t>
      </w:r>
      <w:proofErr w:type="spellStart"/>
      <w:r>
        <w:t>test</w:t>
      </w:r>
      <w:proofErr w:type="spellEnd"/>
      <w:r>
        <w:t>» (тест) и «</w:t>
      </w:r>
      <w:proofErr w:type="spellStart"/>
      <w:r>
        <w:t>examen</w:t>
      </w:r>
      <w:proofErr w:type="spellEnd"/>
      <w:r>
        <w:t xml:space="preserve">» (экзамен) в варианте на английском языке и предложила изменения, чтобы привести эти термины в соответствие с вариантом на французском языке. Она предложила секретариату ЦКСР проконсультироваться с секретариатом ЕЭК ООН о том, как исправить вариант на английском языке. </w:t>
      </w:r>
    </w:p>
    <w:p w14:paraId="4C0E9A83" w14:textId="77777777" w:rsidR="00FC7A82" w:rsidRPr="00B474CC" w:rsidRDefault="00FC7A82" w:rsidP="00FC7A82">
      <w:pPr>
        <w:pStyle w:val="H23G"/>
      </w:pPr>
      <w:r>
        <w:rPr>
          <w:bCs/>
        </w:rPr>
        <w:lastRenderedPageBreak/>
        <w:tab/>
        <w:t>3.3</w:t>
      </w:r>
      <w:r>
        <w:tab/>
      </w:r>
      <w:r>
        <w:rPr>
          <w:bCs/>
        </w:rPr>
        <w:t>Вопросы, использование которых приостановлено в Нидерландах</w:t>
      </w:r>
    </w:p>
    <w:p w14:paraId="674A7658" w14:textId="77777777" w:rsidR="00FC7A82" w:rsidRPr="00FC7A82" w:rsidRDefault="00FC7A82" w:rsidP="00FC7A82">
      <w:pPr>
        <w:pStyle w:val="SingleTxtG"/>
        <w:rPr>
          <w:lang w:val="en-US"/>
        </w:rPr>
      </w:pPr>
      <w:r w:rsidRPr="00FC7A82">
        <w:rPr>
          <w:lang w:val="en-US"/>
        </w:rPr>
        <w:t>CCNR-ZKR/ADN/WG/CQ/2022/15</w:t>
      </w:r>
    </w:p>
    <w:p w14:paraId="2EAAF73F" w14:textId="77777777" w:rsidR="00FC7A82" w:rsidRPr="00B474CC" w:rsidRDefault="00FC7A82" w:rsidP="00FC7A82">
      <w:pPr>
        <w:pStyle w:val="SingleTxtG"/>
      </w:pPr>
      <w:r>
        <w:t>21.</w:t>
      </w:r>
      <w:r>
        <w:tab/>
        <w:t>Неофициальная рабочая группа рассмотрела эти вопросы в рамках пункта 3.</w:t>
      </w:r>
    </w:p>
    <w:p w14:paraId="6FDBE73A" w14:textId="77777777" w:rsidR="00FC7A82" w:rsidRPr="00B474CC" w:rsidRDefault="00FC7A82" w:rsidP="00FC7A82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 xml:space="preserve">Обучение и </w:t>
      </w:r>
      <w:proofErr w:type="spellStart"/>
      <w:r>
        <w:rPr>
          <w:bCs/>
        </w:rPr>
        <w:t>экзаменование</w:t>
      </w:r>
      <w:proofErr w:type="spellEnd"/>
      <w:r>
        <w:rPr>
          <w:bCs/>
        </w:rPr>
        <w:t xml:space="preserve"> экспертов в области ВОПОГ</w:t>
      </w:r>
    </w:p>
    <w:p w14:paraId="624296E0" w14:textId="77777777" w:rsidR="00FC7A82" w:rsidRPr="00B474CC" w:rsidRDefault="00FC7A82" w:rsidP="00FC7A82">
      <w:pPr>
        <w:pStyle w:val="SingleTxtG"/>
      </w:pPr>
      <w:r>
        <w:t>(пункт 2.1 графика работы)</w:t>
      </w:r>
    </w:p>
    <w:p w14:paraId="2FA3047D" w14:textId="77777777" w:rsidR="00FC7A82" w:rsidRPr="00B474CC" w:rsidRDefault="00FC7A82" w:rsidP="00FC7A82">
      <w:pPr>
        <w:pStyle w:val="H23G"/>
      </w:pPr>
      <w:bookmarkStart w:id="5" w:name="_Hlk99640314"/>
      <w:r>
        <w:rPr>
          <w:bCs/>
        </w:rPr>
        <w:tab/>
        <w:t>4.1</w:t>
      </w:r>
      <w:r>
        <w:tab/>
      </w:r>
      <w:r>
        <w:rPr>
          <w:bCs/>
        </w:rPr>
        <w:t>Проведение курсов подготовки, указанных в главе 8.2</w:t>
      </w:r>
      <w:bookmarkEnd w:id="5"/>
    </w:p>
    <w:p w14:paraId="1BF00595" w14:textId="77777777" w:rsidR="00FC7A82" w:rsidRPr="00B474CC" w:rsidRDefault="00FC7A82" w:rsidP="00FC7A82">
      <w:pPr>
        <w:pStyle w:val="SingleTxtG"/>
      </w:pPr>
      <w:r>
        <w:t>22.</w:t>
      </w:r>
      <w:r>
        <w:tab/>
        <w:t>Председатель отметил, что из-за нехватки времени этот пункт будет рассмотрен на следующем совещании.</w:t>
      </w:r>
    </w:p>
    <w:p w14:paraId="6212D442" w14:textId="77777777" w:rsidR="00FC7A82" w:rsidRPr="00B474CC" w:rsidRDefault="00FC7A82" w:rsidP="00FC7A82">
      <w:pPr>
        <w:pStyle w:val="H23G"/>
      </w:pPr>
      <w:r>
        <w:rPr>
          <w:bCs/>
        </w:rPr>
        <w:tab/>
        <w:t>4.2</w:t>
      </w:r>
      <w:r>
        <w:tab/>
      </w:r>
      <w:r>
        <w:rPr>
          <w:bCs/>
        </w:rPr>
        <w:t>Гармонизация главы 8.2 «Предписания, касающиеся подготовки» с моделью электронного обучения согласно ДОПОГ</w:t>
      </w:r>
    </w:p>
    <w:p w14:paraId="0765CB7C" w14:textId="77777777" w:rsidR="00FC7A82" w:rsidRPr="00B474CC" w:rsidRDefault="00FC7A82" w:rsidP="00FC7A82">
      <w:pPr>
        <w:pStyle w:val="SingleTxtG"/>
      </w:pPr>
      <w:r>
        <w:t>23.</w:t>
      </w:r>
      <w:r>
        <w:tab/>
        <w:t>Председатель отметил, что из-за нехватки времени этот пункт будет рассмотрен на следующем совещании.</w:t>
      </w:r>
    </w:p>
    <w:p w14:paraId="673C0FEA" w14:textId="77777777" w:rsidR="00FC7A82" w:rsidRPr="00B474CC" w:rsidRDefault="00FC7A82" w:rsidP="00FC7A82">
      <w:pPr>
        <w:pStyle w:val="H23G"/>
      </w:pPr>
      <w:r>
        <w:rPr>
          <w:bCs/>
        </w:rPr>
        <w:tab/>
        <w:t>4.3</w:t>
      </w:r>
      <w:r>
        <w:tab/>
      </w:r>
      <w:r>
        <w:rPr>
          <w:bCs/>
        </w:rPr>
        <w:t>Анализ статистических данных о сдаче экзаменов</w:t>
      </w:r>
    </w:p>
    <w:p w14:paraId="063B62DF" w14:textId="77777777" w:rsidR="00FC7A82" w:rsidRPr="00B474CC" w:rsidRDefault="00FC7A82" w:rsidP="00FC7A82">
      <w:pPr>
        <w:pStyle w:val="SingleTxtG"/>
      </w:pPr>
      <w:r>
        <w:t>CCNR-ZKR/ADN/WG/CQ/2022/7 (Таблица Excel со статистическими данными о сдаче экзаменов)</w:t>
      </w:r>
      <w:bookmarkStart w:id="6" w:name="_Hlk99640907"/>
      <w:bookmarkEnd w:id="6"/>
    </w:p>
    <w:p w14:paraId="2F4CB6D7" w14:textId="77777777" w:rsidR="00FC7A82" w:rsidRPr="00B474CC" w:rsidRDefault="00FC7A82" w:rsidP="00FC7A82">
      <w:pPr>
        <w:pStyle w:val="SingleTxtG"/>
      </w:pPr>
      <w:r>
        <w:t>24.</w:t>
      </w:r>
      <w:r>
        <w:tab/>
        <w:t>Председатель отметил, что из-за нехватки времени этот пункт будет рассмотрен на следующем совещании.</w:t>
      </w:r>
    </w:p>
    <w:p w14:paraId="2D0F27EE" w14:textId="77777777" w:rsidR="00FC7A82" w:rsidRPr="00B474CC" w:rsidRDefault="00FC7A82" w:rsidP="00FC7A82">
      <w:pPr>
        <w:pStyle w:val="H23G"/>
      </w:pPr>
      <w:r>
        <w:rPr>
          <w:bCs/>
        </w:rPr>
        <w:tab/>
        <w:t>4.4</w:t>
      </w:r>
      <w:r>
        <w:tab/>
      </w:r>
      <w:r>
        <w:rPr>
          <w:bCs/>
        </w:rPr>
        <w:t>Анализ</w:t>
      </w:r>
      <w:r>
        <w:t xml:space="preserve"> </w:t>
      </w:r>
      <w:r>
        <w:rPr>
          <w:bCs/>
        </w:rPr>
        <w:t>статистических данных о сдаче экзаменов</w:t>
      </w:r>
    </w:p>
    <w:p w14:paraId="397B966D" w14:textId="77777777" w:rsidR="00FC7A82" w:rsidRPr="00B474CC" w:rsidRDefault="00FC7A82" w:rsidP="00FC7A82">
      <w:pPr>
        <w:pStyle w:val="SingleTxtG"/>
      </w:pPr>
      <w:r>
        <w:t xml:space="preserve">CCNR-ZKR/ADN/WG/CQ/2022/07 </w:t>
      </w:r>
      <w:proofErr w:type="spellStart"/>
      <w:r>
        <w:t>rev</w:t>
      </w:r>
      <w:proofErr w:type="spellEnd"/>
      <w:r>
        <w:t>. 1 (Статистические данные)</w:t>
      </w:r>
    </w:p>
    <w:p w14:paraId="55469994" w14:textId="77777777" w:rsidR="00FC7A82" w:rsidRPr="00B474CC" w:rsidRDefault="00FC7A82" w:rsidP="00FC7A82">
      <w:pPr>
        <w:pStyle w:val="SingleTxtG"/>
      </w:pPr>
      <w:r>
        <w:t>25.</w:t>
      </w:r>
      <w:r>
        <w:tab/>
        <w:t>Председатель отметил, что из-за нехватки времени этот пункт будет рассмотрен на следующем совещании.</w:t>
      </w:r>
    </w:p>
    <w:p w14:paraId="107EB5A2" w14:textId="77777777" w:rsidR="00FC7A82" w:rsidRPr="00B474CC" w:rsidRDefault="00FC7A82" w:rsidP="00FC7A82">
      <w:pPr>
        <w:pStyle w:val="H23G"/>
      </w:pPr>
      <w:r>
        <w:rPr>
          <w:bCs/>
        </w:rPr>
        <w:tab/>
        <w:t>5.</w:t>
      </w:r>
      <w:r>
        <w:tab/>
      </w:r>
      <w:r>
        <w:rPr>
          <w:bCs/>
        </w:rPr>
        <w:t>Уточнение общих вопросов, связанных с каталогом вопросов</w:t>
      </w:r>
      <w:bookmarkStart w:id="7" w:name="_Hlk99643666"/>
    </w:p>
    <w:bookmarkEnd w:id="7"/>
    <w:p w14:paraId="680ACCC9" w14:textId="77777777" w:rsidR="00FC7A82" w:rsidRPr="00B474CC" w:rsidRDefault="00FC7A82" w:rsidP="00FC7A82">
      <w:pPr>
        <w:pStyle w:val="SingleTxtG"/>
      </w:pPr>
      <w:r>
        <w:t>(пункт 3 графика работы)</w:t>
      </w:r>
    </w:p>
    <w:p w14:paraId="015F190F" w14:textId="77777777" w:rsidR="00FC7A82" w:rsidRPr="00B474CC" w:rsidRDefault="00FC7A82" w:rsidP="00FC7A82">
      <w:pPr>
        <w:pStyle w:val="SingleTxtG"/>
      </w:pPr>
      <w:r>
        <w:t>26.</w:t>
      </w:r>
      <w:r>
        <w:tab/>
        <w:t>Председатель отметил, что из-за нехватки времени этот пункт будет рассмотрен на следующем совещании.</w:t>
      </w:r>
    </w:p>
    <w:p w14:paraId="3851065A" w14:textId="77777777" w:rsidR="00FC7A82" w:rsidRPr="00B474CC" w:rsidRDefault="00FC7A82" w:rsidP="00FC7A82">
      <w:pPr>
        <w:pStyle w:val="H23G"/>
      </w:pPr>
      <w:bookmarkStart w:id="8" w:name="_Hlk99645366"/>
      <w:r>
        <w:rPr>
          <w:bCs/>
        </w:rPr>
        <w:tab/>
        <w:t>6.</w:t>
      </w:r>
      <w:r>
        <w:tab/>
      </w:r>
      <w:r>
        <w:rPr>
          <w:bCs/>
        </w:rPr>
        <w:t>Прочие вопросы</w:t>
      </w:r>
    </w:p>
    <w:bookmarkEnd w:id="8"/>
    <w:p w14:paraId="176D837D" w14:textId="77777777" w:rsidR="00FC7A82" w:rsidRPr="00B474CC" w:rsidRDefault="00FC7A82" w:rsidP="00FC7A82">
      <w:pPr>
        <w:pStyle w:val="SingleTxtG"/>
      </w:pPr>
      <w:r>
        <w:t>27.</w:t>
      </w:r>
      <w:r>
        <w:tab/>
        <w:t>Председатель отметил, что по этому пункту не было получено никаких сообщений.</w:t>
      </w:r>
    </w:p>
    <w:p w14:paraId="5F5A1AB7" w14:textId="77777777" w:rsidR="00FC7A82" w:rsidRPr="00B474CC" w:rsidRDefault="00FC7A82" w:rsidP="00FC7A82">
      <w:pPr>
        <w:pStyle w:val="H23G"/>
      </w:pPr>
      <w:r>
        <w:rPr>
          <w:bCs/>
        </w:rPr>
        <w:tab/>
        <w:t>7.</w:t>
      </w:r>
      <w:r>
        <w:tab/>
      </w:r>
      <w:r>
        <w:rPr>
          <w:bCs/>
        </w:rPr>
        <w:t>График работы</w:t>
      </w:r>
    </w:p>
    <w:p w14:paraId="1EBFC330" w14:textId="77777777" w:rsidR="00FC7A82" w:rsidRPr="00CF1031" w:rsidRDefault="00FC7A82" w:rsidP="00FC7A82">
      <w:pPr>
        <w:pStyle w:val="SingleTxtG"/>
        <w:rPr>
          <w:bCs/>
        </w:rPr>
      </w:pPr>
      <w:r>
        <w:t>28.</w:t>
      </w:r>
      <w:r>
        <w:tab/>
        <w:t>Следующее совещание неофициальной рабочей группы планируется провести 15 ноября 2022 года, с 10 ч 00 мин до 15 ч 00 мин, в режиме онлайн. Для этой цели делегация Германии организует онлайн-конференцию.</w:t>
      </w:r>
    </w:p>
    <w:p w14:paraId="3FC79109" w14:textId="08A34E9A" w:rsidR="00E12C5F" w:rsidRPr="00FC7A82" w:rsidRDefault="00FC7A82" w:rsidP="00FC7A82">
      <w:pPr>
        <w:spacing w:before="240"/>
        <w:jc w:val="center"/>
        <w:rPr>
          <w:u w:val="single"/>
        </w:rPr>
      </w:pPr>
      <w:r w:rsidRPr="00CF1031">
        <w:rPr>
          <w:u w:val="single"/>
        </w:rPr>
        <w:tab/>
      </w:r>
      <w:r w:rsidRPr="00CF1031">
        <w:rPr>
          <w:u w:val="single"/>
        </w:rPr>
        <w:tab/>
      </w:r>
      <w:r w:rsidRPr="00CF1031">
        <w:rPr>
          <w:u w:val="single"/>
        </w:rPr>
        <w:tab/>
      </w:r>
    </w:p>
    <w:sectPr w:rsidR="00E12C5F" w:rsidRPr="00FC7A82" w:rsidSect="00FC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0867" w14:textId="77777777" w:rsidR="003751FA" w:rsidRPr="00A312BC" w:rsidRDefault="003751FA" w:rsidP="00A312BC"/>
  </w:endnote>
  <w:endnote w:type="continuationSeparator" w:id="0">
    <w:p w14:paraId="2D714FC9" w14:textId="77777777" w:rsidR="003751FA" w:rsidRPr="00A312BC" w:rsidRDefault="003751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3F78" w14:textId="6607BDE1" w:rsidR="00FC7A82" w:rsidRPr="00FC7A82" w:rsidRDefault="00FC7A82">
    <w:pPr>
      <w:pStyle w:val="a8"/>
    </w:pPr>
    <w:r w:rsidRPr="00FC7A82">
      <w:rPr>
        <w:b/>
        <w:sz w:val="18"/>
      </w:rPr>
      <w:fldChar w:fldCharType="begin"/>
    </w:r>
    <w:r w:rsidRPr="00FC7A82">
      <w:rPr>
        <w:b/>
        <w:sz w:val="18"/>
      </w:rPr>
      <w:instrText xml:space="preserve"> PAGE  \* MERGEFORMAT </w:instrText>
    </w:r>
    <w:r w:rsidRPr="00FC7A82">
      <w:rPr>
        <w:b/>
        <w:sz w:val="18"/>
      </w:rPr>
      <w:fldChar w:fldCharType="separate"/>
    </w:r>
    <w:r w:rsidRPr="00FC7A82">
      <w:rPr>
        <w:b/>
        <w:noProof/>
        <w:sz w:val="18"/>
      </w:rPr>
      <w:t>2</w:t>
    </w:r>
    <w:r w:rsidRPr="00FC7A82">
      <w:rPr>
        <w:b/>
        <w:sz w:val="18"/>
      </w:rPr>
      <w:fldChar w:fldCharType="end"/>
    </w:r>
    <w:r>
      <w:rPr>
        <w:b/>
        <w:sz w:val="18"/>
      </w:rPr>
      <w:tab/>
    </w:r>
    <w:r>
      <w:t>GE.22-25251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DFF2" w14:textId="6E0C4435" w:rsidR="00FC7A82" w:rsidRPr="00FC7A82" w:rsidRDefault="00FC7A82" w:rsidP="00FC7A82">
    <w:pPr>
      <w:pStyle w:val="a8"/>
      <w:tabs>
        <w:tab w:val="clear" w:pos="9639"/>
        <w:tab w:val="right" w:pos="9638"/>
      </w:tabs>
      <w:rPr>
        <w:b/>
        <w:sz w:val="18"/>
      </w:rPr>
    </w:pPr>
    <w:r>
      <w:t>GE.22-25251</w:t>
    </w:r>
    <w:r>
      <w:tab/>
    </w:r>
    <w:r w:rsidRPr="00FC7A82">
      <w:rPr>
        <w:b/>
        <w:sz w:val="18"/>
      </w:rPr>
      <w:fldChar w:fldCharType="begin"/>
    </w:r>
    <w:r w:rsidRPr="00FC7A82">
      <w:rPr>
        <w:b/>
        <w:sz w:val="18"/>
      </w:rPr>
      <w:instrText xml:space="preserve"> PAGE  \* MERGEFORMAT </w:instrText>
    </w:r>
    <w:r w:rsidRPr="00FC7A82">
      <w:rPr>
        <w:b/>
        <w:sz w:val="18"/>
      </w:rPr>
      <w:fldChar w:fldCharType="separate"/>
    </w:r>
    <w:r w:rsidRPr="00FC7A82">
      <w:rPr>
        <w:b/>
        <w:noProof/>
        <w:sz w:val="18"/>
      </w:rPr>
      <w:t>3</w:t>
    </w:r>
    <w:r w:rsidRPr="00FC7A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6B20" w14:textId="0DD145C5" w:rsidR="00042B72" w:rsidRPr="00FC7A82" w:rsidRDefault="00FC7A82" w:rsidP="00FC7A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79EBAD" wp14:editId="22B670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25251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D065D7" wp14:editId="57C295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141122  151122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6F72" w14:textId="77777777" w:rsidR="003751FA" w:rsidRPr="001075E9" w:rsidRDefault="003751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FDA336" w14:textId="77777777" w:rsidR="003751FA" w:rsidRDefault="003751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80C968" w14:textId="227B1C37" w:rsidR="00FC7A82" w:rsidRPr="007B67EE" w:rsidRDefault="00FC7A82" w:rsidP="00FC7A82">
      <w:pPr>
        <w:pStyle w:val="ad"/>
        <w:rPr>
          <w:szCs w:val="18"/>
        </w:rPr>
      </w:pPr>
      <w:r>
        <w:tab/>
      </w:r>
      <w:r w:rsidRPr="00E82D26">
        <w:rPr>
          <w:sz w:val="20"/>
        </w:rPr>
        <w:t>*</w:t>
      </w:r>
      <w:r>
        <w:tab/>
      </w:r>
      <w:r>
        <w:tab/>
        <w:t>Распространено на немецком языке Центральной комиссией судоходства по Рейну под</w:t>
      </w:r>
      <w:r w:rsidR="00B57CEE">
        <w:rPr>
          <w:lang w:val="en-US"/>
        </w:rPr>
        <w:t> </w:t>
      </w:r>
      <w:r>
        <w:t>условным обозначением CCNR-ZKR/ADN/WP.15/AC.2/2023/3.</w:t>
      </w:r>
    </w:p>
  </w:footnote>
  <w:footnote w:id="2">
    <w:p w14:paraId="59BB529A" w14:textId="77777777" w:rsidR="00FC7A82" w:rsidRPr="00FC7A82" w:rsidRDefault="00FC7A82" w:rsidP="00FC7A82">
      <w:pPr>
        <w:pStyle w:val="ad"/>
        <w:rPr>
          <w:szCs w:val="18"/>
          <w:lang w:val="en-US"/>
        </w:rPr>
      </w:pPr>
      <w:bookmarkStart w:id="0" w:name="_Hlk116645032"/>
      <w:r>
        <w:tab/>
      </w:r>
      <w:r w:rsidRPr="00E82D26">
        <w:rPr>
          <w:sz w:val="20"/>
          <w:lang w:val="en-US"/>
        </w:rPr>
        <w:t>**</w:t>
      </w:r>
      <w:r w:rsidRPr="00FC7A82">
        <w:rPr>
          <w:lang w:val="en-US"/>
        </w:rPr>
        <w:tab/>
      </w:r>
      <w:r w:rsidRPr="00FC7A82">
        <w:rPr>
          <w:lang w:val="en-US"/>
        </w:rPr>
        <w:tab/>
        <w:t>A/76/6 (</w:t>
      </w:r>
      <w:proofErr w:type="spellStart"/>
      <w:r>
        <w:t>разд</w:t>
      </w:r>
      <w:proofErr w:type="spellEnd"/>
      <w:r w:rsidRPr="00FC7A82">
        <w:rPr>
          <w:lang w:val="en-US"/>
        </w:rPr>
        <w:t xml:space="preserve">. 20), </w:t>
      </w:r>
      <w:r>
        <w:t>п</w:t>
      </w:r>
      <w:r w:rsidRPr="00FC7A82">
        <w:rPr>
          <w:lang w:val="en-US"/>
        </w:rPr>
        <w:t>. 20.76.</w:t>
      </w:r>
      <w:bookmarkEnd w:id="0"/>
    </w:p>
  </w:footnote>
  <w:footnote w:id="3">
    <w:p w14:paraId="025CC427" w14:textId="71F68613" w:rsidR="00FC7A82" w:rsidRPr="00FC7A82" w:rsidRDefault="00FC7A82" w:rsidP="00FC7A82">
      <w:pPr>
        <w:pStyle w:val="ad"/>
        <w:rPr>
          <w:lang w:val="en-US"/>
        </w:rPr>
      </w:pPr>
      <w:r w:rsidRPr="00FC7A82">
        <w:rPr>
          <w:sz w:val="16"/>
          <w:szCs w:val="16"/>
          <w:lang w:val="en-US"/>
        </w:rPr>
        <w:tab/>
      </w:r>
      <w:r w:rsidRPr="00C23DAB">
        <w:rPr>
          <w:rStyle w:val="aa"/>
        </w:rPr>
        <w:footnoteRef/>
      </w:r>
      <w:r w:rsidRPr="00FC7A82">
        <w:rPr>
          <w:lang w:val="en-US"/>
        </w:rPr>
        <w:tab/>
      </w:r>
      <w:hyperlink r:id="rId1" w:history="1">
        <w:r w:rsidR="00D704DC" w:rsidRPr="00EC6C37">
          <w:rPr>
            <w:rStyle w:val="af1"/>
            <w:lang w:val="en-US"/>
          </w:rPr>
          <w:t>https://www.vci.de/services/leitfaeden/vci-leitfaden-umsetzung-gesetzlicher-sicherheitsbestimmungen-fuer-befoerderung-gefaehrlicher-gueter-adr-rid-adn-security.jsp</w:t>
        </w:r>
      </w:hyperlink>
      <w:r w:rsidR="00D704DC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02C4" w14:textId="5CC6174E" w:rsidR="00FC7A82" w:rsidRPr="00FC7A82" w:rsidRDefault="00FC7A82">
    <w:pPr>
      <w:pStyle w:val="a5"/>
    </w:pPr>
    <w:fldSimple w:instr=" TITLE  \* MERGEFORMAT ">
      <w:r w:rsidR="0039212B">
        <w:t>ECE/TRANS/WP.15/AC.2/2023/3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0578" w14:textId="5AAE7678" w:rsidR="00FC7A82" w:rsidRPr="00FC7A82" w:rsidRDefault="00FC7A82" w:rsidP="00FC7A82">
    <w:pPr>
      <w:pStyle w:val="a5"/>
      <w:jc w:val="right"/>
    </w:pPr>
    <w:fldSimple w:instr=" TITLE  \* MERGEFORMAT ">
      <w:r w:rsidR="0039212B">
        <w:t>ECE/TRANS/WP.15/AC.2/2023/3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8EDC" w14:textId="77777777" w:rsidR="00FC7A82" w:rsidRDefault="00FC7A82" w:rsidP="00FC7A8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A"/>
    <w:rsid w:val="000028BD"/>
    <w:rsid w:val="00033EE1"/>
    <w:rsid w:val="00042B72"/>
    <w:rsid w:val="000558BD"/>
    <w:rsid w:val="000B57E7"/>
    <w:rsid w:val="000B6373"/>
    <w:rsid w:val="000D144C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1FA"/>
    <w:rsid w:val="00381C24"/>
    <w:rsid w:val="00387CD4"/>
    <w:rsid w:val="0039212B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48B7"/>
    <w:rsid w:val="00734ACB"/>
    <w:rsid w:val="00750C95"/>
    <w:rsid w:val="00757357"/>
    <w:rsid w:val="00792497"/>
    <w:rsid w:val="00806737"/>
    <w:rsid w:val="00825F8D"/>
    <w:rsid w:val="008344B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027"/>
    <w:rsid w:val="009A24AC"/>
    <w:rsid w:val="009B2889"/>
    <w:rsid w:val="009C59D7"/>
    <w:rsid w:val="009C6FE6"/>
    <w:rsid w:val="009D7E7D"/>
    <w:rsid w:val="00A14DA8"/>
    <w:rsid w:val="00A256A7"/>
    <w:rsid w:val="00A312BC"/>
    <w:rsid w:val="00A84021"/>
    <w:rsid w:val="00A84D35"/>
    <w:rsid w:val="00A917B3"/>
    <w:rsid w:val="00AB4B51"/>
    <w:rsid w:val="00B10CC7"/>
    <w:rsid w:val="00B327FB"/>
    <w:rsid w:val="00B36DF7"/>
    <w:rsid w:val="00B539E7"/>
    <w:rsid w:val="00B57CEE"/>
    <w:rsid w:val="00B62458"/>
    <w:rsid w:val="00BC18B2"/>
    <w:rsid w:val="00BC4E2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17BC"/>
    <w:rsid w:val="00D33D63"/>
    <w:rsid w:val="00D5253A"/>
    <w:rsid w:val="00D704D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2D26"/>
    <w:rsid w:val="00EA2C9F"/>
    <w:rsid w:val="00EA420E"/>
    <w:rsid w:val="00ED0BDA"/>
    <w:rsid w:val="00EE142A"/>
    <w:rsid w:val="00EF1360"/>
    <w:rsid w:val="00EF3220"/>
    <w:rsid w:val="00F105F1"/>
    <w:rsid w:val="00F2523A"/>
    <w:rsid w:val="00F43903"/>
    <w:rsid w:val="00F94155"/>
    <w:rsid w:val="00F9783F"/>
    <w:rsid w:val="00FC7A8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07CC9"/>
  <w15:docId w15:val="{D8CD4CD4-2AE3-4399-A563-20C2A29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C7A82"/>
    <w:rPr>
      <w:lang w:val="ru-RU" w:eastAsia="en-US"/>
    </w:rPr>
  </w:style>
  <w:style w:type="character" w:customStyle="1" w:styleId="HChGChar">
    <w:name w:val="_ H _Ch_G Char"/>
    <w:link w:val="HChG"/>
    <w:rsid w:val="00FC7A82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D7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i.de/services/leitfaeden/vci-leitfaden-umsetzung-gesetzlicher-sicherheitsbestimmungen-fuer-befoerderung-gefaehrlicher-gueter-adr-rid-adn-security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D1CCA-80C5-4455-83F8-3BC34290850E}"/>
</file>

<file path=customXml/itemProps2.xml><?xml version="1.0" encoding="utf-8"?>
<ds:datastoreItem xmlns:ds="http://schemas.openxmlformats.org/officeDocument/2006/customXml" ds:itemID="{75C637DA-48B9-41A2-B577-B601C3E09BE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1223</Words>
  <Characters>8173</Characters>
  <Application>Microsoft Office Word</Application>
  <DocSecurity>0</DocSecurity>
  <Lines>173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ECE/TRANS/WP.15/AC.2/2023/3</vt:lpstr>
      <vt:lpstr>A/</vt:lpstr>
      <vt:lpstr>A/</vt:lpstr>
    </vt:vector>
  </TitlesOfParts>
  <Company>DCM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2022-11-15T08:08:00Z</dcterms:created>
  <dcterms:modified xsi:type="dcterms:W3CDTF">2022-11-15T08:08:00Z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