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75674592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830F80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F67DD0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456603" w14:textId="2734BAAA" w:rsidR="001433FD" w:rsidRPr="00B357AB" w:rsidRDefault="00B357AB" w:rsidP="00B357AB">
            <w:pPr>
              <w:jc w:val="right"/>
            </w:pPr>
            <w:r w:rsidRPr="00B357AB">
              <w:rPr>
                <w:sz w:val="40"/>
              </w:rPr>
              <w:t>ECE</w:t>
            </w:r>
            <w:r>
              <w:t>/TRANS/WP.15/AC.2/2023/2</w:t>
            </w:r>
          </w:p>
        </w:tc>
      </w:tr>
      <w:tr w:rsidR="001433FD" w:rsidRPr="00DB58B5" w14:paraId="2D6CD4C1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E4F2FE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7AA2B52" wp14:editId="364CC7CD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4AC4FB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738855" w14:textId="77777777" w:rsidR="0001207F" w:rsidRDefault="00CD787F" w:rsidP="00CD787F">
            <w:pPr>
              <w:spacing w:before="240" w:line="240" w:lineRule="exact"/>
            </w:pPr>
            <w:r>
              <w:t>Distr. générale</w:t>
            </w:r>
          </w:p>
          <w:p w14:paraId="4141F2BB" w14:textId="52A907FA" w:rsidR="00CD787F" w:rsidRDefault="007056BA" w:rsidP="00CD787F">
            <w:pPr>
              <w:spacing w:line="240" w:lineRule="exact"/>
            </w:pPr>
            <w:r>
              <w:t>9</w:t>
            </w:r>
            <w:r w:rsidR="00CD787F">
              <w:t xml:space="preserve"> novembre 2022</w:t>
            </w:r>
          </w:p>
          <w:p w14:paraId="1A09BF36" w14:textId="77777777" w:rsidR="00CD787F" w:rsidRDefault="00CD787F" w:rsidP="00CD787F">
            <w:pPr>
              <w:spacing w:line="240" w:lineRule="exact"/>
            </w:pPr>
          </w:p>
          <w:p w14:paraId="02F934D7" w14:textId="77777777" w:rsidR="00CD787F" w:rsidRPr="00DB58B5" w:rsidRDefault="00CD787F" w:rsidP="00CD787F">
            <w:pPr>
              <w:spacing w:line="240" w:lineRule="exact"/>
            </w:pPr>
            <w:r>
              <w:t>Original : français</w:t>
            </w:r>
          </w:p>
        </w:tc>
      </w:tr>
    </w:tbl>
    <w:p w14:paraId="432AAFE1" w14:textId="5F63E906" w:rsidR="00564657" w:rsidRDefault="00564657" w:rsidP="00CD787F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0525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22FD08E" w14:textId="77777777" w:rsidR="0016160A" w:rsidRPr="009E01B8" w:rsidRDefault="0016160A" w:rsidP="0016160A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3F60C0DC" w14:textId="77777777" w:rsidR="0016160A" w:rsidRPr="009E01B8" w:rsidRDefault="0016160A" w:rsidP="0016160A">
      <w:pPr>
        <w:spacing w:before="120" w:line="240" w:lineRule="auto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 marchandises dangereuses</w:t>
      </w:r>
    </w:p>
    <w:p w14:paraId="7DD399A0" w14:textId="41C51CEC" w:rsidR="0016160A" w:rsidRPr="004812F5" w:rsidRDefault="0016160A" w:rsidP="0016160A">
      <w:pPr>
        <w:spacing w:before="120" w:line="240" w:lineRule="auto"/>
        <w:rPr>
          <w:b/>
        </w:rPr>
      </w:pPr>
      <w:r w:rsidRPr="004812F5">
        <w:rPr>
          <w:b/>
          <w:lang w:val="fr-FR"/>
        </w:rPr>
        <w:t>Réunion commune d</w:t>
      </w:r>
      <w:r w:rsidR="00B0525C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0525C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0525C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39B989EF" w14:textId="77777777" w:rsidR="0016160A" w:rsidRPr="00CC271C" w:rsidRDefault="0016160A" w:rsidP="0016160A">
      <w:pPr>
        <w:spacing w:before="120"/>
        <w:rPr>
          <w:b/>
        </w:rPr>
      </w:pPr>
      <w:r w:rsidRPr="004F53D2">
        <w:rPr>
          <w:b/>
        </w:rPr>
        <w:t>Quarante</w:t>
      </w:r>
      <w:r>
        <w:rPr>
          <w:b/>
        </w:rPr>
        <w:t xml:space="preserve"> </w:t>
      </w:r>
      <w:r w:rsidRPr="004F53D2">
        <w:rPr>
          <w:b/>
        </w:rPr>
        <w:t>et</w:t>
      </w:r>
      <w:r>
        <w:rPr>
          <w:b/>
        </w:rPr>
        <w:t xml:space="preserve"> </w:t>
      </w:r>
      <w:r w:rsidRPr="004F53D2">
        <w:rPr>
          <w:b/>
        </w:rPr>
        <w:t>unième</w:t>
      </w:r>
      <w:r w:rsidRPr="00545DEF" w:rsidDel="00545DEF">
        <w:rPr>
          <w:b/>
        </w:rPr>
        <w:t xml:space="preserve"> </w:t>
      </w:r>
      <w:r w:rsidRPr="00CC271C">
        <w:rPr>
          <w:b/>
        </w:rPr>
        <w:t>session</w:t>
      </w:r>
    </w:p>
    <w:p w14:paraId="1DED6494" w14:textId="77777777" w:rsidR="0016160A" w:rsidRDefault="0016160A" w:rsidP="0016160A">
      <w:pPr>
        <w:rPr>
          <w:bCs/>
          <w:lang w:val="fr-FR"/>
        </w:rPr>
      </w:pPr>
      <w:r>
        <w:t xml:space="preserve">Genève, </w:t>
      </w:r>
      <w:r>
        <w:rPr>
          <w:bCs/>
          <w:lang w:val="fr-FR"/>
        </w:rPr>
        <w:t>23-27 janvier 2023</w:t>
      </w:r>
    </w:p>
    <w:p w14:paraId="37383192" w14:textId="32F79C4A" w:rsidR="0016160A" w:rsidRDefault="0016160A" w:rsidP="0016160A">
      <w:r>
        <w:t xml:space="preserve">Point </w:t>
      </w:r>
      <w:r w:rsidR="00857B58">
        <w:t>4</w:t>
      </w:r>
      <w:r>
        <w:t xml:space="preserve"> </w:t>
      </w:r>
      <w:r w:rsidR="00857B58">
        <w:t>d</w:t>
      </w:r>
      <w:r>
        <w:t>) de l</w:t>
      </w:r>
      <w:r w:rsidR="00B0525C">
        <w:t>’</w:t>
      </w:r>
      <w:r>
        <w:t>ordre du jour provisoire</w:t>
      </w:r>
    </w:p>
    <w:p w14:paraId="29A6EDC4" w14:textId="347DF47F" w:rsidR="00BA34E9" w:rsidRDefault="00F66E42" w:rsidP="00650CB4">
      <w:pPr>
        <w:kinsoku/>
        <w:overflowPunct/>
        <w:autoSpaceDE/>
        <w:autoSpaceDN/>
        <w:adjustRightInd/>
        <w:snapToGrid/>
        <w:rPr>
          <w:b/>
        </w:rPr>
      </w:pPr>
      <w:r w:rsidRPr="00F66E42">
        <w:rPr>
          <w:b/>
        </w:rPr>
        <w:t>Mise en œuvre de l</w:t>
      </w:r>
      <w:r w:rsidR="00B0525C">
        <w:rPr>
          <w:b/>
        </w:rPr>
        <w:t>’</w:t>
      </w:r>
      <w:r w:rsidRPr="00F66E42">
        <w:rPr>
          <w:b/>
        </w:rPr>
        <w:t>Accord européen relatif au transport</w:t>
      </w:r>
      <w:r w:rsidR="00650CB4">
        <w:rPr>
          <w:b/>
        </w:rPr>
        <w:br/>
      </w:r>
      <w:r w:rsidRPr="00F66E42">
        <w:rPr>
          <w:b/>
        </w:rPr>
        <w:t xml:space="preserve">international des marchandises dangereuses par voies de </w:t>
      </w:r>
      <w:r w:rsidR="00650CB4">
        <w:rPr>
          <w:b/>
        </w:rPr>
        <w:br/>
      </w:r>
      <w:r w:rsidRPr="00F66E42">
        <w:rPr>
          <w:b/>
        </w:rPr>
        <w:t>navigation intérieures (ADN) :</w:t>
      </w:r>
    </w:p>
    <w:p w14:paraId="32F55E88" w14:textId="03FC43BC" w:rsidR="004A5835" w:rsidRPr="00F66E42" w:rsidRDefault="00F66E42" w:rsidP="00650CB4">
      <w:pPr>
        <w:kinsoku/>
        <w:overflowPunct/>
        <w:autoSpaceDE/>
        <w:autoSpaceDN/>
        <w:adjustRightInd/>
        <w:snapToGrid/>
        <w:rPr>
          <w:b/>
        </w:rPr>
      </w:pPr>
      <w:r w:rsidRPr="00F66E42">
        <w:rPr>
          <w:b/>
        </w:rPr>
        <w:t>formation des experts</w:t>
      </w:r>
    </w:p>
    <w:p w14:paraId="32D97220" w14:textId="6ED714C7" w:rsidR="004A5835" w:rsidRPr="00551135" w:rsidRDefault="004A5835" w:rsidP="00BE2F70">
      <w:pPr>
        <w:pStyle w:val="HChG"/>
        <w:rPr>
          <w:lang w:val="fr-FR"/>
        </w:rPr>
      </w:pPr>
      <w:r w:rsidRPr="00551135">
        <w:rPr>
          <w:lang w:val="fr-FR"/>
        </w:rPr>
        <w:tab/>
      </w:r>
      <w:r w:rsidRPr="00551135">
        <w:rPr>
          <w:lang w:val="fr-FR"/>
        </w:rPr>
        <w:tab/>
        <w:t>Proposition pour l</w:t>
      </w:r>
      <w:r w:rsidR="00B0525C">
        <w:rPr>
          <w:lang w:val="fr-FR"/>
        </w:rPr>
        <w:t>’</w:t>
      </w:r>
      <w:r w:rsidRPr="00551135">
        <w:rPr>
          <w:lang w:val="fr-FR"/>
        </w:rPr>
        <w:t>actualisation du calendrier de travail du groupe de travail informel «</w:t>
      </w:r>
      <w:r w:rsidR="00C34496">
        <w:rPr>
          <w:lang w:val="fr-FR"/>
        </w:rPr>
        <w:t> </w:t>
      </w:r>
      <w:r w:rsidRPr="00551135">
        <w:rPr>
          <w:lang w:val="fr-FR"/>
        </w:rPr>
        <w:t>Formation des experts</w:t>
      </w:r>
      <w:r w:rsidR="00C34496">
        <w:rPr>
          <w:lang w:val="fr-FR"/>
        </w:rPr>
        <w:t> </w:t>
      </w:r>
      <w:r w:rsidRPr="00551135">
        <w:rPr>
          <w:lang w:val="fr-FR"/>
        </w:rPr>
        <w:t>»</w:t>
      </w:r>
    </w:p>
    <w:p w14:paraId="5AFC141C" w14:textId="731613C1" w:rsidR="004A5835" w:rsidRDefault="004A5835" w:rsidP="00BE2F70">
      <w:pPr>
        <w:pStyle w:val="H1G"/>
        <w:rPr>
          <w:rFonts w:eastAsia="Calibri"/>
          <w:lang w:val="fr-FR"/>
        </w:rPr>
      </w:pPr>
      <w:r w:rsidRPr="00551135">
        <w:rPr>
          <w:lang w:val="fr-FR"/>
        </w:rPr>
        <w:tab/>
      </w:r>
      <w:r w:rsidR="00BE2F70">
        <w:rPr>
          <w:lang w:val="fr-FR"/>
        </w:rPr>
        <w:tab/>
      </w:r>
      <w:r w:rsidR="00BE2F70">
        <w:rPr>
          <w:lang w:val="fr-FR"/>
        </w:rPr>
        <w:tab/>
      </w:r>
      <w:r w:rsidRPr="00551135">
        <w:rPr>
          <w:lang w:val="fr-FR"/>
        </w:rPr>
        <w:t>Communication de la Commission centrale pour la navigation du</w:t>
      </w:r>
      <w:r>
        <w:rPr>
          <w:lang w:val="fr-FR"/>
        </w:rPr>
        <w:t xml:space="preserve"> Rhin (CCNR</w:t>
      </w:r>
      <w:r w:rsidRPr="00B0525C">
        <w:rPr>
          <w:b w:val="0"/>
          <w:bCs/>
          <w:lang w:val="fr-FR"/>
        </w:rPr>
        <w:t>)</w:t>
      </w:r>
      <w:r w:rsidR="00B0525C" w:rsidRPr="00B0525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B0525C">
        <w:rPr>
          <w:rFonts w:eastAsia="Calibri"/>
          <w:b w:val="0"/>
          <w:bCs/>
          <w:sz w:val="20"/>
          <w:vertAlign w:val="superscript"/>
          <w:lang w:val="fr-FR"/>
        </w:rPr>
        <w:t>,</w:t>
      </w:r>
      <w:r w:rsidRPr="00B0525C">
        <w:rPr>
          <w:rFonts w:eastAsia="Calibri"/>
          <w:b w:val="0"/>
          <w:bCs/>
          <w:sz w:val="20"/>
          <w:lang w:val="fr-FR"/>
        </w:rPr>
        <w:t xml:space="preserve"> </w:t>
      </w:r>
      <w:r w:rsidR="00B0525C" w:rsidRPr="00B0525C">
        <w:rPr>
          <w:rStyle w:val="Appelnotedebasdep"/>
          <w:rFonts w:eastAsia="Calibri"/>
          <w:b w:val="0"/>
          <w:bCs/>
          <w:sz w:val="20"/>
          <w:vertAlign w:val="baseline"/>
        </w:rPr>
        <w:footnoteReference w:customMarkFollows="1" w:id="3"/>
        <w:t>**</w:t>
      </w:r>
    </w:p>
    <w:p w14:paraId="6EFE3187" w14:textId="3DB678E1" w:rsidR="004A5835" w:rsidRPr="00551135" w:rsidRDefault="004A5835" w:rsidP="00BE2F70">
      <w:pPr>
        <w:pStyle w:val="SingleTxtG"/>
        <w:rPr>
          <w:rFonts w:eastAsia="Calibri"/>
          <w:lang w:val="fr-FR"/>
        </w:rPr>
      </w:pPr>
      <w:r w:rsidRPr="00551135">
        <w:rPr>
          <w:rFonts w:eastAsia="Calibri"/>
          <w:lang w:val="fr-FR"/>
        </w:rPr>
        <w:t>1.</w:t>
      </w:r>
      <w:r w:rsidRPr="00551135">
        <w:rPr>
          <w:rFonts w:eastAsia="Calibri"/>
          <w:lang w:val="fr-FR"/>
        </w:rPr>
        <w:tab/>
        <w:t>La tâche du groupe de travail informel « formation des experts » est d</w:t>
      </w:r>
      <w:r w:rsidR="00B0525C">
        <w:rPr>
          <w:rFonts w:eastAsia="Calibri"/>
          <w:lang w:val="fr-FR"/>
        </w:rPr>
        <w:t>’</w:t>
      </w:r>
      <w:r w:rsidRPr="00551135">
        <w:rPr>
          <w:rFonts w:eastAsia="Calibri"/>
          <w:lang w:val="fr-FR"/>
        </w:rPr>
        <w:t>assurer l</w:t>
      </w:r>
      <w:r w:rsidR="00B0525C">
        <w:rPr>
          <w:rFonts w:eastAsia="Calibri"/>
          <w:lang w:val="fr-FR"/>
        </w:rPr>
        <w:t>’</w:t>
      </w:r>
      <w:r w:rsidRPr="00551135">
        <w:rPr>
          <w:rFonts w:eastAsia="Calibri"/>
          <w:lang w:val="fr-FR"/>
        </w:rPr>
        <w:t>élaboration et l</w:t>
      </w:r>
      <w:r w:rsidR="00B0525C">
        <w:rPr>
          <w:rFonts w:eastAsia="Calibri"/>
          <w:lang w:val="fr-FR"/>
        </w:rPr>
        <w:t>’</w:t>
      </w:r>
      <w:r w:rsidRPr="00551135">
        <w:rPr>
          <w:rFonts w:eastAsia="Calibri"/>
          <w:lang w:val="fr-FR"/>
        </w:rPr>
        <w:t>adaptation permanente du catalogue de questions de l</w:t>
      </w:r>
      <w:r w:rsidR="00B0525C">
        <w:rPr>
          <w:rFonts w:eastAsia="Calibri"/>
          <w:lang w:val="fr-FR"/>
        </w:rPr>
        <w:t>’</w:t>
      </w:r>
      <w:r w:rsidRPr="00551135">
        <w:rPr>
          <w:rFonts w:eastAsia="Calibri"/>
          <w:lang w:val="fr-FR"/>
        </w:rPr>
        <w:t>ADN (Mandat conformément à la résolution du Comité de sécurité ADN adoptée lors de sa quatorzième session : ECE/TRANS/WP.15/AC.2/30, par. 38</w:t>
      </w:r>
      <w:r w:rsidR="00B0525C">
        <w:rPr>
          <w:rFonts w:eastAsia="Calibri"/>
          <w:lang w:val="fr-FR"/>
        </w:rPr>
        <w:t>-</w:t>
      </w:r>
      <w:r w:rsidRPr="00551135">
        <w:rPr>
          <w:rFonts w:eastAsia="Calibri"/>
          <w:lang w:val="fr-FR"/>
        </w:rPr>
        <w:t xml:space="preserve">40, voir aussi </w:t>
      </w:r>
      <w:r w:rsidR="00A05C0E" w:rsidRPr="00A05C0E">
        <w:rPr>
          <w:lang w:val="fr-FR"/>
        </w:rPr>
        <w:t xml:space="preserve"> </w:t>
      </w:r>
      <w:r w:rsidR="00A05C0E">
        <w:rPr>
          <w:lang w:val="fr-FR"/>
        </w:rPr>
        <w:t>document informel</w:t>
      </w:r>
      <w:r w:rsidR="00A05C0E" w:rsidRPr="00551135">
        <w:rPr>
          <w:rFonts w:eastAsia="Calibri"/>
          <w:lang w:val="fr-FR"/>
        </w:rPr>
        <w:t xml:space="preserve"> </w:t>
      </w:r>
      <w:r w:rsidRPr="00551135">
        <w:rPr>
          <w:rFonts w:eastAsia="Calibri"/>
          <w:lang w:val="fr-FR"/>
        </w:rPr>
        <w:t>INF.12</w:t>
      </w:r>
      <w:r w:rsidR="00C918A9">
        <w:rPr>
          <w:rFonts w:eastAsia="Calibri"/>
          <w:lang w:val="fr-FR"/>
        </w:rPr>
        <w:t xml:space="preserve"> </w:t>
      </w:r>
      <w:r w:rsidR="00C918A9">
        <w:rPr>
          <w:lang w:val="fr-FR"/>
        </w:rPr>
        <w:t>de la quatorzième session</w:t>
      </w:r>
      <w:r w:rsidRPr="00551135">
        <w:rPr>
          <w:rFonts w:eastAsia="Calibri"/>
          <w:lang w:val="fr-FR"/>
        </w:rPr>
        <w:t>).</w:t>
      </w:r>
    </w:p>
    <w:p w14:paraId="3FA9F8E1" w14:textId="77777777" w:rsidR="004A5835" w:rsidRPr="00551135" w:rsidRDefault="004A5835" w:rsidP="00BE2F70">
      <w:pPr>
        <w:pStyle w:val="SingleTxtG"/>
        <w:rPr>
          <w:rFonts w:eastAsia="Calibri"/>
          <w:lang w:val="fr-FR"/>
        </w:rPr>
      </w:pPr>
      <w:r w:rsidRPr="00551135">
        <w:rPr>
          <w:rFonts w:eastAsia="Calibri"/>
          <w:lang w:val="fr-FR"/>
        </w:rPr>
        <w:t>2.</w:t>
      </w:r>
      <w:r w:rsidRPr="00551135">
        <w:rPr>
          <w:rFonts w:eastAsia="Calibri"/>
          <w:lang w:val="fr-FR"/>
        </w:rPr>
        <w:tab/>
        <w:t>Les principales tâches du groupe de travail informel « formation des experts » pour les années 2022/2023 sont les suivantes :</w:t>
      </w:r>
    </w:p>
    <w:p w14:paraId="76BD9E1C" w14:textId="1C481520" w:rsidR="004A5835" w:rsidRPr="00551135" w:rsidRDefault="00BA1380" w:rsidP="00BE2F70">
      <w:pPr>
        <w:pStyle w:val="SingleTxtG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 w:rsidR="003465C3">
        <w:rPr>
          <w:rFonts w:eastAsia="Calibri"/>
          <w:lang w:val="fr-FR"/>
        </w:rPr>
        <w:t>a)</w:t>
      </w:r>
      <w:r w:rsidR="003465C3">
        <w:rPr>
          <w:rFonts w:eastAsia="Calibri"/>
          <w:lang w:val="fr-FR"/>
        </w:rPr>
        <w:tab/>
      </w:r>
      <w:r w:rsidR="004A5835" w:rsidRPr="00551135">
        <w:rPr>
          <w:rFonts w:eastAsia="Calibri"/>
          <w:lang w:val="fr-FR"/>
        </w:rPr>
        <w:t>Adaptation permanente du catalogue de questions (Priorité I, voir N</w:t>
      </w:r>
      <w:r w:rsidR="00B0525C">
        <w:rPr>
          <w:rFonts w:eastAsia="Calibri"/>
          <w:lang w:val="fr-FR"/>
        </w:rPr>
        <w:t>o </w:t>
      </w:r>
      <w:r w:rsidR="004A5835" w:rsidRPr="00551135">
        <w:rPr>
          <w:rFonts w:eastAsia="Calibri"/>
          <w:lang w:val="fr-FR"/>
        </w:rPr>
        <w:t>1)</w:t>
      </w:r>
      <w:r w:rsidR="00B0525C">
        <w:rPr>
          <w:rFonts w:eastAsia="Calibri"/>
          <w:lang w:val="fr-FR"/>
        </w:rPr>
        <w:t> </w:t>
      </w:r>
      <w:r w:rsidR="004A5835" w:rsidRPr="00551135">
        <w:rPr>
          <w:rFonts w:eastAsia="Calibri"/>
          <w:lang w:val="fr-FR"/>
        </w:rPr>
        <w:t>;</w:t>
      </w:r>
    </w:p>
    <w:p w14:paraId="63679839" w14:textId="145F27BF" w:rsidR="004A5835" w:rsidRPr="00551135" w:rsidRDefault="003465C3" w:rsidP="00BE2F70">
      <w:pPr>
        <w:pStyle w:val="SingleTxtG"/>
        <w:rPr>
          <w:rFonts w:eastAsia="Calibri"/>
          <w:lang w:val="fr-FR"/>
        </w:rPr>
      </w:pPr>
      <w:r>
        <w:rPr>
          <w:rFonts w:eastAsia="Calibri"/>
          <w:lang w:val="fr-FR"/>
        </w:rPr>
        <w:tab/>
        <w:t>b)</w:t>
      </w:r>
      <w:r>
        <w:rPr>
          <w:rFonts w:eastAsia="Calibri"/>
          <w:lang w:val="fr-FR"/>
        </w:rPr>
        <w:tab/>
      </w:r>
      <w:r w:rsidR="004A5835" w:rsidRPr="00551135">
        <w:rPr>
          <w:rFonts w:eastAsia="Calibri"/>
          <w:lang w:val="fr-FR"/>
        </w:rPr>
        <w:t>Examen des experts ADN (Priorité I, voir N° 2)</w:t>
      </w:r>
      <w:r>
        <w:rPr>
          <w:rFonts w:eastAsia="Calibri"/>
          <w:lang w:val="fr-FR"/>
        </w:rPr>
        <w:t>.</w:t>
      </w:r>
    </w:p>
    <w:p w14:paraId="2F8A4479" w14:textId="7B7C1326" w:rsidR="00047291" w:rsidRDefault="00047291" w:rsidP="009E0359">
      <w:pPr>
        <w:pStyle w:val="SingleTxtG"/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235"/>
        <w:gridCol w:w="1515"/>
        <w:gridCol w:w="859"/>
        <w:gridCol w:w="913"/>
        <w:gridCol w:w="2667"/>
        <w:gridCol w:w="708"/>
      </w:tblGrid>
      <w:tr w:rsidR="001B0EE2" w:rsidRPr="00602D6B" w14:paraId="4BFF5EAD" w14:textId="77777777" w:rsidTr="007056BA">
        <w:trPr>
          <w:tblHeader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07128" w14:textId="77777777" w:rsidR="00A63978" w:rsidRPr="00602D6B" w:rsidRDefault="00A63978" w:rsidP="00602D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lastRenderedPageBreak/>
              <w:t>N°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B1E571" w14:textId="77777777" w:rsidR="00A63978" w:rsidRPr="00602D6B" w:rsidRDefault="00A63978" w:rsidP="00602D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Tâches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BC1F0E" w14:textId="77777777" w:rsidR="00A63978" w:rsidRPr="00602D6B" w:rsidRDefault="00A63978" w:rsidP="00602D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Mandat/Objet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0315A" w14:textId="77777777" w:rsidR="00A63978" w:rsidRPr="00602D6B" w:rsidRDefault="00A63978" w:rsidP="00602D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Début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23EA8" w14:textId="77777777" w:rsidR="00A63978" w:rsidRPr="00602D6B" w:rsidRDefault="00A63978" w:rsidP="00602D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Fin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DAA1A0" w14:textId="77777777" w:rsidR="00A63978" w:rsidRPr="00602D6B" w:rsidRDefault="00A63978" w:rsidP="00602D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Référence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7754DD" w14:textId="77777777" w:rsidR="00A63978" w:rsidRPr="00602D6B" w:rsidRDefault="00A63978" w:rsidP="00602D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Priorité</w:t>
            </w:r>
          </w:p>
        </w:tc>
      </w:tr>
      <w:tr w:rsidR="00FE2820" w:rsidRPr="00602D6B" w14:paraId="30CCA866" w14:textId="77777777" w:rsidTr="007056BA">
        <w:trPr>
          <w:trHeight w:val="330"/>
          <w:tblHeader/>
        </w:trPr>
        <w:tc>
          <w:tcPr>
            <w:tcW w:w="626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11D812F9" w14:textId="77777777" w:rsidR="00FE2820" w:rsidRPr="001E195F" w:rsidRDefault="00FE2820" w:rsidP="00602D6B">
            <w:pPr>
              <w:spacing w:before="40" w:after="120"/>
              <w:ind w:right="113"/>
              <w:rPr>
                <w:rFonts w:eastAsia="Calibri"/>
                <w:i/>
                <w:sz w:val="16"/>
                <w:szCs w:val="16"/>
                <w:lang w:val="fr-FR"/>
              </w:rPr>
            </w:pPr>
            <w:r w:rsidRPr="001E195F">
              <w:rPr>
                <w:rFonts w:eastAsia="Calibri"/>
                <w:i/>
                <w:sz w:val="16"/>
                <w:szCs w:val="16"/>
                <w:lang w:val="fr-FR"/>
              </w:rPr>
              <w:t>Description des tâches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auto"/>
          </w:tcPr>
          <w:p w14:paraId="295C888A" w14:textId="77777777" w:rsidR="00FE2820" w:rsidRPr="001E195F" w:rsidRDefault="00FE2820" w:rsidP="00602D6B">
            <w:pPr>
              <w:spacing w:before="40" w:after="120"/>
              <w:ind w:right="113"/>
              <w:rPr>
                <w:rFonts w:eastAsia="Calibri"/>
                <w:i/>
                <w:sz w:val="16"/>
                <w:szCs w:val="16"/>
                <w:lang w:val="fr-FR"/>
              </w:rPr>
            </w:pPr>
            <w:r w:rsidRPr="001E195F">
              <w:rPr>
                <w:rFonts w:eastAsia="Calibri"/>
                <w:i/>
                <w:sz w:val="16"/>
                <w:szCs w:val="16"/>
                <w:lang w:val="fr-FR"/>
              </w:rPr>
              <w:t>Traitement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5DEEE4CE" w14:textId="77777777" w:rsidR="00FE2820" w:rsidRPr="00602D6B" w:rsidRDefault="00FE2820" w:rsidP="00602D6B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</w:p>
        </w:tc>
      </w:tr>
      <w:tr w:rsidR="003B3916" w:rsidRPr="00602D6B" w14:paraId="4B1A20D6" w14:textId="77777777" w:rsidTr="007056BA">
        <w:trPr>
          <w:trHeight w:hRule="exact" w:val="113"/>
          <w:tblHeader/>
        </w:trPr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</w:tcPr>
          <w:p w14:paraId="3A45F79D" w14:textId="77777777" w:rsidR="003B3916" w:rsidRPr="00602D6B" w:rsidRDefault="003B3916" w:rsidP="00602D6B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</w:p>
        </w:tc>
        <w:tc>
          <w:tcPr>
            <w:tcW w:w="552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93907DF" w14:textId="77777777" w:rsidR="003B3916" w:rsidRPr="001E195F" w:rsidRDefault="003B3916" w:rsidP="00602D6B">
            <w:pPr>
              <w:spacing w:before="40" w:after="120"/>
              <w:ind w:right="113"/>
              <w:rPr>
                <w:rFonts w:eastAsia="Calibri"/>
                <w:i/>
                <w:sz w:val="16"/>
                <w:szCs w:val="16"/>
                <w:lang w:val="fr-FR"/>
              </w:rPr>
            </w:pP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</w:tcPr>
          <w:p w14:paraId="0BEFB495" w14:textId="77777777" w:rsidR="003B3916" w:rsidRPr="001E195F" w:rsidRDefault="003B3916" w:rsidP="00602D6B">
            <w:pPr>
              <w:spacing w:before="40" w:after="120"/>
              <w:ind w:right="113"/>
              <w:rPr>
                <w:rFonts w:eastAsia="Calibri"/>
                <w:i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05EF5EF2" w14:textId="77777777" w:rsidR="003B3916" w:rsidRPr="00602D6B" w:rsidRDefault="003B3916" w:rsidP="00602D6B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</w:p>
        </w:tc>
      </w:tr>
      <w:tr w:rsidR="00602D6B" w:rsidRPr="00602D6B" w14:paraId="249C8D4F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36652AAB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14:paraId="6222C540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bCs/>
                <w:lang w:val="fr-FR"/>
              </w:rPr>
              <w:t>Adaptation permanente du catalogue de questions ADN</w:t>
            </w:r>
          </w:p>
        </w:tc>
        <w:tc>
          <w:tcPr>
            <w:tcW w:w="1515" w:type="dxa"/>
            <w:shd w:val="clear" w:color="auto" w:fill="auto"/>
          </w:tcPr>
          <w:p w14:paraId="6AF60E00" w14:textId="0C187E47" w:rsidR="00A63978" w:rsidRPr="00602D6B" w:rsidRDefault="00906EE5" w:rsidP="00602D6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ECE/TRANS/</w:t>
            </w:r>
            <w:r w:rsidR="00A63978" w:rsidRPr="00487AB1">
              <w:rPr>
                <w:lang w:val="fr-FR"/>
              </w:rPr>
              <w:t>WP.15/AC.2/32, par. 53</w:t>
            </w:r>
          </w:p>
          <w:p w14:paraId="7C840976" w14:textId="22B12BCF" w:rsidR="00A63978" w:rsidRPr="00602D6B" w:rsidRDefault="00290C37" w:rsidP="00602D6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document informel</w:t>
            </w:r>
            <w:r w:rsidR="00A63978" w:rsidRPr="00602D6B">
              <w:rPr>
                <w:lang w:val="fr-FR"/>
              </w:rPr>
              <w:t xml:space="preserve"> INF.12</w:t>
            </w:r>
            <w:r>
              <w:rPr>
                <w:lang w:val="fr-FR"/>
              </w:rPr>
              <w:t xml:space="preserve"> de </w:t>
            </w:r>
            <w:r w:rsidR="00761035">
              <w:rPr>
                <w:lang w:val="fr-FR"/>
              </w:rPr>
              <w:t xml:space="preserve">la </w:t>
            </w:r>
            <w:r w:rsidR="00A77E15">
              <w:rPr>
                <w:lang w:val="fr-FR"/>
              </w:rPr>
              <w:t>quatorzième</w:t>
            </w:r>
            <w:r>
              <w:rPr>
                <w:lang w:val="fr-FR"/>
              </w:rPr>
              <w:t xml:space="preserve"> session</w:t>
            </w:r>
          </w:p>
          <w:p w14:paraId="706BF09F" w14:textId="1657B7D7" w:rsidR="00A63978" w:rsidRPr="00602D6B" w:rsidRDefault="00451450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>
              <w:rPr>
                <w:lang w:val="fr-FR"/>
              </w:rPr>
              <w:t>ECE/TRANS</w:t>
            </w:r>
            <w:r w:rsidR="00BB3CE9">
              <w:rPr>
                <w:lang w:val="fr-FR"/>
              </w:rPr>
              <w:t>/</w:t>
            </w:r>
            <w:r w:rsidR="00A63978" w:rsidRPr="00487AB1">
              <w:rPr>
                <w:lang w:val="fr-FR"/>
              </w:rPr>
              <w:t>WP.15/AC.2/42, par. 48 – 51</w:t>
            </w:r>
          </w:p>
        </w:tc>
        <w:tc>
          <w:tcPr>
            <w:tcW w:w="859" w:type="dxa"/>
            <w:shd w:val="clear" w:color="auto" w:fill="auto"/>
          </w:tcPr>
          <w:p w14:paraId="77FAEE3B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lang w:val="fr-FR"/>
              </w:rPr>
              <w:t>02/2023</w:t>
            </w:r>
          </w:p>
        </w:tc>
        <w:tc>
          <w:tcPr>
            <w:tcW w:w="913" w:type="dxa"/>
            <w:shd w:val="clear" w:color="auto" w:fill="auto"/>
          </w:tcPr>
          <w:p w14:paraId="709251FB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lang w:val="fr-FR"/>
              </w:rPr>
              <w:t>12/2024</w:t>
            </w:r>
          </w:p>
        </w:tc>
        <w:tc>
          <w:tcPr>
            <w:tcW w:w="2667" w:type="dxa"/>
            <w:shd w:val="clear" w:color="auto" w:fill="auto"/>
          </w:tcPr>
          <w:p w14:paraId="385FF076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5398B675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</w:t>
            </w:r>
          </w:p>
        </w:tc>
      </w:tr>
      <w:tr w:rsidR="00602D6B" w:rsidRPr="00602D6B" w14:paraId="316A9D4A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24E5CB45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1.1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1EB3D90E" w14:textId="52D0B602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Vérifier si le système (modalités de travail) permet d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assurer une adaptation permanente régulière et efficace du catalogue de questions de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ADN</w:t>
            </w:r>
          </w:p>
        </w:tc>
        <w:tc>
          <w:tcPr>
            <w:tcW w:w="2667" w:type="dxa"/>
            <w:shd w:val="clear" w:color="auto" w:fill="auto"/>
          </w:tcPr>
          <w:p w14:paraId="749AB065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6D6E0960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602D6B" w:rsidRPr="00602D6B" w14:paraId="0F3B745D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6220EBA2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1.2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23FC9832" w14:textId="4B14A5F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Adaptation du catalogue de questions ADN, état janvier 2023, à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ADN 2025.</w:t>
            </w:r>
          </w:p>
        </w:tc>
        <w:tc>
          <w:tcPr>
            <w:tcW w:w="2667" w:type="dxa"/>
            <w:shd w:val="clear" w:color="auto" w:fill="auto"/>
          </w:tcPr>
          <w:p w14:paraId="2C6770AF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175ABE19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602D6B" w:rsidRPr="00602D6B" w14:paraId="3DB835F6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76EBDEDC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1.2.1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51D19E46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Questions à choix multiple</w:t>
            </w:r>
          </w:p>
        </w:tc>
        <w:tc>
          <w:tcPr>
            <w:tcW w:w="2667" w:type="dxa"/>
            <w:shd w:val="clear" w:color="auto" w:fill="auto"/>
          </w:tcPr>
          <w:p w14:paraId="71B1C31C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Catalogue de questions 2023 Gaz : CCNR-ZKR/ADN/ WG/CQ/2022/5 rev. 2</w:t>
            </w:r>
          </w:p>
          <w:p w14:paraId="4B9707A7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 xml:space="preserve">Catalogue de questions 2023 Chimie : </w:t>
            </w:r>
            <w:r w:rsidRPr="00602D6B">
              <w:rPr>
                <w:lang w:val="fr-FR"/>
              </w:rPr>
              <w:t xml:space="preserve">CCNR-ZKR/ADN/ </w:t>
            </w:r>
            <w:r w:rsidRPr="00602D6B">
              <w:rPr>
                <w:rFonts w:eastAsia="Calibri"/>
                <w:lang w:val="fr-FR"/>
              </w:rPr>
              <w:t>WG/CQ/2022/4 rev. 2</w:t>
            </w:r>
          </w:p>
          <w:p w14:paraId="7C0D5C85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 xml:space="preserve">Catalogue de questions 2023 Généralités : </w:t>
            </w:r>
            <w:r w:rsidRPr="00602D6B">
              <w:rPr>
                <w:lang w:val="fr-FR"/>
              </w:rPr>
              <w:t xml:space="preserve">CCNR-ZKR/ADN/ </w:t>
            </w:r>
            <w:r w:rsidRPr="00602D6B">
              <w:rPr>
                <w:rFonts w:eastAsia="Calibri"/>
                <w:lang w:val="fr-FR"/>
              </w:rPr>
              <w:t>WG/CQ/2022/3 rev. 2</w:t>
            </w:r>
          </w:p>
        </w:tc>
        <w:tc>
          <w:tcPr>
            <w:tcW w:w="708" w:type="dxa"/>
            <w:shd w:val="clear" w:color="auto" w:fill="auto"/>
          </w:tcPr>
          <w:p w14:paraId="27A345C4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</w:t>
            </w:r>
          </w:p>
        </w:tc>
      </w:tr>
      <w:tr w:rsidR="00602D6B" w:rsidRPr="00602D6B" w14:paraId="7CFE9DEA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5EFAFC53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1.2.2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5DAEF3D0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lang w:val="fr-FR"/>
              </w:rPr>
              <w:t>Questions de fond</w:t>
            </w:r>
          </w:p>
        </w:tc>
        <w:tc>
          <w:tcPr>
            <w:tcW w:w="2667" w:type="dxa"/>
            <w:shd w:val="clear" w:color="auto" w:fill="auto"/>
          </w:tcPr>
          <w:p w14:paraId="1BCC4F7A" w14:textId="3E347D4A" w:rsidR="00A63978" w:rsidRPr="00BB3CE9" w:rsidRDefault="009409DD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ECE/TRANS/</w:t>
            </w:r>
            <w:r w:rsidR="00A63978" w:rsidRPr="00BB3CE9">
              <w:rPr>
                <w:rFonts w:eastAsia="Calibri"/>
                <w:lang w:val="fr-FR"/>
              </w:rPr>
              <w:t xml:space="preserve"> WP.15/AC.2/60 par. 20 avec</w:t>
            </w:r>
          </w:p>
          <w:p w14:paraId="0811B7CB" w14:textId="2BEA8E75" w:rsidR="00A63978" w:rsidRPr="00BB3CE9" w:rsidRDefault="0019761A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BB3CE9">
              <w:rPr>
                <w:lang w:val="fr-FR"/>
              </w:rPr>
              <w:t>document informel</w:t>
            </w:r>
            <w:r w:rsidRPr="00BB3CE9">
              <w:rPr>
                <w:rFonts w:eastAsia="Calibri"/>
                <w:lang w:val="fr-FR"/>
              </w:rPr>
              <w:t xml:space="preserve"> </w:t>
            </w:r>
            <w:r w:rsidR="00A63978" w:rsidRPr="00BB3CE9">
              <w:rPr>
                <w:rFonts w:eastAsia="Calibri"/>
                <w:lang w:val="fr-FR"/>
              </w:rPr>
              <w:t xml:space="preserve">INF.5 </w:t>
            </w:r>
            <w:r w:rsidRPr="00BB3CE9">
              <w:rPr>
                <w:rFonts w:eastAsia="Calibri"/>
                <w:lang w:val="fr-FR"/>
              </w:rPr>
              <w:t xml:space="preserve">de la </w:t>
            </w:r>
            <w:r w:rsidR="004C5687" w:rsidRPr="00BB3CE9">
              <w:rPr>
                <w:rFonts w:eastAsia="Calibri"/>
                <w:lang w:val="fr-FR"/>
              </w:rPr>
              <w:t>v</w:t>
            </w:r>
            <w:r w:rsidR="00C86C35">
              <w:rPr>
                <w:rFonts w:eastAsia="Calibri"/>
                <w:lang w:val="fr-FR"/>
              </w:rPr>
              <w:t>i</w:t>
            </w:r>
            <w:r w:rsidR="0019288D">
              <w:rPr>
                <w:rFonts w:eastAsia="Calibri"/>
                <w:lang w:val="fr-FR"/>
              </w:rPr>
              <w:t>ngt</w:t>
            </w:r>
            <w:r w:rsidR="004C5687" w:rsidRPr="00BB3CE9">
              <w:rPr>
                <w:rFonts w:eastAsia="Calibri"/>
                <w:lang w:val="fr-FR"/>
              </w:rPr>
              <w:t>-</w:t>
            </w:r>
            <w:r w:rsidR="00E62DB1" w:rsidRPr="00BB3CE9">
              <w:rPr>
                <w:rFonts w:eastAsia="Calibri"/>
                <w:lang w:val="fr-FR"/>
              </w:rPr>
              <w:t>neuvième</w:t>
            </w:r>
            <w:r w:rsidR="009923CF" w:rsidRPr="00BB3CE9">
              <w:rPr>
                <w:rFonts w:eastAsia="Calibri"/>
                <w:lang w:val="fr-FR"/>
              </w:rPr>
              <w:t xml:space="preserve"> session, </w:t>
            </w:r>
            <w:r w:rsidR="00A63978" w:rsidRPr="00BB3CE9">
              <w:rPr>
                <w:rFonts w:eastAsia="Calibri"/>
                <w:lang w:val="fr-FR"/>
              </w:rPr>
              <w:t>par. 14</w:t>
            </w:r>
          </w:p>
          <w:p w14:paraId="2AC48A44" w14:textId="6067F844" w:rsidR="00A63978" w:rsidRPr="00BB3CE9" w:rsidRDefault="00270600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ECE/TRANS/</w:t>
            </w:r>
            <w:r w:rsidR="00A63978" w:rsidRPr="00BB3CE9">
              <w:rPr>
                <w:rFonts w:eastAsia="Calibri"/>
                <w:lang w:val="fr-FR"/>
              </w:rPr>
              <w:t>WP.15/AC.2/70 par. 21 c)</w:t>
            </w:r>
          </w:p>
        </w:tc>
        <w:tc>
          <w:tcPr>
            <w:tcW w:w="708" w:type="dxa"/>
            <w:shd w:val="clear" w:color="auto" w:fill="auto"/>
          </w:tcPr>
          <w:p w14:paraId="50F909ED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II</w:t>
            </w:r>
          </w:p>
        </w:tc>
      </w:tr>
      <w:tr w:rsidR="00602D6B" w:rsidRPr="00602D6B" w14:paraId="5469DAAA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4EFD0B86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1.3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5CAFF4B6" w14:textId="02283C29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bCs/>
                <w:lang w:val="fr-FR"/>
              </w:rPr>
              <w:t>Le groupe de travail informel clarifie les questions spécifiques relatives au catalogue de questions soumises par le Comité de sécurité pour examen et élabore des propositions de décisions à l</w:t>
            </w:r>
            <w:r w:rsidR="00B0525C">
              <w:rPr>
                <w:rFonts w:eastAsia="Calibri"/>
                <w:bCs/>
                <w:lang w:val="fr-FR"/>
              </w:rPr>
              <w:t>’</w:t>
            </w:r>
            <w:r w:rsidRPr="00602D6B">
              <w:rPr>
                <w:rFonts w:eastAsia="Calibri"/>
                <w:bCs/>
                <w:lang w:val="fr-FR"/>
              </w:rPr>
              <w:t>intention du Comité de sécurité de l</w:t>
            </w:r>
            <w:r w:rsidR="00B0525C">
              <w:rPr>
                <w:rFonts w:eastAsia="Calibri"/>
                <w:bCs/>
                <w:lang w:val="fr-FR"/>
              </w:rPr>
              <w:t>’</w:t>
            </w:r>
            <w:r w:rsidRPr="00602D6B">
              <w:rPr>
                <w:rFonts w:eastAsia="Calibri"/>
                <w:bCs/>
                <w:lang w:val="fr-FR"/>
              </w:rPr>
              <w:t>ADN.</w:t>
            </w:r>
          </w:p>
        </w:tc>
        <w:tc>
          <w:tcPr>
            <w:tcW w:w="2667" w:type="dxa"/>
            <w:shd w:val="clear" w:color="auto" w:fill="auto"/>
          </w:tcPr>
          <w:p w14:paraId="654BCC92" w14:textId="77777777" w:rsidR="00A63978" w:rsidRPr="00BB3CE9" w:rsidRDefault="00A63978" w:rsidP="00602D6B">
            <w:pPr>
              <w:spacing w:before="40" w:after="120"/>
              <w:ind w:right="113"/>
              <w:rPr>
                <w:rFonts w:eastAsia="Arial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27F3F0CE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</w:t>
            </w:r>
          </w:p>
        </w:tc>
      </w:tr>
      <w:tr w:rsidR="00602D6B" w:rsidRPr="00602D6B" w14:paraId="56B75D71" w14:textId="77777777" w:rsidTr="007056BA">
        <w:trPr>
          <w:trHeight w:val="646"/>
          <w:tblHeader/>
        </w:trPr>
        <w:tc>
          <w:tcPr>
            <w:tcW w:w="742" w:type="dxa"/>
            <w:shd w:val="clear" w:color="auto" w:fill="auto"/>
          </w:tcPr>
          <w:p w14:paraId="7BF67EB3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1.3.1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3A679C27" w14:textId="67BB589D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bCs/>
                <w:lang w:val="fr-FR"/>
              </w:rPr>
              <w:t xml:space="preserve">Révision des questions relatives aux premiers secours en tenant compte des évolutions au sein du </w:t>
            </w:r>
            <w:r w:rsidR="009F4B0B" w:rsidRPr="009F4B0B">
              <w:rPr>
                <w:rFonts w:eastAsia="Calibri"/>
                <w:bCs/>
                <w:lang w:val="fr-FR"/>
              </w:rPr>
              <w:t>Comité européen pour l</w:t>
            </w:r>
            <w:r w:rsidR="00B0525C">
              <w:rPr>
                <w:rFonts w:eastAsia="Calibri"/>
                <w:bCs/>
                <w:lang w:val="fr-FR"/>
              </w:rPr>
              <w:t>’</w:t>
            </w:r>
            <w:r w:rsidR="009F4B0B" w:rsidRPr="009F4B0B">
              <w:rPr>
                <w:rFonts w:eastAsia="Calibri"/>
                <w:bCs/>
                <w:lang w:val="fr-FR"/>
              </w:rPr>
              <w:t>élaboration de standards dans le domaine de la navigation intérieure</w:t>
            </w:r>
            <w:r w:rsidR="009F4B0B">
              <w:rPr>
                <w:rFonts w:eastAsia="Calibri"/>
                <w:bCs/>
                <w:lang w:val="fr-FR"/>
              </w:rPr>
              <w:t xml:space="preserve"> </w:t>
            </w:r>
            <w:r w:rsidR="00045A86">
              <w:rPr>
                <w:rFonts w:eastAsia="Calibri"/>
                <w:bCs/>
                <w:lang w:val="fr-FR"/>
              </w:rPr>
              <w:t>(</w:t>
            </w:r>
            <w:r w:rsidRPr="00602D6B">
              <w:rPr>
                <w:rFonts w:eastAsia="Calibri"/>
                <w:bCs/>
                <w:lang w:val="fr-FR"/>
              </w:rPr>
              <w:t>CESNI</w:t>
            </w:r>
            <w:r w:rsidR="00045A86">
              <w:rPr>
                <w:rFonts w:eastAsia="Calibri"/>
                <w:bCs/>
                <w:lang w:val="fr-FR"/>
              </w:rPr>
              <w:t>)</w:t>
            </w:r>
          </w:p>
        </w:tc>
        <w:tc>
          <w:tcPr>
            <w:tcW w:w="2667" w:type="dxa"/>
            <w:shd w:val="clear" w:color="auto" w:fill="auto"/>
          </w:tcPr>
          <w:p w14:paraId="33DE5936" w14:textId="0FAC39C6" w:rsidR="00A63978" w:rsidRPr="00BB3CE9" w:rsidRDefault="00270600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ECE/TRANS/</w:t>
            </w:r>
            <w:r w:rsidR="00A63978" w:rsidRPr="00BB3CE9">
              <w:rPr>
                <w:rFonts w:eastAsia="Calibri"/>
                <w:lang w:val="fr-FR"/>
              </w:rPr>
              <w:t>WP.15/AC.2/70 par. 21 a)</w:t>
            </w:r>
          </w:p>
        </w:tc>
        <w:tc>
          <w:tcPr>
            <w:tcW w:w="708" w:type="dxa"/>
            <w:shd w:val="clear" w:color="auto" w:fill="auto"/>
          </w:tcPr>
          <w:p w14:paraId="74114CAC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602D6B" w:rsidRPr="00602D6B" w14:paraId="4FE61E02" w14:textId="77777777" w:rsidTr="00005D91">
        <w:trPr>
          <w:trHeight w:val="1842"/>
          <w:tblHeader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38894BC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1.3.2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229A55" w14:textId="77777777" w:rsidR="00A63978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bCs/>
                <w:lang w:val="fr-FR"/>
              </w:rPr>
              <w:t>Corrections rédactionnelles telles que « Ladeplan/Stauplan »</w:t>
            </w:r>
          </w:p>
          <w:p w14:paraId="39BEE496" w14:textId="2C7AAD72" w:rsidR="008512A0" w:rsidRPr="00602D6B" w:rsidRDefault="008512A0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681B6738" w14:textId="77777777" w:rsidR="00A63978" w:rsidRDefault="00D02E45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ECE/TRANS/</w:t>
            </w:r>
            <w:r w:rsidR="00A63978" w:rsidRPr="007056BA">
              <w:rPr>
                <w:rFonts w:eastAsia="Calibri"/>
                <w:lang w:val="fr-FR"/>
              </w:rPr>
              <w:t>WP.15/AC.2/70 par. 25)</w:t>
            </w:r>
          </w:p>
          <w:p w14:paraId="6B5424BB" w14:textId="11061076" w:rsidR="00FB2A51" w:rsidRPr="00E71134" w:rsidRDefault="00FB2A51" w:rsidP="00602D6B">
            <w:pPr>
              <w:spacing w:before="40" w:after="120"/>
              <w:ind w:right="113"/>
              <w:rPr>
                <w:rFonts w:eastAsia="Calibri"/>
                <w:highlight w:val="yellow"/>
                <w:lang w:val="fr-F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6121CC3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926F70" w:rsidRPr="00602D6B" w14:paraId="74A588F1" w14:textId="77777777" w:rsidTr="007056BA">
        <w:trPr>
          <w:tblHeader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3594E2" w14:textId="2C06ACE6" w:rsidR="00926F70" w:rsidRPr="00602D6B" w:rsidRDefault="00926F70" w:rsidP="00FB6C80">
            <w:pPr>
              <w:keepNext/>
              <w:keepLines/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lastRenderedPageBreak/>
              <w:t>N°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9D6B61" w14:textId="1723B32C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Tâches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D5ACE" w14:textId="4F9D5AA0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Mandat/Objet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016044" w14:textId="62AA9C71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Début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D6B27E" w14:textId="46407F9B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Fin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A88E8" w14:textId="336C2E02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Référence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B303CC" w14:textId="582DCE41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Priorité</w:t>
            </w:r>
          </w:p>
        </w:tc>
      </w:tr>
      <w:tr w:rsidR="00926F70" w:rsidRPr="00602D6B" w14:paraId="7817B030" w14:textId="77777777" w:rsidTr="007056BA">
        <w:trPr>
          <w:tblHeader/>
        </w:trPr>
        <w:tc>
          <w:tcPr>
            <w:tcW w:w="626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80A7B3" w14:textId="362BFECD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1E195F">
              <w:rPr>
                <w:rFonts w:eastAsia="Calibri"/>
                <w:i/>
                <w:sz w:val="16"/>
                <w:szCs w:val="16"/>
                <w:lang w:val="fr-FR"/>
              </w:rPr>
              <w:t>Description des tâches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AE53BF" w14:textId="50DAE220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1E195F">
              <w:rPr>
                <w:rFonts w:eastAsia="Calibri"/>
                <w:i/>
                <w:sz w:val="16"/>
                <w:szCs w:val="16"/>
                <w:lang w:val="fr-FR"/>
              </w:rPr>
              <w:t>Traitement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CF986F" w14:textId="77777777" w:rsidR="00926F70" w:rsidRPr="00602D6B" w:rsidRDefault="00926F70" w:rsidP="00926F70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DB4384" w:rsidRPr="00602D6B" w14:paraId="78CF7FCF" w14:textId="77777777" w:rsidTr="007056BA">
        <w:trPr>
          <w:trHeight w:hRule="exact" w:val="113"/>
          <w:tblHeader/>
        </w:trPr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</w:tcPr>
          <w:p w14:paraId="4C6C505A" w14:textId="77777777" w:rsidR="00DB4384" w:rsidRPr="00602D6B" w:rsidRDefault="00DB4384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14:paraId="72536CC0" w14:textId="77777777" w:rsidR="00DB4384" w:rsidRPr="00602D6B" w:rsidRDefault="00DB4384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</w:tcPr>
          <w:p w14:paraId="057FFCB6" w14:textId="77777777" w:rsidR="00DB4384" w:rsidRPr="00602D6B" w:rsidRDefault="00DB4384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</w:tcPr>
          <w:p w14:paraId="1A0E8871" w14:textId="77777777" w:rsidR="00DB4384" w:rsidRPr="00602D6B" w:rsidRDefault="00DB4384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</w:tcPr>
          <w:p w14:paraId="3A9524FA" w14:textId="77777777" w:rsidR="00DB4384" w:rsidRPr="00602D6B" w:rsidRDefault="00DB4384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</w:tcPr>
          <w:p w14:paraId="06B86111" w14:textId="77777777" w:rsidR="00DB4384" w:rsidRPr="00602D6B" w:rsidRDefault="00DB4384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6A707F46" w14:textId="77777777" w:rsidR="00DB4384" w:rsidRPr="00602D6B" w:rsidRDefault="00DB4384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602D6B" w:rsidRPr="00602D6B" w14:paraId="544DF034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4A1A2345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2.</w:t>
            </w:r>
          </w:p>
        </w:tc>
        <w:tc>
          <w:tcPr>
            <w:tcW w:w="2235" w:type="dxa"/>
            <w:shd w:val="clear" w:color="auto" w:fill="auto"/>
          </w:tcPr>
          <w:p w14:paraId="67C7E129" w14:textId="58B27D29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Le groupe de travail informel clarifie les questions spécifiques relatives à la formation et à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examen des experts ADN que le Comité de sécurité de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ADN et le Comité d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administration lui soumettent pour traitement et élabore des projets de décisions à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intention du Comité de sécurité de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ADN et du Comité d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administration de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ADN.</w:t>
            </w:r>
          </w:p>
        </w:tc>
        <w:tc>
          <w:tcPr>
            <w:tcW w:w="1515" w:type="dxa"/>
            <w:shd w:val="clear" w:color="auto" w:fill="auto"/>
          </w:tcPr>
          <w:p w14:paraId="7A15CC97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</w:p>
        </w:tc>
        <w:tc>
          <w:tcPr>
            <w:tcW w:w="859" w:type="dxa"/>
            <w:shd w:val="clear" w:color="auto" w:fill="auto"/>
          </w:tcPr>
          <w:p w14:paraId="3156AFDF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 xml:space="preserve">02/2023 </w:t>
            </w:r>
          </w:p>
        </w:tc>
        <w:tc>
          <w:tcPr>
            <w:tcW w:w="913" w:type="dxa"/>
            <w:shd w:val="clear" w:color="auto" w:fill="auto"/>
          </w:tcPr>
          <w:p w14:paraId="65A5D0F5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12/2024</w:t>
            </w:r>
          </w:p>
        </w:tc>
        <w:tc>
          <w:tcPr>
            <w:tcW w:w="2667" w:type="dxa"/>
            <w:shd w:val="clear" w:color="auto" w:fill="auto"/>
          </w:tcPr>
          <w:p w14:paraId="254E23C4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41BEEB19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II</w:t>
            </w:r>
          </w:p>
        </w:tc>
      </w:tr>
      <w:tr w:rsidR="00602D6B" w:rsidRPr="00602D6B" w14:paraId="78DEDF1F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4D04D7BA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2.1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4DD4D66F" w14:textId="0D600B28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Adaptation de la « Directive du Comité d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administration pour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utilisation du catalogue de questions pour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examen d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expert ADN » en fonction de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avancement du traitement du catalogue de questions de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ADN</w:t>
            </w:r>
            <w:r w:rsidR="000C6FE5">
              <w:rPr>
                <w:rFonts w:eastAsia="Calibri"/>
                <w:lang w:val="fr-FR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14:paraId="79332E52" w14:textId="1A809F2D" w:rsidR="00A63978" w:rsidRPr="00602D6B" w:rsidRDefault="00362F1A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ECE/TRANS/</w:t>
            </w:r>
            <w:r w:rsidR="00A63978" w:rsidRPr="00602D6B">
              <w:rPr>
                <w:rFonts w:eastAsia="Calibri"/>
                <w:lang w:val="fr-FR"/>
              </w:rPr>
              <w:t>WP.15/AC.2/2019/7</w:t>
            </w:r>
          </w:p>
        </w:tc>
        <w:tc>
          <w:tcPr>
            <w:tcW w:w="708" w:type="dxa"/>
            <w:shd w:val="clear" w:color="auto" w:fill="auto"/>
          </w:tcPr>
          <w:p w14:paraId="3B85035D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</w:t>
            </w:r>
          </w:p>
        </w:tc>
      </w:tr>
      <w:tr w:rsidR="00602D6B" w:rsidRPr="00602D6B" w14:paraId="1C02CF69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1922AE63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2.1a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6288C4D5" w14:textId="660F24E4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lang w:val="fr-FR"/>
              </w:rPr>
              <w:t>Adaptation de la « Directive du Comité d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administration pour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utilisation du catalogue de questions pour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examen d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expert ADN » selon les autres instructions du Comité de sécurité de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ADN ou du Comité d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administration de l</w:t>
            </w:r>
            <w:r w:rsidR="00B0525C">
              <w:rPr>
                <w:rFonts w:eastAsia="Calibri"/>
                <w:lang w:val="fr-FR"/>
              </w:rPr>
              <w:t>’</w:t>
            </w:r>
            <w:r w:rsidRPr="00602D6B">
              <w:rPr>
                <w:rFonts w:eastAsia="Calibri"/>
                <w:lang w:val="fr-FR"/>
              </w:rPr>
              <w:t>ADN.</w:t>
            </w:r>
          </w:p>
        </w:tc>
        <w:tc>
          <w:tcPr>
            <w:tcW w:w="2667" w:type="dxa"/>
            <w:shd w:val="clear" w:color="auto" w:fill="auto"/>
          </w:tcPr>
          <w:p w14:paraId="33F41A6A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Arial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36A611BA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</w:t>
            </w:r>
          </w:p>
        </w:tc>
      </w:tr>
      <w:tr w:rsidR="00602D6B" w:rsidRPr="00602D6B" w14:paraId="5EFC23EF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32DBA385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2.2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2F1CFDE2" w14:textId="2460A63B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bCs/>
                <w:lang w:val="fr-FR"/>
              </w:rPr>
              <w:t>État des formations et examens au sens du chapitre 8.2 du règlement annexé à l</w:t>
            </w:r>
            <w:r w:rsidR="00B0525C">
              <w:rPr>
                <w:rFonts w:eastAsia="Calibri"/>
                <w:bCs/>
                <w:lang w:val="fr-FR"/>
              </w:rPr>
              <w:t>’</w:t>
            </w:r>
            <w:r w:rsidRPr="00602D6B">
              <w:rPr>
                <w:rFonts w:eastAsia="Calibri"/>
                <w:bCs/>
                <w:lang w:val="fr-FR"/>
              </w:rPr>
              <w:t>ADN</w:t>
            </w:r>
            <w:r w:rsidR="000C6FE5">
              <w:rPr>
                <w:rFonts w:eastAsia="Calibri"/>
                <w:bCs/>
                <w:lang w:val="fr-FR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14:paraId="06449568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Arial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10246324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II</w:t>
            </w:r>
          </w:p>
        </w:tc>
      </w:tr>
      <w:tr w:rsidR="00602D6B" w:rsidRPr="00602D6B" w14:paraId="7CF457F3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09FB6916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2.2.1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0CFB1BA1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bCs/>
                <w:lang w:val="fr-FR"/>
              </w:rPr>
              <w:t>Analyse des statistiques relatives aux examens pour les aspects suivants:</w:t>
            </w:r>
          </w:p>
          <w:p w14:paraId="185FB087" w14:textId="77777777" w:rsidR="00A63978" w:rsidRPr="00602D6B" w:rsidRDefault="00A63978" w:rsidP="00602D6B">
            <w:pPr>
              <w:spacing w:before="40" w:after="120"/>
              <w:ind w:right="113"/>
              <w:rPr>
                <w:lang w:val="fr-FR"/>
              </w:rPr>
            </w:pPr>
            <w:r w:rsidRPr="00602D6B">
              <w:rPr>
                <w:lang w:val="fr-FR"/>
              </w:rPr>
              <w:t>1. .......</w:t>
            </w:r>
          </w:p>
          <w:p w14:paraId="2A03F7FF" w14:textId="77777777" w:rsidR="00A63978" w:rsidRPr="00602D6B" w:rsidRDefault="00A63978" w:rsidP="00602D6B">
            <w:pPr>
              <w:spacing w:before="40" w:after="120"/>
              <w:ind w:right="113"/>
              <w:rPr>
                <w:lang w:val="fr-FR"/>
              </w:rPr>
            </w:pPr>
            <w:r w:rsidRPr="00602D6B">
              <w:rPr>
                <w:lang w:val="fr-FR"/>
              </w:rPr>
              <w:t>2. .......</w:t>
            </w:r>
          </w:p>
          <w:p w14:paraId="754DBA04" w14:textId="77777777" w:rsidR="00A63978" w:rsidRPr="00602D6B" w:rsidRDefault="00A63978" w:rsidP="00602D6B">
            <w:pPr>
              <w:spacing w:before="40" w:after="120"/>
              <w:ind w:right="113"/>
              <w:rPr>
                <w:lang w:val="fr-FR"/>
              </w:rPr>
            </w:pPr>
            <w:r w:rsidRPr="00602D6B">
              <w:rPr>
                <w:lang w:val="fr-FR"/>
              </w:rPr>
              <w:t>3. ........</w:t>
            </w:r>
          </w:p>
        </w:tc>
        <w:tc>
          <w:tcPr>
            <w:tcW w:w="2667" w:type="dxa"/>
            <w:shd w:val="clear" w:color="auto" w:fill="auto"/>
          </w:tcPr>
          <w:p w14:paraId="41E61720" w14:textId="53673B91" w:rsidR="00A63978" w:rsidRPr="00602D6B" w:rsidRDefault="00F94929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ECE/TRANS/</w:t>
            </w:r>
            <w:r w:rsidR="00A63978" w:rsidRPr="00602D6B">
              <w:rPr>
                <w:rFonts w:eastAsia="Calibri"/>
                <w:lang w:val="fr-FR"/>
              </w:rPr>
              <w:t>WP.15/AC.2/48 par. 26 – 27</w:t>
            </w:r>
          </w:p>
          <w:p w14:paraId="54C5659C" w14:textId="06BD2EC2" w:rsidR="00A63978" w:rsidRPr="00602D6B" w:rsidRDefault="00AA17E4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ECE/TRANS/</w:t>
            </w:r>
            <w:r w:rsidR="00A63978" w:rsidRPr="00602D6B">
              <w:rPr>
                <w:rFonts w:eastAsia="Calibri"/>
                <w:lang w:val="fr-FR"/>
              </w:rPr>
              <w:t>WP.15/AC.2/60 par. 20 avec</w:t>
            </w:r>
            <w:r w:rsidR="006A7AB1">
              <w:rPr>
                <w:rFonts w:eastAsia="Calibri"/>
                <w:lang w:val="fr-FR"/>
              </w:rPr>
              <w:t xml:space="preserve"> </w:t>
            </w:r>
            <w:r w:rsidR="00524CB6">
              <w:rPr>
                <w:lang w:val="fr-FR"/>
              </w:rPr>
              <w:t>document informel</w:t>
            </w:r>
            <w:r w:rsidR="00524CB6" w:rsidRPr="00602D6B">
              <w:rPr>
                <w:rFonts w:eastAsia="Calibri"/>
                <w:lang w:val="fr-FR"/>
              </w:rPr>
              <w:t xml:space="preserve"> INF.5 </w:t>
            </w:r>
            <w:r w:rsidR="00524CB6">
              <w:rPr>
                <w:rFonts w:eastAsia="Calibri"/>
                <w:lang w:val="fr-FR"/>
              </w:rPr>
              <w:t>de la v</w:t>
            </w:r>
            <w:r w:rsidR="00750396">
              <w:rPr>
                <w:rFonts w:eastAsia="Calibri"/>
                <w:lang w:val="fr-FR"/>
              </w:rPr>
              <w:t>i</w:t>
            </w:r>
            <w:r w:rsidR="0019288D">
              <w:rPr>
                <w:rFonts w:eastAsia="Calibri"/>
                <w:lang w:val="fr-FR"/>
              </w:rPr>
              <w:t>ngt</w:t>
            </w:r>
            <w:r w:rsidR="00524CB6">
              <w:rPr>
                <w:rFonts w:eastAsia="Calibri"/>
                <w:lang w:val="fr-FR"/>
              </w:rPr>
              <w:t>-ne</w:t>
            </w:r>
            <w:r w:rsidR="00C86C35">
              <w:rPr>
                <w:rFonts w:eastAsia="Calibri"/>
                <w:lang w:val="fr-FR"/>
              </w:rPr>
              <w:t>u</w:t>
            </w:r>
            <w:r w:rsidR="00524CB6">
              <w:rPr>
                <w:rFonts w:eastAsia="Calibri"/>
                <w:lang w:val="fr-FR"/>
              </w:rPr>
              <w:t xml:space="preserve">vième session, </w:t>
            </w:r>
            <w:r w:rsidR="00A63978" w:rsidRPr="00602D6B">
              <w:rPr>
                <w:rFonts w:eastAsia="Calibri"/>
                <w:lang w:val="fr-FR"/>
              </w:rPr>
              <w:t xml:space="preserve"> Nr. 6, par. 29</w:t>
            </w:r>
          </w:p>
        </w:tc>
        <w:tc>
          <w:tcPr>
            <w:tcW w:w="708" w:type="dxa"/>
            <w:shd w:val="clear" w:color="auto" w:fill="auto"/>
          </w:tcPr>
          <w:p w14:paraId="33D7E837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602D6B" w:rsidRPr="00602D6B" w14:paraId="18C30AE8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44DEFA8A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2.3</w:t>
            </w:r>
          </w:p>
        </w:tc>
        <w:tc>
          <w:tcPr>
            <w:tcW w:w="5522" w:type="dxa"/>
            <w:gridSpan w:val="4"/>
            <w:shd w:val="clear" w:color="auto" w:fill="auto"/>
          </w:tcPr>
          <w:p w14:paraId="393E6450" w14:textId="6B845692" w:rsidR="00A63978" w:rsidRPr="00602D6B" w:rsidRDefault="00A63978" w:rsidP="00602D6B">
            <w:pPr>
              <w:spacing w:before="40" w:after="120"/>
              <w:ind w:right="113"/>
              <w:rPr>
                <w:lang w:val="fr-FR"/>
              </w:rPr>
            </w:pPr>
            <w:r w:rsidRPr="00602D6B">
              <w:rPr>
                <w:lang w:val="fr-FR"/>
              </w:rPr>
              <w:t>Examen de la possibilité de l</w:t>
            </w:r>
            <w:r w:rsidR="00B0525C">
              <w:rPr>
                <w:lang w:val="fr-FR"/>
              </w:rPr>
              <w:t>’</w:t>
            </w:r>
            <w:r w:rsidRPr="00602D6B">
              <w:rPr>
                <w:lang w:val="fr-FR"/>
              </w:rPr>
              <w:t>enseignement à distance / en ligne pour les cours de formation de base et de spécialisation et pour les cours de recyclage en tenant compte des concertations menées lors de la réunion commune ADR/RID/ADN</w:t>
            </w:r>
          </w:p>
        </w:tc>
        <w:tc>
          <w:tcPr>
            <w:tcW w:w="2667" w:type="dxa"/>
            <w:shd w:val="clear" w:color="auto" w:fill="auto"/>
          </w:tcPr>
          <w:p w14:paraId="299B2549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Document GT</w:t>
            </w:r>
          </w:p>
          <w:p w14:paraId="3FF21B4A" w14:textId="22B76ACC" w:rsidR="00A63978" w:rsidRPr="00602D6B" w:rsidRDefault="00391261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</w:t>
            </w:r>
            <w:r w:rsidR="00677BFB">
              <w:rPr>
                <w:rFonts w:eastAsia="Calibri"/>
                <w:lang w:val="fr-FR"/>
              </w:rPr>
              <w:t>/TRANS/</w:t>
            </w:r>
            <w:r w:rsidR="00A63978" w:rsidRPr="00602D6B">
              <w:rPr>
                <w:rFonts w:eastAsia="Calibri"/>
                <w:lang w:val="fr-FR"/>
              </w:rPr>
              <w:t>WP.15/AC.2/68 par. 25</w:t>
            </w:r>
          </w:p>
        </w:tc>
        <w:tc>
          <w:tcPr>
            <w:tcW w:w="708" w:type="dxa"/>
            <w:shd w:val="clear" w:color="auto" w:fill="auto"/>
          </w:tcPr>
          <w:p w14:paraId="460DC172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</w:t>
            </w:r>
          </w:p>
        </w:tc>
      </w:tr>
      <w:tr w:rsidR="00602D6B" w:rsidRPr="00602D6B" w14:paraId="5BB6B587" w14:textId="77777777" w:rsidTr="00005D91">
        <w:trPr>
          <w:trHeight w:val="3473"/>
          <w:tblHeader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D862D9E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2.4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90B6E0" w14:textId="22256716" w:rsidR="00A63978" w:rsidRPr="00602D6B" w:rsidRDefault="00A63978" w:rsidP="00602D6B">
            <w:pPr>
              <w:spacing w:before="40" w:after="120"/>
              <w:ind w:right="113"/>
              <w:rPr>
                <w:lang w:val="fr-FR"/>
              </w:rPr>
            </w:pPr>
            <w:r w:rsidRPr="00602D6B">
              <w:rPr>
                <w:lang w:val="fr-FR"/>
              </w:rPr>
              <w:t>Examen de la proposition de l</w:t>
            </w:r>
            <w:r w:rsidR="00B0525C">
              <w:rPr>
                <w:lang w:val="fr-FR"/>
              </w:rPr>
              <w:t>’</w:t>
            </w:r>
            <w:r w:rsidRPr="00602D6B">
              <w:rPr>
                <w:lang w:val="fr-FR"/>
              </w:rPr>
              <w:t>UENF/OEB concernant la prolongation de la durée d</w:t>
            </w:r>
            <w:r w:rsidR="00B0525C">
              <w:rPr>
                <w:lang w:val="fr-FR"/>
              </w:rPr>
              <w:t>’</w:t>
            </w:r>
            <w:r w:rsidRPr="00602D6B">
              <w:rPr>
                <w:lang w:val="fr-FR"/>
              </w:rPr>
              <w:t>examen de 60 minutes à xx minutes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DC49D39" w14:textId="7188CEED" w:rsidR="00A63978" w:rsidRPr="00602D6B" w:rsidRDefault="00032E29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ECE/TRANS/</w:t>
            </w:r>
            <w:r w:rsidR="00A63978" w:rsidRPr="00602D6B">
              <w:rPr>
                <w:rFonts w:eastAsia="Calibri"/>
                <w:lang w:val="fr-FR"/>
              </w:rPr>
              <w:t>WP.15/AC.2/68 par. 24</w:t>
            </w:r>
          </w:p>
          <w:p w14:paraId="1AD05246" w14:textId="28774A7E" w:rsidR="00A63978" w:rsidRPr="00602D6B" w:rsidRDefault="00AB082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</w:t>
            </w:r>
            <w:r w:rsidR="00993C6E">
              <w:rPr>
                <w:rFonts w:eastAsia="Calibri"/>
                <w:lang w:val="fr-FR"/>
              </w:rPr>
              <w:t>TRANS</w:t>
            </w:r>
            <w:r>
              <w:rPr>
                <w:rFonts w:eastAsia="Calibri"/>
                <w:lang w:val="fr-FR"/>
              </w:rPr>
              <w:t>/</w:t>
            </w:r>
            <w:r w:rsidR="00A63978" w:rsidRPr="00602D6B">
              <w:rPr>
                <w:rFonts w:eastAsia="Calibri"/>
                <w:lang w:val="fr-FR"/>
              </w:rPr>
              <w:t>WP.15/AC.2/70 par. 27</w:t>
            </w:r>
          </w:p>
          <w:p w14:paraId="44F1149B" w14:textId="359F0567" w:rsidR="00A63978" w:rsidRPr="00602D6B" w:rsidRDefault="005E4986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ECE/</w:t>
            </w:r>
            <w:r w:rsidR="00D643A0">
              <w:rPr>
                <w:rFonts w:eastAsia="Calibri"/>
                <w:lang w:val="fr-FR"/>
              </w:rPr>
              <w:t>TRANS/</w:t>
            </w:r>
            <w:r w:rsidR="00A63978" w:rsidRPr="00602D6B">
              <w:rPr>
                <w:rFonts w:eastAsia="Calibri"/>
                <w:lang w:val="fr-FR"/>
              </w:rPr>
              <w:t>WP.15/AC.2/72 par. 29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FB05B97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</w:t>
            </w:r>
          </w:p>
        </w:tc>
      </w:tr>
      <w:tr w:rsidR="008B1A53" w:rsidRPr="00602D6B" w14:paraId="342FB3EF" w14:textId="77777777" w:rsidTr="007056BA">
        <w:trPr>
          <w:tblHeader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70AD1D" w14:textId="7009E08A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lastRenderedPageBreak/>
              <w:t>N°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AE39C1" w14:textId="45F80CD6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Tâches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EA83A6" w14:textId="58114D93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Mandat/Objet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C9254F" w14:textId="2AD9E675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Début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A935C5" w14:textId="046AD91E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Fin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099F7" w14:textId="121819BC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Référence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F5294" w14:textId="419FFFDD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i/>
                <w:sz w:val="16"/>
                <w:lang w:val="fr-FR"/>
              </w:rPr>
              <w:t>Priorité</w:t>
            </w:r>
          </w:p>
        </w:tc>
      </w:tr>
      <w:tr w:rsidR="008B1A53" w:rsidRPr="00602D6B" w14:paraId="416BCE4C" w14:textId="77777777" w:rsidTr="007056BA">
        <w:trPr>
          <w:tblHeader/>
        </w:trPr>
        <w:tc>
          <w:tcPr>
            <w:tcW w:w="626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DD0EC2" w14:textId="3D94CB60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1E195F">
              <w:rPr>
                <w:rFonts w:eastAsia="Calibri"/>
                <w:i/>
                <w:sz w:val="16"/>
                <w:szCs w:val="16"/>
                <w:lang w:val="fr-FR"/>
              </w:rPr>
              <w:t>Description des tâches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8C1BCC" w14:textId="104AF2BA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1E195F">
              <w:rPr>
                <w:rFonts w:eastAsia="Calibri"/>
                <w:i/>
                <w:sz w:val="16"/>
                <w:szCs w:val="16"/>
                <w:lang w:val="fr-FR"/>
              </w:rPr>
              <w:t>Traitement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130321" w14:textId="77777777" w:rsidR="008B1A53" w:rsidRPr="00602D6B" w:rsidRDefault="008B1A53" w:rsidP="008B1A53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FF6B0C" w:rsidRPr="00602D6B" w14:paraId="7D20E070" w14:textId="77777777" w:rsidTr="007056BA">
        <w:trPr>
          <w:trHeight w:hRule="exact" w:val="113"/>
          <w:tblHeader/>
        </w:trPr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</w:tcPr>
          <w:p w14:paraId="0E8D5727" w14:textId="77777777" w:rsidR="00FF6B0C" w:rsidRPr="00602D6B" w:rsidRDefault="00FF6B0C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14:paraId="5F551BED" w14:textId="77777777" w:rsidR="00FF6B0C" w:rsidRPr="00602D6B" w:rsidRDefault="00FF6B0C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</w:tcPr>
          <w:p w14:paraId="5F1D4C1B" w14:textId="77777777" w:rsidR="00FF6B0C" w:rsidRPr="00602D6B" w:rsidRDefault="00FF6B0C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</w:tcPr>
          <w:p w14:paraId="01FD8F10" w14:textId="77777777" w:rsidR="00FF6B0C" w:rsidRPr="00602D6B" w:rsidRDefault="00FF6B0C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</w:tcPr>
          <w:p w14:paraId="776617D3" w14:textId="77777777" w:rsidR="00FF6B0C" w:rsidRPr="00602D6B" w:rsidRDefault="00FF6B0C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</w:tcPr>
          <w:p w14:paraId="22ACF0A5" w14:textId="77777777" w:rsidR="00FF6B0C" w:rsidRPr="00602D6B" w:rsidRDefault="00FF6B0C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5F989F37" w14:textId="77777777" w:rsidR="00FF6B0C" w:rsidRPr="00602D6B" w:rsidRDefault="00FF6B0C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602D6B" w:rsidRPr="00602D6B" w14:paraId="3930AD1A" w14:textId="77777777" w:rsidTr="007056BA">
        <w:trPr>
          <w:tblHeader/>
        </w:trPr>
        <w:tc>
          <w:tcPr>
            <w:tcW w:w="742" w:type="dxa"/>
            <w:shd w:val="clear" w:color="auto" w:fill="auto"/>
          </w:tcPr>
          <w:p w14:paraId="0B5ED7AF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bookmarkStart w:id="0" w:name="_Hlk99465620"/>
            <w:r w:rsidRPr="00602D6B">
              <w:rPr>
                <w:rFonts w:eastAsia="Calibri"/>
                <w:lang w:val="fr-FR"/>
              </w:rPr>
              <w:t>3.</w:t>
            </w:r>
          </w:p>
        </w:tc>
        <w:tc>
          <w:tcPr>
            <w:tcW w:w="2235" w:type="dxa"/>
            <w:shd w:val="clear" w:color="auto" w:fill="auto"/>
          </w:tcPr>
          <w:p w14:paraId="50850DAB" w14:textId="17A11EB5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bCs/>
                <w:lang w:val="fr-FR"/>
              </w:rPr>
              <w:t>Le groupe de travail informel traite des questions spécifiques soumises par des délégations ou des membres individuels et rend compte de ses travaux au Comité de sécurité de l</w:t>
            </w:r>
            <w:r w:rsidR="00B0525C">
              <w:rPr>
                <w:rFonts w:eastAsia="Calibri"/>
                <w:bCs/>
                <w:lang w:val="fr-FR"/>
              </w:rPr>
              <w:t>’</w:t>
            </w:r>
            <w:r w:rsidRPr="00602D6B">
              <w:rPr>
                <w:rFonts w:eastAsia="Calibri"/>
                <w:bCs/>
                <w:lang w:val="fr-FR"/>
              </w:rPr>
              <w:t>ADN.</w:t>
            </w:r>
          </w:p>
        </w:tc>
        <w:tc>
          <w:tcPr>
            <w:tcW w:w="1515" w:type="dxa"/>
            <w:shd w:val="clear" w:color="auto" w:fill="auto"/>
          </w:tcPr>
          <w:p w14:paraId="1B6A42B3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</w:p>
        </w:tc>
        <w:tc>
          <w:tcPr>
            <w:tcW w:w="859" w:type="dxa"/>
            <w:shd w:val="clear" w:color="auto" w:fill="auto"/>
          </w:tcPr>
          <w:p w14:paraId="568D7DE1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Tâche perma-nente</w:t>
            </w:r>
          </w:p>
        </w:tc>
        <w:tc>
          <w:tcPr>
            <w:tcW w:w="913" w:type="dxa"/>
            <w:shd w:val="clear" w:color="auto" w:fill="auto"/>
          </w:tcPr>
          <w:p w14:paraId="0D230B11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667" w:type="dxa"/>
            <w:shd w:val="clear" w:color="auto" w:fill="auto"/>
          </w:tcPr>
          <w:p w14:paraId="146C34FD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16398F07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II</w:t>
            </w:r>
          </w:p>
        </w:tc>
      </w:tr>
      <w:bookmarkEnd w:id="0"/>
      <w:tr w:rsidR="00602D6B" w:rsidRPr="00602D6B" w14:paraId="2DC0B707" w14:textId="77777777" w:rsidTr="007056BA">
        <w:trPr>
          <w:tblHeader/>
        </w:trPr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</w:tcPr>
          <w:p w14:paraId="1B6D82B5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3.1</w:t>
            </w:r>
          </w:p>
        </w:tc>
        <w:tc>
          <w:tcPr>
            <w:tcW w:w="552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33C1F70" w14:textId="77777777" w:rsidR="00A63978" w:rsidRPr="00602D6B" w:rsidDel="007767E2" w:rsidRDefault="00A63978" w:rsidP="00602D6B">
            <w:pPr>
              <w:spacing w:before="40" w:after="120"/>
              <w:ind w:right="113"/>
              <w:rPr>
                <w:rFonts w:eastAsia="Calibri"/>
                <w:bCs/>
                <w:lang w:val="fr-FR"/>
              </w:rPr>
            </w:pPr>
            <w:r w:rsidRPr="00602D6B">
              <w:rPr>
                <w:rFonts w:eastAsia="Calibri"/>
                <w:bCs/>
                <w:lang w:val="fr-FR"/>
              </w:rPr>
              <w:t>Aide et support pour les examens « Chimie » et « Gaz »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auto"/>
          </w:tcPr>
          <w:p w14:paraId="448EE2AE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Arial"/>
                <w:lang w:val="fr-F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389B02A1" w14:textId="77777777" w:rsidR="00A63978" w:rsidRPr="00602D6B" w:rsidRDefault="00A63978" w:rsidP="00602D6B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602D6B">
              <w:rPr>
                <w:rFonts w:eastAsia="Calibri"/>
                <w:lang w:val="fr-FR"/>
              </w:rPr>
              <w:t>II</w:t>
            </w:r>
          </w:p>
        </w:tc>
      </w:tr>
    </w:tbl>
    <w:p w14:paraId="61F7885F" w14:textId="77777777" w:rsidR="004A5835" w:rsidRDefault="004A5835" w:rsidP="009E0359">
      <w:pPr>
        <w:pStyle w:val="SingleTxtG"/>
      </w:pPr>
    </w:p>
    <w:p w14:paraId="39AF36E8" w14:textId="77777777" w:rsidR="0032173F" w:rsidRPr="00551135" w:rsidRDefault="0032173F" w:rsidP="0032173F">
      <w:pPr>
        <w:pStyle w:val="SingleTxtG"/>
        <w:rPr>
          <w:rFonts w:eastAsia="Calibri"/>
          <w:lang w:val="fr-FR"/>
        </w:rPr>
      </w:pPr>
      <w:r w:rsidRPr="00551135">
        <w:rPr>
          <w:rFonts w:eastAsia="Calibri"/>
          <w:lang w:val="fr-FR"/>
        </w:rPr>
        <w:t>3.</w:t>
      </w:r>
      <w:r w:rsidRPr="00551135">
        <w:rPr>
          <w:rFonts w:eastAsia="Calibri"/>
          <w:lang w:val="fr-FR"/>
        </w:rPr>
        <w:tab/>
        <w:t>Prochaines réunions :</w:t>
      </w:r>
      <w:r w:rsidRPr="00551135">
        <w:rPr>
          <w:rFonts w:eastAsia="Calibri"/>
          <w:lang w:val="fr-FR"/>
        </w:rPr>
        <w:tab/>
        <w:t>15 novembre 2022 de 10h00 à 15h00 en ligne</w:t>
      </w:r>
    </w:p>
    <w:p w14:paraId="11DA353B" w14:textId="77777777" w:rsidR="0032173F" w:rsidRPr="00551135" w:rsidRDefault="0032173F" w:rsidP="00114783">
      <w:pPr>
        <w:pStyle w:val="SingleTxtG"/>
        <w:ind w:left="2268" w:firstLine="1701"/>
        <w:rPr>
          <w:rFonts w:eastAsia="Calibri"/>
          <w:lang w:val="fr-FR"/>
        </w:rPr>
      </w:pPr>
      <w:r w:rsidRPr="00551135">
        <w:rPr>
          <w:rFonts w:eastAsia="Calibri"/>
          <w:lang w:val="fr-FR"/>
        </w:rPr>
        <w:t>28 – 30 mars 2023 à Strasbourg, début 14h00 (hybride)</w:t>
      </w:r>
    </w:p>
    <w:p w14:paraId="7B38CED4" w14:textId="2B9F8278" w:rsidR="0032173F" w:rsidRPr="00551135" w:rsidRDefault="0032173F" w:rsidP="00114783">
      <w:pPr>
        <w:pStyle w:val="SingleTxtG"/>
        <w:ind w:left="2268" w:firstLine="1701"/>
        <w:rPr>
          <w:rFonts w:eastAsia="Calibri"/>
          <w:lang w:val="fr-FR"/>
        </w:rPr>
      </w:pPr>
      <w:r w:rsidRPr="00551135">
        <w:rPr>
          <w:rFonts w:eastAsia="Calibri"/>
          <w:lang w:val="fr-FR"/>
        </w:rPr>
        <w:t xml:space="preserve">jj – jj mars 2024 à Strasbourg, début 14h00 </w:t>
      </w:r>
    </w:p>
    <w:p w14:paraId="1BF4C900" w14:textId="66B80D3E" w:rsidR="0043374D" w:rsidRDefault="0032173F" w:rsidP="00172990">
      <w:pPr>
        <w:pStyle w:val="SingleTxtG"/>
        <w:ind w:left="2268" w:firstLine="1701"/>
        <w:rPr>
          <w:rFonts w:eastAsia="Calibri"/>
          <w:lang w:val="fr-FR"/>
        </w:rPr>
      </w:pPr>
      <w:r w:rsidRPr="00551135">
        <w:rPr>
          <w:rFonts w:eastAsia="Calibri"/>
          <w:lang w:val="fr-FR"/>
        </w:rPr>
        <w:t>jj – jj septembre 2024 à Strasbourg, début 14h00.</w:t>
      </w:r>
    </w:p>
    <w:p w14:paraId="24EBF236" w14:textId="2F7DA359" w:rsidR="00723F44" w:rsidRPr="00723F44" w:rsidRDefault="00723F44" w:rsidP="00723F44">
      <w:pPr>
        <w:pStyle w:val="HChG"/>
        <w:rPr>
          <w:rFonts w:eastAsia="Calibri"/>
        </w:rPr>
      </w:pP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551135">
        <w:rPr>
          <w:rFonts w:eastAsia="Calibri"/>
          <w:lang w:val="fr-FR"/>
        </w:rPr>
        <w:t xml:space="preserve">Modalités de travail du groupe de travail informel </w:t>
      </w:r>
      <w:r w:rsidRPr="00551135">
        <w:rPr>
          <w:rFonts w:eastAsia="Calibri"/>
          <w:lang w:val="fr-FR"/>
        </w:rPr>
        <w:br/>
      </w:r>
      <w:r w:rsidRPr="00723F44">
        <w:rPr>
          <w:rFonts w:eastAsia="Calibri"/>
        </w:rPr>
        <w:t>« Formation des experts »</w:t>
      </w:r>
    </w:p>
    <w:p w14:paraId="0AB7C668" w14:textId="08C69973" w:rsidR="00723F44" w:rsidRPr="00723F44" w:rsidRDefault="00723F44" w:rsidP="00723F44">
      <w:pPr>
        <w:pStyle w:val="SingleTxtG"/>
        <w:rPr>
          <w:rFonts w:eastAsia="Calibri"/>
        </w:rPr>
      </w:pPr>
      <w:r w:rsidRPr="00723F44">
        <w:rPr>
          <w:rFonts w:eastAsia="Calibri"/>
        </w:rPr>
        <w:t>4.</w:t>
      </w:r>
      <w:r w:rsidRPr="00723F44">
        <w:rPr>
          <w:rFonts w:eastAsia="Calibri"/>
        </w:rPr>
        <w:tab/>
        <w:t>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élaboration et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adaptation régulière aux modifications actuelles du catalogue de questions et des directives du Comité d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administration pour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utilisation du catalogue de questions lors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examen des experts ADN (chapitre 8.2 ADN) constituent une base importante pour la formation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expert ADN à un niveau élevé.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objectif de travail prioritaire du groupe de travail informel « Formation des experts » est de garantir que le catalogue de questions et les directives correspondent toujours à la version en vigueur du Règlement annexé à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 et prenne en compte ses objectifs de formation.</w:t>
      </w:r>
    </w:p>
    <w:p w14:paraId="77360175" w14:textId="04773695" w:rsidR="00723F44" w:rsidRPr="00723F44" w:rsidRDefault="00723F44" w:rsidP="00723F44">
      <w:pPr>
        <w:pStyle w:val="SingleTxtG"/>
        <w:rPr>
          <w:rFonts w:eastAsia="Calibri"/>
        </w:rPr>
      </w:pPr>
      <w:r w:rsidRPr="00723F44">
        <w:rPr>
          <w:rFonts w:eastAsia="Calibri"/>
        </w:rPr>
        <w:t>5.</w:t>
      </w:r>
      <w:r w:rsidRPr="00723F44">
        <w:rPr>
          <w:rFonts w:eastAsia="Calibri"/>
        </w:rPr>
        <w:tab/>
        <w:t>Par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échange d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enseignements entre les Parties contractantes et des propositions d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améliorations, le groupe de travail informel contribue à garantir la qualité de la formation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expert dans le cadre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ADN.</w:t>
      </w:r>
    </w:p>
    <w:p w14:paraId="344E259B" w14:textId="78257F90" w:rsidR="00723F44" w:rsidRPr="00723F44" w:rsidRDefault="00723F44" w:rsidP="00723F44">
      <w:pPr>
        <w:pStyle w:val="SingleTxtG"/>
        <w:rPr>
          <w:rFonts w:eastAsia="Calibri"/>
        </w:rPr>
      </w:pPr>
      <w:r w:rsidRPr="00723F44">
        <w:rPr>
          <w:rFonts w:eastAsia="Calibri"/>
        </w:rPr>
        <w:t>6.</w:t>
      </w:r>
      <w:r w:rsidRPr="00723F44">
        <w:rPr>
          <w:rFonts w:eastAsia="Calibri"/>
        </w:rPr>
        <w:tab/>
        <w:t>Le groupe de travail informel effectue les tâches pour lesquelles il a été mandaté par le Comité de sécurité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ADN.</w:t>
      </w:r>
    </w:p>
    <w:p w14:paraId="2E61E508" w14:textId="3FC2D573" w:rsidR="00723F44" w:rsidRPr="00723F44" w:rsidRDefault="00723F44" w:rsidP="00723F44">
      <w:pPr>
        <w:pStyle w:val="SingleTxtG"/>
        <w:rPr>
          <w:rFonts w:eastAsia="Calibri"/>
        </w:rPr>
      </w:pPr>
      <w:r w:rsidRPr="00723F44">
        <w:rPr>
          <w:rFonts w:eastAsia="Calibri"/>
        </w:rPr>
        <w:t>7.</w:t>
      </w:r>
      <w:r w:rsidRPr="00723F44">
        <w:rPr>
          <w:rFonts w:eastAsia="Calibri"/>
        </w:rPr>
        <w:tab/>
        <w:t>Il procède à des concertations sur des questions soulevées en liaison avec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interprétation et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application du chapitre 8.2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 et élabore des propositions de modifications à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attention du Comité de sécurité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 pour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adaptation permanente des prescriptions en liaison avec la formation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expert. Les délégations peuvent soumettre directement des propositions au groupe de travail informel et celles-ci doivent ensuite être validées au cours de la réunion suivante du Comité de sécurité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ADN.</w:t>
      </w:r>
    </w:p>
    <w:p w14:paraId="0F786B64" w14:textId="77777777" w:rsidR="00723F44" w:rsidRPr="00723F44" w:rsidRDefault="00723F44" w:rsidP="00723F44">
      <w:pPr>
        <w:pStyle w:val="SingleTxtG"/>
        <w:rPr>
          <w:rFonts w:eastAsia="Calibri"/>
        </w:rPr>
      </w:pPr>
      <w:r w:rsidRPr="00723F44">
        <w:rPr>
          <w:rFonts w:eastAsia="Calibri"/>
        </w:rPr>
        <w:t>8.</w:t>
      </w:r>
      <w:r w:rsidRPr="00723F44">
        <w:rPr>
          <w:rFonts w:eastAsia="Calibri"/>
        </w:rPr>
        <w:tab/>
        <w:t>Concernant le calendrier des travaux sont prévues une à deux réunions annuelles, à savoir:</w:t>
      </w:r>
    </w:p>
    <w:p w14:paraId="19BC9D7E" w14:textId="019E470A" w:rsidR="00723F44" w:rsidRPr="00723F44" w:rsidRDefault="00B14CBE" w:rsidP="00723F44">
      <w:pPr>
        <w:pStyle w:val="SingleTxtG"/>
        <w:rPr>
          <w:rFonts w:eastAsia="Calibri"/>
        </w:rPr>
      </w:pPr>
      <w:r>
        <w:rPr>
          <w:rFonts w:eastAsia="Calibri"/>
        </w:rPr>
        <w:tab/>
        <w:t>a)</w:t>
      </w:r>
      <w:r>
        <w:rPr>
          <w:rFonts w:eastAsia="Calibri"/>
        </w:rPr>
        <w:tab/>
      </w:r>
      <w:r w:rsidR="00723F44" w:rsidRPr="00723F44">
        <w:rPr>
          <w:rFonts w:eastAsia="Calibri"/>
        </w:rPr>
        <w:t>En mars des années impaires, pour préparer l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adaptation du catalogue de questions aux modifications en préparation du Règlement annexé à l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ADN et l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ajout de thèmes manquants, ainsi que pour procéder à un échange de vues sur les conséquences des modifications apportées sur la formation de l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expert ADN;</w:t>
      </w:r>
    </w:p>
    <w:p w14:paraId="73F2AD28" w14:textId="30180454" w:rsidR="00723F44" w:rsidRPr="00723F44" w:rsidRDefault="00B14CBE" w:rsidP="00723F44">
      <w:pPr>
        <w:pStyle w:val="SingleTxtG"/>
        <w:rPr>
          <w:rFonts w:eastAsia="Calibri"/>
        </w:rPr>
      </w:pPr>
      <w:r>
        <w:rPr>
          <w:rFonts w:eastAsia="Calibri"/>
        </w:rPr>
        <w:tab/>
        <w:t>b)</w:t>
      </w:r>
      <w:r>
        <w:rPr>
          <w:rFonts w:eastAsia="Calibri"/>
        </w:rPr>
        <w:tab/>
      </w:r>
      <w:r w:rsidR="00723F44" w:rsidRPr="00723F44">
        <w:rPr>
          <w:rFonts w:eastAsia="Calibri"/>
        </w:rPr>
        <w:t>En mars des années paires, afin de procéder à l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adaptation du catalogue de questions et de la formation de l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expert à la version du Règlement annexé à l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ADN qui entrera en vigueur l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année suivante et pour le soumettre en août au Comité de sécurité en vue d</w:t>
      </w:r>
      <w:r w:rsidR="00B0525C">
        <w:rPr>
          <w:rFonts w:eastAsia="Calibri"/>
        </w:rPr>
        <w:t>’</w:t>
      </w:r>
      <w:r w:rsidR="00723F44" w:rsidRPr="00723F44">
        <w:rPr>
          <w:rFonts w:eastAsia="Calibri"/>
        </w:rPr>
        <w:t>une prise de décision. Les éventuels travaux complémentaires résultant de cette décision peuvent être effectués en septembre.</w:t>
      </w:r>
    </w:p>
    <w:p w14:paraId="3FE9D530" w14:textId="1272463C" w:rsidR="00723F44" w:rsidRPr="00723F44" w:rsidRDefault="00723F44" w:rsidP="00723F44">
      <w:pPr>
        <w:pStyle w:val="SingleTxtG"/>
        <w:rPr>
          <w:rFonts w:eastAsia="Calibri"/>
        </w:rPr>
      </w:pPr>
      <w:r w:rsidRPr="00723F44">
        <w:rPr>
          <w:rFonts w:eastAsia="Calibri"/>
        </w:rPr>
        <w:lastRenderedPageBreak/>
        <w:t>9.</w:t>
      </w:r>
      <w:r w:rsidRPr="00723F44">
        <w:rPr>
          <w:rFonts w:eastAsia="Calibri"/>
        </w:rPr>
        <w:tab/>
        <w:t>Les centres de formation ainsi que les organisateurs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enseignement et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examen sont associés aux travaux concernant le catalogue de questions ainsi qu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à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examen de questions liées à la formation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expert et ont la possibilité de proposer des questions à incorporer au catalogue de questions ainsi que des modifications du règlement annexé à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ADN. Ils sont en outre invités à procéder à un examen critique des questions et propositions de modifications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 présentées, afin de déterminer si elles sont appropriées et peuvent être mises en œuvre. Les questions difficiles à comprendre ou peu claires du catalogue de questions doivent être signalées au Comité de sécurité, qui charge ensuite le groupe de travail informel de réexaminer ces points.</w:t>
      </w:r>
    </w:p>
    <w:p w14:paraId="24A18B13" w14:textId="4AE3670E" w:rsidR="00723F44" w:rsidRPr="00723F44" w:rsidRDefault="00723F44" w:rsidP="00723F44">
      <w:pPr>
        <w:pStyle w:val="SingleTxtG"/>
        <w:rPr>
          <w:rFonts w:eastAsia="Calibri"/>
        </w:rPr>
      </w:pPr>
      <w:r w:rsidRPr="00723F44">
        <w:rPr>
          <w:rFonts w:eastAsia="Calibri"/>
        </w:rPr>
        <w:t>10.</w:t>
      </w:r>
      <w:r w:rsidRPr="00723F44">
        <w:rPr>
          <w:rFonts w:eastAsia="Calibri"/>
        </w:rPr>
        <w:tab/>
        <w:t>Le catalogue de questions du Comité d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administration constitue une base à caractère contraignant pour les examens que les Parties contractantes organisent en vue de la justification des connaissances particulières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ADN. Il est mis à la disposition des délégations du Comité de sécurité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 afin qu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elles le transmettent aux autorités compétentes, centres de formation et des organisateurs des examens. Environ 50 questions à choix multiples seront traitées chaque année dans le cadre des adaptations courantes. Il en résultera environ une vingtaine de pages de texte à traduire. Les différentes versions linguistiques devront être mises à disposition dans les meilleurs délais. La CCNR se déclare disposée au-delà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appui général à la CEE-ONU dans le cadre du traitement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ADN à assurer la traduction de 20 pages de texte (questions à choix multiple) de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allemand dans une langue de la CEE-ONU.</w:t>
      </w:r>
    </w:p>
    <w:p w14:paraId="7B79C8D6" w14:textId="301E3EE6" w:rsidR="00723F44" w:rsidRDefault="00723F44" w:rsidP="00723F44">
      <w:pPr>
        <w:pStyle w:val="SingleTxtG"/>
        <w:rPr>
          <w:rFonts w:eastAsia="Calibri"/>
        </w:rPr>
      </w:pPr>
      <w:r w:rsidRPr="00723F44">
        <w:rPr>
          <w:rFonts w:eastAsia="Calibri"/>
        </w:rPr>
        <w:t>11.</w:t>
      </w:r>
      <w:r w:rsidRPr="00723F44">
        <w:rPr>
          <w:rFonts w:eastAsia="Calibri"/>
        </w:rPr>
        <w:tab/>
        <w:t>Il sera probablement nécessaire de vérifier l</w:t>
      </w:r>
      <w:r w:rsidR="00B0525C">
        <w:rPr>
          <w:rFonts w:eastAsia="Calibri"/>
        </w:rPr>
        <w:t>’</w:t>
      </w:r>
      <w:r w:rsidRPr="00723F44">
        <w:rPr>
          <w:rFonts w:eastAsia="Calibri"/>
        </w:rPr>
        <w:t>actualité des questions de fond au cours des deux prochaines années.</w:t>
      </w:r>
    </w:p>
    <w:p w14:paraId="315D7920" w14:textId="69FC8961" w:rsidR="00B14CBE" w:rsidRPr="007056BA" w:rsidRDefault="00B14CBE" w:rsidP="00B14CBE">
      <w:pPr>
        <w:spacing w:before="24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B14CBE" w:rsidRPr="007056BA" w:rsidSect="00FF6B0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BEFD" w14:textId="77777777" w:rsidR="00E6352C" w:rsidRDefault="00E6352C" w:rsidP="00F95C08">
      <w:pPr>
        <w:spacing w:line="240" w:lineRule="auto"/>
      </w:pPr>
    </w:p>
  </w:endnote>
  <w:endnote w:type="continuationSeparator" w:id="0">
    <w:p w14:paraId="5769AAE8" w14:textId="77777777" w:rsidR="00E6352C" w:rsidRPr="00AC3823" w:rsidRDefault="00E6352C" w:rsidP="00AC3823">
      <w:pPr>
        <w:pStyle w:val="Pieddepage"/>
      </w:pPr>
    </w:p>
  </w:endnote>
  <w:endnote w:type="continuationNotice" w:id="1">
    <w:p w14:paraId="0767211C" w14:textId="77777777" w:rsidR="00E6352C" w:rsidRDefault="00E635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3772" w14:textId="77777777" w:rsidR="00CD787F" w:rsidRPr="00CD787F" w:rsidRDefault="00CD787F" w:rsidP="00CD787F">
    <w:pPr>
      <w:pStyle w:val="Pieddepage"/>
      <w:tabs>
        <w:tab w:val="right" w:pos="9638"/>
      </w:tabs>
      <w:rPr>
        <w:sz w:val="18"/>
      </w:rPr>
    </w:pPr>
    <w:r w:rsidRPr="00CD787F">
      <w:rPr>
        <w:b/>
        <w:sz w:val="18"/>
      </w:rPr>
      <w:fldChar w:fldCharType="begin"/>
    </w:r>
    <w:r w:rsidRPr="00CD787F">
      <w:rPr>
        <w:b/>
        <w:sz w:val="18"/>
      </w:rPr>
      <w:instrText xml:space="preserve"> PAGE  \* MERGEFORMAT </w:instrText>
    </w:r>
    <w:r w:rsidRPr="00CD787F">
      <w:rPr>
        <w:b/>
        <w:sz w:val="18"/>
      </w:rPr>
      <w:fldChar w:fldCharType="separate"/>
    </w:r>
    <w:r w:rsidRPr="00CD787F">
      <w:rPr>
        <w:b/>
        <w:noProof/>
        <w:sz w:val="18"/>
      </w:rPr>
      <w:t>2</w:t>
    </w:r>
    <w:r w:rsidRPr="00CD787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0979" w14:textId="77777777" w:rsidR="00CD787F" w:rsidRPr="00CD787F" w:rsidRDefault="00CD787F" w:rsidP="00CD787F">
    <w:pPr>
      <w:pStyle w:val="Pieddepage"/>
      <w:tabs>
        <w:tab w:val="right" w:pos="9638"/>
      </w:tabs>
      <w:rPr>
        <w:b/>
        <w:sz w:val="18"/>
      </w:rPr>
    </w:pPr>
    <w:r>
      <w:tab/>
    </w:r>
    <w:r w:rsidRPr="00CD787F">
      <w:rPr>
        <w:b/>
        <w:sz w:val="18"/>
      </w:rPr>
      <w:fldChar w:fldCharType="begin"/>
    </w:r>
    <w:r w:rsidRPr="00CD787F">
      <w:rPr>
        <w:b/>
        <w:sz w:val="18"/>
      </w:rPr>
      <w:instrText xml:space="preserve"> PAGE  \* MERGEFORMAT </w:instrText>
    </w:r>
    <w:r w:rsidRPr="00CD787F">
      <w:rPr>
        <w:b/>
        <w:sz w:val="18"/>
      </w:rPr>
      <w:fldChar w:fldCharType="separate"/>
    </w:r>
    <w:r w:rsidRPr="00CD787F">
      <w:rPr>
        <w:b/>
        <w:noProof/>
        <w:sz w:val="18"/>
      </w:rPr>
      <w:t>3</w:t>
    </w:r>
    <w:r w:rsidRPr="00CD78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00F4" w14:textId="2312910F" w:rsidR="000D3EE9" w:rsidRPr="00B357AB" w:rsidRDefault="00B357AB" w:rsidP="00B357AB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GE.22-25243  (F)</w:t>
    </w:r>
    <w:bookmarkStart w:id="1" w:name="_GoBack"/>
    <w:bookmarkEnd w:id="1"/>
    <w:r>
      <w:rPr>
        <w:sz w:val="20"/>
      </w:rPr>
      <w:tab/>
    </w:r>
    <w:r w:rsidRPr="00B357AB">
      <w:rPr>
        <w:noProof/>
        <w:sz w:val="20"/>
        <w:lang w:eastAsia="fr-CH"/>
      </w:rPr>
      <w:drawing>
        <wp:inline distT="0" distB="0" distL="0" distR="0" wp14:anchorId="1DC4DA74" wp14:editId="23FD5987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6D8BF225" wp14:editId="040013C6">
          <wp:extent cx="639445" cy="639445"/>
          <wp:effectExtent l="0" t="0" r="825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9F35" w14:textId="77777777" w:rsidR="00E6352C" w:rsidRPr="00AC3823" w:rsidRDefault="00E635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EFE13D" w14:textId="77777777" w:rsidR="00E6352C" w:rsidRPr="00AC3823" w:rsidRDefault="00E635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C52E91" w14:textId="77777777" w:rsidR="00E6352C" w:rsidRPr="00AC3823" w:rsidRDefault="00E6352C">
      <w:pPr>
        <w:spacing w:line="240" w:lineRule="auto"/>
        <w:rPr>
          <w:sz w:val="2"/>
          <w:szCs w:val="2"/>
        </w:rPr>
      </w:pPr>
    </w:p>
  </w:footnote>
  <w:footnote w:id="2">
    <w:p w14:paraId="416351DE" w14:textId="7EA9F448" w:rsidR="00B0525C" w:rsidRPr="00B0525C" w:rsidRDefault="00B0525C">
      <w:pPr>
        <w:pStyle w:val="Notedebasdepage"/>
      </w:pPr>
      <w:r>
        <w:rPr>
          <w:rStyle w:val="Appelnotedebasdep"/>
        </w:rPr>
        <w:tab/>
      </w:r>
      <w:r w:rsidRPr="00B0525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B0525C">
        <w:rPr>
          <w:szCs w:val="18"/>
          <w:lang w:val="fr-FR"/>
        </w:rPr>
        <w:t>Diffusée en langue allemande par la Commission centrale pour la navigation du Rhin sous la cote CCNR-ZKR/ADN/WP.15/AC.2/2023/2</w:t>
      </w:r>
      <w:r w:rsidRPr="00B0525C">
        <w:rPr>
          <w:szCs w:val="18"/>
          <w:lang w:val="fr-FR"/>
        </w:rPr>
        <w:t>.</w:t>
      </w:r>
    </w:p>
  </w:footnote>
  <w:footnote w:id="3">
    <w:p w14:paraId="3100B92B" w14:textId="3B310B10" w:rsidR="00B0525C" w:rsidRPr="00B0525C" w:rsidRDefault="00B0525C">
      <w:pPr>
        <w:pStyle w:val="Notedebasdepage"/>
      </w:pPr>
      <w:r>
        <w:rPr>
          <w:rStyle w:val="Appelnotedebasdep"/>
        </w:rPr>
        <w:tab/>
      </w:r>
      <w:r w:rsidRPr="00B0525C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B0525C">
        <w:rPr>
          <w:szCs w:val="18"/>
          <w:lang w:val="fr-FR"/>
        </w:rPr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88BC" w14:textId="6E759C57" w:rsidR="00CD787F" w:rsidRPr="00CD787F" w:rsidRDefault="009518A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99A4" w14:textId="440D316D" w:rsidR="00CD787F" w:rsidRPr="00CD787F" w:rsidRDefault="009518AE" w:rsidP="00CD787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C2B42"/>
    <w:multiLevelType w:val="hybridMultilevel"/>
    <w:tmpl w:val="89CCCD3E"/>
    <w:lvl w:ilvl="0" w:tplc="3A46F00A">
      <w:start w:val="1"/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29C0C1E"/>
    <w:multiLevelType w:val="hybridMultilevel"/>
    <w:tmpl w:val="177649B0"/>
    <w:lvl w:ilvl="0" w:tplc="0D50022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7F"/>
    <w:rsid w:val="00005D91"/>
    <w:rsid w:val="000072B1"/>
    <w:rsid w:val="0001207F"/>
    <w:rsid w:val="00017F94"/>
    <w:rsid w:val="00023842"/>
    <w:rsid w:val="00031326"/>
    <w:rsid w:val="00032E29"/>
    <w:rsid w:val="000334F9"/>
    <w:rsid w:val="00045A86"/>
    <w:rsid w:val="00047291"/>
    <w:rsid w:val="0007796D"/>
    <w:rsid w:val="000942EE"/>
    <w:rsid w:val="000A52BF"/>
    <w:rsid w:val="000B7790"/>
    <w:rsid w:val="000C6FE5"/>
    <w:rsid w:val="000D3EE9"/>
    <w:rsid w:val="000D62F3"/>
    <w:rsid w:val="00111F2F"/>
    <w:rsid w:val="00114783"/>
    <w:rsid w:val="001433FD"/>
    <w:rsid w:val="0014365E"/>
    <w:rsid w:val="001541D3"/>
    <w:rsid w:val="0016160A"/>
    <w:rsid w:val="0017250D"/>
    <w:rsid w:val="00172990"/>
    <w:rsid w:val="00176178"/>
    <w:rsid w:val="0019288D"/>
    <w:rsid w:val="0019761A"/>
    <w:rsid w:val="001A064B"/>
    <w:rsid w:val="001A4457"/>
    <w:rsid w:val="001B0EE2"/>
    <w:rsid w:val="001C4E76"/>
    <w:rsid w:val="001D400F"/>
    <w:rsid w:val="001E195F"/>
    <w:rsid w:val="001F525A"/>
    <w:rsid w:val="00202046"/>
    <w:rsid w:val="00223272"/>
    <w:rsid w:val="00240333"/>
    <w:rsid w:val="0024779E"/>
    <w:rsid w:val="00270600"/>
    <w:rsid w:val="002832AC"/>
    <w:rsid w:val="002834A0"/>
    <w:rsid w:val="00290C37"/>
    <w:rsid w:val="002D7C93"/>
    <w:rsid w:val="002F57F7"/>
    <w:rsid w:val="00302251"/>
    <w:rsid w:val="0032173F"/>
    <w:rsid w:val="00343829"/>
    <w:rsid w:val="003465C3"/>
    <w:rsid w:val="00356A15"/>
    <w:rsid w:val="00362F1A"/>
    <w:rsid w:val="0037241C"/>
    <w:rsid w:val="00391261"/>
    <w:rsid w:val="00393FE4"/>
    <w:rsid w:val="003B3916"/>
    <w:rsid w:val="003F2928"/>
    <w:rsid w:val="003F7693"/>
    <w:rsid w:val="00412B5C"/>
    <w:rsid w:val="0043374D"/>
    <w:rsid w:val="00441C3B"/>
    <w:rsid w:val="00446B0A"/>
    <w:rsid w:val="00446FE5"/>
    <w:rsid w:val="00451450"/>
    <w:rsid w:val="00452396"/>
    <w:rsid w:val="00485111"/>
    <w:rsid w:val="00487AB1"/>
    <w:rsid w:val="004A5835"/>
    <w:rsid w:val="004C5687"/>
    <w:rsid w:val="004E468C"/>
    <w:rsid w:val="004F2920"/>
    <w:rsid w:val="00524CB6"/>
    <w:rsid w:val="005316B0"/>
    <w:rsid w:val="005505B7"/>
    <w:rsid w:val="00564657"/>
    <w:rsid w:val="00565AB5"/>
    <w:rsid w:val="00573BE5"/>
    <w:rsid w:val="00586ED3"/>
    <w:rsid w:val="00596AA9"/>
    <w:rsid w:val="005C42FB"/>
    <w:rsid w:val="005E4986"/>
    <w:rsid w:val="005F0800"/>
    <w:rsid w:val="00602D6B"/>
    <w:rsid w:val="006339D7"/>
    <w:rsid w:val="00650CB4"/>
    <w:rsid w:val="00674690"/>
    <w:rsid w:val="00677BFB"/>
    <w:rsid w:val="006A7AB1"/>
    <w:rsid w:val="006E2F73"/>
    <w:rsid w:val="00703D0F"/>
    <w:rsid w:val="007056BA"/>
    <w:rsid w:val="00706363"/>
    <w:rsid w:val="0071601D"/>
    <w:rsid w:val="00723F44"/>
    <w:rsid w:val="00750396"/>
    <w:rsid w:val="00761035"/>
    <w:rsid w:val="007A62E6"/>
    <w:rsid w:val="007E740D"/>
    <w:rsid w:val="0080684C"/>
    <w:rsid w:val="008204DA"/>
    <w:rsid w:val="0083123A"/>
    <w:rsid w:val="008512A0"/>
    <w:rsid w:val="00857B58"/>
    <w:rsid w:val="00871C75"/>
    <w:rsid w:val="008767E8"/>
    <w:rsid w:val="008776DC"/>
    <w:rsid w:val="00895D08"/>
    <w:rsid w:val="008A52C0"/>
    <w:rsid w:val="008B16B8"/>
    <w:rsid w:val="008B1A53"/>
    <w:rsid w:val="00906EE5"/>
    <w:rsid w:val="00915979"/>
    <w:rsid w:val="00924D1A"/>
    <w:rsid w:val="00926F70"/>
    <w:rsid w:val="009409DD"/>
    <w:rsid w:val="009518AE"/>
    <w:rsid w:val="009705C8"/>
    <w:rsid w:val="009923CF"/>
    <w:rsid w:val="00993C6E"/>
    <w:rsid w:val="009C1CF4"/>
    <w:rsid w:val="009E0359"/>
    <w:rsid w:val="009E62B1"/>
    <w:rsid w:val="009F02C9"/>
    <w:rsid w:val="009F08C5"/>
    <w:rsid w:val="009F1C7B"/>
    <w:rsid w:val="009F4B0B"/>
    <w:rsid w:val="00A05C0E"/>
    <w:rsid w:val="00A30353"/>
    <w:rsid w:val="00A62D91"/>
    <w:rsid w:val="00A63978"/>
    <w:rsid w:val="00A77E15"/>
    <w:rsid w:val="00A90D54"/>
    <w:rsid w:val="00AA113A"/>
    <w:rsid w:val="00AA17E4"/>
    <w:rsid w:val="00AB0828"/>
    <w:rsid w:val="00AB7630"/>
    <w:rsid w:val="00AC3823"/>
    <w:rsid w:val="00AE323C"/>
    <w:rsid w:val="00B00181"/>
    <w:rsid w:val="00B00B0D"/>
    <w:rsid w:val="00B0525C"/>
    <w:rsid w:val="00B07F65"/>
    <w:rsid w:val="00B14CBE"/>
    <w:rsid w:val="00B25CB7"/>
    <w:rsid w:val="00B30069"/>
    <w:rsid w:val="00B357AB"/>
    <w:rsid w:val="00B37D5F"/>
    <w:rsid w:val="00B50E25"/>
    <w:rsid w:val="00B54205"/>
    <w:rsid w:val="00B64918"/>
    <w:rsid w:val="00B765F7"/>
    <w:rsid w:val="00BA0CA9"/>
    <w:rsid w:val="00BA1380"/>
    <w:rsid w:val="00BA158C"/>
    <w:rsid w:val="00BA34E9"/>
    <w:rsid w:val="00BB2217"/>
    <w:rsid w:val="00BB3CE9"/>
    <w:rsid w:val="00BC6FF2"/>
    <w:rsid w:val="00BE2F70"/>
    <w:rsid w:val="00C02897"/>
    <w:rsid w:val="00C14879"/>
    <w:rsid w:val="00C34496"/>
    <w:rsid w:val="00C45A4D"/>
    <w:rsid w:val="00C7616F"/>
    <w:rsid w:val="00C86C35"/>
    <w:rsid w:val="00C918A9"/>
    <w:rsid w:val="00CA54B2"/>
    <w:rsid w:val="00CB16B5"/>
    <w:rsid w:val="00CD787F"/>
    <w:rsid w:val="00CE0608"/>
    <w:rsid w:val="00D02E45"/>
    <w:rsid w:val="00D3439C"/>
    <w:rsid w:val="00D44CF3"/>
    <w:rsid w:val="00D643A0"/>
    <w:rsid w:val="00D70306"/>
    <w:rsid w:val="00D833A5"/>
    <w:rsid w:val="00DA6C5E"/>
    <w:rsid w:val="00DB1831"/>
    <w:rsid w:val="00DB2CE6"/>
    <w:rsid w:val="00DB4384"/>
    <w:rsid w:val="00DD3BFD"/>
    <w:rsid w:val="00DF431C"/>
    <w:rsid w:val="00DF6678"/>
    <w:rsid w:val="00E11F32"/>
    <w:rsid w:val="00E14842"/>
    <w:rsid w:val="00E62DB1"/>
    <w:rsid w:val="00E6352C"/>
    <w:rsid w:val="00E67585"/>
    <w:rsid w:val="00E71134"/>
    <w:rsid w:val="00E71C74"/>
    <w:rsid w:val="00E768EC"/>
    <w:rsid w:val="00E939CE"/>
    <w:rsid w:val="00EF2E22"/>
    <w:rsid w:val="00F0592C"/>
    <w:rsid w:val="00F43289"/>
    <w:rsid w:val="00F521D3"/>
    <w:rsid w:val="00F660DF"/>
    <w:rsid w:val="00F66E42"/>
    <w:rsid w:val="00F7253E"/>
    <w:rsid w:val="00F94929"/>
    <w:rsid w:val="00F95C08"/>
    <w:rsid w:val="00FB2A51"/>
    <w:rsid w:val="00FB6C80"/>
    <w:rsid w:val="00FE2820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48356"/>
  <w15:docId w15:val="{802EAF81-DF1C-4822-B564-24F85CCC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34"/>
    <w:qFormat/>
    <w:rsid w:val="004A5835"/>
    <w:pPr>
      <w:kinsoku/>
      <w:overflowPunct/>
      <w:autoSpaceDE/>
      <w:autoSpaceDN/>
      <w:adjustRightInd/>
      <w:snapToGrid/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AF5A8-84B0-47E2-8D79-8226460EB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7E761-8F4F-48EA-B585-1A6273AE9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559FA-56CB-448E-89EC-238CB7A4C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7B8F32A5-9E12-4A5F-9CE2-01810454E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1468</Words>
  <Characters>8120</Characters>
  <Application>Microsoft Office Word</Application>
  <DocSecurity>0</DocSecurity>
  <Lines>324</Lines>
  <Paragraphs>159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</dc:title>
  <dc:subject>FINAL</dc:subject>
  <dc:creator>ND</dc:creator>
  <cp:keywords/>
  <dc:description/>
  <cp:lastModifiedBy>Julien Okrzesik</cp:lastModifiedBy>
  <cp:revision>3</cp:revision>
  <cp:lastPrinted>2022-11-09T16:58:00Z</cp:lastPrinted>
  <dcterms:created xsi:type="dcterms:W3CDTF">2022-11-09T16:58:00Z</dcterms:created>
  <dcterms:modified xsi:type="dcterms:W3CDTF">2022-11-09T17:00:00Z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