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96659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BE3F12" w:rsidRDefault="009E6CB7" w:rsidP="00B20551">
            <w:pPr>
              <w:spacing w:after="80"/>
            </w:pPr>
          </w:p>
        </w:tc>
        <w:tc>
          <w:tcPr>
            <w:tcW w:w="2268" w:type="dxa"/>
            <w:tcBorders>
              <w:bottom w:val="single" w:sz="4" w:space="0" w:color="auto"/>
            </w:tcBorders>
            <w:vAlign w:val="bottom"/>
          </w:tcPr>
          <w:p w14:paraId="60899344" w14:textId="77777777" w:rsidR="009E6CB7" w:rsidRPr="00E8303F" w:rsidRDefault="009E6CB7" w:rsidP="00B20551">
            <w:pPr>
              <w:spacing w:after="80" w:line="300" w:lineRule="exact"/>
              <w:rPr>
                <w:b/>
                <w:sz w:val="24"/>
                <w:szCs w:val="24"/>
              </w:rPr>
            </w:pPr>
            <w:r w:rsidRPr="003903F1">
              <w:rPr>
                <w:sz w:val="28"/>
                <w:szCs w:val="28"/>
              </w:rPr>
              <w:t>United Nations</w:t>
            </w:r>
          </w:p>
        </w:tc>
        <w:tc>
          <w:tcPr>
            <w:tcW w:w="6095" w:type="dxa"/>
            <w:gridSpan w:val="2"/>
            <w:tcBorders>
              <w:bottom w:val="single" w:sz="4" w:space="0" w:color="auto"/>
            </w:tcBorders>
            <w:vAlign w:val="bottom"/>
          </w:tcPr>
          <w:p w14:paraId="60899345" w14:textId="1F2231C8" w:rsidR="009E6CB7" w:rsidRPr="00966595" w:rsidRDefault="004A7908" w:rsidP="00954785">
            <w:pPr>
              <w:jc w:val="right"/>
            </w:pPr>
            <w:r w:rsidRPr="00966595">
              <w:rPr>
                <w:sz w:val="40"/>
              </w:rPr>
              <w:t>ECE</w:t>
            </w:r>
            <w:r w:rsidRPr="00966595">
              <w:t>/TRANS/20</w:t>
            </w:r>
            <w:r w:rsidR="00D96E72" w:rsidRPr="00966595">
              <w:t>2</w:t>
            </w:r>
            <w:r w:rsidR="00F25AB8" w:rsidRPr="00966595">
              <w:t>3/</w:t>
            </w:r>
            <w:r w:rsidR="00567BF5" w:rsidRPr="00966595">
              <w:t>28</w:t>
            </w:r>
          </w:p>
        </w:tc>
      </w:tr>
      <w:tr w:rsidR="00FF02F5" w:rsidRPr="0096659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3903F1" w:rsidRDefault="00686A48" w:rsidP="00B20551">
            <w:pPr>
              <w:spacing w:before="120"/>
            </w:pPr>
            <w:r w:rsidRPr="00366703">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966595" w:rsidRDefault="009E6CB7" w:rsidP="00B20551">
            <w:pPr>
              <w:spacing w:before="120" w:line="420" w:lineRule="exact"/>
              <w:rPr>
                <w:sz w:val="40"/>
                <w:szCs w:val="40"/>
              </w:rPr>
            </w:pPr>
            <w:r w:rsidRPr="0096659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966595" w:rsidRDefault="00954785" w:rsidP="00954785">
            <w:pPr>
              <w:spacing w:before="240" w:line="240" w:lineRule="exact"/>
            </w:pPr>
            <w:r w:rsidRPr="00966595">
              <w:t>Distr.: General</w:t>
            </w:r>
          </w:p>
          <w:p w14:paraId="6089934A" w14:textId="08B94BAF" w:rsidR="00954785" w:rsidRPr="00966595" w:rsidRDefault="006B181F" w:rsidP="00954785">
            <w:pPr>
              <w:spacing w:line="240" w:lineRule="exact"/>
            </w:pPr>
            <w:r>
              <w:t>6</w:t>
            </w:r>
            <w:r w:rsidR="00F368C4" w:rsidRPr="00966595">
              <w:t xml:space="preserve"> </w:t>
            </w:r>
            <w:r>
              <w:t>December</w:t>
            </w:r>
            <w:r w:rsidR="009364E5" w:rsidRPr="00966595">
              <w:t xml:space="preserve"> </w:t>
            </w:r>
            <w:r w:rsidR="00954785" w:rsidRPr="00966595">
              <w:t>20</w:t>
            </w:r>
            <w:r w:rsidR="006B3ABA" w:rsidRPr="00966595">
              <w:t>2</w:t>
            </w:r>
            <w:r w:rsidR="00F25AB8" w:rsidRPr="00966595">
              <w:t>2</w:t>
            </w:r>
          </w:p>
          <w:p w14:paraId="6089934B" w14:textId="77777777" w:rsidR="00954785" w:rsidRPr="00966595" w:rsidRDefault="00954785" w:rsidP="00954785">
            <w:pPr>
              <w:spacing w:line="240" w:lineRule="exact"/>
            </w:pPr>
          </w:p>
          <w:p w14:paraId="6089934C" w14:textId="77777777" w:rsidR="00954785" w:rsidRPr="00966595" w:rsidRDefault="00954785" w:rsidP="00954785">
            <w:pPr>
              <w:spacing w:line="240" w:lineRule="exact"/>
            </w:pPr>
            <w:r w:rsidRPr="00966595">
              <w:t>Original: English</w:t>
            </w:r>
          </w:p>
        </w:tc>
      </w:tr>
    </w:tbl>
    <w:p w14:paraId="06A0AEE6" w14:textId="77777777" w:rsidR="0095242B" w:rsidRPr="00966595" w:rsidRDefault="0095242B" w:rsidP="0095242B">
      <w:pPr>
        <w:spacing w:before="120"/>
        <w:rPr>
          <w:b/>
          <w:bCs/>
          <w:sz w:val="28"/>
          <w:szCs w:val="28"/>
        </w:rPr>
      </w:pPr>
      <w:r w:rsidRPr="00966595">
        <w:rPr>
          <w:b/>
          <w:bCs/>
          <w:sz w:val="28"/>
          <w:szCs w:val="28"/>
        </w:rPr>
        <w:t>Economic Commission for Europe</w:t>
      </w:r>
    </w:p>
    <w:p w14:paraId="5D62720A" w14:textId="77777777" w:rsidR="0095242B" w:rsidRPr="00966595" w:rsidRDefault="0095242B" w:rsidP="0095242B">
      <w:pPr>
        <w:spacing w:before="120"/>
        <w:rPr>
          <w:sz w:val="28"/>
          <w:szCs w:val="28"/>
        </w:rPr>
      </w:pPr>
      <w:r w:rsidRPr="00966595">
        <w:rPr>
          <w:sz w:val="28"/>
          <w:szCs w:val="28"/>
        </w:rPr>
        <w:t>Inland Transport Committee</w:t>
      </w:r>
    </w:p>
    <w:p w14:paraId="24BDC439" w14:textId="73E300F7" w:rsidR="0095242B" w:rsidRPr="00966595" w:rsidRDefault="0095242B" w:rsidP="0095242B">
      <w:pPr>
        <w:spacing w:before="120"/>
        <w:rPr>
          <w:b/>
          <w:bCs/>
        </w:rPr>
      </w:pPr>
      <w:r w:rsidRPr="00966595">
        <w:rPr>
          <w:b/>
          <w:bCs/>
        </w:rPr>
        <w:t>Eighty-</w:t>
      </w:r>
      <w:r w:rsidR="00D96E72" w:rsidRPr="00966595">
        <w:rPr>
          <w:b/>
          <w:bCs/>
        </w:rPr>
        <w:t>f</w:t>
      </w:r>
      <w:r w:rsidR="00F25AB8" w:rsidRPr="00966595">
        <w:rPr>
          <w:b/>
          <w:bCs/>
        </w:rPr>
        <w:t>if</w:t>
      </w:r>
      <w:r w:rsidR="00D96E72" w:rsidRPr="00966595">
        <w:rPr>
          <w:b/>
          <w:bCs/>
        </w:rPr>
        <w:t>th</w:t>
      </w:r>
      <w:r w:rsidRPr="00966595">
        <w:rPr>
          <w:b/>
          <w:bCs/>
        </w:rPr>
        <w:t xml:space="preserve"> session</w:t>
      </w:r>
    </w:p>
    <w:p w14:paraId="7C34DB42" w14:textId="79849B94" w:rsidR="009A2C1E" w:rsidRPr="00966595" w:rsidRDefault="0095242B" w:rsidP="009A2C1E">
      <w:pPr>
        <w:rPr>
          <w:b/>
        </w:rPr>
      </w:pPr>
      <w:r w:rsidRPr="00966595">
        <w:t>Geneva, 2</w:t>
      </w:r>
      <w:r w:rsidR="00F25AB8" w:rsidRPr="00966595">
        <w:t>1</w:t>
      </w:r>
      <w:r w:rsidRPr="00966595">
        <w:t>–2</w:t>
      </w:r>
      <w:r w:rsidR="00F25AB8" w:rsidRPr="00966595">
        <w:t>4</w:t>
      </w:r>
      <w:r w:rsidRPr="00966595">
        <w:t xml:space="preserve"> February 202</w:t>
      </w:r>
      <w:r w:rsidR="00F25AB8" w:rsidRPr="00966595">
        <w:t>3</w:t>
      </w:r>
      <w:r w:rsidRPr="00966595">
        <w:br/>
        <w:t xml:space="preserve">Item </w:t>
      </w:r>
      <w:r w:rsidR="00A801E5" w:rsidRPr="00966595">
        <w:t>7</w:t>
      </w:r>
      <w:r w:rsidRPr="00966595">
        <w:t xml:space="preserve"> (</w:t>
      </w:r>
      <w:r w:rsidR="001B2AA2" w:rsidRPr="00966595">
        <w:t>o</w:t>
      </w:r>
      <w:r w:rsidRPr="00966595">
        <w:t>) of the provisional agenda</w:t>
      </w:r>
      <w:r w:rsidRPr="00966595">
        <w:br/>
      </w:r>
      <w:r w:rsidR="00770458" w:rsidRPr="00770458">
        <w:rPr>
          <w:b/>
        </w:rPr>
        <w:t xml:space="preserve">Strategic Questions of a Horizontal and </w:t>
      </w:r>
      <w:r w:rsidR="00770458">
        <w:rPr>
          <w:b/>
        </w:rPr>
        <w:br/>
      </w:r>
      <w:r w:rsidR="00770458" w:rsidRPr="00770458">
        <w:rPr>
          <w:b/>
        </w:rPr>
        <w:t>Cross-Sectoral Policy or Regulatory Nature</w:t>
      </w:r>
      <w:r w:rsidR="009A2C1E" w:rsidRPr="00966595">
        <w:rPr>
          <w:b/>
        </w:rPr>
        <w:t>:</w:t>
      </w:r>
    </w:p>
    <w:p w14:paraId="384EB6FE" w14:textId="7D42165D" w:rsidR="0095242B" w:rsidRPr="00966595" w:rsidRDefault="00770458" w:rsidP="00892475">
      <w:pPr>
        <w:rPr>
          <w:b/>
        </w:rPr>
      </w:pPr>
      <w:r w:rsidRPr="00770458">
        <w:rPr>
          <w:b/>
        </w:rPr>
        <w:t>Strengthening Border Crossing Facilitation (TIR Convention,</w:t>
      </w:r>
      <w:r>
        <w:rPr>
          <w:b/>
        </w:rPr>
        <w:br/>
      </w:r>
      <w:proofErr w:type="spellStart"/>
      <w:r w:rsidRPr="00770458">
        <w:rPr>
          <w:b/>
        </w:rPr>
        <w:t>eTIR</w:t>
      </w:r>
      <w:proofErr w:type="spellEnd"/>
      <w:r w:rsidRPr="00770458">
        <w:rPr>
          <w:b/>
        </w:rPr>
        <w:t xml:space="preserve"> project, Harmonization Convention </w:t>
      </w:r>
      <w:r>
        <w:rPr>
          <w:b/>
        </w:rPr>
        <w:br/>
      </w:r>
      <w:r w:rsidRPr="00770458">
        <w:rPr>
          <w:b/>
        </w:rPr>
        <w:t>and Other Cross-Border and Customs Transit Facilitation Measures)</w:t>
      </w:r>
    </w:p>
    <w:p w14:paraId="3ECEFD2C" w14:textId="77777777" w:rsidR="0095242B" w:rsidRPr="00966595" w:rsidRDefault="0095242B" w:rsidP="0095242B">
      <w:pPr>
        <w:pStyle w:val="HChG"/>
      </w:pPr>
      <w:r w:rsidRPr="00966595">
        <w:rPr>
          <w:sz w:val="24"/>
          <w:szCs w:val="24"/>
        </w:rPr>
        <w:tab/>
      </w:r>
      <w:r w:rsidRPr="00966595">
        <w:rPr>
          <w:sz w:val="24"/>
          <w:szCs w:val="24"/>
        </w:rPr>
        <w:tab/>
      </w:r>
      <w:r w:rsidRPr="00966595">
        <w:t xml:space="preserve">Strengthening border crossing facilitation (TIR Convention, </w:t>
      </w:r>
      <w:proofErr w:type="spellStart"/>
      <w:r w:rsidRPr="00966595">
        <w:t>eTIR</w:t>
      </w:r>
      <w:proofErr w:type="spellEnd"/>
      <w:r w:rsidRPr="00966595">
        <w:t xml:space="preserve"> project, Harmonization Convention and other customs transit facilitation measures)</w:t>
      </w:r>
    </w:p>
    <w:p w14:paraId="25D36517" w14:textId="77777777" w:rsidR="0095242B" w:rsidRPr="00966595" w:rsidRDefault="0095242B" w:rsidP="0095242B">
      <w:pPr>
        <w:pStyle w:val="H1G"/>
      </w:pPr>
      <w:r w:rsidRPr="00966595">
        <w:tab/>
      </w:r>
      <w:r w:rsidRPr="00966595">
        <w:tab/>
        <w:t>Note by the secretariat</w:t>
      </w:r>
    </w:p>
    <w:tbl>
      <w:tblPr>
        <w:tblStyle w:val="TableGrid"/>
        <w:tblW w:w="9918" w:type="dxa"/>
        <w:jc w:val="center"/>
        <w:tblBorders>
          <w:insideH w:val="none" w:sz="0" w:space="0" w:color="auto"/>
        </w:tblBorders>
        <w:tblLook w:val="05E0" w:firstRow="1" w:lastRow="1" w:firstColumn="1" w:lastColumn="1" w:noHBand="0" w:noVBand="1"/>
      </w:tblPr>
      <w:tblGrid>
        <w:gridCol w:w="9918"/>
      </w:tblGrid>
      <w:tr w:rsidR="0095242B" w:rsidRPr="00966595" w14:paraId="78F04E8F" w14:textId="77777777" w:rsidTr="0062089B">
        <w:trPr>
          <w:trHeight w:val="528"/>
          <w:jc w:val="center"/>
        </w:trPr>
        <w:tc>
          <w:tcPr>
            <w:tcW w:w="9918" w:type="dxa"/>
            <w:shd w:val="clear" w:color="auto" w:fill="auto"/>
          </w:tcPr>
          <w:p w14:paraId="39D9F09B" w14:textId="77777777" w:rsidR="0095242B" w:rsidRPr="00966595" w:rsidRDefault="0095242B" w:rsidP="0062089B">
            <w:pPr>
              <w:spacing w:before="240" w:after="120"/>
              <w:ind w:left="255"/>
              <w:rPr>
                <w:i/>
                <w:sz w:val="24"/>
              </w:rPr>
            </w:pPr>
            <w:r w:rsidRPr="00966595">
              <w:rPr>
                <w:i/>
                <w:sz w:val="24"/>
              </w:rPr>
              <w:t>Summary</w:t>
            </w:r>
          </w:p>
        </w:tc>
      </w:tr>
      <w:tr w:rsidR="0095242B" w:rsidRPr="00966595" w14:paraId="235F9B97" w14:textId="77777777" w:rsidTr="0062089B">
        <w:trPr>
          <w:trHeight w:val="1288"/>
          <w:jc w:val="center"/>
        </w:trPr>
        <w:tc>
          <w:tcPr>
            <w:tcW w:w="9918" w:type="dxa"/>
            <w:shd w:val="clear" w:color="auto" w:fill="auto"/>
          </w:tcPr>
          <w:p w14:paraId="3602C580" w14:textId="7C8636F1" w:rsidR="0095242B" w:rsidRPr="00966595" w:rsidRDefault="0095242B" w:rsidP="0062089B">
            <w:pPr>
              <w:pStyle w:val="SingleTxtG"/>
            </w:pPr>
            <w:r w:rsidRPr="00966595">
              <w:tab/>
              <w:t>This document summa</w:t>
            </w:r>
            <w:r w:rsidR="00966595">
              <w:t>rizes</w:t>
            </w:r>
            <w:r w:rsidRPr="00966595">
              <w:t xml:space="preserve"> the activities </w:t>
            </w:r>
            <w:r w:rsidR="00D64080" w:rsidRPr="00966595">
              <w:t xml:space="preserve">in 2022 </w:t>
            </w:r>
            <w:r w:rsidRPr="00966595">
              <w:t>of the Working Party on Customs Questions affecting Transport (WP.30), the Administrative Committee for the TIR Convention, 1975 (AC.2)</w:t>
            </w:r>
            <w:r w:rsidR="00F25AB8" w:rsidRPr="00966595">
              <w:t xml:space="preserve">, the Technical Implementation Body (TIB) (for contracting parties bound by </w:t>
            </w:r>
            <w:r w:rsidR="00BE3F12">
              <w:t>A</w:t>
            </w:r>
            <w:r w:rsidR="00F25AB8" w:rsidRPr="003903F1">
              <w:t xml:space="preserve">nnex 11 of the TIR Convention), </w:t>
            </w:r>
            <w:r w:rsidRPr="00E8303F">
              <w:t xml:space="preserve">the Administrative Committee for the </w:t>
            </w:r>
            <w:r w:rsidR="00D64080" w:rsidRPr="00E02C43">
              <w:t>International Convention on the Harmonization of Frontier Controls of Goods,</w:t>
            </w:r>
            <w:r w:rsidR="00D64080" w:rsidRPr="00966595">
              <w:t xml:space="preserve"> 1</w:t>
            </w:r>
            <w:r w:rsidRPr="00966595">
              <w:t>982 (AC.3) and the ECE/TIR secretariat in the area of border crossing</w:t>
            </w:r>
            <w:r w:rsidR="00567BF5" w:rsidRPr="00966595">
              <w:t>.</w:t>
            </w:r>
            <w:r w:rsidR="00D64080" w:rsidRPr="00966595">
              <w:t xml:space="preserve"> </w:t>
            </w:r>
            <w:r w:rsidRPr="00966595">
              <w:t xml:space="preserve"> </w:t>
            </w:r>
          </w:p>
        </w:tc>
      </w:tr>
      <w:tr w:rsidR="000325C2" w:rsidRPr="00966595" w14:paraId="2BFB3201" w14:textId="77777777" w:rsidTr="000325C2">
        <w:trPr>
          <w:trHeight w:val="978"/>
          <w:jc w:val="center"/>
        </w:trPr>
        <w:tc>
          <w:tcPr>
            <w:tcW w:w="9918" w:type="dxa"/>
            <w:shd w:val="clear" w:color="auto" w:fill="auto"/>
          </w:tcPr>
          <w:p w14:paraId="4F154D61" w14:textId="240F4FB5" w:rsidR="00076BC0" w:rsidRPr="00966595" w:rsidRDefault="00F25AB8" w:rsidP="00F25AB8">
            <w:pPr>
              <w:pStyle w:val="SingleTxtG"/>
            </w:pPr>
            <w:r w:rsidRPr="00966595">
              <w:tab/>
            </w:r>
            <w:r w:rsidR="000325C2" w:rsidRPr="00966595">
              <w:t xml:space="preserve">The Committee will be </w:t>
            </w:r>
            <w:r w:rsidR="00966595">
              <w:t>inform</w:t>
            </w:r>
            <w:r w:rsidR="00966595" w:rsidRPr="003903F1">
              <w:t xml:space="preserve">ed </w:t>
            </w:r>
            <w:r w:rsidR="000325C2" w:rsidRPr="00966595">
              <w:t>about the main outcome of the 15</w:t>
            </w:r>
            <w:r w:rsidRPr="00966595">
              <w:t>9</w:t>
            </w:r>
            <w:r w:rsidR="000325C2" w:rsidRPr="00966595">
              <w:t>th</w:t>
            </w:r>
            <w:r w:rsidR="00D96E72" w:rsidRPr="00966595">
              <w:t>, 1</w:t>
            </w:r>
            <w:r w:rsidRPr="00966595">
              <w:t>60</w:t>
            </w:r>
            <w:r w:rsidR="00D96E72" w:rsidRPr="00966595">
              <w:t>th</w:t>
            </w:r>
            <w:r w:rsidR="000325C2" w:rsidRPr="00966595">
              <w:t xml:space="preserve"> and 1</w:t>
            </w:r>
            <w:r w:rsidRPr="00966595">
              <w:t>61st</w:t>
            </w:r>
            <w:r w:rsidR="000325C2" w:rsidRPr="00966595">
              <w:t xml:space="preserve"> sessions </w:t>
            </w:r>
            <w:r w:rsidRPr="00966595">
              <w:tab/>
            </w:r>
            <w:r w:rsidR="000325C2" w:rsidRPr="00966595">
              <w:t>of WP.30 (ECE/TRANS/WP.30/3</w:t>
            </w:r>
            <w:r w:rsidR="00D96E72" w:rsidRPr="00966595">
              <w:t>1</w:t>
            </w:r>
            <w:r w:rsidRPr="00966595">
              <w:t>8</w:t>
            </w:r>
            <w:r w:rsidR="00D96E72" w:rsidRPr="00966595">
              <w:t>, ECE/TRANS/WP.30/3</w:t>
            </w:r>
            <w:r w:rsidRPr="00966595">
              <w:t>20</w:t>
            </w:r>
            <w:r w:rsidR="000325C2" w:rsidRPr="00966595">
              <w:t xml:space="preserve"> and ECE/TRANS/WP.30/3</w:t>
            </w:r>
            <w:r w:rsidRPr="00966595">
              <w:t>22</w:t>
            </w:r>
            <w:r w:rsidR="000325C2" w:rsidRPr="00966595">
              <w:t xml:space="preserve">) and will be invited to </w:t>
            </w:r>
            <w:r w:rsidR="000325C2" w:rsidRPr="00BE3F12">
              <w:rPr>
                <w:b/>
                <w:bCs/>
              </w:rPr>
              <w:t>take note</w:t>
            </w:r>
            <w:r w:rsidR="000325C2" w:rsidRPr="003903F1">
              <w:t xml:space="preserve"> of the activities of AC.2 in the year</w:t>
            </w:r>
            <w:r w:rsidRPr="00E8303F">
              <w:t xml:space="preserve"> 2022, including, but not limite</w:t>
            </w:r>
            <w:r w:rsidRPr="00966595">
              <w:t>d to amendments adopted (ECE/TRANS/WP.30/AC.2/157 and ECE/TRANS/WP.30/AC.2/159)</w:t>
            </w:r>
            <w:r w:rsidR="00076BC0" w:rsidRPr="00966595">
              <w:t>.</w:t>
            </w:r>
          </w:p>
          <w:p w14:paraId="2D05ED43" w14:textId="06BD5D0B" w:rsidR="00F25AB8" w:rsidRPr="00A52347" w:rsidRDefault="00F25AB8" w:rsidP="00F25AB8">
            <w:pPr>
              <w:pStyle w:val="SingleTxtG"/>
            </w:pPr>
            <w:r w:rsidRPr="00966595">
              <w:t>In particular</w:t>
            </w:r>
            <w:r w:rsidR="00853127" w:rsidRPr="00966595">
              <w:t xml:space="preserve"> (but not limited to)</w:t>
            </w:r>
            <w:r w:rsidRPr="00966595">
              <w:t xml:space="preserve">, the Committee will be </w:t>
            </w:r>
            <w:r w:rsidR="00966595">
              <w:t xml:space="preserve">informed </w:t>
            </w:r>
            <w:r w:rsidRPr="00E02C43">
              <w:t>about:</w:t>
            </w:r>
          </w:p>
          <w:p w14:paraId="576BF84F" w14:textId="72A9FAE9" w:rsidR="00F25AB8" w:rsidRPr="00966595" w:rsidRDefault="00F25AB8" w:rsidP="00823956">
            <w:pPr>
              <w:pStyle w:val="SingleTxtG"/>
              <w:ind w:firstLine="557"/>
            </w:pPr>
            <w:r w:rsidRPr="00A52347">
              <w:t>(a)</w:t>
            </w:r>
            <w:r w:rsidR="00076BC0" w:rsidRPr="00966595">
              <w:tab/>
            </w:r>
            <w:r w:rsidR="00966595">
              <w:t>The l</w:t>
            </w:r>
            <w:r w:rsidRPr="003903F1">
              <w:t xml:space="preserve">atest developments of the </w:t>
            </w:r>
            <w:proofErr w:type="spellStart"/>
            <w:r w:rsidRPr="003903F1">
              <w:t>eTIR</w:t>
            </w:r>
            <w:proofErr w:type="spellEnd"/>
            <w:r w:rsidRPr="003903F1">
              <w:t xml:space="preserve"> international system and the ongoing </w:t>
            </w:r>
            <w:proofErr w:type="spellStart"/>
            <w:r w:rsidRPr="003903F1">
              <w:t>eTIR</w:t>
            </w:r>
            <w:proofErr w:type="spellEnd"/>
            <w:r w:rsidRPr="003903F1">
              <w:t xml:space="preserve"> interconnection pro</w:t>
            </w:r>
            <w:r w:rsidRPr="00966595">
              <w:t xml:space="preserve">jects, leading up to the first </w:t>
            </w:r>
            <w:proofErr w:type="spellStart"/>
            <w:r w:rsidRPr="00966595">
              <w:t>eTIR</w:t>
            </w:r>
            <w:proofErr w:type="spellEnd"/>
            <w:r w:rsidRPr="00966595">
              <w:t xml:space="preserve"> transport (</w:t>
            </w:r>
            <w:r w:rsidR="00076BC0" w:rsidRPr="00966595">
              <w:t xml:space="preserve">see also </w:t>
            </w:r>
            <w:r w:rsidRPr="00966595">
              <w:t>ECE/TRANS/2023/</w:t>
            </w:r>
            <w:r w:rsidR="00567BF5" w:rsidRPr="00966595">
              <w:t>29)</w:t>
            </w:r>
            <w:r w:rsidRPr="00966595">
              <w:t>;</w:t>
            </w:r>
          </w:p>
          <w:p w14:paraId="6421C7C9" w14:textId="46D51370" w:rsidR="00F25AB8" w:rsidRPr="00966595" w:rsidRDefault="00F25AB8" w:rsidP="00823956">
            <w:pPr>
              <w:pStyle w:val="SingleTxtG"/>
              <w:ind w:firstLine="557"/>
            </w:pPr>
            <w:r w:rsidRPr="00966595">
              <w:t>(b)</w:t>
            </w:r>
            <w:r w:rsidR="00076BC0" w:rsidRPr="00966595">
              <w:tab/>
            </w:r>
            <w:r w:rsidR="00966595">
              <w:t xml:space="preserve">The </w:t>
            </w:r>
            <w:r w:rsidRPr="003903F1">
              <w:t>outcome of the first (January 2022) and second (August</w:t>
            </w:r>
            <w:r w:rsidR="00567BF5" w:rsidRPr="00E8303F">
              <w:t>–</w:t>
            </w:r>
            <w:r w:rsidRPr="00E02C43">
              <w:t xml:space="preserve">September 2022) sessions of the Technical Implementation Body (TIB) </w:t>
            </w:r>
            <w:r w:rsidRPr="00966595">
              <w:t>(ECE/TRANS/WP.30/AC.2/TIB/2 and ECE/TRANS/WP.30/AC.2/TIB</w:t>
            </w:r>
            <w:r w:rsidR="002548E4" w:rsidRPr="00966595">
              <w:t>/</w:t>
            </w:r>
            <w:r w:rsidRPr="00966595">
              <w:t>4);</w:t>
            </w:r>
          </w:p>
          <w:p w14:paraId="7EFA6918" w14:textId="466085B1" w:rsidR="00F25AB8" w:rsidRPr="00966595" w:rsidRDefault="00F25AB8" w:rsidP="00823956">
            <w:pPr>
              <w:pStyle w:val="SingleTxtG"/>
              <w:ind w:firstLine="557"/>
            </w:pPr>
            <w:r w:rsidRPr="00966595">
              <w:t>(c)</w:t>
            </w:r>
            <w:r w:rsidR="00076BC0" w:rsidRPr="00966595">
              <w:tab/>
            </w:r>
            <w:r w:rsidR="00823AB0">
              <w:t xml:space="preserve">The </w:t>
            </w:r>
            <w:r w:rsidRPr="003903F1">
              <w:t xml:space="preserve">latest developments in the International TIR Data Bank (ITDB), </w:t>
            </w:r>
            <w:r w:rsidRPr="00966595">
              <w:t xml:space="preserve">making the </w:t>
            </w:r>
            <w:r w:rsidRPr="00E8303F">
              <w:t xml:space="preserve">electronic </w:t>
            </w:r>
            <w:r w:rsidRPr="003903F1">
              <w:t>submission</w:t>
            </w:r>
            <w:r w:rsidRPr="00E8303F">
              <w:t xml:space="preserve"> </w:t>
            </w:r>
            <w:r w:rsidRPr="00966595">
              <w:t xml:space="preserve">of data to ITDB mandatory, </w:t>
            </w:r>
            <w:r w:rsidR="00823AB0">
              <w:t xml:space="preserve">in </w:t>
            </w:r>
            <w:r w:rsidRPr="003903F1">
              <w:t xml:space="preserve">launching the </w:t>
            </w:r>
            <w:proofErr w:type="spellStart"/>
            <w:r w:rsidRPr="003903F1">
              <w:t>eTIR</w:t>
            </w:r>
            <w:proofErr w:type="spellEnd"/>
            <w:r w:rsidRPr="003903F1">
              <w:t xml:space="preserve"> (web) portal for holders, as well as </w:t>
            </w:r>
            <w:r w:rsidR="00823AB0">
              <w:t xml:space="preserve">in </w:t>
            </w:r>
            <w:r w:rsidRPr="003903F1">
              <w:t>the new mobi</w:t>
            </w:r>
            <w:r w:rsidRPr="00E8303F">
              <w:t>le applications dedicated to TIR Carnet holders and customs officers;</w:t>
            </w:r>
          </w:p>
          <w:p w14:paraId="679EC051" w14:textId="7E0BAC5C" w:rsidR="00F25AB8" w:rsidRPr="00966595" w:rsidRDefault="00F25AB8" w:rsidP="00823956">
            <w:pPr>
              <w:pStyle w:val="SingleTxtG"/>
              <w:ind w:firstLine="557"/>
            </w:pPr>
            <w:r w:rsidRPr="00966595">
              <w:lastRenderedPageBreak/>
              <w:t>(d)</w:t>
            </w:r>
            <w:r w:rsidR="00076BC0" w:rsidRPr="00966595">
              <w:tab/>
            </w:r>
            <w:r w:rsidR="00996C4B">
              <w:t>A</w:t>
            </w:r>
            <w:r w:rsidRPr="003903F1">
              <w:t xml:space="preserve"> series of workshops organized </w:t>
            </w:r>
            <w:r w:rsidRPr="00966595">
              <w:t xml:space="preserve">in order to promote accession to the TIR Convention in other regions, especially in Africa, as well as to inform and encourage customs authorities about interconnecting their national customs systems with the </w:t>
            </w:r>
            <w:proofErr w:type="spellStart"/>
            <w:r w:rsidRPr="00966595">
              <w:t>eTIR</w:t>
            </w:r>
            <w:proofErr w:type="spellEnd"/>
            <w:r w:rsidRPr="00966595">
              <w:t xml:space="preserve"> international system;</w:t>
            </w:r>
          </w:p>
          <w:p w14:paraId="5044D458" w14:textId="53AEB4CC" w:rsidR="00F25AB8" w:rsidRPr="003903F1" w:rsidRDefault="00F25AB8" w:rsidP="00823956">
            <w:pPr>
              <w:pStyle w:val="SingleTxtG"/>
              <w:ind w:firstLine="557"/>
            </w:pPr>
            <w:r w:rsidRPr="00966595">
              <w:t>(e)</w:t>
            </w:r>
            <w:r w:rsidR="00076BC0" w:rsidRPr="00966595">
              <w:tab/>
            </w:r>
            <w:r w:rsidR="00996C4B">
              <w:t xml:space="preserve">The </w:t>
            </w:r>
            <w:r w:rsidRPr="003903F1">
              <w:t xml:space="preserve">twelfth revised version of the TIR Handbook; </w:t>
            </w:r>
          </w:p>
          <w:p w14:paraId="7B93038A" w14:textId="2A77B4BF" w:rsidR="00F25AB8" w:rsidRPr="00966595" w:rsidRDefault="00F25AB8" w:rsidP="00823956">
            <w:pPr>
              <w:pStyle w:val="SingleTxtG"/>
              <w:ind w:firstLine="557"/>
            </w:pPr>
            <w:r w:rsidRPr="00E8303F">
              <w:t>(f)</w:t>
            </w:r>
            <w:r w:rsidR="00076BC0" w:rsidRPr="00966595">
              <w:tab/>
            </w:r>
            <w:r w:rsidR="00996C4B">
              <w:t xml:space="preserve">The </w:t>
            </w:r>
            <w:r w:rsidRPr="003903F1">
              <w:t>latest developments in the International Convention on the Harmonization of Frontier Controls for Goods, 1982</w:t>
            </w:r>
            <w:r w:rsidR="00D64080" w:rsidRPr="00966595">
              <w:t>;</w:t>
            </w:r>
            <w:r w:rsidRPr="00966595">
              <w:t xml:space="preserve"> </w:t>
            </w:r>
          </w:p>
          <w:p w14:paraId="51FBC197" w14:textId="6A21720D" w:rsidR="00F25AB8" w:rsidRPr="00966595" w:rsidRDefault="00F25AB8" w:rsidP="00823956">
            <w:pPr>
              <w:pStyle w:val="SingleTxtG"/>
              <w:ind w:firstLine="557"/>
            </w:pPr>
            <w:r w:rsidRPr="00966595">
              <w:t>(g)</w:t>
            </w:r>
            <w:r w:rsidR="00076BC0" w:rsidRPr="00966595">
              <w:tab/>
            </w:r>
            <w:r w:rsidR="00EC2348">
              <w:t xml:space="preserve">The </w:t>
            </w:r>
            <w:r w:rsidRPr="003903F1">
              <w:t>preparation of a practical guide to cross border facilitation (in collaboration with OSCE);</w:t>
            </w:r>
          </w:p>
          <w:p w14:paraId="373BF1F7" w14:textId="6C935898" w:rsidR="00D64080" w:rsidRPr="00966595" w:rsidRDefault="00D64080" w:rsidP="00823956">
            <w:pPr>
              <w:pStyle w:val="SingleTxtG"/>
              <w:ind w:firstLine="557"/>
            </w:pPr>
            <w:r w:rsidRPr="00966595">
              <w:t>(h)</w:t>
            </w:r>
            <w:r w:rsidRPr="00966595">
              <w:tab/>
            </w:r>
            <w:r w:rsidR="00EC2348">
              <w:t xml:space="preserve">The </w:t>
            </w:r>
            <w:r w:rsidR="001B5DBA" w:rsidRPr="003903F1">
              <w:t xml:space="preserve">latest </w:t>
            </w:r>
            <w:r w:rsidRPr="003903F1">
              <w:t>d</w:t>
            </w:r>
            <w:r w:rsidRPr="00E8303F">
              <w:t>evelopments in the Convention on the Facilitation of Border Crossing Procedures for Passengers, Luggage and Load-luggage Carried in International Tr</w:t>
            </w:r>
            <w:r w:rsidRPr="00966595">
              <w:t>affic by Rail;</w:t>
            </w:r>
          </w:p>
          <w:p w14:paraId="2E1C4E3C" w14:textId="47989592" w:rsidR="00076BC0" w:rsidRPr="00966595" w:rsidRDefault="00F25AB8" w:rsidP="00823956">
            <w:pPr>
              <w:pStyle w:val="SingleTxtG"/>
              <w:ind w:firstLine="557"/>
            </w:pPr>
            <w:r w:rsidRPr="00966595">
              <w:t>(</w:t>
            </w:r>
            <w:proofErr w:type="spellStart"/>
            <w:r w:rsidR="00D64080" w:rsidRPr="00966595">
              <w:t>i</w:t>
            </w:r>
            <w:proofErr w:type="spellEnd"/>
            <w:r w:rsidRPr="00966595">
              <w:t>)</w:t>
            </w:r>
            <w:r w:rsidR="00076BC0" w:rsidRPr="00966595">
              <w:tab/>
            </w:r>
            <w:r w:rsidR="00EC2348">
              <w:t xml:space="preserve">The </w:t>
            </w:r>
            <w:r w:rsidRPr="003903F1">
              <w:t>activities undertaken in 2022 by ECE and the International Touring Alliance / International Automobile Federation (AIT/FIA) within the framework of a memorandum of understanding on the revitalization and digitalization of relevant United</w:t>
            </w:r>
            <w:r w:rsidRPr="00966595">
              <w:t xml:space="preserve"> Nations inland transport conventions and, in particular the development of an </w:t>
            </w:r>
            <w:proofErr w:type="spellStart"/>
            <w:r w:rsidRPr="00966595">
              <w:t>eCPD</w:t>
            </w:r>
            <w:proofErr w:type="spellEnd"/>
            <w:r w:rsidRPr="00966595">
              <w:t xml:space="preserve"> (Carnet de Passage </w:t>
            </w:r>
            <w:proofErr w:type="spellStart"/>
            <w:r w:rsidRPr="00966595">
              <w:t>en</w:t>
            </w:r>
            <w:proofErr w:type="spellEnd"/>
            <w:r w:rsidRPr="00966595">
              <w:t xml:space="preserve"> Douane) system</w:t>
            </w:r>
            <w:r w:rsidR="00D64080" w:rsidRPr="00966595">
              <w:t>;</w:t>
            </w:r>
          </w:p>
          <w:p w14:paraId="38B8FE29" w14:textId="20E03F08" w:rsidR="000325C2" w:rsidRPr="00966595" w:rsidRDefault="00076BC0" w:rsidP="00823956">
            <w:pPr>
              <w:pStyle w:val="SingleTxtG"/>
              <w:ind w:firstLine="557"/>
            </w:pPr>
            <w:r w:rsidRPr="00966595">
              <w:t>(</w:t>
            </w:r>
            <w:r w:rsidR="00D64080" w:rsidRPr="00966595">
              <w:t>j</w:t>
            </w:r>
            <w:r w:rsidRPr="00966595">
              <w:t>)</w:t>
            </w:r>
            <w:r w:rsidRPr="00966595">
              <w:tab/>
            </w:r>
            <w:r w:rsidR="00EC2348">
              <w:t xml:space="preserve">The </w:t>
            </w:r>
            <w:r w:rsidRPr="003903F1">
              <w:t xml:space="preserve">follow </w:t>
            </w:r>
            <w:r w:rsidR="00F25AB8" w:rsidRPr="00E8303F">
              <w:t>‐</w:t>
            </w:r>
            <w:r w:rsidR="00F25AB8" w:rsidRPr="00E02C43">
              <w:t>up actions taken by WP.30 in 2022 in align</w:t>
            </w:r>
            <w:r w:rsidR="006A21FE">
              <w:t xml:space="preserve">ing </w:t>
            </w:r>
            <w:r w:rsidR="00F25AB8" w:rsidRPr="003903F1">
              <w:t xml:space="preserve">its work with the ITC </w:t>
            </w:r>
            <w:r w:rsidR="007E685A" w:rsidRPr="00966595">
              <w:t>Strategy</w:t>
            </w:r>
            <w:r w:rsidR="00F25AB8" w:rsidRPr="00966595">
              <w:t>.</w:t>
            </w:r>
          </w:p>
        </w:tc>
      </w:tr>
    </w:tbl>
    <w:p w14:paraId="12D8C1F7" w14:textId="6380D0FD" w:rsidR="0095242B" w:rsidRPr="003903F1" w:rsidRDefault="0095242B" w:rsidP="00070CC3">
      <w:pPr>
        <w:pStyle w:val="HChG"/>
      </w:pPr>
      <w:r w:rsidRPr="00966595">
        <w:lastRenderedPageBreak/>
        <w:tab/>
        <w:t>I.</w:t>
      </w:r>
      <w:r w:rsidRPr="00966595">
        <w:tab/>
        <w:t xml:space="preserve">Background and </w:t>
      </w:r>
      <w:r w:rsidR="000E480F" w:rsidRPr="00070CC3">
        <w:t>Mandate</w:t>
      </w:r>
    </w:p>
    <w:p w14:paraId="2095D69B" w14:textId="7372CE0D" w:rsidR="0095242B" w:rsidRPr="00966595" w:rsidRDefault="0095242B" w:rsidP="0095242B">
      <w:pPr>
        <w:pStyle w:val="SingleTxtG"/>
      </w:pPr>
      <w:r w:rsidRPr="00966595">
        <w:t>1.</w:t>
      </w:r>
      <w:r w:rsidRPr="00966595">
        <w:tab/>
        <w:t>This document has been prepared in accordance with the 202</w:t>
      </w:r>
      <w:r w:rsidR="00FC28C4" w:rsidRPr="00966595">
        <w:t>2</w:t>
      </w:r>
      <w:r w:rsidRPr="00966595">
        <w:t xml:space="preserve"> Programme of Work of the Inland Transport Committee (ITC) (ECE/TRANS/</w:t>
      </w:r>
      <w:r w:rsidR="005F3342" w:rsidRPr="00966595">
        <w:t>3</w:t>
      </w:r>
      <w:r w:rsidR="00FC28C4" w:rsidRPr="00966595">
        <w:t>16</w:t>
      </w:r>
      <w:r w:rsidRPr="00966595">
        <w:t>, para</w:t>
      </w:r>
      <w:r w:rsidR="002570D4" w:rsidRPr="00966595">
        <w:t>graph</w:t>
      </w:r>
      <w:r w:rsidRPr="00966595">
        <w:t xml:space="preserve"> </w:t>
      </w:r>
      <w:r w:rsidR="005F3342" w:rsidRPr="00966595">
        <w:t>3</w:t>
      </w:r>
      <w:r w:rsidR="00FC28C4" w:rsidRPr="00966595">
        <w:t>3</w:t>
      </w:r>
      <w:r w:rsidRPr="00966595">
        <w:t xml:space="preserve"> and ECE/TRANS/20</w:t>
      </w:r>
      <w:r w:rsidR="005F3342" w:rsidRPr="00966595">
        <w:t>2</w:t>
      </w:r>
      <w:r w:rsidR="00FC28C4" w:rsidRPr="00966595">
        <w:t>2</w:t>
      </w:r>
      <w:r w:rsidRPr="00966595">
        <w:t>/</w:t>
      </w:r>
      <w:r w:rsidR="005F3342" w:rsidRPr="00966595">
        <w:t>8</w:t>
      </w:r>
      <w:r w:rsidRPr="00966595">
        <w:t xml:space="preserve">, programme activity </w:t>
      </w:r>
      <w:r w:rsidR="008F7BB4" w:rsidRPr="00966595">
        <w:t>4 (l)</w:t>
      </w:r>
      <w:r w:rsidRPr="00966595">
        <w:t xml:space="preserve">: Customs </w:t>
      </w:r>
      <w:r w:rsidR="005F3342" w:rsidRPr="00966595">
        <w:t>Q</w:t>
      </w:r>
      <w:r w:rsidRPr="00966595">
        <w:t xml:space="preserve">uestions affecting </w:t>
      </w:r>
      <w:r w:rsidR="005F3342" w:rsidRPr="00966595">
        <w:t>T</w:t>
      </w:r>
      <w:r w:rsidRPr="00966595">
        <w:t>ransport). It reports on the progress made in 202</w:t>
      </w:r>
      <w:r w:rsidR="009B0041" w:rsidRPr="00966595">
        <w:t>2</w:t>
      </w:r>
      <w:r w:rsidRPr="00966595">
        <w:t xml:space="preserve"> by the contracting parties, the Working Party on Customs Questions affecting Transport (WP.30), the Administrative Committee for the TIR Convention, 1975 (AC.2), </w:t>
      </w:r>
      <w:r w:rsidR="00FC28C4" w:rsidRPr="00966595">
        <w:t xml:space="preserve">the Technical Implementation Body (TIB) </w:t>
      </w:r>
      <w:r w:rsidR="00D64080" w:rsidRPr="00966595">
        <w:t>(</w:t>
      </w:r>
      <w:r w:rsidR="00FC28C4" w:rsidRPr="00966595">
        <w:t xml:space="preserve">for contracting parties bound by Annex </w:t>
      </w:r>
      <w:r w:rsidR="00FC28C4" w:rsidRPr="003903F1">
        <w:t xml:space="preserve">11 of the TIR Convention), </w:t>
      </w:r>
      <w:r w:rsidRPr="00E8303F">
        <w:t>the Administrative Committee for the Harmonization Convention, 1982 (AC.3) and the ECE/TIR secretariat in the area of border crossing facilitation, including among others:</w:t>
      </w:r>
    </w:p>
    <w:p w14:paraId="2F56C2CA" w14:textId="5C6E6FC7" w:rsidR="0095242B" w:rsidRPr="00966595" w:rsidRDefault="003354BF" w:rsidP="003354BF">
      <w:pPr>
        <w:pStyle w:val="Bullet1G"/>
        <w:numPr>
          <w:ilvl w:val="0"/>
          <w:numId w:val="0"/>
        </w:numPr>
        <w:tabs>
          <w:tab w:val="left" w:pos="1701"/>
        </w:tabs>
        <w:ind w:left="1701" w:hanging="170"/>
      </w:pPr>
      <w:r w:rsidRPr="00966595">
        <w:t>•</w:t>
      </w:r>
      <w:r w:rsidRPr="00966595">
        <w:tab/>
      </w:r>
      <w:r w:rsidR="0095242B" w:rsidRPr="00966595">
        <w:t>Activities and developments of the TIR Convention and the functioning of the TIR system.</w:t>
      </w:r>
    </w:p>
    <w:p w14:paraId="2E7B87FD" w14:textId="6AB67FD3" w:rsidR="0095242B" w:rsidRPr="00966595" w:rsidRDefault="003354BF" w:rsidP="00130E24">
      <w:pPr>
        <w:pStyle w:val="Bullet1G"/>
        <w:numPr>
          <w:ilvl w:val="0"/>
          <w:numId w:val="0"/>
        </w:numPr>
        <w:tabs>
          <w:tab w:val="left" w:pos="1701"/>
        </w:tabs>
        <w:ind w:left="1701" w:hanging="170"/>
      </w:pPr>
      <w:r w:rsidRPr="00966595">
        <w:t>•</w:t>
      </w:r>
      <w:r w:rsidRPr="00966595">
        <w:tab/>
      </w:r>
      <w:r w:rsidR="0095242B" w:rsidRPr="00966595">
        <w:t xml:space="preserve">Progress made in the </w:t>
      </w:r>
      <w:proofErr w:type="spellStart"/>
      <w:r w:rsidR="0095242B" w:rsidRPr="00966595">
        <w:t>eTIR</w:t>
      </w:r>
      <w:proofErr w:type="spellEnd"/>
      <w:r w:rsidR="0095242B" w:rsidRPr="00966595">
        <w:t xml:space="preserve"> project</w:t>
      </w:r>
      <w:r w:rsidR="00130E24" w:rsidRPr="00966595">
        <w:t>.</w:t>
      </w:r>
    </w:p>
    <w:p w14:paraId="541CCF1F" w14:textId="65B2F70B" w:rsidR="0095242B" w:rsidRPr="00966595" w:rsidRDefault="003354BF" w:rsidP="003354BF">
      <w:pPr>
        <w:pStyle w:val="Bullet1G"/>
        <w:numPr>
          <w:ilvl w:val="0"/>
          <w:numId w:val="0"/>
        </w:numPr>
        <w:tabs>
          <w:tab w:val="left" w:pos="1701"/>
        </w:tabs>
        <w:ind w:left="1701" w:hanging="170"/>
      </w:pPr>
      <w:r w:rsidRPr="00966595">
        <w:t>•</w:t>
      </w:r>
      <w:r w:rsidRPr="00966595">
        <w:tab/>
      </w:r>
      <w:r w:rsidR="0095242B" w:rsidRPr="00966595" w:rsidDel="003D4299">
        <w:t>Developments in the International Convention on the Harmonization of Frontier Controls of Goods, 1982 (Harmonization Convention)</w:t>
      </w:r>
      <w:r w:rsidR="0095242B" w:rsidRPr="00966595">
        <w:t>.</w:t>
      </w:r>
    </w:p>
    <w:p w14:paraId="7042CCC6" w14:textId="506C4C2B" w:rsidR="0095242B" w:rsidRPr="00966595" w:rsidRDefault="003354BF" w:rsidP="003354BF">
      <w:pPr>
        <w:pStyle w:val="Bullet1G"/>
        <w:numPr>
          <w:ilvl w:val="0"/>
          <w:numId w:val="0"/>
        </w:numPr>
        <w:tabs>
          <w:tab w:val="left" w:pos="1701"/>
        </w:tabs>
        <w:ind w:left="1701" w:hanging="170"/>
      </w:pPr>
      <w:r w:rsidRPr="00966595">
        <w:t>•</w:t>
      </w:r>
      <w:r w:rsidRPr="00966595">
        <w:tab/>
      </w:r>
      <w:r w:rsidR="0095242B" w:rsidRPr="00966595">
        <w:t>Developments in the Convention on the Facilitation of Border Crossing Procedures for Passengers, Luggage and Load-luggage Carried in International Traffic by Rail.</w:t>
      </w:r>
    </w:p>
    <w:p w14:paraId="4DB6B314" w14:textId="3CCE4650" w:rsidR="0095242B" w:rsidRPr="00966595" w:rsidRDefault="003354BF" w:rsidP="003354BF">
      <w:pPr>
        <w:pStyle w:val="Bullet1G"/>
        <w:numPr>
          <w:ilvl w:val="0"/>
          <w:numId w:val="0"/>
        </w:numPr>
        <w:tabs>
          <w:tab w:val="left" w:pos="1701"/>
        </w:tabs>
        <w:ind w:left="1701" w:hanging="170"/>
      </w:pPr>
      <w:r w:rsidRPr="00966595">
        <w:t>•</w:t>
      </w:r>
      <w:r w:rsidRPr="00966595">
        <w:tab/>
      </w:r>
      <w:r w:rsidR="0095242B" w:rsidRPr="00966595">
        <w:t>Developments in the 1954 Customs Convention on the Temporary Importation of Private Road Vehicles and the 1956 Customs Convention on the Temporary Importation of Commercial Road Vehicles.</w:t>
      </w:r>
    </w:p>
    <w:p w14:paraId="7500D683" w14:textId="1C738644" w:rsidR="0095242B" w:rsidRPr="00966595" w:rsidRDefault="003354BF" w:rsidP="003354BF">
      <w:pPr>
        <w:pStyle w:val="Bullet1G"/>
        <w:numPr>
          <w:ilvl w:val="0"/>
          <w:numId w:val="0"/>
        </w:numPr>
        <w:tabs>
          <w:tab w:val="left" w:pos="1701"/>
        </w:tabs>
        <w:ind w:left="1701" w:hanging="170"/>
      </w:pPr>
      <w:r w:rsidRPr="00966595">
        <w:t>•</w:t>
      </w:r>
      <w:r w:rsidRPr="00966595">
        <w:tab/>
      </w:r>
      <w:r w:rsidR="0095242B" w:rsidRPr="00966595">
        <w:t xml:space="preserve">Requests from ITC to align the activities of WP.30 with the ITC </w:t>
      </w:r>
      <w:r w:rsidR="007E685A" w:rsidRPr="00966595">
        <w:t>Strategy</w:t>
      </w:r>
      <w:r w:rsidR="0095242B" w:rsidRPr="00966595">
        <w:t xml:space="preserve"> until 2030.</w:t>
      </w:r>
    </w:p>
    <w:p w14:paraId="70E87F37" w14:textId="6DAEEDBA" w:rsidR="0095242B" w:rsidRPr="00966595" w:rsidRDefault="0095242B" w:rsidP="00070CC3">
      <w:pPr>
        <w:pStyle w:val="HChG"/>
      </w:pPr>
      <w:r w:rsidRPr="00966595">
        <w:tab/>
        <w:t>II.</w:t>
      </w:r>
      <w:r w:rsidRPr="00966595">
        <w:tab/>
      </w:r>
      <w:r w:rsidR="00D64080" w:rsidRPr="00966595">
        <w:t xml:space="preserve">Customs Convention on the </w:t>
      </w:r>
      <w:r w:rsidR="00D64080" w:rsidRPr="00070CC3">
        <w:t>International</w:t>
      </w:r>
      <w:r w:rsidR="00D64080" w:rsidRPr="00966595">
        <w:t xml:space="preserve"> Transport of Goods under Cover of TIR Carnets, 1975 (</w:t>
      </w:r>
      <w:r w:rsidRPr="00966595">
        <w:t>TIR Convention</w:t>
      </w:r>
      <w:r w:rsidR="00D64080" w:rsidRPr="00966595">
        <w:t>)</w:t>
      </w:r>
    </w:p>
    <w:p w14:paraId="226559EB" w14:textId="18ED661D" w:rsidR="0095242B" w:rsidRPr="00E8303F" w:rsidRDefault="0095242B" w:rsidP="00070CC3">
      <w:pPr>
        <w:pStyle w:val="H1G"/>
      </w:pPr>
      <w:r w:rsidRPr="00966595">
        <w:tab/>
        <w:t>A.</w:t>
      </w:r>
      <w:r w:rsidRPr="00966595">
        <w:tab/>
        <w:t xml:space="preserve">Amendment </w:t>
      </w:r>
      <w:r w:rsidR="00BA0FDF">
        <w:t>P</w:t>
      </w:r>
      <w:r w:rsidR="008C71EE" w:rsidRPr="003903F1">
        <w:t xml:space="preserve">roposals </w:t>
      </w:r>
      <w:r w:rsidRPr="003903F1">
        <w:t>to the Convention</w:t>
      </w:r>
    </w:p>
    <w:p w14:paraId="25374671" w14:textId="38779518" w:rsidR="0095242B" w:rsidRPr="00966595" w:rsidRDefault="0095242B" w:rsidP="0095242B">
      <w:pPr>
        <w:pStyle w:val="SingleTxtG"/>
      </w:pPr>
      <w:r w:rsidRPr="00E02C43">
        <w:t>2.</w:t>
      </w:r>
      <w:r w:rsidRPr="00E02C43">
        <w:tab/>
      </w:r>
      <w:r w:rsidR="002979C8" w:rsidRPr="00A52347">
        <w:t xml:space="preserve">Since </w:t>
      </w:r>
      <w:r w:rsidR="008F7BB4" w:rsidRPr="00A52347">
        <w:t>16 June 2021</w:t>
      </w:r>
      <w:r w:rsidR="00BA0FDF">
        <w:t>,</w:t>
      </w:r>
      <w:r w:rsidRPr="003903F1">
        <w:t xml:space="preserve"> the TIR Convention, 1975 </w:t>
      </w:r>
      <w:r w:rsidR="001E4A57" w:rsidRPr="003903F1">
        <w:t xml:space="preserve">entered into force for Egypt. </w:t>
      </w:r>
      <w:r w:rsidR="00BA0FDF">
        <w:t>T</w:t>
      </w:r>
      <w:r w:rsidR="001E4A57" w:rsidRPr="003903F1">
        <w:t xml:space="preserve">he convention </w:t>
      </w:r>
      <w:r w:rsidRPr="00966595">
        <w:t>has 7</w:t>
      </w:r>
      <w:r w:rsidR="008F7BB4" w:rsidRPr="00966595">
        <w:t>7</w:t>
      </w:r>
      <w:r w:rsidRPr="00966595">
        <w:t xml:space="preserve"> contracting parties. </w:t>
      </w:r>
      <w:r w:rsidR="002979C8" w:rsidRPr="00966595">
        <w:t>T</w:t>
      </w:r>
      <w:r w:rsidRPr="00966595">
        <w:t>he TIR system has 6</w:t>
      </w:r>
      <w:r w:rsidR="008F7BB4" w:rsidRPr="00966595">
        <w:t>5</w:t>
      </w:r>
      <w:r w:rsidRPr="00966595">
        <w:t xml:space="preserve"> active TIR countries. </w:t>
      </w:r>
    </w:p>
    <w:p w14:paraId="54962E1F" w14:textId="1582F0FC" w:rsidR="0095242B" w:rsidRPr="00966595" w:rsidRDefault="0095242B" w:rsidP="0095242B">
      <w:pPr>
        <w:pStyle w:val="SingleTxtG"/>
      </w:pPr>
      <w:r w:rsidRPr="00966595">
        <w:lastRenderedPageBreak/>
        <w:t>3.</w:t>
      </w:r>
      <w:r w:rsidRPr="00966595">
        <w:tab/>
        <w:t>In 202</w:t>
      </w:r>
      <w:r w:rsidR="002979C8" w:rsidRPr="00966595">
        <w:t>2</w:t>
      </w:r>
      <w:r w:rsidRPr="00966595">
        <w:t xml:space="preserve">, </w:t>
      </w:r>
      <w:r w:rsidR="001E4A57" w:rsidRPr="00966595">
        <w:t>the following amendments entered into force</w:t>
      </w:r>
      <w:r w:rsidR="00D64080" w:rsidRPr="00966595">
        <w:t xml:space="preserve"> </w:t>
      </w:r>
      <w:r w:rsidR="00BA0FDF">
        <w:t xml:space="preserve">for </w:t>
      </w:r>
      <w:r w:rsidR="00D64080" w:rsidRPr="003903F1">
        <w:t>all contracting parties to the Convention</w:t>
      </w:r>
      <w:r w:rsidRPr="00966595">
        <w:t>:</w:t>
      </w:r>
    </w:p>
    <w:p w14:paraId="44D64635" w14:textId="60D19D61" w:rsidR="00791616" w:rsidRPr="000934D5" w:rsidRDefault="00990EF3" w:rsidP="000934D5">
      <w:pPr>
        <w:pStyle w:val="Bullet1G"/>
      </w:pPr>
      <w:r w:rsidRPr="00966595">
        <w:tab/>
      </w:r>
      <w:r w:rsidR="0095242B" w:rsidRPr="00966595">
        <w:t xml:space="preserve">On 4 </w:t>
      </w:r>
      <w:r w:rsidRPr="00966595">
        <w:t>February 2022</w:t>
      </w:r>
      <w:r w:rsidR="00D64080" w:rsidRPr="00966595">
        <w:t>:</w:t>
      </w:r>
      <w:r w:rsidR="0095242B" w:rsidRPr="00966595">
        <w:t xml:space="preserve"> various proposals to amend the body and annexes of the TIR Convention, 1975, including those that make the electronic submission of data to </w:t>
      </w:r>
      <w:r w:rsidR="00FB2672" w:rsidRPr="00966595">
        <w:t xml:space="preserve">the International </w:t>
      </w:r>
      <w:r w:rsidR="00FB2672" w:rsidRPr="000934D5">
        <w:t>TIR Data Bank (</w:t>
      </w:r>
      <w:r w:rsidR="0095242B" w:rsidRPr="000934D5">
        <w:t>ITDB</w:t>
      </w:r>
      <w:r w:rsidR="00FB2672" w:rsidRPr="000934D5">
        <w:t>)</w:t>
      </w:r>
      <w:r w:rsidR="0095242B" w:rsidRPr="000934D5">
        <w:t xml:space="preserve"> obligatory</w:t>
      </w:r>
      <w:r w:rsidR="00D64080" w:rsidRPr="000934D5">
        <w:t>;</w:t>
      </w:r>
    </w:p>
    <w:p w14:paraId="5B9BFBF9" w14:textId="5FA86CDB" w:rsidR="00C5715D" w:rsidRPr="003903F1" w:rsidRDefault="00536EF3" w:rsidP="000934D5">
      <w:pPr>
        <w:pStyle w:val="Bullet1G"/>
      </w:pPr>
      <w:r w:rsidRPr="000934D5">
        <w:tab/>
      </w:r>
      <w:r w:rsidR="00E00916" w:rsidRPr="000934D5">
        <w:t xml:space="preserve">On </w:t>
      </w:r>
      <w:r w:rsidRPr="000934D5">
        <w:t>25 June 202</w:t>
      </w:r>
      <w:r w:rsidRPr="00966595">
        <w:t>2</w:t>
      </w:r>
      <w:r w:rsidR="00D64080" w:rsidRPr="00966595">
        <w:t>:</w:t>
      </w:r>
      <w:r w:rsidRPr="00966595">
        <w:t xml:space="preserve"> </w:t>
      </w:r>
      <w:r w:rsidR="00C5715D" w:rsidRPr="00966595">
        <w:t xml:space="preserve">a proposal to amend </w:t>
      </w:r>
      <w:r w:rsidR="00BE3F12">
        <w:t>A</w:t>
      </w:r>
      <w:r w:rsidR="00C5715D" w:rsidRPr="003903F1">
        <w:t xml:space="preserve">rticle 18 </w:t>
      </w:r>
      <w:r w:rsidR="00064C60" w:rsidRPr="00A52347">
        <w:t xml:space="preserve">and </w:t>
      </w:r>
      <w:r w:rsidR="00BE3F12">
        <w:t>A</w:t>
      </w:r>
      <w:r w:rsidR="00C5715D" w:rsidRPr="003903F1">
        <w:t>nnexes 1 and 6 of the TIR Convention</w:t>
      </w:r>
      <w:r w:rsidRPr="00966595">
        <w:t xml:space="preserve"> entered into force. With th</w:t>
      </w:r>
      <w:r w:rsidR="005F7B06" w:rsidRPr="00966595">
        <w:t>is, the number of places of loading and unloading per TIR Carnet increased</w:t>
      </w:r>
      <w:r w:rsidR="00814A34" w:rsidRPr="00966595">
        <w:t xml:space="preserve"> from four to, maximally, eight. The layout of the </w:t>
      </w:r>
      <w:r w:rsidR="00A76F23" w:rsidRPr="00966595">
        <w:t xml:space="preserve">TIR Carnet, </w:t>
      </w:r>
      <w:r w:rsidR="00485398" w:rsidRPr="00966595">
        <w:t xml:space="preserve">version 1 and version </w:t>
      </w:r>
      <w:r w:rsidR="00A76F23" w:rsidRPr="00966595">
        <w:t>2, has been adjusted accordingly.</w:t>
      </w:r>
      <w:r w:rsidR="00075EA0" w:rsidRPr="003903F1">
        <w:rPr>
          <w:rStyle w:val="FootnoteReference"/>
        </w:rPr>
        <w:footnoteReference w:id="2"/>
      </w:r>
    </w:p>
    <w:p w14:paraId="7F76FDCC" w14:textId="4D05B403" w:rsidR="00145B5A" w:rsidRPr="003903F1" w:rsidRDefault="00075EA0" w:rsidP="00145B5A">
      <w:pPr>
        <w:pStyle w:val="SingleTxtG"/>
      </w:pPr>
      <w:r w:rsidRPr="00A52347">
        <w:t>4.</w:t>
      </w:r>
      <w:r w:rsidRPr="00A52347">
        <w:tab/>
        <w:t>More information on</w:t>
      </w:r>
      <w:r w:rsidR="00145B5A" w:rsidRPr="00686C82">
        <w:t xml:space="preserve"> depositary notifications is available on the TIR website.</w:t>
      </w:r>
      <w:r w:rsidR="00145B5A" w:rsidRPr="003903F1">
        <w:rPr>
          <w:vertAlign w:val="superscript"/>
        </w:rPr>
        <w:footnoteReference w:id="3"/>
      </w:r>
    </w:p>
    <w:p w14:paraId="6DA2A38B" w14:textId="6D073A01" w:rsidR="0095242B" w:rsidRPr="00966595" w:rsidRDefault="0095242B" w:rsidP="00070CC3">
      <w:pPr>
        <w:pStyle w:val="H1G"/>
      </w:pPr>
      <w:r w:rsidRPr="00966595">
        <w:tab/>
        <w:t>B.</w:t>
      </w:r>
      <w:r w:rsidRPr="00966595">
        <w:tab/>
        <w:t xml:space="preserve">International TIR Data Bank and </w:t>
      </w:r>
      <w:r w:rsidR="00690C6E" w:rsidRPr="00070CC3">
        <w:t>Electronic</w:t>
      </w:r>
      <w:r w:rsidR="00690C6E" w:rsidRPr="00966595">
        <w:t xml:space="preserve"> Tools </w:t>
      </w:r>
      <w:r w:rsidRPr="00966595">
        <w:t xml:space="preserve">of the TIR secretariat </w:t>
      </w:r>
    </w:p>
    <w:p w14:paraId="348B22F2" w14:textId="5B161898" w:rsidR="009B0041" w:rsidRPr="00966595" w:rsidRDefault="00251F4C" w:rsidP="004620FE">
      <w:pPr>
        <w:pStyle w:val="SingleTxtG"/>
      </w:pPr>
      <w:r w:rsidRPr="00966595">
        <w:t>5</w:t>
      </w:r>
      <w:r w:rsidR="00D7568E" w:rsidRPr="00966595">
        <w:t>.</w:t>
      </w:r>
      <w:r w:rsidR="00D7568E" w:rsidRPr="00966595">
        <w:tab/>
      </w:r>
      <w:r w:rsidR="00690C6E">
        <w:t xml:space="preserve">On </w:t>
      </w:r>
      <w:r w:rsidR="009B0041" w:rsidRPr="003903F1">
        <w:t xml:space="preserve">4 February 2022, </w:t>
      </w:r>
      <w:r w:rsidR="009B0041" w:rsidRPr="00A52347">
        <w:t xml:space="preserve">the electronic submission of data to ITDB </w:t>
      </w:r>
      <w:r w:rsidR="009B0041" w:rsidRPr="00686C82">
        <w:t>bec</w:t>
      </w:r>
      <w:r w:rsidR="00690C6E">
        <w:t>a</w:t>
      </w:r>
      <w:r w:rsidR="009B0041" w:rsidRPr="003903F1">
        <w:t xml:space="preserve">me </w:t>
      </w:r>
      <w:r w:rsidR="009B0041" w:rsidRPr="00A52347">
        <w:t>obligatory</w:t>
      </w:r>
      <w:r w:rsidR="009B0041" w:rsidRPr="00686C82">
        <w:t xml:space="preserve"> </w:t>
      </w:r>
      <w:r w:rsidR="009B0041" w:rsidRPr="00966595">
        <w:t xml:space="preserve">with respect to all </w:t>
      </w:r>
      <w:r w:rsidR="00853127" w:rsidRPr="00966595">
        <w:t>p</w:t>
      </w:r>
      <w:r w:rsidR="009B0041" w:rsidRPr="00966595">
        <w:t>arties to the Convention</w:t>
      </w:r>
      <w:r w:rsidR="00485398">
        <w:t>.</w:t>
      </w:r>
    </w:p>
    <w:p w14:paraId="7DD531D4" w14:textId="0879A557" w:rsidR="009B0041" w:rsidRPr="00A52347" w:rsidRDefault="00251F4C" w:rsidP="009B0041">
      <w:pPr>
        <w:pStyle w:val="SingleTxtG"/>
        <w:rPr>
          <w:i/>
          <w:iCs/>
        </w:rPr>
      </w:pPr>
      <w:r w:rsidRPr="00966595">
        <w:t>6</w:t>
      </w:r>
      <w:r w:rsidR="00853127" w:rsidRPr="00966595">
        <w:t>.</w:t>
      </w:r>
      <w:r w:rsidR="00853127" w:rsidRPr="00966595">
        <w:tab/>
      </w:r>
      <w:r w:rsidR="004620FE" w:rsidRPr="00966595">
        <w:t>At its seventy-</w:t>
      </w:r>
      <w:r w:rsidR="009B0041" w:rsidRPr="00966595">
        <w:t>eighth</w:t>
      </w:r>
      <w:r w:rsidR="004620FE" w:rsidRPr="00966595">
        <w:t xml:space="preserve"> session (October 202</w:t>
      </w:r>
      <w:r w:rsidR="009B0041" w:rsidRPr="00966595">
        <w:t>2</w:t>
      </w:r>
      <w:r w:rsidR="004620FE" w:rsidRPr="00966595">
        <w:t xml:space="preserve">), AC.2 </w:t>
      </w:r>
      <w:r w:rsidR="009B0041" w:rsidRPr="00966595">
        <w:t xml:space="preserve">was informed about developments related to ITDB and other information technology projects managed by the TIR secretariat. </w:t>
      </w:r>
      <w:r w:rsidR="002548E4" w:rsidRPr="00966595">
        <w:t>AC.2</w:t>
      </w:r>
      <w:r w:rsidR="009B0041" w:rsidRPr="00966595">
        <w:t xml:space="preserve"> took note of the current status of data recordings in ITDB and, in particular, of the following figures: 1,161 web application users, 30,599 authorized holders recorded, 271 stamps and seals recorded, 2,783 customs offices recorded and of the web service usage for the past years. </w:t>
      </w:r>
      <w:r w:rsidR="002548E4" w:rsidRPr="00966595">
        <w:t>AC.2</w:t>
      </w:r>
      <w:r w:rsidR="009B0041" w:rsidRPr="00966595">
        <w:t xml:space="preserve"> also took note of the latest improvements of ITDB, in particular the deployment in production of the holder status change email notification in ITDB (as of 2 August 2022), the start of the user acceptance testing of the </w:t>
      </w:r>
      <w:proofErr w:type="spellStart"/>
      <w:r w:rsidR="009B0041" w:rsidRPr="00966595">
        <w:t>eTIR</w:t>
      </w:r>
      <w:proofErr w:type="spellEnd"/>
      <w:r w:rsidR="009B0041" w:rsidRPr="00966595">
        <w:t xml:space="preserve"> portal (in September 2022), as well as the progress in the development of the two </w:t>
      </w:r>
      <w:proofErr w:type="spellStart"/>
      <w:r w:rsidR="009B0041" w:rsidRPr="00966595">
        <w:t>eTIR</w:t>
      </w:r>
      <w:proofErr w:type="spellEnd"/>
      <w:r w:rsidR="009B0041" w:rsidRPr="00966595">
        <w:t xml:space="preserve"> mobile apps, intended for holder staff and customs officers (ECE/TRANS/WP.30/AC.2/159, para</w:t>
      </w:r>
      <w:r w:rsidR="00690C6E">
        <w:t>graph</w:t>
      </w:r>
      <w:r w:rsidR="009B0041" w:rsidRPr="003903F1">
        <w:t xml:space="preserve"> 21).</w:t>
      </w:r>
    </w:p>
    <w:p w14:paraId="4922363A" w14:textId="09D842CC" w:rsidR="0095242B" w:rsidRPr="00966595" w:rsidRDefault="0095242B" w:rsidP="006F7986">
      <w:pPr>
        <w:pStyle w:val="H1G"/>
      </w:pPr>
      <w:r w:rsidRPr="00966595">
        <w:tab/>
        <w:t>C.</w:t>
      </w:r>
      <w:r w:rsidRPr="00966595">
        <w:tab/>
        <w:t xml:space="preserve">National and </w:t>
      </w:r>
      <w:r w:rsidR="00690C6E" w:rsidRPr="00966595">
        <w:t xml:space="preserve">Regional </w:t>
      </w:r>
      <w:r w:rsidRPr="00966595">
        <w:t xml:space="preserve">TIR </w:t>
      </w:r>
      <w:r w:rsidR="00690C6E" w:rsidRPr="00966595">
        <w:t xml:space="preserve">Workshops </w:t>
      </w:r>
      <w:r w:rsidRPr="00966595">
        <w:t xml:space="preserve">and </w:t>
      </w:r>
      <w:r w:rsidR="00690C6E" w:rsidRPr="00966595">
        <w:t>Seminars</w:t>
      </w:r>
    </w:p>
    <w:p w14:paraId="408725D6" w14:textId="2F13B99D" w:rsidR="0095242B" w:rsidRPr="003903F1" w:rsidRDefault="00251F4C" w:rsidP="00AC4B29">
      <w:pPr>
        <w:pStyle w:val="SingleTxtG"/>
      </w:pPr>
      <w:r w:rsidRPr="00966595">
        <w:t>7</w:t>
      </w:r>
      <w:r w:rsidR="0095242B" w:rsidRPr="00966595">
        <w:t>.</w:t>
      </w:r>
      <w:r w:rsidR="0095242B" w:rsidRPr="00966595">
        <w:tab/>
      </w:r>
      <w:r w:rsidR="009B0041" w:rsidRPr="00966595">
        <w:t xml:space="preserve">At its seventy-seventh session (February 2022), </w:t>
      </w:r>
      <w:r w:rsidR="002548E4" w:rsidRPr="00966595">
        <w:t xml:space="preserve">AC.2 </w:t>
      </w:r>
      <w:r w:rsidR="009B0041" w:rsidRPr="00966595">
        <w:t>took note that the secretariat (remotely) took part in: (</w:t>
      </w:r>
      <w:r w:rsidR="00386BA0">
        <w:t>a</w:t>
      </w:r>
      <w:r w:rsidR="009B0041" w:rsidRPr="003903F1">
        <w:t>) the annual technology event of t</w:t>
      </w:r>
      <w:r w:rsidR="009B0041" w:rsidRPr="00A52347">
        <w:t>he World Customs Organization (WCO) in Brussels (20</w:t>
      </w:r>
      <w:r w:rsidR="00386BA0">
        <w:t xml:space="preserve"> and </w:t>
      </w:r>
      <w:r w:rsidR="009B0041" w:rsidRPr="003903F1">
        <w:t>21 November 2021) and (</w:t>
      </w:r>
      <w:r w:rsidR="00386BA0">
        <w:t>b</w:t>
      </w:r>
      <w:r w:rsidR="009B0041" w:rsidRPr="003903F1">
        <w:t xml:space="preserve">) a seminar in Amman, organized by the Fédération Internationale de </w:t>
      </w:r>
      <w:proofErr w:type="spellStart"/>
      <w:r w:rsidR="009B0041" w:rsidRPr="003903F1">
        <w:t>l’Automobile</w:t>
      </w:r>
      <w:proofErr w:type="spellEnd"/>
      <w:r w:rsidR="009B0041" w:rsidRPr="003903F1">
        <w:t xml:space="preserve"> (FIA) on the temporary importation of private (1954) and commercial (1956) conventions as well as </w:t>
      </w:r>
      <w:r w:rsidR="009B0041" w:rsidRPr="00966595">
        <w:t>other United Nations legal instruments in the field of temporary importation (24 November 2021) (ECE/TRANS/WP.30/AC.2/157, para</w:t>
      </w:r>
      <w:r w:rsidR="00386BA0">
        <w:t>graph</w:t>
      </w:r>
      <w:r w:rsidR="009B0041" w:rsidRPr="003903F1">
        <w:t xml:space="preserve"> 14)</w:t>
      </w:r>
      <w:r w:rsidR="009B0041" w:rsidRPr="00A52347">
        <w:t xml:space="preserve">. </w:t>
      </w:r>
      <w:r w:rsidR="009B0041" w:rsidRPr="00686C82">
        <w:t xml:space="preserve">At its seventy-eighth session (October 2022) the secretariat informed </w:t>
      </w:r>
      <w:r w:rsidR="002548E4" w:rsidRPr="00F3293F">
        <w:t>AC.2</w:t>
      </w:r>
      <w:r w:rsidR="009B0041" w:rsidRPr="00F3293F">
        <w:t xml:space="preserve"> that it had participated in </w:t>
      </w:r>
      <w:r w:rsidR="009B0041" w:rsidRPr="00966595">
        <w:t>a United Nations Conference on Trade and Development (UNCTAD) webinar on the “Future of Transit in Mongolia: Challenges and Opportunities” (25 May 2022) and that it had organized, in collaboration with the Islamic Development Bank and the Islamic Centre for Development of Trade, a training workshop in Casablanca</w:t>
      </w:r>
      <w:r w:rsidR="00BA7DDB">
        <w:t>, Morocco</w:t>
      </w:r>
      <w:r w:rsidR="009B0041" w:rsidRPr="00966595">
        <w:t xml:space="preserve"> (28</w:t>
      </w:r>
      <w:r w:rsidR="00386BA0">
        <w:t xml:space="preserve"> and </w:t>
      </w:r>
      <w:r w:rsidR="009B0041" w:rsidRPr="003903F1">
        <w:t>29 June 2022</w:t>
      </w:r>
      <w:r w:rsidR="009B0041" w:rsidRPr="00A52347">
        <w:t>)</w:t>
      </w:r>
      <w:r w:rsidR="009B0041" w:rsidRPr="00686C82">
        <w:t>. T</w:t>
      </w:r>
      <w:r w:rsidR="009B0041" w:rsidRPr="00F3293F">
        <w:t xml:space="preserve">ransport/trade and customs experts from several sub-Saharan countries </w:t>
      </w:r>
      <w:r w:rsidR="009B0041" w:rsidRPr="00966595">
        <w:t xml:space="preserve">participated in the workshop. ESCWA and ECA were present at the workshop </w:t>
      </w:r>
      <w:r w:rsidR="00386BA0">
        <w:t xml:space="preserve">where they </w:t>
      </w:r>
      <w:r w:rsidR="009B0041" w:rsidRPr="003903F1">
        <w:t>present</w:t>
      </w:r>
      <w:r w:rsidR="009B0041" w:rsidRPr="00A52347">
        <w:t>ed</w:t>
      </w:r>
      <w:r w:rsidR="009B0041" w:rsidRPr="00686C82">
        <w:t xml:space="preserve"> the current status of border crossings</w:t>
      </w:r>
      <w:r w:rsidR="009B0041" w:rsidRPr="00F3293F">
        <w:t xml:space="preserve"> in their regions. On 23 September 2022, the secretariat presented the be</w:t>
      </w:r>
      <w:r w:rsidR="009B0041" w:rsidRPr="00966595">
        <w:t xml:space="preserve">nefits of the TIR Convention and, in particular, </w:t>
      </w:r>
      <w:proofErr w:type="spellStart"/>
      <w:r w:rsidR="009B0041" w:rsidRPr="00966595">
        <w:t>eTIR</w:t>
      </w:r>
      <w:proofErr w:type="spellEnd"/>
      <w:r w:rsidR="009B0041" w:rsidRPr="00966595">
        <w:t xml:space="preserve"> to a delegation of the Cross Border Road Transport Agenc</w:t>
      </w:r>
      <w:r w:rsidR="009B0041" w:rsidRPr="00BE3F12">
        <w:t>y (CBRTA) of South Africa.</w:t>
      </w:r>
      <w:r w:rsidR="009B0041" w:rsidRPr="003903F1">
        <w:t xml:space="preserve"> </w:t>
      </w:r>
      <w:r w:rsidR="009B0041" w:rsidRPr="00BE3F12">
        <w:t xml:space="preserve">The secretariat further informed </w:t>
      </w:r>
      <w:r w:rsidR="002548E4" w:rsidRPr="00BE3F12">
        <w:t>AC.2</w:t>
      </w:r>
      <w:r w:rsidR="009B0041" w:rsidRPr="00BE3F12">
        <w:t xml:space="preserve"> about upcoming events, such as an online </w:t>
      </w:r>
      <w:proofErr w:type="spellStart"/>
      <w:r w:rsidR="009B0041" w:rsidRPr="00BE3F12">
        <w:t>TIRExB</w:t>
      </w:r>
      <w:proofErr w:type="spellEnd"/>
      <w:r w:rsidR="009B0041" w:rsidRPr="00BE3F12">
        <w:t xml:space="preserve"> seminar on the intermodal aspects of the TIR procedure (17 October 2022), a workshop in Djibouti to promote accession to the TIR and CMR</w:t>
      </w:r>
      <w:r w:rsidR="00942500">
        <w:t xml:space="preserve"> </w:t>
      </w:r>
      <w:r w:rsidR="00942500">
        <w:rPr>
          <w:rStyle w:val="FootnoteReference"/>
        </w:rPr>
        <w:footnoteReference w:id="4"/>
      </w:r>
      <w:r w:rsidR="009B0041" w:rsidRPr="00BE3F12">
        <w:t xml:space="preserve"> Convention</w:t>
      </w:r>
      <w:r w:rsidR="00942500">
        <w:t>s</w:t>
      </w:r>
      <w:r w:rsidR="009B0041" w:rsidRPr="00BE3F12">
        <w:t xml:space="preserve"> for African countries (tentative date: 7</w:t>
      </w:r>
      <w:r w:rsidR="003A0984">
        <w:t xml:space="preserve"> and </w:t>
      </w:r>
      <w:r w:rsidR="009B0041" w:rsidRPr="00BE3F12">
        <w:t xml:space="preserve">8 December 2022) and a workshop in Samarkand (Uzbekistan) dedicated to the development of an </w:t>
      </w:r>
      <w:proofErr w:type="spellStart"/>
      <w:r w:rsidR="009B0041" w:rsidRPr="00BE3F12">
        <w:t>eTIR</w:t>
      </w:r>
      <w:proofErr w:type="spellEnd"/>
      <w:r w:rsidR="009B0041" w:rsidRPr="00BE3F12">
        <w:t xml:space="preserve"> corridor Kazakhstan</w:t>
      </w:r>
      <w:r w:rsidR="003903F1" w:rsidRPr="003903F1">
        <w:t>–</w:t>
      </w:r>
      <w:r w:rsidR="009B0041" w:rsidRPr="00BE3F12">
        <w:t>Uzbekistan</w:t>
      </w:r>
      <w:r w:rsidR="003903F1" w:rsidRPr="003903F1">
        <w:t>–</w:t>
      </w:r>
      <w:r w:rsidR="009B0041" w:rsidRPr="00BE3F12">
        <w:lastRenderedPageBreak/>
        <w:t>Turkmenistan</w:t>
      </w:r>
      <w:r w:rsidR="003903F1" w:rsidRPr="003903F1">
        <w:t>–</w:t>
      </w:r>
      <w:r w:rsidR="00B5059B" w:rsidRPr="00BE3F12">
        <w:t>Islamic Republic of</w:t>
      </w:r>
      <w:r w:rsidR="00B5059B" w:rsidRPr="003903F1">
        <w:t xml:space="preserve"> </w:t>
      </w:r>
      <w:r w:rsidR="00B5059B" w:rsidRPr="00BE3F12">
        <w:t>Iran</w:t>
      </w:r>
      <w:r w:rsidR="003903F1" w:rsidRPr="003903F1">
        <w:t>–</w:t>
      </w:r>
      <w:r w:rsidR="009B0041" w:rsidRPr="00BE3F12">
        <w:t>Pakistan (ECE/TRANS/WP.30/AC.2/2022/159, para</w:t>
      </w:r>
      <w:r w:rsidR="00AB21CA">
        <w:t>graph</w:t>
      </w:r>
      <w:r w:rsidR="009B0041" w:rsidRPr="00BE3F12">
        <w:t>s 22 and 23).</w:t>
      </w:r>
    </w:p>
    <w:p w14:paraId="66D71B5D" w14:textId="3D41ED6F" w:rsidR="0095242B" w:rsidRPr="00AB21CA" w:rsidRDefault="0095242B" w:rsidP="006F7986">
      <w:pPr>
        <w:pStyle w:val="H1G"/>
      </w:pPr>
      <w:r w:rsidRPr="003903F1">
        <w:tab/>
      </w:r>
      <w:r w:rsidR="00251F4C" w:rsidRPr="003903F1">
        <w:t>D</w:t>
      </w:r>
      <w:r w:rsidRPr="00F3293F">
        <w:t>.</w:t>
      </w:r>
      <w:r w:rsidRPr="00F3293F">
        <w:tab/>
      </w:r>
      <w:proofErr w:type="spellStart"/>
      <w:r w:rsidRPr="006F7986">
        <w:t>eTIR</w:t>
      </w:r>
      <w:proofErr w:type="spellEnd"/>
    </w:p>
    <w:p w14:paraId="6541A729" w14:textId="7690D0FC" w:rsidR="0095242B" w:rsidRPr="00AB21CA" w:rsidRDefault="0095242B" w:rsidP="006F7986">
      <w:pPr>
        <w:pStyle w:val="H23G"/>
      </w:pPr>
      <w:r w:rsidRPr="00AB21CA">
        <w:tab/>
      </w:r>
      <w:r w:rsidR="00251F4C" w:rsidRPr="00AB21CA">
        <w:t>(</w:t>
      </w:r>
      <w:proofErr w:type="spellStart"/>
      <w:r w:rsidR="00251F4C" w:rsidRPr="00AB21CA">
        <w:t>i</w:t>
      </w:r>
      <w:proofErr w:type="spellEnd"/>
      <w:r w:rsidR="00251F4C" w:rsidRPr="00AB21CA">
        <w:t>)</w:t>
      </w:r>
      <w:r w:rsidRPr="00AB21CA">
        <w:t>.</w:t>
      </w:r>
      <w:r w:rsidRPr="00F3293F">
        <w:tab/>
      </w:r>
      <w:proofErr w:type="spellStart"/>
      <w:r w:rsidRPr="00F3293F">
        <w:t>eTIR</w:t>
      </w:r>
      <w:proofErr w:type="spellEnd"/>
      <w:r w:rsidRPr="00F3293F">
        <w:t xml:space="preserve"> </w:t>
      </w:r>
      <w:r w:rsidR="00AB21CA" w:rsidRPr="00AB21CA">
        <w:t>International System: Interconnection Projects</w:t>
      </w:r>
    </w:p>
    <w:p w14:paraId="4593C1F9" w14:textId="6A6B31B7" w:rsidR="004B1358" w:rsidRPr="00BE3F12" w:rsidRDefault="00251F4C" w:rsidP="002E4B83">
      <w:pPr>
        <w:pStyle w:val="SingleTxtG"/>
        <w:rPr>
          <w:color w:val="000000" w:themeColor="text1"/>
        </w:rPr>
      </w:pPr>
      <w:r w:rsidRPr="00966595">
        <w:rPr>
          <w:color w:val="000000" w:themeColor="text1"/>
        </w:rPr>
        <w:t>8</w:t>
      </w:r>
      <w:r w:rsidR="0095242B" w:rsidRPr="00966595">
        <w:rPr>
          <w:color w:val="000000" w:themeColor="text1"/>
        </w:rPr>
        <w:t>.</w:t>
      </w:r>
      <w:r w:rsidR="0095242B" w:rsidRPr="00966595">
        <w:rPr>
          <w:color w:val="000000" w:themeColor="text1"/>
        </w:rPr>
        <w:tab/>
      </w:r>
      <w:r w:rsidR="004B1358" w:rsidRPr="00966595">
        <w:rPr>
          <w:color w:val="000000" w:themeColor="text1"/>
        </w:rPr>
        <w:t xml:space="preserve">At its seventy-seventh session (February 2022), </w:t>
      </w:r>
      <w:r w:rsidR="002548E4" w:rsidRPr="00966595">
        <w:rPr>
          <w:color w:val="000000" w:themeColor="text1"/>
        </w:rPr>
        <w:t>AC.2</w:t>
      </w:r>
      <w:r w:rsidR="004B1358" w:rsidRPr="00966595">
        <w:rPr>
          <w:color w:val="000000" w:themeColor="text1"/>
        </w:rPr>
        <w:t xml:space="preserve"> took note of the latest developments and the ongoing </w:t>
      </w:r>
      <w:proofErr w:type="spellStart"/>
      <w:r w:rsidR="004B1358" w:rsidRPr="00966595">
        <w:rPr>
          <w:color w:val="000000" w:themeColor="text1"/>
        </w:rPr>
        <w:t>eTIR</w:t>
      </w:r>
      <w:proofErr w:type="spellEnd"/>
      <w:r w:rsidR="004B1358" w:rsidRPr="00966595">
        <w:rPr>
          <w:color w:val="000000" w:themeColor="text1"/>
        </w:rPr>
        <w:t xml:space="preserve"> interconnection projects, such as those of Azerbaijan, Georgia, Pakistan, Tunisia, </w:t>
      </w:r>
      <w:proofErr w:type="spellStart"/>
      <w:r w:rsidR="004B1358" w:rsidRPr="00966595">
        <w:rPr>
          <w:color w:val="000000" w:themeColor="text1"/>
        </w:rPr>
        <w:t>Türki</w:t>
      </w:r>
      <w:r w:rsidR="004B1358" w:rsidRPr="00BE3F12">
        <w:rPr>
          <w:color w:val="000000" w:themeColor="text1"/>
        </w:rPr>
        <w:t>ye</w:t>
      </w:r>
      <w:proofErr w:type="spellEnd"/>
      <w:r w:rsidR="004B1358" w:rsidRPr="00BE3F12">
        <w:rPr>
          <w:color w:val="000000" w:themeColor="text1"/>
        </w:rPr>
        <w:t xml:space="preserve"> and Uzbekistan. </w:t>
      </w:r>
      <w:r w:rsidR="002548E4" w:rsidRPr="00BE3F12">
        <w:rPr>
          <w:color w:val="000000" w:themeColor="text1"/>
        </w:rPr>
        <w:t>AC.2</w:t>
      </w:r>
      <w:r w:rsidR="004B1358" w:rsidRPr="00BE3F12">
        <w:rPr>
          <w:color w:val="000000" w:themeColor="text1"/>
        </w:rPr>
        <w:t xml:space="preserve"> also noted the next priorities and related tasks of the secretariat, especially the preparation of conformance tests (ECE/TRANS/WP.30/157, para</w:t>
      </w:r>
      <w:r w:rsidR="00B15FE8">
        <w:rPr>
          <w:color w:val="000000" w:themeColor="text1"/>
        </w:rPr>
        <w:t>graph</w:t>
      </w:r>
      <w:r w:rsidR="004B1358" w:rsidRPr="00BE3F12">
        <w:rPr>
          <w:color w:val="000000" w:themeColor="text1"/>
        </w:rPr>
        <w:t xml:space="preserve"> 28). At its seventy-eight</w:t>
      </w:r>
      <w:r w:rsidR="00942500">
        <w:rPr>
          <w:color w:val="000000" w:themeColor="text1"/>
        </w:rPr>
        <w:t>h</w:t>
      </w:r>
      <w:r w:rsidR="004B1358" w:rsidRPr="00BE3F12">
        <w:rPr>
          <w:color w:val="000000" w:themeColor="text1"/>
        </w:rPr>
        <w:t xml:space="preserve"> session (October 2022), </w:t>
      </w:r>
      <w:r w:rsidR="002548E4" w:rsidRPr="00BE3F12">
        <w:rPr>
          <w:color w:val="000000" w:themeColor="text1"/>
        </w:rPr>
        <w:t>AC.2</w:t>
      </w:r>
      <w:r w:rsidR="004B1358" w:rsidRPr="00BE3F12">
        <w:rPr>
          <w:color w:val="000000" w:themeColor="text1"/>
        </w:rPr>
        <w:t xml:space="preserve"> took note that, on 7 October 2022, the secretariat had organized a workshop on the conformance tests with countries ready to start implementing </w:t>
      </w:r>
      <w:proofErr w:type="spellStart"/>
      <w:r w:rsidR="004B1358" w:rsidRPr="00BE3F12">
        <w:rPr>
          <w:color w:val="000000" w:themeColor="text1"/>
        </w:rPr>
        <w:t>eTIR</w:t>
      </w:r>
      <w:proofErr w:type="spellEnd"/>
      <w:r w:rsidR="004B1358" w:rsidRPr="00BE3F12">
        <w:rPr>
          <w:color w:val="000000" w:themeColor="text1"/>
        </w:rPr>
        <w:t xml:space="preserve"> without further delay (Azerbaijan, Georgia, Pakistan, </w:t>
      </w:r>
      <w:proofErr w:type="spellStart"/>
      <w:r w:rsidR="004B1358" w:rsidRPr="003903F1">
        <w:rPr>
          <w:color w:val="000000" w:themeColor="text1"/>
        </w:rPr>
        <w:t>Tü</w:t>
      </w:r>
      <w:r w:rsidR="004B1358" w:rsidRPr="00F3293F">
        <w:rPr>
          <w:color w:val="000000" w:themeColor="text1"/>
        </w:rPr>
        <w:t>rki</w:t>
      </w:r>
      <w:r w:rsidR="004B1358" w:rsidRPr="00BE3F12">
        <w:rPr>
          <w:color w:val="000000" w:themeColor="text1"/>
        </w:rPr>
        <w:t>ye</w:t>
      </w:r>
      <w:proofErr w:type="spellEnd"/>
      <w:r w:rsidR="004B1358" w:rsidRPr="00BE3F12">
        <w:rPr>
          <w:color w:val="000000" w:themeColor="text1"/>
        </w:rPr>
        <w:t xml:space="preserve"> and Uzbekistan) as well as with IRU (ECE/TRANS/WP.30/AC.2/159, para</w:t>
      </w:r>
      <w:r w:rsidR="00B15FE8">
        <w:rPr>
          <w:color w:val="000000" w:themeColor="text1"/>
        </w:rPr>
        <w:t>graph</w:t>
      </w:r>
      <w:r w:rsidR="004B1358" w:rsidRPr="00BE3F12">
        <w:rPr>
          <w:color w:val="000000" w:themeColor="text1"/>
        </w:rPr>
        <w:t xml:space="preserve"> 39). For more </w:t>
      </w:r>
      <w:r w:rsidR="00130E24" w:rsidRPr="00BE3F12">
        <w:rPr>
          <w:color w:val="000000" w:themeColor="text1"/>
        </w:rPr>
        <w:t xml:space="preserve">detailed </w:t>
      </w:r>
      <w:r w:rsidR="004B1358" w:rsidRPr="00BE3F12">
        <w:rPr>
          <w:color w:val="000000" w:themeColor="text1"/>
        </w:rPr>
        <w:t xml:space="preserve">information on </w:t>
      </w:r>
      <w:proofErr w:type="spellStart"/>
      <w:r w:rsidR="004B1358" w:rsidRPr="00BE3F12">
        <w:rPr>
          <w:color w:val="000000" w:themeColor="text1"/>
        </w:rPr>
        <w:t>eTIR</w:t>
      </w:r>
      <w:proofErr w:type="spellEnd"/>
      <w:r w:rsidR="004B1358" w:rsidRPr="00BE3F12">
        <w:rPr>
          <w:color w:val="000000" w:themeColor="text1"/>
        </w:rPr>
        <w:t>, please refer to document ECE/TRANS/2023/</w:t>
      </w:r>
      <w:r w:rsidR="00567BF5" w:rsidRPr="00BE3F12">
        <w:rPr>
          <w:color w:val="000000" w:themeColor="text1"/>
        </w:rPr>
        <w:t>29</w:t>
      </w:r>
      <w:r w:rsidR="004B1358" w:rsidRPr="00BE3F12">
        <w:rPr>
          <w:color w:val="000000" w:themeColor="text1"/>
        </w:rPr>
        <w:t>.</w:t>
      </w:r>
    </w:p>
    <w:p w14:paraId="3252563F" w14:textId="2CAE3F98" w:rsidR="00EE4D1B" w:rsidRPr="00F3293F" w:rsidRDefault="00EE4D1B" w:rsidP="006F7986">
      <w:pPr>
        <w:pStyle w:val="H23G"/>
      </w:pPr>
      <w:r w:rsidRPr="003903F1">
        <w:tab/>
      </w:r>
      <w:r w:rsidR="00251F4C" w:rsidRPr="003903F1">
        <w:t>(ii)</w:t>
      </w:r>
      <w:r w:rsidRPr="00F3293F">
        <w:t>.</w:t>
      </w:r>
      <w:r w:rsidRPr="00F3293F">
        <w:tab/>
        <w:t>Technical Implementation Body</w:t>
      </w:r>
    </w:p>
    <w:p w14:paraId="1ABDC832" w14:textId="1526A9CF" w:rsidR="00DB5AD8" w:rsidRPr="00A52347" w:rsidRDefault="00DB5AD8" w:rsidP="00DB5AD8">
      <w:pPr>
        <w:pStyle w:val="SingleTxtG"/>
      </w:pPr>
      <w:r w:rsidRPr="00F3293F">
        <w:t>9.</w:t>
      </w:r>
      <w:r w:rsidRPr="00F3293F">
        <w:tab/>
        <w:t>The first session of the TIB took place from 18</w:t>
      </w:r>
      <w:r w:rsidR="00381E85">
        <w:t xml:space="preserve"> to </w:t>
      </w:r>
      <w:r w:rsidRPr="00A52347">
        <w:t xml:space="preserve">21 January 2022. </w:t>
      </w:r>
      <w:r w:rsidR="00881FCA" w:rsidRPr="00A52347">
        <w:t xml:space="preserve">TIB elected Mr. P. </w:t>
      </w:r>
      <w:proofErr w:type="spellStart"/>
      <w:r w:rsidR="00881FCA" w:rsidRPr="00A52347">
        <w:t>Arsic</w:t>
      </w:r>
      <w:proofErr w:type="spellEnd"/>
      <w:r w:rsidR="00881FCA" w:rsidRPr="00A52347">
        <w:t xml:space="preserve"> (Serbia) as Chair for its sessions in 202</w:t>
      </w:r>
      <w:r w:rsidR="00567BF5" w:rsidRPr="00F3293F">
        <w:t>2</w:t>
      </w:r>
      <w:r w:rsidR="00881FCA" w:rsidRPr="00F3293F">
        <w:t xml:space="preserve">. </w:t>
      </w:r>
      <w:r w:rsidRPr="00F3293F">
        <w:t xml:space="preserve">During the session, TIB adopted version 4.3 of the </w:t>
      </w:r>
      <w:proofErr w:type="spellStart"/>
      <w:r w:rsidRPr="00F3293F">
        <w:t>eTIR</w:t>
      </w:r>
      <w:proofErr w:type="spellEnd"/>
      <w:r w:rsidRPr="00F3293F">
        <w:t xml:space="preserve"> technical specifications, as contained in document ECE/</w:t>
      </w:r>
      <w:r w:rsidRPr="00966595">
        <w:t xml:space="preserve">TRANS/WP.30/AC.2/TIB/2022/5-ECE/TRANS/WP.30/AC.2/2022/14, and confirmed their alignment with version 4.3 of the </w:t>
      </w:r>
      <w:proofErr w:type="spellStart"/>
      <w:r w:rsidRPr="00966595">
        <w:t>eTIR</w:t>
      </w:r>
      <w:proofErr w:type="spellEnd"/>
      <w:r w:rsidRPr="00966595">
        <w:t xml:space="preserve"> concepts </w:t>
      </w:r>
      <w:r w:rsidR="008F785B" w:rsidRPr="00966595">
        <w:t>(</w:t>
      </w:r>
      <w:r w:rsidRPr="00966595">
        <w:t>ECE/TRANS/WP</w:t>
      </w:r>
      <w:r w:rsidR="00567BF5" w:rsidRPr="00966595">
        <w:t>.</w:t>
      </w:r>
      <w:r w:rsidRPr="00966595">
        <w:t>30/AC.2/2022/12- ECE/TRANS/WP.30/AC.2/TIB/2022/3</w:t>
      </w:r>
      <w:r w:rsidR="008F785B" w:rsidRPr="00966595">
        <w:t>)</w:t>
      </w:r>
      <w:r w:rsidRPr="00966595">
        <w:t xml:space="preserve"> and the </w:t>
      </w:r>
      <w:proofErr w:type="spellStart"/>
      <w:r w:rsidRPr="00966595">
        <w:t>eTIR</w:t>
      </w:r>
      <w:proofErr w:type="spellEnd"/>
      <w:r w:rsidRPr="00966595">
        <w:t xml:space="preserve"> functional (ECE/TRANS/WP.30/AC.2/TIB/2022/4-ECE/TRANS/WP</w:t>
      </w:r>
      <w:r w:rsidR="00567BF5" w:rsidRPr="00966595">
        <w:t>.</w:t>
      </w:r>
      <w:r w:rsidRPr="00966595">
        <w:t>30/AC.2/2022/13) s</w:t>
      </w:r>
      <w:r w:rsidRPr="00A52347">
        <w:t xml:space="preserve">pecifications including some amendments thereto, contained in documents ECE/TRANS/WP.30/AC.2/TIB/2022/6 and ECE/TRANS/WP.30/AC.2/TIB/2022/7, pending their adoption by AC.2. TIB </w:t>
      </w:r>
      <w:r w:rsidRPr="00966595">
        <w:t>also adopted its Rules of Procedure (</w:t>
      </w:r>
      <w:proofErr w:type="spellStart"/>
      <w:r w:rsidRPr="00966595">
        <w:t>RoP</w:t>
      </w:r>
      <w:proofErr w:type="spellEnd"/>
      <w:r w:rsidRPr="00966595">
        <w:t xml:space="preserve">). At its seventy-eighth session (February 2022), </w:t>
      </w:r>
      <w:r w:rsidR="002548E4" w:rsidRPr="00966595">
        <w:t>AC.2</w:t>
      </w:r>
      <w:r w:rsidRPr="00966595">
        <w:t xml:space="preserve">, in line with </w:t>
      </w:r>
      <w:r w:rsidR="00381E85" w:rsidRPr="00966595">
        <w:t>annex 11, article 5</w:t>
      </w:r>
      <w:r w:rsidRPr="00966595">
        <w:t xml:space="preserve">, adopted the </w:t>
      </w:r>
      <w:proofErr w:type="spellStart"/>
      <w:r w:rsidRPr="00966595">
        <w:t>eTIR</w:t>
      </w:r>
      <w:proofErr w:type="spellEnd"/>
      <w:r w:rsidRPr="00966595">
        <w:t xml:space="preserve"> concepts and the </w:t>
      </w:r>
      <w:proofErr w:type="spellStart"/>
      <w:r w:rsidRPr="00966595">
        <w:t>eTIR</w:t>
      </w:r>
      <w:proofErr w:type="spellEnd"/>
      <w:r w:rsidRPr="00966595">
        <w:t xml:space="preserve"> functional specifications, including the amendments adopted by TIB at its first session. This provides a complete legal and technical basis for those countries that are willing to implement the </w:t>
      </w:r>
      <w:proofErr w:type="spellStart"/>
      <w:r w:rsidRPr="00966595">
        <w:t>eTIR</w:t>
      </w:r>
      <w:proofErr w:type="spellEnd"/>
      <w:r w:rsidRPr="00966595">
        <w:t xml:space="preserve"> procedure, while noting that the ongoing work will allow all other contracting parties to </w:t>
      </w:r>
      <w:r w:rsidR="00381E85" w:rsidRPr="00966595">
        <w:t>a</w:t>
      </w:r>
      <w:r w:rsidRPr="00966595">
        <w:t>nnex</w:t>
      </w:r>
      <w:r w:rsidRPr="00A52347">
        <w:t xml:space="preserve"> 11 to bring forward their requirements for consideration by TIB and </w:t>
      </w:r>
      <w:r w:rsidR="002548E4" w:rsidRPr="00966595">
        <w:t>AC.2</w:t>
      </w:r>
      <w:r w:rsidRPr="00966595">
        <w:t xml:space="preserve"> in version 4.4 of the </w:t>
      </w:r>
      <w:proofErr w:type="spellStart"/>
      <w:r w:rsidRPr="00966595">
        <w:t>eTIR</w:t>
      </w:r>
      <w:proofErr w:type="spellEnd"/>
      <w:r w:rsidRPr="00966595">
        <w:t xml:space="preserve"> specifications (see ECE/TRANS/WP.30/AC.2/157, para</w:t>
      </w:r>
      <w:r w:rsidR="00381E85">
        <w:t>graph</w:t>
      </w:r>
      <w:r w:rsidRPr="00A52347">
        <w:t>s 29</w:t>
      </w:r>
      <w:r w:rsidR="00381E85" w:rsidRPr="00686C82">
        <w:t>–</w:t>
      </w:r>
      <w:r w:rsidRPr="00A52347">
        <w:t>33).</w:t>
      </w:r>
    </w:p>
    <w:p w14:paraId="3ACED79B" w14:textId="577E9C72" w:rsidR="00DB5AD8" w:rsidRPr="00686C82" w:rsidRDefault="00DB5AD8" w:rsidP="008F785B">
      <w:pPr>
        <w:pStyle w:val="SingleTxtG"/>
      </w:pPr>
      <w:r w:rsidRPr="00686C82">
        <w:t>10.</w:t>
      </w:r>
      <w:r w:rsidRPr="00686C82">
        <w:tab/>
        <w:t>The second session of TIB took place from 30 August</w:t>
      </w:r>
      <w:r w:rsidR="003C1B56">
        <w:t xml:space="preserve"> to </w:t>
      </w:r>
      <w:r w:rsidRPr="00686C82">
        <w:t xml:space="preserve">2 September 2022. TIB discussed possible amendment proposals for version 4.4 of the </w:t>
      </w:r>
      <w:proofErr w:type="spellStart"/>
      <w:r w:rsidRPr="00686C82">
        <w:t>eTIR</w:t>
      </w:r>
      <w:proofErr w:type="spellEnd"/>
      <w:r w:rsidRPr="00686C82">
        <w:t xml:space="preserve"> specifications, inter alia, the data re</w:t>
      </w:r>
      <w:r w:rsidRPr="00966595">
        <w:t xml:space="preserve">lated to a prescribed national itinerary and </w:t>
      </w:r>
      <w:r w:rsidRPr="00966595">
        <w:rPr>
          <w:bCs/>
        </w:rPr>
        <w:t>a notification mechanism in case of a forced change in the itinerary,</w:t>
      </w:r>
      <w:r w:rsidRPr="00966595">
        <w:t xml:space="preserve"> the submission by holders of text fields in more than one language, the distribution of </w:t>
      </w:r>
      <w:proofErr w:type="spellStart"/>
      <w:r w:rsidRPr="00966595">
        <w:t>eTIR</w:t>
      </w:r>
      <w:proofErr w:type="spellEnd"/>
      <w:r w:rsidRPr="00966595">
        <w:t xml:space="preserve"> code lists and a notification mechanism when the transport will not reach a country. With regard to the conduct of the second session, the Chair raised concerns about the fact that TIB did not attain the required quorum (of 19 contracting parties bound by </w:t>
      </w:r>
      <w:r w:rsidR="003C1B56" w:rsidRPr="00966595">
        <w:t>a</w:t>
      </w:r>
      <w:r w:rsidRPr="00966595">
        <w:t xml:space="preserve">nnex 11), forcing it to apply the silence procedure, as outlined in provisions 26 and 27 of its </w:t>
      </w:r>
      <w:proofErr w:type="spellStart"/>
      <w:r w:rsidRPr="00966595">
        <w:t>To</w:t>
      </w:r>
      <w:r w:rsidRPr="00F3293F">
        <w:t>R</w:t>
      </w:r>
      <w:proofErr w:type="spellEnd"/>
      <w:r w:rsidRPr="00F3293F">
        <w:t xml:space="preserve">. The silence procedure was initiated on 7 September 2022 and finished on 19 October 2022, after which the final report was </w:t>
      </w:r>
      <w:r w:rsidR="00106903">
        <w:t>issu</w:t>
      </w:r>
      <w:r w:rsidRPr="00F3293F">
        <w:t xml:space="preserve">ed (ECE/TRANS/WP.30/AC.2/TIB/4). He stressed the crucial importance for contracting parties, bound by </w:t>
      </w:r>
      <w:r w:rsidR="005364BD" w:rsidRPr="00F3293F">
        <w:t xml:space="preserve">annex </w:t>
      </w:r>
      <w:r w:rsidRPr="00F3293F">
        <w:t>11 of the TIR Convention, to ensure due representation at each session, in order to take part in the roll-call and actively contribute to the future of the TIR system. Finally, he solicited candidates to ac</w:t>
      </w:r>
      <w:r w:rsidRPr="00AB21CA">
        <w:t xml:space="preserve">t as Vice-Chair for the remainder of 2022. Recognizing her expertise with </w:t>
      </w:r>
      <w:proofErr w:type="spellStart"/>
      <w:r w:rsidRPr="00AB21CA">
        <w:t>eTIR</w:t>
      </w:r>
      <w:proofErr w:type="spellEnd"/>
      <w:r w:rsidRPr="00AB21CA">
        <w:t xml:space="preserve">, </w:t>
      </w:r>
      <w:r w:rsidR="002548E4" w:rsidRPr="00966595">
        <w:t>AC.2</w:t>
      </w:r>
      <w:r w:rsidRPr="00966595">
        <w:t xml:space="preserve"> welcomed the candidacy of Ms. L. Jacobs (Belgium) and recalled that the election would formally take place at the December 2022 session of TIB (see ECE/TRANS/WP.30/AC.2/159, para</w:t>
      </w:r>
      <w:r w:rsidR="004C53A4">
        <w:t>graph</w:t>
      </w:r>
      <w:r w:rsidRPr="00686C82">
        <w:t>s 39</w:t>
      </w:r>
      <w:r w:rsidR="004C53A4">
        <w:t xml:space="preserve"> and </w:t>
      </w:r>
      <w:r w:rsidRPr="00686C82">
        <w:t>40). The third session of TIB took place on 19</w:t>
      </w:r>
      <w:r w:rsidR="004C53A4">
        <w:t xml:space="preserve"> and </w:t>
      </w:r>
      <w:r w:rsidRPr="00686C82">
        <w:t>20 December 2022.</w:t>
      </w:r>
    </w:p>
    <w:p w14:paraId="56991E43" w14:textId="63181095" w:rsidR="0078142B" w:rsidRPr="00F3293F" w:rsidRDefault="00686D17" w:rsidP="006F7986">
      <w:pPr>
        <w:pStyle w:val="H1G"/>
      </w:pPr>
      <w:r w:rsidRPr="00F3293F">
        <w:rPr>
          <w:szCs w:val="28"/>
        </w:rPr>
        <w:lastRenderedPageBreak/>
        <w:tab/>
      </w:r>
      <w:r w:rsidR="00251F4C" w:rsidRPr="00F3293F">
        <w:t>E.</w:t>
      </w:r>
      <w:r w:rsidR="0078142B" w:rsidRPr="00F3293F">
        <w:tab/>
        <w:t xml:space="preserve">Prolongation of the </w:t>
      </w:r>
      <w:r w:rsidR="004C53A4" w:rsidRPr="00F3293F">
        <w:t xml:space="preserve">Authorization </w:t>
      </w:r>
      <w:r w:rsidR="0078142B" w:rsidRPr="00F3293F">
        <w:t xml:space="preserve">of </w:t>
      </w:r>
      <w:r w:rsidR="004C53A4">
        <w:t>the</w:t>
      </w:r>
      <w:r w:rsidR="004C53A4" w:rsidRPr="004C53A4">
        <w:t xml:space="preserve"> International Road Transport Union </w:t>
      </w:r>
      <w:r w:rsidR="0078142B" w:rsidRPr="00F3293F">
        <w:t xml:space="preserve">for the </w:t>
      </w:r>
      <w:r w:rsidR="004C53A4" w:rsidRPr="00F3293F">
        <w:t>Years</w:t>
      </w:r>
      <w:r w:rsidR="0078142B" w:rsidRPr="00F3293F">
        <w:t xml:space="preserve"> 2023</w:t>
      </w:r>
      <w:r w:rsidR="00251F4C" w:rsidRPr="00F3293F">
        <w:t>–</w:t>
      </w:r>
      <w:r w:rsidR="0078142B" w:rsidRPr="00F3293F">
        <w:t>2025</w:t>
      </w:r>
    </w:p>
    <w:p w14:paraId="4B2AC5FC" w14:textId="2D410743" w:rsidR="0078142B" w:rsidRPr="007C2DEF" w:rsidRDefault="00251F4C" w:rsidP="0078142B">
      <w:pPr>
        <w:pStyle w:val="SingleTxtG"/>
      </w:pPr>
      <w:r w:rsidRPr="00966595">
        <w:t>11</w:t>
      </w:r>
      <w:r w:rsidR="0078142B" w:rsidRPr="00966595">
        <w:t>.</w:t>
      </w:r>
      <w:r w:rsidR="0078142B" w:rsidRPr="00966595">
        <w:tab/>
        <w:t xml:space="preserve">At its seventy-seventh session (February 2022), </w:t>
      </w:r>
      <w:r w:rsidR="002548E4" w:rsidRPr="00966595">
        <w:t>AC.2</w:t>
      </w:r>
      <w:r w:rsidR="0078142B" w:rsidRPr="00966595">
        <w:t xml:space="preserve"> formally decided to prolong the authorization of IRU for </w:t>
      </w:r>
      <w:r w:rsidR="0078142B" w:rsidRPr="007C2DEF">
        <w:t xml:space="preserve">printing and distributing TIR Carnets and the organizing and functioning of the </w:t>
      </w:r>
      <w:proofErr w:type="gramStart"/>
      <w:r w:rsidR="0078142B" w:rsidRPr="007C2DEF">
        <w:t>guarantee</w:t>
      </w:r>
      <w:proofErr w:type="gramEnd"/>
      <w:r w:rsidR="0078142B" w:rsidRPr="007C2DEF">
        <w:t xml:space="preserve"> system for a period of three years (2023</w:t>
      </w:r>
      <w:r w:rsidRPr="007C2DEF">
        <w:t>–</w:t>
      </w:r>
      <w:r w:rsidR="0078142B" w:rsidRPr="007C2DEF">
        <w:t>2025) (ECE/TRANS/WP.30/AC.2/157, para</w:t>
      </w:r>
      <w:r w:rsidR="00446B25">
        <w:t>graph</w:t>
      </w:r>
      <w:r w:rsidR="0078142B" w:rsidRPr="007C2DEF">
        <w:t xml:space="preserve"> 35).</w:t>
      </w:r>
    </w:p>
    <w:p w14:paraId="02E998D7" w14:textId="32C054BB" w:rsidR="0078142B" w:rsidRPr="007C2DEF" w:rsidRDefault="00251F4C" w:rsidP="00251F4C">
      <w:pPr>
        <w:pStyle w:val="SingleTxtG"/>
      </w:pPr>
      <w:r w:rsidRPr="00966595">
        <w:t>12.</w:t>
      </w:r>
      <w:r w:rsidRPr="00966595">
        <w:tab/>
      </w:r>
      <w:r w:rsidR="0078142B" w:rsidRPr="00966595">
        <w:t xml:space="preserve">At its seventy-eighth session (October 2022), </w:t>
      </w:r>
      <w:r w:rsidR="002548E4" w:rsidRPr="00966595">
        <w:t>AC.2</w:t>
      </w:r>
      <w:r w:rsidR="0078142B" w:rsidRPr="00966595">
        <w:t xml:space="preserve"> mandated ECE and IRU</w:t>
      </w:r>
      <w:r w:rsidR="00942500">
        <w:rPr>
          <w:rStyle w:val="FootnoteReference"/>
        </w:rPr>
        <w:footnoteReference w:id="5"/>
      </w:r>
      <w:r w:rsidR="0078142B" w:rsidRPr="00966595">
        <w:t xml:space="preserve"> to proceed with signing the new agreement at the earliest convenience, but, in any case, well before 15 November 2022, on the understanding that </w:t>
      </w:r>
      <w:r w:rsidR="00446B25" w:rsidRPr="00966595">
        <w:t>a</w:t>
      </w:r>
      <w:r w:rsidR="0078142B" w:rsidRPr="00966595">
        <w:t xml:space="preserve">nnex I would contain exactly the same figures as for the budget of </w:t>
      </w:r>
      <w:proofErr w:type="spellStart"/>
      <w:r w:rsidR="0078142B" w:rsidRPr="00966595">
        <w:t>TIRExB</w:t>
      </w:r>
      <w:proofErr w:type="spellEnd"/>
      <w:r w:rsidR="0078142B" w:rsidRPr="00966595">
        <w:t xml:space="preserve"> and the TIR secretariat for the year 2023, contained in document ECE/TRANS/WP.30/AC.2/2022/15 (ECE/TRANS/WP.30/AC.2/159, para</w:t>
      </w:r>
      <w:r w:rsidR="00446B25">
        <w:t>graph</w:t>
      </w:r>
      <w:r w:rsidR="0078142B" w:rsidRPr="007C2DEF">
        <w:t xml:space="preserve"> 46).</w:t>
      </w:r>
    </w:p>
    <w:p w14:paraId="0CD40922" w14:textId="5E0D6F11" w:rsidR="00FF72B3" w:rsidRPr="00966595" w:rsidRDefault="0038477F" w:rsidP="006F7986">
      <w:pPr>
        <w:pStyle w:val="H1G"/>
      </w:pPr>
      <w:r w:rsidRPr="00966595">
        <w:tab/>
      </w:r>
      <w:r w:rsidR="00251F4C" w:rsidRPr="00966595">
        <w:t>F</w:t>
      </w:r>
      <w:r w:rsidRPr="00966595">
        <w:t>.</w:t>
      </w:r>
      <w:r w:rsidRPr="00966595">
        <w:tab/>
        <w:t xml:space="preserve">Twelfth </w:t>
      </w:r>
      <w:r w:rsidR="00446B25" w:rsidRPr="00966595">
        <w:t xml:space="preserve">Revised Version </w:t>
      </w:r>
      <w:r w:rsidRPr="00966595">
        <w:t>of the TIR Handbook</w:t>
      </w:r>
    </w:p>
    <w:p w14:paraId="16501CF2" w14:textId="177F570A" w:rsidR="0038477F" w:rsidRPr="00966595" w:rsidRDefault="00853127" w:rsidP="0078142B">
      <w:pPr>
        <w:pStyle w:val="SingleTxtG"/>
        <w:ind w:left="1138" w:right="1138"/>
      </w:pPr>
      <w:r w:rsidRPr="00966595">
        <w:t>1</w:t>
      </w:r>
      <w:r w:rsidR="00251F4C" w:rsidRPr="00966595">
        <w:t>3</w:t>
      </w:r>
      <w:r w:rsidRPr="00966595">
        <w:t>.</w:t>
      </w:r>
      <w:r w:rsidR="0038477F" w:rsidRPr="00966595">
        <w:rPr>
          <w:b/>
          <w:bCs/>
        </w:rPr>
        <w:tab/>
      </w:r>
      <w:r w:rsidR="0038477F" w:rsidRPr="00966595">
        <w:t>The twelfth revised version of the TIR Handbook, to be issued in 2023</w:t>
      </w:r>
      <w:r w:rsidR="0078142B" w:rsidRPr="00966595">
        <w:t>, is under preparation.</w:t>
      </w:r>
      <w:r w:rsidR="0038477F" w:rsidRPr="00966595">
        <w:t xml:space="preserve"> </w:t>
      </w:r>
      <w:proofErr w:type="spellStart"/>
      <w:r w:rsidRPr="00966595">
        <w:t>TIRExB</w:t>
      </w:r>
      <w:proofErr w:type="spellEnd"/>
      <w:r w:rsidRPr="00966595">
        <w:t xml:space="preserve"> is in the process of drafting a set of new examples of best practice (to Explanatory Note </w:t>
      </w:r>
      <w:r w:rsidR="0078142B" w:rsidRPr="00966595">
        <w:t xml:space="preserve">0.49 and comment thereto </w:t>
      </w:r>
      <w:r w:rsidRPr="00966595">
        <w:t>on the use of authorized consignor a</w:t>
      </w:r>
      <w:r w:rsidR="0078142B" w:rsidRPr="00966595">
        <w:t xml:space="preserve">nd consignee and to a comment to </w:t>
      </w:r>
      <w:r w:rsidR="00A337C5" w:rsidRPr="00966595">
        <w:t>article 1</w:t>
      </w:r>
      <w:r w:rsidR="0078142B" w:rsidRPr="00966595">
        <w:t xml:space="preserve"> (o) on the use of subcontractors) to add to the already existing set of examples. </w:t>
      </w:r>
      <w:r w:rsidR="0038477F" w:rsidRPr="00966595">
        <w:t xml:space="preserve">On top of a </w:t>
      </w:r>
      <w:r w:rsidR="006650E7" w:rsidRPr="00966595">
        <w:t xml:space="preserve">PDF </w:t>
      </w:r>
      <w:r w:rsidR="0038477F" w:rsidRPr="00966595">
        <w:t>version</w:t>
      </w:r>
      <w:r w:rsidR="0078142B" w:rsidRPr="00966595">
        <w:t>, the secretariat</w:t>
      </w:r>
      <w:r w:rsidR="0038477F" w:rsidRPr="00966595">
        <w:t xml:space="preserve"> intends to produce a more interactive</w:t>
      </w:r>
      <w:r w:rsidR="006650E7" w:rsidRPr="00966595">
        <w:t>,</w:t>
      </w:r>
      <w:r w:rsidR="0038477F" w:rsidRPr="00966595">
        <w:t xml:space="preserve"> online version. </w:t>
      </w:r>
    </w:p>
    <w:p w14:paraId="31349E15" w14:textId="1617B6ED" w:rsidR="0095242B" w:rsidRPr="00966595" w:rsidRDefault="00594CE3" w:rsidP="006F7986">
      <w:pPr>
        <w:pStyle w:val="HChG"/>
      </w:pPr>
      <w:r w:rsidRPr="00966595">
        <w:tab/>
      </w:r>
      <w:r w:rsidR="00251F4C" w:rsidRPr="00966595">
        <w:t>III</w:t>
      </w:r>
      <w:r w:rsidR="0095242B" w:rsidRPr="00966595">
        <w:t>.</w:t>
      </w:r>
      <w:r w:rsidR="0095242B" w:rsidRPr="00966595">
        <w:tab/>
      </w:r>
      <w:r w:rsidR="00D64080" w:rsidRPr="00966595">
        <w:t>International Convention on the Harmonization of Frontier Controls of Goods, 1982 (</w:t>
      </w:r>
      <w:r w:rsidR="0095242B" w:rsidRPr="00966595">
        <w:t>Harmonization Convention</w:t>
      </w:r>
      <w:r w:rsidR="00D64080" w:rsidRPr="00966595">
        <w:t>)</w:t>
      </w:r>
      <w:r w:rsidR="0095242B" w:rsidRPr="00966595">
        <w:t xml:space="preserve"> </w:t>
      </w:r>
    </w:p>
    <w:p w14:paraId="4AA16697" w14:textId="77777777" w:rsidR="0095242B" w:rsidRPr="00966595" w:rsidRDefault="0095242B" w:rsidP="006F7986">
      <w:pPr>
        <w:pStyle w:val="H1G"/>
      </w:pPr>
      <w:r w:rsidRPr="00966595">
        <w:tab/>
        <w:t>A.</w:t>
      </w:r>
      <w:r w:rsidRPr="00966595">
        <w:tab/>
        <w:t xml:space="preserve">Status of the </w:t>
      </w:r>
      <w:r w:rsidRPr="006F7986">
        <w:t>Convention</w:t>
      </w:r>
    </w:p>
    <w:p w14:paraId="2CE99C54" w14:textId="0D5C6DA8" w:rsidR="0095242B" w:rsidRPr="00966595" w:rsidRDefault="0078142B" w:rsidP="0095242B">
      <w:pPr>
        <w:pStyle w:val="SingleTxtG"/>
      </w:pPr>
      <w:r w:rsidRPr="00966595">
        <w:t>1</w:t>
      </w:r>
      <w:r w:rsidR="00251F4C" w:rsidRPr="00966595">
        <w:t>4</w:t>
      </w:r>
      <w:r w:rsidR="0095242B" w:rsidRPr="00966595">
        <w:t>.</w:t>
      </w:r>
      <w:r w:rsidR="0095242B" w:rsidRPr="00966595">
        <w:tab/>
        <w:t>The Committee may wish to note that</w:t>
      </w:r>
      <w:r w:rsidRPr="00966595">
        <w:t>,</w:t>
      </w:r>
      <w:r w:rsidR="0095242B" w:rsidRPr="00966595">
        <w:t xml:space="preserve"> in 202</w:t>
      </w:r>
      <w:r w:rsidR="004F731A" w:rsidRPr="00966595">
        <w:t>2</w:t>
      </w:r>
      <w:r w:rsidRPr="00966595">
        <w:t>,</w:t>
      </w:r>
      <w:r w:rsidR="0095242B" w:rsidRPr="00966595">
        <w:t xml:space="preserve"> no new accessions to the International Convention on the Harmonization of Frontier Controls of Goods, 1982 ("Harmonization Convention") took place, Thus, since the entry into force of the </w:t>
      </w:r>
      <w:r w:rsidR="00C43588" w:rsidRPr="00966595">
        <w:t>C</w:t>
      </w:r>
      <w:r w:rsidR="0095242B" w:rsidRPr="00966595">
        <w:t xml:space="preserve">onvention for Turkmenistan, on 27 February 2017, the number of contracting parties to the Harmonization Convention stands at 58. </w:t>
      </w:r>
    </w:p>
    <w:p w14:paraId="1FD332B9" w14:textId="12F20A9F" w:rsidR="00AA460E" w:rsidRPr="00966595" w:rsidRDefault="0095242B" w:rsidP="006F7986">
      <w:pPr>
        <w:pStyle w:val="H1G"/>
      </w:pPr>
      <w:r w:rsidRPr="00966595">
        <w:tab/>
        <w:t>B.</w:t>
      </w:r>
      <w:r w:rsidR="00CB067D" w:rsidRPr="00966595">
        <w:tab/>
      </w:r>
      <w:r w:rsidR="00AA460E" w:rsidRPr="00966595">
        <w:t xml:space="preserve">Issues in the </w:t>
      </w:r>
      <w:r w:rsidR="00A337C5" w:rsidRPr="00966595">
        <w:t>Application</w:t>
      </w:r>
      <w:r w:rsidR="00AA460E" w:rsidRPr="00966595">
        <w:t xml:space="preserve"> of the Convention</w:t>
      </w:r>
    </w:p>
    <w:p w14:paraId="31BF710C" w14:textId="697ABFEB" w:rsidR="00CB067D" w:rsidRPr="00C33105" w:rsidRDefault="0078142B" w:rsidP="0078637E">
      <w:pPr>
        <w:pStyle w:val="SingleTxtG"/>
      </w:pPr>
      <w:r w:rsidRPr="00966595">
        <w:t>1</w:t>
      </w:r>
      <w:r w:rsidR="00251F4C" w:rsidRPr="00966595">
        <w:t>5</w:t>
      </w:r>
      <w:r w:rsidR="00CB067D" w:rsidRPr="00966595">
        <w:t>.</w:t>
      </w:r>
      <w:r w:rsidR="00CB067D" w:rsidRPr="00966595">
        <w:tab/>
        <w:t>At its 161st session (October 2022), W</w:t>
      </w:r>
      <w:r w:rsidRPr="00966595">
        <w:t>P.30</w:t>
      </w:r>
      <w:r w:rsidR="00CB067D" w:rsidRPr="00966595">
        <w:t xml:space="preserve"> reviewed document ECE/TRANS/WP.30/2009/8, containing </w:t>
      </w:r>
      <w:r w:rsidR="00CB067D" w:rsidRPr="00C33105">
        <w:t xml:space="preserve">a survey on the application of </w:t>
      </w:r>
      <w:r w:rsidR="00A337C5" w:rsidRPr="00C33105">
        <w:t xml:space="preserve">annex </w:t>
      </w:r>
      <w:r w:rsidR="00CB067D" w:rsidRPr="00C33105">
        <w:t xml:space="preserve">8 of the Harmonization Convention. </w:t>
      </w:r>
      <w:r w:rsidRPr="00AB21CA">
        <w:t>WP.30</w:t>
      </w:r>
      <w:r w:rsidR="00CB067D" w:rsidRPr="00AB21CA">
        <w:t xml:space="preserve"> mandated the secretariat to circulate the survey in the spring of 2023, with the regular delegates from governments (and, in</w:t>
      </w:r>
      <w:r w:rsidR="00CB067D" w:rsidRPr="00966595">
        <w:t xml:space="preserve"> the absence thereof, TIR focal points) as addressees. </w:t>
      </w:r>
      <w:r w:rsidRPr="00966595">
        <w:t>WP.30</w:t>
      </w:r>
      <w:r w:rsidR="00CB067D" w:rsidRPr="00966595">
        <w:t xml:space="preserve"> also recalled the survey on the application of </w:t>
      </w:r>
      <w:r w:rsidR="00A337C5" w:rsidRPr="00966595">
        <w:t>annex</w:t>
      </w:r>
      <w:r w:rsidR="00CB067D" w:rsidRPr="00966595">
        <w:t xml:space="preserve"> 9 of the Harmonization Convention (contained in Informal document SC.2 No. 3 (2021)), conducted by the Working Party on Rail Transport (SC.2) at the request of ITC, with a deadline of 31 March 2022. WP.30 took note of document ECE/TRANS/SC.2/2022/10 by the secretariat of SC.2 and </w:t>
      </w:r>
      <w:r w:rsidR="00CB067D" w:rsidRPr="00C33105">
        <w:t>containing the responses to the survey. WP.30 decided to consider the document at its spring 2023 session, based on the findings of SC.2 at its seventy-sixth session (November 2022) (see ECE/TRANS/WP.30/</w:t>
      </w:r>
      <w:r w:rsidR="0078637E" w:rsidRPr="00C33105">
        <w:t>322, para</w:t>
      </w:r>
      <w:r w:rsidR="00A337C5">
        <w:t>graph</w:t>
      </w:r>
      <w:r w:rsidR="0078637E" w:rsidRPr="00C33105">
        <w:t>s 26</w:t>
      </w:r>
      <w:r w:rsidR="00A337C5">
        <w:t xml:space="preserve"> and </w:t>
      </w:r>
      <w:r w:rsidR="0078637E" w:rsidRPr="00C33105">
        <w:t>27).</w:t>
      </w:r>
    </w:p>
    <w:p w14:paraId="6D6EA679" w14:textId="4F81695E" w:rsidR="006650E7" w:rsidRPr="00AB21CA" w:rsidRDefault="00686D17" w:rsidP="006F7986">
      <w:pPr>
        <w:pStyle w:val="H1G"/>
      </w:pPr>
      <w:r w:rsidRPr="00ED5A89">
        <w:lastRenderedPageBreak/>
        <w:tab/>
      </w:r>
      <w:r w:rsidR="006650E7" w:rsidRPr="00ED5A89">
        <w:t>C.</w:t>
      </w:r>
      <w:r w:rsidR="006650E7" w:rsidRPr="00ED5A89">
        <w:tab/>
        <w:t xml:space="preserve">Preparation </w:t>
      </w:r>
      <w:r w:rsidR="006650E7" w:rsidRPr="006F7986">
        <w:t>of</w:t>
      </w:r>
      <w:r w:rsidR="006650E7" w:rsidRPr="00ED5A89">
        <w:t xml:space="preserve"> a </w:t>
      </w:r>
      <w:r w:rsidR="008F01C7" w:rsidRPr="00AB21CA">
        <w:t xml:space="preserve">Practical Guide </w:t>
      </w:r>
      <w:r w:rsidR="006650E7" w:rsidRPr="00ED5A89">
        <w:t xml:space="preserve">to </w:t>
      </w:r>
      <w:r w:rsidR="008F01C7" w:rsidRPr="00AB21CA">
        <w:t xml:space="preserve">Cross Border Facilitation </w:t>
      </w:r>
      <w:r w:rsidR="006650E7" w:rsidRPr="00AB21CA">
        <w:t xml:space="preserve">(in </w:t>
      </w:r>
      <w:r w:rsidR="008F01C7" w:rsidRPr="00AB21CA">
        <w:t>Collaboration</w:t>
      </w:r>
      <w:r w:rsidR="006650E7" w:rsidRPr="00AB21CA">
        <w:t xml:space="preserve"> with the </w:t>
      </w:r>
      <w:r w:rsidR="008F01C7" w:rsidRPr="00AB21CA">
        <w:t>Organi</w:t>
      </w:r>
      <w:r w:rsidR="008F01C7">
        <w:t>s</w:t>
      </w:r>
      <w:r w:rsidR="008F01C7" w:rsidRPr="00AB21CA">
        <w:t xml:space="preserve">ation </w:t>
      </w:r>
      <w:r w:rsidR="006650E7" w:rsidRPr="00AB21CA">
        <w:t>for Security and Co-operation in Europe</w:t>
      </w:r>
      <w:r w:rsidR="006650E7" w:rsidRPr="00ED5A89">
        <w:t>)</w:t>
      </w:r>
    </w:p>
    <w:p w14:paraId="313EFCE2" w14:textId="105B2333" w:rsidR="006650E7" w:rsidRPr="00966595" w:rsidRDefault="0078142B" w:rsidP="00FB44EC">
      <w:pPr>
        <w:pStyle w:val="SingleTxtG"/>
      </w:pPr>
      <w:r w:rsidRPr="00966595">
        <w:t>1</w:t>
      </w:r>
      <w:r w:rsidR="00251F4C" w:rsidRPr="00966595">
        <w:t>6</w:t>
      </w:r>
      <w:r w:rsidRPr="00966595">
        <w:t>.</w:t>
      </w:r>
      <w:r w:rsidRPr="00966595">
        <w:tab/>
      </w:r>
      <w:r w:rsidR="006650E7" w:rsidRPr="00966595">
        <w:t>The ECE secretariat, in collaboration with the Organi</w:t>
      </w:r>
      <w:r w:rsidR="002454BB">
        <w:t>s</w:t>
      </w:r>
      <w:r w:rsidR="006650E7" w:rsidRPr="00966595">
        <w:t>ation for Security and Co-Operation in Euro</w:t>
      </w:r>
      <w:r w:rsidR="00FB49CE" w:rsidRPr="00966595">
        <w:t>pe (OSCE), is preparing</w:t>
      </w:r>
      <w:r w:rsidR="006650E7" w:rsidRPr="00966595">
        <w:t xml:space="preserve"> “A practical guide to cross-border facilitation”.</w:t>
      </w:r>
      <w:r w:rsidRPr="00966595">
        <w:t xml:space="preserve"> </w:t>
      </w:r>
      <w:r w:rsidR="006650E7" w:rsidRPr="00966595">
        <w:t xml:space="preserve">To some extent, this publication will build further on the earlier joint OSCE-ECE </w:t>
      </w:r>
      <w:r w:rsidR="00057E08" w:rsidRPr="00057E08">
        <w:t>Handbook of Best Practices at Border Crossing</w:t>
      </w:r>
      <w:r w:rsidR="006650E7" w:rsidRPr="00966595">
        <w:t xml:space="preserve"> (published in 2012). The focus will be on transport facilitation in inland transport and it present</w:t>
      </w:r>
      <w:r w:rsidR="00FB49CE" w:rsidRPr="00966595">
        <w:t>s</w:t>
      </w:r>
      <w:r w:rsidR="006650E7" w:rsidRPr="00966595">
        <w:t xml:space="preserve"> a good opportunity to promote some of </w:t>
      </w:r>
      <w:r w:rsidR="00FB49CE" w:rsidRPr="00966595">
        <w:t xml:space="preserve">the United </w:t>
      </w:r>
      <w:proofErr w:type="gramStart"/>
      <w:r w:rsidR="00FB49CE" w:rsidRPr="00966595">
        <w:t>Nations</w:t>
      </w:r>
      <w:proofErr w:type="gramEnd"/>
      <w:r w:rsidR="00FB49CE" w:rsidRPr="00966595">
        <w:t xml:space="preserve"> </w:t>
      </w:r>
      <w:r w:rsidR="006650E7" w:rsidRPr="00966595">
        <w:t>transport and border crossing facilitation tools</w:t>
      </w:r>
      <w:r w:rsidRPr="00966595">
        <w:t>,</w:t>
      </w:r>
      <w:r w:rsidR="006650E7" w:rsidRPr="00966595">
        <w:t xml:space="preserve"> including TIR/</w:t>
      </w:r>
      <w:proofErr w:type="spellStart"/>
      <w:r w:rsidR="006650E7" w:rsidRPr="00966595">
        <w:t>eTIR</w:t>
      </w:r>
      <w:proofErr w:type="spellEnd"/>
      <w:r w:rsidR="006650E7" w:rsidRPr="00966595">
        <w:t>, CMR/</w:t>
      </w:r>
      <w:proofErr w:type="spellStart"/>
      <w:r w:rsidR="006650E7" w:rsidRPr="00966595">
        <w:t>eCMR</w:t>
      </w:r>
      <w:proofErr w:type="spellEnd"/>
      <w:r w:rsidR="00057E08">
        <w:t>,</w:t>
      </w:r>
      <w:r w:rsidR="006650E7" w:rsidRPr="00966595">
        <w:t xml:space="preserve"> etc.</w:t>
      </w:r>
      <w:r w:rsidR="00FB49CE" w:rsidRPr="00966595">
        <w:t xml:space="preserve"> I</w:t>
      </w:r>
      <w:r w:rsidR="006650E7" w:rsidRPr="00966595">
        <w:t xml:space="preserve">t is expected that the work will be finalized by </w:t>
      </w:r>
      <w:r w:rsidR="00FB44EC" w:rsidRPr="00966595">
        <w:t>mid</w:t>
      </w:r>
      <w:r w:rsidR="00057E08">
        <w:t>-</w:t>
      </w:r>
      <w:r w:rsidR="00FB44EC" w:rsidRPr="00966595">
        <w:t>2023.</w:t>
      </w:r>
    </w:p>
    <w:p w14:paraId="0C580C34" w14:textId="3D0AFA57" w:rsidR="0095242B" w:rsidRPr="00966595" w:rsidRDefault="0095242B" w:rsidP="006F7986">
      <w:pPr>
        <w:pStyle w:val="HChG"/>
      </w:pPr>
      <w:r w:rsidRPr="00966595">
        <w:tab/>
        <w:t>I</w:t>
      </w:r>
      <w:r w:rsidR="00251F4C" w:rsidRPr="00966595">
        <w:t>V</w:t>
      </w:r>
      <w:r w:rsidRPr="00966595">
        <w:t>.</w:t>
      </w:r>
      <w:r w:rsidRPr="00966595">
        <w:tab/>
        <w:t xml:space="preserve">Convention on the Facilitation of Border Crossing Procedures for </w:t>
      </w:r>
      <w:r w:rsidRPr="006F7986">
        <w:t>Passengers</w:t>
      </w:r>
      <w:r w:rsidRPr="00966595">
        <w:t>, Luggage and Load-luggage Carried in International Traffic by Rail, of 22 February 2019</w:t>
      </w:r>
    </w:p>
    <w:p w14:paraId="28D8F0B2" w14:textId="4C9A3ACF" w:rsidR="0095242B" w:rsidRPr="00966595" w:rsidRDefault="0078142B" w:rsidP="0095242B">
      <w:pPr>
        <w:pStyle w:val="SingleTxtG"/>
      </w:pPr>
      <w:r w:rsidRPr="00966595">
        <w:t>1</w:t>
      </w:r>
      <w:r w:rsidR="00251F4C" w:rsidRPr="00966595">
        <w:t>7</w:t>
      </w:r>
      <w:r w:rsidR="0095242B" w:rsidRPr="00966595">
        <w:t>.</w:t>
      </w:r>
      <w:r w:rsidR="0095242B" w:rsidRPr="00966595">
        <w:tab/>
        <w:t xml:space="preserve">The Committee may wish to note </w:t>
      </w:r>
      <w:r w:rsidR="00081695">
        <w:t xml:space="preserve">that </w:t>
      </w:r>
      <w:r w:rsidR="0078637E" w:rsidRPr="00966595">
        <w:t>no</w:t>
      </w:r>
      <w:r w:rsidR="0095242B" w:rsidRPr="00966595">
        <w:t xml:space="preserve"> further information was made available in the course of 202</w:t>
      </w:r>
      <w:r w:rsidR="0078637E" w:rsidRPr="00966595">
        <w:t xml:space="preserve">2 </w:t>
      </w:r>
      <w:r w:rsidR="00323C96">
        <w:t xml:space="preserve">on </w:t>
      </w:r>
      <w:r w:rsidR="0078637E" w:rsidRPr="00966595">
        <w:t xml:space="preserve">any action </w:t>
      </w:r>
      <w:r w:rsidR="00323C96">
        <w:t>relat</w:t>
      </w:r>
      <w:r w:rsidR="0078637E" w:rsidRPr="00966595">
        <w:t xml:space="preserve">ed </w:t>
      </w:r>
      <w:r w:rsidR="00323C96">
        <w:t xml:space="preserve">to </w:t>
      </w:r>
      <w:r w:rsidR="0078637E" w:rsidRPr="00966595">
        <w:t>acce</w:t>
      </w:r>
      <w:r w:rsidR="00323C96">
        <w:t xml:space="preserve">ssion to </w:t>
      </w:r>
      <w:r w:rsidR="0078637E" w:rsidRPr="00966595">
        <w:t xml:space="preserve">this </w:t>
      </w:r>
      <w:r w:rsidR="00C43588" w:rsidRPr="00966595">
        <w:t>C</w:t>
      </w:r>
      <w:r w:rsidR="0078637E" w:rsidRPr="00966595">
        <w:t>onvention</w:t>
      </w:r>
      <w:r w:rsidR="0095242B" w:rsidRPr="00966595">
        <w:t xml:space="preserve">. At present, only Chad has signed the </w:t>
      </w:r>
      <w:r w:rsidR="00C43588" w:rsidRPr="00966595">
        <w:t>C</w:t>
      </w:r>
      <w:r w:rsidR="0095242B" w:rsidRPr="00966595">
        <w:t>onvention, on 26 September 2019</w:t>
      </w:r>
      <w:r w:rsidR="003A23A5" w:rsidRPr="00966595">
        <w:t>.</w:t>
      </w:r>
    </w:p>
    <w:p w14:paraId="2596B348" w14:textId="57903D4B" w:rsidR="0095242B" w:rsidRPr="00966595" w:rsidRDefault="0095242B" w:rsidP="006F7986">
      <w:pPr>
        <w:pStyle w:val="HChG"/>
      </w:pPr>
      <w:r w:rsidRPr="00966595">
        <w:tab/>
        <w:t>V.</w:t>
      </w:r>
      <w:r w:rsidRPr="00966595">
        <w:tab/>
        <w:t>Customs Conventions on the Temporary Importation of Private Road Vehicles (1954) and Commercial Road Vehicles (1956)</w:t>
      </w:r>
    </w:p>
    <w:p w14:paraId="250AAD5A" w14:textId="2467C29B" w:rsidR="00AA1506" w:rsidRPr="00966595" w:rsidRDefault="00AA1506" w:rsidP="006F7986">
      <w:pPr>
        <w:pStyle w:val="H1G"/>
      </w:pPr>
      <w:r w:rsidRPr="00966595">
        <w:tab/>
        <w:t>A.</w:t>
      </w:r>
      <w:r w:rsidRPr="00966595">
        <w:tab/>
        <w:t xml:space="preserve">Status of the </w:t>
      </w:r>
      <w:r w:rsidRPr="006F7986">
        <w:t>Convention</w:t>
      </w:r>
      <w:r w:rsidR="007006E5" w:rsidRPr="006F7986">
        <w:t>s</w:t>
      </w:r>
    </w:p>
    <w:p w14:paraId="2168AA19" w14:textId="790F1C21" w:rsidR="0095242B" w:rsidRPr="00966595" w:rsidRDefault="0078142B" w:rsidP="0095242B">
      <w:pPr>
        <w:pStyle w:val="SingleTxtG"/>
        <w:tabs>
          <w:tab w:val="left" w:pos="1710"/>
        </w:tabs>
      </w:pPr>
      <w:r w:rsidRPr="00966595">
        <w:t>1</w:t>
      </w:r>
      <w:r w:rsidR="00251F4C" w:rsidRPr="00966595">
        <w:t>8</w:t>
      </w:r>
      <w:r w:rsidR="0095242B" w:rsidRPr="00966595">
        <w:t>.</w:t>
      </w:r>
      <w:r w:rsidR="0095242B" w:rsidRPr="00966595">
        <w:tab/>
      </w:r>
      <w:r w:rsidR="0095242B" w:rsidRPr="00966595">
        <w:rPr>
          <w:lang w:eastAsia="en-GB"/>
        </w:rPr>
        <w:t>The Committee may wish to note that, in 202</w:t>
      </w:r>
      <w:r w:rsidR="00394282" w:rsidRPr="00966595">
        <w:rPr>
          <w:lang w:eastAsia="en-GB"/>
        </w:rPr>
        <w:t>2</w:t>
      </w:r>
      <w:r w:rsidR="0095242B" w:rsidRPr="00966595">
        <w:rPr>
          <w:lang w:eastAsia="en-GB"/>
        </w:rPr>
        <w:t xml:space="preserve">, the status of the Customs Conventions on the </w:t>
      </w:r>
      <w:r w:rsidR="0095242B" w:rsidRPr="00966595">
        <w:t>Temporary</w:t>
      </w:r>
      <w:r w:rsidR="0095242B" w:rsidRPr="00966595">
        <w:rPr>
          <w:lang w:eastAsia="en-GB"/>
        </w:rPr>
        <w:t xml:space="preserve"> Importation of Private (1954) and Commercial (1956) Road Vehicles </w:t>
      </w:r>
      <w:r w:rsidR="007006E5">
        <w:rPr>
          <w:lang w:eastAsia="en-GB"/>
        </w:rPr>
        <w:t xml:space="preserve">had not changed, </w:t>
      </w:r>
      <w:r w:rsidR="0095242B" w:rsidRPr="00966595">
        <w:rPr>
          <w:lang w:eastAsia="en-GB"/>
        </w:rPr>
        <w:t xml:space="preserve">and that the </w:t>
      </w:r>
      <w:r w:rsidR="00C43588" w:rsidRPr="00966595">
        <w:rPr>
          <w:lang w:eastAsia="en-GB"/>
        </w:rPr>
        <w:t>C</w:t>
      </w:r>
      <w:r w:rsidR="0095242B" w:rsidRPr="00966595">
        <w:rPr>
          <w:lang w:eastAsia="en-GB"/>
        </w:rPr>
        <w:t>onventions currently ha</w:t>
      </w:r>
      <w:r w:rsidR="009D772B" w:rsidRPr="00966595">
        <w:rPr>
          <w:lang w:eastAsia="en-GB"/>
        </w:rPr>
        <w:t>ve</w:t>
      </w:r>
      <w:r w:rsidR="0095242B" w:rsidRPr="00966595">
        <w:rPr>
          <w:lang w:eastAsia="en-GB"/>
        </w:rPr>
        <w:t>, 80 and 26 contracting parties, respectively.</w:t>
      </w:r>
    </w:p>
    <w:p w14:paraId="6238092F" w14:textId="60EE564F" w:rsidR="00AA1506" w:rsidRPr="00966595" w:rsidRDefault="00AA1506" w:rsidP="006F7986">
      <w:pPr>
        <w:pStyle w:val="H1G"/>
      </w:pPr>
      <w:r w:rsidRPr="00966595">
        <w:tab/>
        <w:t>B.</w:t>
      </w:r>
      <w:r w:rsidRPr="00966595">
        <w:tab/>
        <w:t xml:space="preserve">Issues in the </w:t>
      </w:r>
      <w:r w:rsidR="007006E5" w:rsidRPr="00966595">
        <w:t xml:space="preserve">Application </w:t>
      </w:r>
      <w:r w:rsidRPr="00966595">
        <w:t>of the Convention</w:t>
      </w:r>
      <w:r w:rsidR="007006E5">
        <w:t>s</w:t>
      </w:r>
    </w:p>
    <w:p w14:paraId="103FE396" w14:textId="3E2DDD0D" w:rsidR="00394282" w:rsidRPr="00966595" w:rsidRDefault="00251F4C" w:rsidP="00394282">
      <w:pPr>
        <w:pStyle w:val="SingleTxtG"/>
      </w:pPr>
      <w:r w:rsidRPr="00966595">
        <w:t>19</w:t>
      </w:r>
      <w:r w:rsidR="00394282" w:rsidRPr="00966595">
        <w:t>.</w:t>
      </w:r>
      <w:r w:rsidR="00394282" w:rsidRPr="00966595">
        <w:tab/>
      </w:r>
      <w:r w:rsidR="00AA1506" w:rsidRPr="00966595">
        <w:t>At its 1</w:t>
      </w:r>
      <w:r w:rsidR="00394282" w:rsidRPr="00966595">
        <w:t>61st</w:t>
      </w:r>
      <w:r w:rsidR="00AA1506" w:rsidRPr="00966595">
        <w:t xml:space="preserve"> session (</w:t>
      </w:r>
      <w:r w:rsidR="00394282" w:rsidRPr="00966595">
        <w:t xml:space="preserve">October 2022), </w:t>
      </w:r>
      <w:r w:rsidR="0078142B" w:rsidRPr="00966595">
        <w:t>WP.30</w:t>
      </w:r>
      <w:r w:rsidR="00394282" w:rsidRPr="00966595">
        <w:t xml:space="preserve"> was briefed about the latest development in the implementation of a Memorandum of Understanding (MoU) between ECE and the Alliance Internationale de </w:t>
      </w:r>
      <w:proofErr w:type="spellStart"/>
      <w:r w:rsidR="00394282" w:rsidRPr="00966595">
        <w:t>Tourisme</w:t>
      </w:r>
      <w:proofErr w:type="spellEnd"/>
      <w:r w:rsidR="00394282" w:rsidRPr="00966595">
        <w:t xml:space="preserve"> / Federation Internationale de </w:t>
      </w:r>
      <w:proofErr w:type="spellStart"/>
      <w:r w:rsidR="00394282" w:rsidRPr="00966595">
        <w:t>l’Automobile</w:t>
      </w:r>
      <w:proofErr w:type="spellEnd"/>
      <w:r w:rsidR="00394282" w:rsidRPr="00966595">
        <w:t xml:space="preserve"> (AIT/FIA) on revitali</w:t>
      </w:r>
      <w:r w:rsidR="007006E5">
        <w:t>sing</w:t>
      </w:r>
      <w:r w:rsidR="00394282" w:rsidRPr="00966595">
        <w:t xml:space="preserve"> and digitaliz</w:t>
      </w:r>
      <w:r w:rsidR="007006E5">
        <w:t>ing</w:t>
      </w:r>
      <w:r w:rsidR="00394282" w:rsidRPr="00966595">
        <w:t xml:space="preserve"> relevant United Nations inland transport conventions and, in particular, the development of an </w:t>
      </w:r>
      <w:proofErr w:type="spellStart"/>
      <w:r w:rsidR="00394282" w:rsidRPr="00966595">
        <w:t>eCPD</w:t>
      </w:r>
      <w:proofErr w:type="spellEnd"/>
      <w:r w:rsidR="00394282" w:rsidRPr="00966595">
        <w:t xml:space="preserve"> (Carnet de Passage </w:t>
      </w:r>
      <w:proofErr w:type="spellStart"/>
      <w:r w:rsidR="00394282" w:rsidRPr="00966595">
        <w:t>en</w:t>
      </w:r>
      <w:proofErr w:type="spellEnd"/>
      <w:r w:rsidR="00394282" w:rsidRPr="00966595">
        <w:t xml:space="preserve"> Douane) system. The team had started preparing the concepts of the future system and would submit a document for consideration by </w:t>
      </w:r>
      <w:r w:rsidR="0078142B" w:rsidRPr="00966595">
        <w:t>WP.30</w:t>
      </w:r>
      <w:r w:rsidR="00394282" w:rsidRPr="00966595">
        <w:t xml:space="preserve"> at one of its future sessions (ECE/TRANS/WP.30/322, para</w:t>
      </w:r>
      <w:r w:rsidR="007006E5">
        <w:t>graph</w:t>
      </w:r>
      <w:r w:rsidR="00394282" w:rsidRPr="00966595">
        <w:t xml:space="preserve"> 30).</w:t>
      </w:r>
    </w:p>
    <w:p w14:paraId="11B20119" w14:textId="62C1931E" w:rsidR="00394282" w:rsidRPr="00966595" w:rsidRDefault="0078142B" w:rsidP="001B5DBA">
      <w:pPr>
        <w:pStyle w:val="SingleTxtG"/>
      </w:pPr>
      <w:r w:rsidRPr="00966595">
        <w:t>2</w:t>
      </w:r>
      <w:r w:rsidR="00251F4C" w:rsidRPr="00966595">
        <w:t>0</w:t>
      </w:r>
      <w:r w:rsidR="00394282" w:rsidRPr="00966595">
        <w:t>.</w:t>
      </w:r>
      <w:r w:rsidR="00394282" w:rsidRPr="00966595">
        <w:tab/>
        <w:t xml:space="preserve">Under this agenda item, ITC may wish to note that, </w:t>
      </w:r>
      <w:r w:rsidR="001B5DBA" w:rsidRPr="00966595">
        <w:t xml:space="preserve">on 9 June 2022, ECE and FIA jointly organized a high-level workshop, dedicated to the functioning of the 1954 and 1956 temporary importation </w:t>
      </w:r>
      <w:r w:rsidR="00C43588" w:rsidRPr="00966595">
        <w:t>C</w:t>
      </w:r>
      <w:r w:rsidR="001B5DBA" w:rsidRPr="00966595">
        <w:t xml:space="preserve">onventions and their digitalization. More than 140 participants from 53 countries, various intergovernmental and non-governmental organizations attended the workshop. In addition, </w:t>
      </w:r>
      <w:r w:rsidR="00394282" w:rsidRPr="00966595">
        <w:t>on 5</w:t>
      </w:r>
      <w:r w:rsidR="005C5504">
        <w:t xml:space="preserve"> and </w:t>
      </w:r>
      <w:r w:rsidR="00394282" w:rsidRPr="00966595">
        <w:t xml:space="preserve">6 July 2022, the secretariat participated in a FIA </w:t>
      </w:r>
      <w:proofErr w:type="spellStart"/>
      <w:r w:rsidR="00394282" w:rsidRPr="00966595">
        <w:t>eConference</w:t>
      </w:r>
      <w:proofErr w:type="spellEnd"/>
      <w:r w:rsidR="00394282" w:rsidRPr="00966595">
        <w:t xml:space="preserve"> “A Global Voice – Empower Sustainable growth”, delivering, inter alia, a presentation on the United Nations legal instruments in the era of digitalization (ECE/TRANS/WP.30/322</w:t>
      </w:r>
      <w:r w:rsidR="005C5504">
        <w:t xml:space="preserve">, </w:t>
      </w:r>
      <w:r w:rsidR="00394282" w:rsidRPr="00966595">
        <w:t>para</w:t>
      </w:r>
      <w:r w:rsidR="005C5504">
        <w:t xml:space="preserve">graph </w:t>
      </w:r>
      <w:r w:rsidR="00394282" w:rsidRPr="00966595">
        <w:t>31</w:t>
      </w:r>
      <w:r w:rsidR="005C5504">
        <w:t>)</w:t>
      </w:r>
      <w:r w:rsidR="00394282" w:rsidRPr="00966595">
        <w:t>.</w:t>
      </w:r>
    </w:p>
    <w:p w14:paraId="47524BDC" w14:textId="49FE7593" w:rsidR="0095242B" w:rsidRPr="00966595" w:rsidRDefault="0095242B" w:rsidP="006F7986">
      <w:pPr>
        <w:pStyle w:val="HChG"/>
      </w:pPr>
      <w:r w:rsidRPr="00966595">
        <w:lastRenderedPageBreak/>
        <w:tab/>
        <w:t>VI.</w:t>
      </w:r>
      <w:r w:rsidRPr="00966595">
        <w:tab/>
      </w:r>
      <w:r w:rsidRPr="006F7986">
        <w:t>Requests</w:t>
      </w:r>
      <w:r w:rsidRPr="00966595">
        <w:t xml:space="preserve"> from the Inland Transport Committee</w:t>
      </w:r>
      <w:bookmarkStart w:id="0" w:name="_Hlk26977834"/>
    </w:p>
    <w:bookmarkEnd w:id="0"/>
    <w:p w14:paraId="3B351B67" w14:textId="34B30AA0" w:rsidR="0095242B" w:rsidRPr="00966595" w:rsidRDefault="0095242B" w:rsidP="006F7986">
      <w:pPr>
        <w:pStyle w:val="H23G"/>
      </w:pPr>
      <w:r w:rsidRPr="00966595">
        <w:tab/>
      </w:r>
      <w:r w:rsidRPr="00966595">
        <w:tab/>
        <w:t xml:space="preserve">Alignment of the </w:t>
      </w:r>
      <w:r w:rsidR="00362240" w:rsidRPr="00966595">
        <w:t xml:space="preserve">Work </w:t>
      </w:r>
      <w:r w:rsidRPr="00966595">
        <w:t xml:space="preserve">of </w:t>
      </w:r>
      <w:r w:rsidR="003B21C2" w:rsidRPr="00966595">
        <w:t>the Working Party</w:t>
      </w:r>
      <w:r w:rsidRPr="00966595">
        <w:t xml:space="preserve"> with the Inland Transport Committee </w:t>
      </w:r>
      <w:r w:rsidR="00362240" w:rsidRPr="00966595">
        <w:t>Strategy</w:t>
      </w:r>
    </w:p>
    <w:p w14:paraId="2896ED55" w14:textId="23EBAC70" w:rsidR="00FB49CE" w:rsidRPr="00966595" w:rsidRDefault="00251F4C" w:rsidP="00FB49CE">
      <w:pPr>
        <w:pStyle w:val="SingleTxtG"/>
      </w:pPr>
      <w:r w:rsidRPr="00966595">
        <w:t>21</w:t>
      </w:r>
      <w:r w:rsidR="00FB49CE" w:rsidRPr="00966595">
        <w:t>.</w:t>
      </w:r>
      <w:r w:rsidR="00FB49CE" w:rsidRPr="00966595">
        <w:tab/>
        <w:t xml:space="preserve">At its 161st session (October 2022), </w:t>
      </w:r>
      <w:r w:rsidRPr="00966595">
        <w:t>WP.30</w:t>
      </w:r>
      <w:r w:rsidR="00FB49CE" w:rsidRPr="00966595">
        <w:t xml:space="preserve"> recalled that, at its previous session (June 2022), it </w:t>
      </w:r>
      <w:r w:rsidR="00362240">
        <w:t xml:space="preserve">had </w:t>
      </w:r>
      <w:r w:rsidR="00362240" w:rsidRPr="00966595">
        <w:t>t</w:t>
      </w:r>
      <w:r w:rsidR="00362240">
        <w:t xml:space="preserve">aken </w:t>
      </w:r>
      <w:r w:rsidR="00FB49CE" w:rsidRPr="00966595">
        <w:t xml:space="preserve">note that ITC, at its seventy-fifth session (February 2022), had welcomed the progress achieved during 2021 by its Working Parties in implementing the ITC </w:t>
      </w:r>
      <w:r w:rsidR="007E685A" w:rsidRPr="00966595">
        <w:t>Strategy</w:t>
      </w:r>
      <w:r w:rsidR="00FB49CE" w:rsidRPr="00966595">
        <w:t xml:space="preserve"> until 2030. In the context of this activity, </w:t>
      </w:r>
      <w:r w:rsidRPr="00966595">
        <w:t xml:space="preserve">WP.30 </w:t>
      </w:r>
      <w:r w:rsidR="00FB49CE" w:rsidRPr="00966595">
        <w:t xml:space="preserve">noted that the secretariat had transmitted the findings </w:t>
      </w:r>
      <w:r w:rsidR="00362240">
        <w:t>from</w:t>
      </w:r>
      <w:r w:rsidR="00362240" w:rsidRPr="00966595">
        <w:t xml:space="preserve"> </w:t>
      </w:r>
      <w:r w:rsidR="00FB49CE" w:rsidRPr="00966595">
        <w:t xml:space="preserve">its 158th (October 2021) and 159th (February 2022) sessions to ITC, stating that </w:t>
      </w:r>
      <w:r w:rsidRPr="00966595">
        <w:t xml:space="preserve">WP.30 </w:t>
      </w:r>
      <w:r w:rsidR="00FB49CE" w:rsidRPr="00966595">
        <w:t>considered its contribution to this exercise finalized (ECE/TRANS/WP.30/320, para</w:t>
      </w:r>
      <w:r w:rsidR="00362240">
        <w:t>graph</w:t>
      </w:r>
      <w:r w:rsidR="00FB49CE" w:rsidRPr="00966595">
        <w:t xml:space="preserve"> 9).</w:t>
      </w:r>
    </w:p>
    <w:p w14:paraId="2F645265" w14:textId="608F775E" w:rsidR="00FB49CE" w:rsidRPr="00966595" w:rsidRDefault="00251F4C" w:rsidP="00FB49CE">
      <w:pPr>
        <w:pStyle w:val="SingleTxtG"/>
      </w:pPr>
      <w:r w:rsidRPr="00966595">
        <w:t>22</w:t>
      </w:r>
      <w:r w:rsidR="00FB49CE" w:rsidRPr="00966595">
        <w:t>.</w:t>
      </w:r>
      <w:r w:rsidR="00FB49CE" w:rsidRPr="00966595">
        <w:tab/>
        <w:t xml:space="preserve">At that session, </w:t>
      </w:r>
      <w:r w:rsidRPr="00966595">
        <w:t>WP.30</w:t>
      </w:r>
      <w:r w:rsidR="00FB49CE" w:rsidRPr="00966595">
        <w:t xml:space="preserve"> also recalled the new Terms</w:t>
      </w:r>
      <w:r w:rsidR="00FB49CE" w:rsidRPr="009021F3">
        <w:rPr>
          <w:lang w:val="en-US"/>
        </w:rPr>
        <w:t xml:space="preserve"> of Reference (</w:t>
      </w:r>
      <w:proofErr w:type="spellStart"/>
      <w:r w:rsidR="00FB49CE" w:rsidRPr="009021F3">
        <w:rPr>
          <w:lang w:val="en-US"/>
        </w:rPr>
        <w:t>ToR</w:t>
      </w:r>
      <w:proofErr w:type="spellEnd"/>
      <w:r w:rsidR="00FB49CE" w:rsidRPr="009021F3">
        <w:rPr>
          <w:lang w:val="en-US"/>
        </w:rPr>
        <w:t xml:space="preserve">) </w:t>
      </w:r>
      <w:r w:rsidR="00FB49CE" w:rsidRPr="006E0B7C">
        <w:t xml:space="preserve">of </w:t>
      </w:r>
      <w:r w:rsidR="00C75BD6" w:rsidRPr="006E0B7C">
        <w:t xml:space="preserve">ITC </w:t>
      </w:r>
      <w:r w:rsidR="00FB49CE" w:rsidRPr="003903F1">
        <w:t>(E/RES/2022/</w:t>
      </w:r>
      <w:r w:rsidR="00960CE9" w:rsidRPr="003903F1">
        <w:t>L.4</w:t>
      </w:r>
      <w:r w:rsidR="00FB49CE" w:rsidRPr="00686C82">
        <w:t>) (see ECE/TRANS/316) and, in particular, that ITC now adopts the so-called hybrid approach for membership, meaning that non-ECE member States can participate as full members in segments of ITC sessions that deal with legal instruments to which they are co</w:t>
      </w:r>
      <w:r w:rsidR="00FB49CE" w:rsidRPr="00ED5A89">
        <w:t>ntracting parties and remain in a consultative capacity in other parts (see ECE/TRANS/WP.30/320, para</w:t>
      </w:r>
      <w:r w:rsidR="00362240">
        <w:t>graph</w:t>
      </w:r>
      <w:r w:rsidR="00FB49CE" w:rsidRPr="00ED5A89">
        <w:t xml:space="preserve"> 10). </w:t>
      </w:r>
      <w:r w:rsidRPr="00966595">
        <w:t>WP.30</w:t>
      </w:r>
      <w:r w:rsidR="00FB49CE" w:rsidRPr="00966595">
        <w:t xml:space="preserve"> requested the secretariat to prepare, for consideration at its February 2023 session, a document comparing the new ITC </w:t>
      </w:r>
      <w:proofErr w:type="spellStart"/>
      <w:r w:rsidR="00FB49CE" w:rsidRPr="00966595">
        <w:t>ToR</w:t>
      </w:r>
      <w:proofErr w:type="spellEnd"/>
      <w:r w:rsidR="00FB49CE" w:rsidRPr="00966595">
        <w:t xml:space="preserve"> with the existing </w:t>
      </w:r>
      <w:proofErr w:type="spellStart"/>
      <w:r w:rsidR="00FB49CE" w:rsidRPr="00966595">
        <w:t>ToR</w:t>
      </w:r>
      <w:proofErr w:type="spellEnd"/>
      <w:r w:rsidR="00FB49CE" w:rsidRPr="00966595">
        <w:t xml:space="preserve"> of </w:t>
      </w:r>
      <w:r w:rsidRPr="00966595">
        <w:t>WP.30</w:t>
      </w:r>
      <w:r w:rsidR="00FB49CE" w:rsidRPr="00966595">
        <w:t>, in order to assess whether any adjustment seemed appropriate (ECE/TRANS/WP.30/322, para</w:t>
      </w:r>
      <w:r w:rsidR="00362240">
        <w:t>graph</w:t>
      </w:r>
      <w:r w:rsidR="00FB49CE" w:rsidRPr="00966595">
        <w:t xml:space="preserve"> 6).</w:t>
      </w:r>
    </w:p>
    <w:p w14:paraId="69063169" w14:textId="4D932E20" w:rsidR="00130E24" w:rsidRPr="00966595" w:rsidRDefault="00251F4C" w:rsidP="00130E24">
      <w:pPr>
        <w:pStyle w:val="SingleTxtG"/>
      </w:pPr>
      <w:r w:rsidRPr="00966595">
        <w:t>23</w:t>
      </w:r>
      <w:r w:rsidR="00FB49CE" w:rsidRPr="00966595">
        <w:t>.</w:t>
      </w:r>
      <w:r w:rsidR="00FB49CE" w:rsidRPr="00966595">
        <w:tab/>
        <w:t>Further</w:t>
      </w:r>
      <w:r w:rsidR="0062509A">
        <w:t>more</w:t>
      </w:r>
      <w:r w:rsidR="00FB49CE" w:rsidRPr="00966595">
        <w:t xml:space="preserve">, ITC may wish to recall that, </w:t>
      </w:r>
      <w:r w:rsidRPr="00966595">
        <w:t xml:space="preserve">in </w:t>
      </w:r>
      <w:r w:rsidR="00130E24" w:rsidRPr="00966595">
        <w:t>2021</w:t>
      </w:r>
      <w:r w:rsidR="00FB49CE" w:rsidRPr="00966595">
        <w:t xml:space="preserve">, </w:t>
      </w:r>
      <w:r w:rsidR="00951C9B" w:rsidRPr="002771C0">
        <w:t xml:space="preserve">Denmark and </w:t>
      </w:r>
      <w:r w:rsidR="00FB49CE" w:rsidRPr="00966595">
        <w:t>Luxembourg</w:t>
      </w:r>
      <w:r w:rsidR="00951C9B">
        <w:t xml:space="preserve"> had</w:t>
      </w:r>
      <w:r w:rsidR="00FB49CE" w:rsidRPr="00966595">
        <w:t xml:space="preserve"> denounced the Customs Convention Concerning Spare Parts used for Repairing EUROP Wagons, </w:t>
      </w:r>
      <w:r w:rsidR="00C43588" w:rsidRPr="00966595">
        <w:t xml:space="preserve">of </w:t>
      </w:r>
      <w:r w:rsidR="00FB49CE" w:rsidRPr="00966595">
        <w:t xml:space="preserve">15 January 1958. </w:t>
      </w:r>
      <w:r w:rsidR="00130E24" w:rsidRPr="00966595">
        <w:t>On 11 March 2022, the Secretary-General of the United Nations, acting in his capacity as depositary, issued depositary notification</w:t>
      </w:r>
      <w:r w:rsidRPr="00966595">
        <w:t xml:space="preserve"> </w:t>
      </w:r>
      <w:r w:rsidR="00130E24" w:rsidRPr="00966595">
        <w:t>C.N.76.2022.TREATIES-XI.A.12, informing that, on 11 March 2022, France ha</w:t>
      </w:r>
      <w:r w:rsidR="00B5059B">
        <w:t>d</w:t>
      </w:r>
      <w:r w:rsidR="00130E24" w:rsidRPr="00966595">
        <w:t xml:space="preserve"> denounced this </w:t>
      </w:r>
      <w:r w:rsidR="00C43588" w:rsidRPr="00966595">
        <w:t>C</w:t>
      </w:r>
      <w:r w:rsidR="00130E24" w:rsidRPr="00966595">
        <w:t xml:space="preserve">onvention. The denunciation took effect for France on 11 September 2022. </w:t>
      </w:r>
      <w:r w:rsidR="00FB49CE" w:rsidRPr="00966595">
        <w:t>At the seventy-eighth session (October</w:t>
      </w:r>
      <w:r w:rsidR="00130E24" w:rsidRPr="00966595">
        <w:t xml:space="preserve"> 2022), the delegate of Switzerland informed WP.30 that his country had started proceedings towards denouncing the </w:t>
      </w:r>
      <w:r w:rsidR="00C43588" w:rsidRPr="00966595">
        <w:t>C</w:t>
      </w:r>
      <w:r w:rsidR="00130E24" w:rsidRPr="00966595">
        <w:t xml:space="preserve">onvention. As the procedure could be concluded at the level of the Federal Council, it was expected that the result could be announced at the spring 2023 session. With this action, this </w:t>
      </w:r>
      <w:r w:rsidR="00C43588" w:rsidRPr="00966595">
        <w:t>C</w:t>
      </w:r>
      <w:r w:rsidR="00130E24" w:rsidRPr="00966595">
        <w:t>onvention w</w:t>
      </w:r>
      <w:r w:rsidR="0062509A">
        <w:t>ould</w:t>
      </w:r>
      <w:r w:rsidR="00130E24" w:rsidRPr="00966595">
        <w:t xml:space="preserve"> have five remaining contracting parties: Austria, Belgium, Germany, Italy and Netherlands. In accordance with its </w:t>
      </w:r>
      <w:r w:rsidR="00F13808" w:rsidRPr="00966595">
        <w:t>a</w:t>
      </w:r>
      <w:r w:rsidR="00130E24" w:rsidRPr="00966595">
        <w:t xml:space="preserve">rticle 8, the Convention will cease to have effect if, for any period of twelve consecutive months after its entry into force, the number of contracting parties is less than three (French authentic text). The secretariat informed </w:t>
      </w:r>
      <w:r w:rsidRPr="00966595">
        <w:t>WP.30</w:t>
      </w:r>
      <w:r w:rsidR="00130E24" w:rsidRPr="00966595">
        <w:t xml:space="preserve"> that the pool established by this </w:t>
      </w:r>
      <w:r w:rsidR="00C43588" w:rsidRPr="00966595">
        <w:t>C</w:t>
      </w:r>
      <w:r w:rsidR="00130E24" w:rsidRPr="00966595">
        <w:t xml:space="preserve">onvention had been relinquished in 2002 (see </w:t>
      </w:r>
      <w:bookmarkStart w:id="1" w:name="_Hlk121125546"/>
      <w:r w:rsidR="00130E24" w:rsidRPr="00966595">
        <w:t>ECE/TRANS/WP.30/322</w:t>
      </w:r>
      <w:bookmarkEnd w:id="1"/>
      <w:r w:rsidR="00130E24" w:rsidRPr="00966595">
        <w:t>, para</w:t>
      </w:r>
      <w:r w:rsidR="00951C9B">
        <w:t>graph</w:t>
      </w:r>
      <w:r w:rsidR="007376B2">
        <w:t> </w:t>
      </w:r>
      <w:r w:rsidR="00130E24" w:rsidRPr="00966595">
        <w:t>5).</w:t>
      </w:r>
    </w:p>
    <w:p w14:paraId="33E868A1" w14:textId="2725DA47" w:rsidR="0095242B" w:rsidRPr="00966595" w:rsidRDefault="0095242B" w:rsidP="006F7986">
      <w:pPr>
        <w:pStyle w:val="HChG"/>
      </w:pPr>
      <w:r w:rsidRPr="00966595">
        <w:tab/>
      </w:r>
      <w:r w:rsidR="00251F4C" w:rsidRPr="00966595">
        <w:t>VII</w:t>
      </w:r>
      <w:r w:rsidRPr="00966595">
        <w:t>.</w:t>
      </w:r>
      <w:r w:rsidRPr="00966595">
        <w:tab/>
        <w:t xml:space="preserve">Considerations by the </w:t>
      </w:r>
      <w:r w:rsidRPr="006F7986">
        <w:t>Committee</w:t>
      </w:r>
    </w:p>
    <w:p w14:paraId="4354BB1C" w14:textId="65390EEE" w:rsidR="005E42EC" w:rsidRPr="00966595" w:rsidRDefault="00251F4C" w:rsidP="0095242B">
      <w:pPr>
        <w:pStyle w:val="SingleTxtG"/>
      </w:pPr>
      <w:r w:rsidRPr="00966595">
        <w:t>24</w:t>
      </w:r>
      <w:r w:rsidR="0095242B" w:rsidRPr="00966595">
        <w:t>.</w:t>
      </w:r>
      <w:r w:rsidR="0095242B" w:rsidRPr="00966595">
        <w:tab/>
        <w:t>The Committee may wish to take note of and support the above activities of contracting parties, WP.30, AC.2, AC.3 and the TIR secretariat</w:t>
      </w:r>
      <w:r w:rsidR="00CA1CAB" w:rsidRPr="00966595">
        <w:t>s</w:t>
      </w:r>
      <w:r w:rsidR="0095242B" w:rsidRPr="00966595">
        <w:t xml:space="preserve"> in the year 202</w:t>
      </w:r>
      <w:r w:rsidRPr="00966595">
        <w:t>2</w:t>
      </w:r>
      <w:r w:rsidR="0095242B" w:rsidRPr="00966595">
        <w:t>.</w:t>
      </w:r>
    </w:p>
    <w:p w14:paraId="60899352" w14:textId="646ACDBB" w:rsidR="00250503" w:rsidRPr="00966595" w:rsidRDefault="005E42EC" w:rsidP="000325C2">
      <w:pPr>
        <w:spacing w:before="240"/>
        <w:jc w:val="center"/>
      </w:pPr>
      <w:r w:rsidRPr="00966595">
        <w:rPr>
          <w:u w:val="single"/>
        </w:rPr>
        <w:tab/>
      </w:r>
      <w:r w:rsidRPr="00966595">
        <w:rPr>
          <w:u w:val="single"/>
        </w:rPr>
        <w:tab/>
      </w:r>
      <w:r w:rsidRPr="00966595">
        <w:rPr>
          <w:u w:val="single"/>
        </w:rPr>
        <w:tab/>
      </w:r>
      <w:r w:rsidR="00CD3488" w:rsidRPr="00966595">
        <w:t xml:space="preserve"> </w:t>
      </w:r>
    </w:p>
    <w:sectPr w:rsidR="00250503" w:rsidRPr="00966595" w:rsidSect="0095478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165C" w14:textId="77777777" w:rsidR="00A134AD" w:rsidRDefault="00A134AD"/>
  </w:endnote>
  <w:endnote w:type="continuationSeparator" w:id="0">
    <w:p w14:paraId="38BF3BFD" w14:textId="77777777" w:rsidR="00A134AD" w:rsidRDefault="00A134AD"/>
  </w:endnote>
  <w:endnote w:type="continuationNotice" w:id="1">
    <w:p w14:paraId="4427651E" w14:textId="77777777" w:rsidR="00A134AD" w:rsidRDefault="00A13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9F98" w14:textId="7941B9C4" w:rsidR="00F63C58" w:rsidRDefault="00F63C58" w:rsidP="00F63C58">
    <w:pPr>
      <w:pStyle w:val="Footer"/>
    </w:pPr>
    <w:r>
      <w:rPr>
        <w:noProof/>
        <w:sz w:val="20"/>
      </w:rPr>
      <w:drawing>
        <wp:anchor distT="0" distB="0" distL="114300" distR="114300" simplePos="0" relativeHeight="251660288" behindDoc="0" locked="0" layoutInCell="1" allowOverlap="1" wp14:anchorId="1F1B3BE3" wp14:editId="67A6DCBD">
          <wp:simplePos x="0" y="0"/>
          <wp:positionH relativeFrom="margin">
            <wp:posOffset>5615940</wp:posOffset>
          </wp:positionH>
          <wp:positionV relativeFrom="margin">
            <wp:posOffset>8989364</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49B57F40" wp14:editId="52DF995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1EC248" w14:textId="35BEF174" w:rsidR="00F63C58" w:rsidRPr="00F63C58" w:rsidRDefault="00F63C58" w:rsidP="00F63C58">
    <w:pPr>
      <w:pStyle w:val="Footer"/>
      <w:ind w:right="1134"/>
      <w:rPr>
        <w:sz w:val="20"/>
      </w:rPr>
    </w:pPr>
    <w:r>
      <w:rPr>
        <w:sz w:val="20"/>
      </w:rPr>
      <w:t>GE.22-27687(E)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6149" w14:textId="77777777" w:rsidR="00A134AD" w:rsidRPr="000B175B" w:rsidRDefault="00A134AD" w:rsidP="000B175B">
      <w:pPr>
        <w:tabs>
          <w:tab w:val="right" w:pos="2155"/>
        </w:tabs>
        <w:spacing w:after="80"/>
        <w:ind w:left="680"/>
        <w:rPr>
          <w:u w:val="single"/>
        </w:rPr>
      </w:pPr>
      <w:r>
        <w:rPr>
          <w:u w:val="single"/>
        </w:rPr>
        <w:tab/>
      </w:r>
    </w:p>
  </w:footnote>
  <w:footnote w:type="continuationSeparator" w:id="0">
    <w:p w14:paraId="09889C28" w14:textId="77777777" w:rsidR="00A134AD" w:rsidRPr="00FC68B7" w:rsidRDefault="00A134AD" w:rsidP="00FC68B7">
      <w:pPr>
        <w:tabs>
          <w:tab w:val="left" w:pos="2155"/>
        </w:tabs>
        <w:spacing w:after="80"/>
        <w:ind w:left="680"/>
        <w:rPr>
          <w:u w:val="single"/>
        </w:rPr>
      </w:pPr>
      <w:r>
        <w:rPr>
          <w:u w:val="single"/>
        </w:rPr>
        <w:tab/>
      </w:r>
    </w:p>
  </w:footnote>
  <w:footnote w:type="continuationNotice" w:id="1">
    <w:p w14:paraId="72114BA3" w14:textId="77777777" w:rsidR="00A134AD" w:rsidRDefault="00A134AD"/>
  </w:footnote>
  <w:footnote w:id="2">
    <w:p w14:paraId="34A5810D" w14:textId="4729B68E" w:rsidR="00075EA0" w:rsidRPr="00075EA0" w:rsidRDefault="00075EA0">
      <w:pPr>
        <w:pStyle w:val="FootnoteText"/>
        <w:rPr>
          <w:lang w:val="en-US"/>
        </w:rPr>
      </w:pPr>
      <w:r>
        <w:tab/>
      </w:r>
      <w:r>
        <w:rPr>
          <w:rStyle w:val="FootnoteReference"/>
        </w:rPr>
        <w:footnoteRef/>
      </w:r>
      <w:r>
        <w:t xml:space="preserve"> </w:t>
      </w:r>
      <w:r>
        <w:tab/>
        <w:t>See C.N.81.2022.TREATIES-XI.A.16 of 1 April 2022.</w:t>
      </w:r>
    </w:p>
  </w:footnote>
  <w:footnote w:id="3">
    <w:p w14:paraId="6EE5C367" w14:textId="77777777" w:rsidR="00145B5A" w:rsidRPr="003C4C90" w:rsidRDefault="00145B5A" w:rsidP="00145B5A">
      <w:pPr>
        <w:pStyle w:val="FootnoteText"/>
        <w:widowControl w:val="0"/>
        <w:tabs>
          <w:tab w:val="clear" w:pos="1021"/>
          <w:tab w:val="right" w:pos="1020"/>
        </w:tabs>
        <w:rPr>
          <w:lang w:val="en-US"/>
        </w:rPr>
      </w:pPr>
      <w:r>
        <w:tab/>
      </w:r>
      <w:r>
        <w:rPr>
          <w:rStyle w:val="FootnoteReference"/>
        </w:rPr>
        <w:footnoteRef/>
      </w:r>
      <w:r>
        <w:tab/>
        <w:t>www</w:t>
      </w:r>
      <w:r w:rsidRPr="003B24FD">
        <w:t>.unece.org/tir/tir-depositary_notification.html</w:t>
      </w:r>
      <w:r w:rsidRPr="00281E1A">
        <w:t>.</w:t>
      </w:r>
    </w:p>
  </w:footnote>
  <w:footnote w:id="4">
    <w:p w14:paraId="3F66DDF9" w14:textId="7325F466" w:rsidR="00942500" w:rsidRDefault="00942500">
      <w:pPr>
        <w:pStyle w:val="FootnoteText"/>
      </w:pPr>
      <w:r>
        <w:tab/>
      </w:r>
      <w:r>
        <w:rPr>
          <w:rStyle w:val="FootnoteReference"/>
        </w:rPr>
        <w:footnoteRef/>
      </w:r>
      <w:r>
        <w:tab/>
      </w:r>
      <w:r w:rsidRPr="00942500">
        <w:t>Convention on the Contract for the International Carriage of Goods by Road</w:t>
      </w:r>
      <w:r>
        <w:t xml:space="preserve">. </w:t>
      </w:r>
    </w:p>
  </w:footnote>
  <w:footnote w:id="5">
    <w:p w14:paraId="659FC743" w14:textId="66E47240" w:rsidR="00942500" w:rsidRDefault="00942500">
      <w:pPr>
        <w:pStyle w:val="FootnoteText"/>
      </w:pPr>
      <w:r>
        <w:tab/>
      </w:r>
      <w:r>
        <w:rPr>
          <w:rStyle w:val="FootnoteReference"/>
        </w:rPr>
        <w:footnoteRef/>
      </w:r>
      <w:r>
        <w:tab/>
      </w:r>
      <w:r w:rsidRPr="00942500">
        <w:t>International Road Transport Union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7B77D5B6" w:rsidR="00954785" w:rsidRPr="006B2092" w:rsidRDefault="006B2092" w:rsidP="006B2092">
    <w:pPr>
      <w:pStyle w:val="Header"/>
      <w:tabs>
        <w:tab w:val="left" w:pos="1914"/>
      </w:tabs>
      <w:rPr>
        <w:lang w:val="en-US"/>
      </w:rPr>
    </w:pPr>
    <w:r>
      <w:rPr>
        <w:lang w:val="en-US"/>
      </w:rPr>
      <w:t>ECE/TRANS/202</w:t>
    </w:r>
    <w:r w:rsidR="00251F4C">
      <w:rPr>
        <w:lang w:val="en-US"/>
      </w:rPr>
      <w:t>3/</w:t>
    </w:r>
    <w:r w:rsidR="00567BF5">
      <w:rPr>
        <w:lang w:val="en-US"/>
      </w:rPr>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3C191BB8" w:rsidR="00954785" w:rsidRPr="006B2092" w:rsidRDefault="006B2092" w:rsidP="00954785">
    <w:pPr>
      <w:pStyle w:val="Header"/>
      <w:jc w:val="right"/>
      <w:rPr>
        <w:lang w:val="en-US"/>
      </w:rPr>
    </w:pPr>
    <w:r>
      <w:rPr>
        <w:lang w:val="en-US"/>
      </w:rPr>
      <w:t>ECE/TRANS/202</w:t>
    </w:r>
    <w:r w:rsidR="005F7B06">
      <w:rPr>
        <w:lang w:val="en-US"/>
      </w:rPr>
      <w:t>3</w:t>
    </w:r>
    <w:r>
      <w:rPr>
        <w:lang w:val="en-US"/>
      </w:rPr>
      <w:t>/</w:t>
    </w:r>
    <w:r w:rsidR="00567BF5">
      <w:rPr>
        <w:lang w:val="en-US"/>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72319"/>
    <w:multiLevelType w:val="multilevel"/>
    <w:tmpl w:val="4A0C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D50AE5"/>
    <w:multiLevelType w:val="multilevel"/>
    <w:tmpl w:val="2D62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20"/>
  </w:num>
  <w:num w:numId="18">
    <w:abstractNumId w:val="21"/>
  </w:num>
  <w:num w:numId="19">
    <w:abstractNumId w:val="11"/>
  </w:num>
  <w:num w:numId="20">
    <w:abstractNumId w:val="18"/>
  </w:num>
  <w:num w:numId="21">
    <w:abstractNumId w:val="22"/>
  </w:num>
  <w:num w:numId="22">
    <w:abstractNumId w:val="19"/>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10668"/>
    <w:rsid w:val="000114FB"/>
    <w:rsid w:val="00027624"/>
    <w:rsid w:val="000325C2"/>
    <w:rsid w:val="00050F6B"/>
    <w:rsid w:val="000575F4"/>
    <w:rsid w:val="00057E08"/>
    <w:rsid w:val="00061E10"/>
    <w:rsid w:val="00064C60"/>
    <w:rsid w:val="000678CD"/>
    <w:rsid w:val="00070CC3"/>
    <w:rsid w:val="00072C8C"/>
    <w:rsid w:val="00075EA0"/>
    <w:rsid w:val="00076BC0"/>
    <w:rsid w:val="00081695"/>
    <w:rsid w:val="00081CE0"/>
    <w:rsid w:val="00084D30"/>
    <w:rsid w:val="00090320"/>
    <w:rsid w:val="0009056D"/>
    <w:rsid w:val="000931C0"/>
    <w:rsid w:val="000934D5"/>
    <w:rsid w:val="000A0D07"/>
    <w:rsid w:val="000A2E09"/>
    <w:rsid w:val="000B175B"/>
    <w:rsid w:val="000B3A0F"/>
    <w:rsid w:val="000D4551"/>
    <w:rsid w:val="000E0415"/>
    <w:rsid w:val="000E480F"/>
    <w:rsid w:val="000F6B9A"/>
    <w:rsid w:val="000F7715"/>
    <w:rsid w:val="000F7FFB"/>
    <w:rsid w:val="00106903"/>
    <w:rsid w:val="001171FF"/>
    <w:rsid w:val="00120B1C"/>
    <w:rsid w:val="001255D1"/>
    <w:rsid w:val="00130E24"/>
    <w:rsid w:val="0013442A"/>
    <w:rsid w:val="001374EE"/>
    <w:rsid w:val="00141C13"/>
    <w:rsid w:val="00145B5A"/>
    <w:rsid w:val="001551AB"/>
    <w:rsid w:val="00156B99"/>
    <w:rsid w:val="00166124"/>
    <w:rsid w:val="00177086"/>
    <w:rsid w:val="00177985"/>
    <w:rsid w:val="00184DDA"/>
    <w:rsid w:val="001900CD"/>
    <w:rsid w:val="001A0452"/>
    <w:rsid w:val="001A5017"/>
    <w:rsid w:val="001B2AA2"/>
    <w:rsid w:val="001B4B04"/>
    <w:rsid w:val="001B5875"/>
    <w:rsid w:val="001B5DBA"/>
    <w:rsid w:val="001B608E"/>
    <w:rsid w:val="001B7F86"/>
    <w:rsid w:val="001C29BF"/>
    <w:rsid w:val="001C38CB"/>
    <w:rsid w:val="001C4B9C"/>
    <w:rsid w:val="001C5F30"/>
    <w:rsid w:val="001C6663"/>
    <w:rsid w:val="001C7895"/>
    <w:rsid w:val="001D26DF"/>
    <w:rsid w:val="001E1421"/>
    <w:rsid w:val="001E4A57"/>
    <w:rsid w:val="001F1599"/>
    <w:rsid w:val="001F19C4"/>
    <w:rsid w:val="002043F0"/>
    <w:rsid w:val="00211E0B"/>
    <w:rsid w:val="0022137B"/>
    <w:rsid w:val="002256EB"/>
    <w:rsid w:val="00232575"/>
    <w:rsid w:val="002454BB"/>
    <w:rsid w:val="00247258"/>
    <w:rsid w:val="00250503"/>
    <w:rsid w:val="00251F4C"/>
    <w:rsid w:val="002548E4"/>
    <w:rsid w:val="002570D4"/>
    <w:rsid w:val="00257CAC"/>
    <w:rsid w:val="0027237A"/>
    <w:rsid w:val="00273869"/>
    <w:rsid w:val="00276C8B"/>
    <w:rsid w:val="002974E9"/>
    <w:rsid w:val="002979C8"/>
    <w:rsid w:val="002A4A29"/>
    <w:rsid w:val="002A7F94"/>
    <w:rsid w:val="002B109A"/>
    <w:rsid w:val="002C6D45"/>
    <w:rsid w:val="002D0161"/>
    <w:rsid w:val="002D6E53"/>
    <w:rsid w:val="002E19FF"/>
    <w:rsid w:val="002E2601"/>
    <w:rsid w:val="002E4B83"/>
    <w:rsid w:val="002F0169"/>
    <w:rsid w:val="002F046D"/>
    <w:rsid w:val="002F3023"/>
    <w:rsid w:val="002F3320"/>
    <w:rsid w:val="002F5134"/>
    <w:rsid w:val="00301764"/>
    <w:rsid w:val="00303D68"/>
    <w:rsid w:val="00307A0A"/>
    <w:rsid w:val="003116EB"/>
    <w:rsid w:val="003118EE"/>
    <w:rsid w:val="003229D8"/>
    <w:rsid w:val="00323C96"/>
    <w:rsid w:val="00325D9D"/>
    <w:rsid w:val="00333C37"/>
    <w:rsid w:val="003354BF"/>
    <w:rsid w:val="00336C97"/>
    <w:rsid w:val="00337F88"/>
    <w:rsid w:val="003409DD"/>
    <w:rsid w:val="0034130B"/>
    <w:rsid w:val="00342432"/>
    <w:rsid w:val="00345B16"/>
    <w:rsid w:val="0035223F"/>
    <w:rsid w:val="00352D4B"/>
    <w:rsid w:val="00352FFA"/>
    <w:rsid w:val="0035638C"/>
    <w:rsid w:val="00362240"/>
    <w:rsid w:val="00366703"/>
    <w:rsid w:val="00381E85"/>
    <w:rsid w:val="0038477F"/>
    <w:rsid w:val="00386BA0"/>
    <w:rsid w:val="003903F1"/>
    <w:rsid w:val="00394282"/>
    <w:rsid w:val="0039451F"/>
    <w:rsid w:val="003A0984"/>
    <w:rsid w:val="003A23A5"/>
    <w:rsid w:val="003A46BB"/>
    <w:rsid w:val="003A4EC7"/>
    <w:rsid w:val="003A7295"/>
    <w:rsid w:val="003A75FD"/>
    <w:rsid w:val="003B1F60"/>
    <w:rsid w:val="003B21C2"/>
    <w:rsid w:val="003B4A34"/>
    <w:rsid w:val="003B6B2A"/>
    <w:rsid w:val="003C1B56"/>
    <w:rsid w:val="003C2CC4"/>
    <w:rsid w:val="003C359D"/>
    <w:rsid w:val="003D4B23"/>
    <w:rsid w:val="003E059E"/>
    <w:rsid w:val="003E278A"/>
    <w:rsid w:val="003F0BDE"/>
    <w:rsid w:val="0040185F"/>
    <w:rsid w:val="00413520"/>
    <w:rsid w:val="00420747"/>
    <w:rsid w:val="004325CB"/>
    <w:rsid w:val="00440A07"/>
    <w:rsid w:val="00446B25"/>
    <w:rsid w:val="004553C4"/>
    <w:rsid w:val="004620FE"/>
    <w:rsid w:val="00462880"/>
    <w:rsid w:val="004662B9"/>
    <w:rsid w:val="004768EE"/>
    <w:rsid w:val="00476F24"/>
    <w:rsid w:val="004777C7"/>
    <w:rsid w:val="00485398"/>
    <w:rsid w:val="004923A8"/>
    <w:rsid w:val="004A7908"/>
    <w:rsid w:val="004B1358"/>
    <w:rsid w:val="004C53A4"/>
    <w:rsid w:val="004C55B0"/>
    <w:rsid w:val="004F5DBE"/>
    <w:rsid w:val="004F6BA0"/>
    <w:rsid w:val="004F731A"/>
    <w:rsid w:val="00503BEA"/>
    <w:rsid w:val="00507CA1"/>
    <w:rsid w:val="005233F2"/>
    <w:rsid w:val="005260FA"/>
    <w:rsid w:val="00533616"/>
    <w:rsid w:val="00535ABA"/>
    <w:rsid w:val="005364BD"/>
    <w:rsid w:val="00536EF3"/>
    <w:rsid w:val="0053768B"/>
    <w:rsid w:val="005420F2"/>
    <w:rsid w:val="0054285C"/>
    <w:rsid w:val="0054561A"/>
    <w:rsid w:val="00567BF5"/>
    <w:rsid w:val="00580144"/>
    <w:rsid w:val="00584173"/>
    <w:rsid w:val="00594CE3"/>
    <w:rsid w:val="00595520"/>
    <w:rsid w:val="00595DA8"/>
    <w:rsid w:val="005A44B9"/>
    <w:rsid w:val="005B1BA0"/>
    <w:rsid w:val="005B3DB3"/>
    <w:rsid w:val="005B6581"/>
    <w:rsid w:val="005B680E"/>
    <w:rsid w:val="005C5504"/>
    <w:rsid w:val="005D1596"/>
    <w:rsid w:val="005D15CA"/>
    <w:rsid w:val="005E42EC"/>
    <w:rsid w:val="005F08DF"/>
    <w:rsid w:val="005F3066"/>
    <w:rsid w:val="005F3342"/>
    <w:rsid w:val="005F3E61"/>
    <w:rsid w:val="005F4A7C"/>
    <w:rsid w:val="005F6206"/>
    <w:rsid w:val="005F7B06"/>
    <w:rsid w:val="00604DDD"/>
    <w:rsid w:val="0060610C"/>
    <w:rsid w:val="006115CC"/>
    <w:rsid w:val="00611FC4"/>
    <w:rsid w:val="006176FB"/>
    <w:rsid w:val="00620F69"/>
    <w:rsid w:val="0062509A"/>
    <w:rsid w:val="00630FCB"/>
    <w:rsid w:val="006348AF"/>
    <w:rsid w:val="00640B26"/>
    <w:rsid w:val="0064180D"/>
    <w:rsid w:val="00645704"/>
    <w:rsid w:val="0065766B"/>
    <w:rsid w:val="006578C8"/>
    <w:rsid w:val="006650E7"/>
    <w:rsid w:val="006770B2"/>
    <w:rsid w:val="00686A48"/>
    <w:rsid w:val="00686C82"/>
    <w:rsid w:val="00686D17"/>
    <w:rsid w:val="00690C6E"/>
    <w:rsid w:val="0069306F"/>
    <w:rsid w:val="006940E1"/>
    <w:rsid w:val="0069774D"/>
    <w:rsid w:val="006A21FE"/>
    <w:rsid w:val="006A3C72"/>
    <w:rsid w:val="006A7392"/>
    <w:rsid w:val="006B03A1"/>
    <w:rsid w:val="006B181F"/>
    <w:rsid w:val="006B2092"/>
    <w:rsid w:val="006B3ABA"/>
    <w:rsid w:val="006B67D9"/>
    <w:rsid w:val="006C5535"/>
    <w:rsid w:val="006D0589"/>
    <w:rsid w:val="006E0B7C"/>
    <w:rsid w:val="006E564B"/>
    <w:rsid w:val="006E7154"/>
    <w:rsid w:val="006F249D"/>
    <w:rsid w:val="006F538E"/>
    <w:rsid w:val="006F7986"/>
    <w:rsid w:val="007003CD"/>
    <w:rsid w:val="007006E5"/>
    <w:rsid w:val="0070701E"/>
    <w:rsid w:val="0072632A"/>
    <w:rsid w:val="007358E8"/>
    <w:rsid w:val="00736ECE"/>
    <w:rsid w:val="007376B2"/>
    <w:rsid w:val="007410CF"/>
    <w:rsid w:val="0074533B"/>
    <w:rsid w:val="007643BC"/>
    <w:rsid w:val="00770458"/>
    <w:rsid w:val="00780C68"/>
    <w:rsid w:val="0078142B"/>
    <w:rsid w:val="0078637E"/>
    <w:rsid w:val="00786735"/>
    <w:rsid w:val="00787F3B"/>
    <w:rsid w:val="00791616"/>
    <w:rsid w:val="007959FE"/>
    <w:rsid w:val="007A0CF1"/>
    <w:rsid w:val="007A2C8E"/>
    <w:rsid w:val="007B2CF5"/>
    <w:rsid w:val="007B5535"/>
    <w:rsid w:val="007B6BA5"/>
    <w:rsid w:val="007C1230"/>
    <w:rsid w:val="007C2DEF"/>
    <w:rsid w:val="007C3390"/>
    <w:rsid w:val="007C42D8"/>
    <w:rsid w:val="007C4F4B"/>
    <w:rsid w:val="007C5FD0"/>
    <w:rsid w:val="007D17E0"/>
    <w:rsid w:val="007D7362"/>
    <w:rsid w:val="007E2D11"/>
    <w:rsid w:val="007E685A"/>
    <w:rsid w:val="007F5CE2"/>
    <w:rsid w:val="007F6611"/>
    <w:rsid w:val="00807087"/>
    <w:rsid w:val="00810BAC"/>
    <w:rsid w:val="00812FCC"/>
    <w:rsid w:val="00814A34"/>
    <w:rsid w:val="00815316"/>
    <w:rsid w:val="00815D26"/>
    <w:rsid w:val="00815EA9"/>
    <w:rsid w:val="008175E9"/>
    <w:rsid w:val="00823956"/>
    <w:rsid w:val="00823AB0"/>
    <w:rsid w:val="008242D7"/>
    <w:rsid w:val="00825528"/>
    <w:rsid w:val="0082577B"/>
    <w:rsid w:val="008304E1"/>
    <w:rsid w:val="00853127"/>
    <w:rsid w:val="00866893"/>
    <w:rsid w:val="00866F02"/>
    <w:rsid w:val="00867296"/>
    <w:rsid w:val="00867D18"/>
    <w:rsid w:val="00871F9A"/>
    <w:rsid w:val="00871FD5"/>
    <w:rsid w:val="00874E7A"/>
    <w:rsid w:val="0088172E"/>
    <w:rsid w:val="00881EFA"/>
    <w:rsid w:val="00881FCA"/>
    <w:rsid w:val="00882E76"/>
    <w:rsid w:val="008879CB"/>
    <w:rsid w:val="00892475"/>
    <w:rsid w:val="00893A81"/>
    <w:rsid w:val="008979B1"/>
    <w:rsid w:val="008A6B25"/>
    <w:rsid w:val="008A6C4F"/>
    <w:rsid w:val="008B314A"/>
    <w:rsid w:val="008B389E"/>
    <w:rsid w:val="008C6230"/>
    <w:rsid w:val="008C71EE"/>
    <w:rsid w:val="008D045E"/>
    <w:rsid w:val="008D3F25"/>
    <w:rsid w:val="008D4D82"/>
    <w:rsid w:val="008E0E46"/>
    <w:rsid w:val="008E46DA"/>
    <w:rsid w:val="008E7116"/>
    <w:rsid w:val="008F01C7"/>
    <w:rsid w:val="008F143B"/>
    <w:rsid w:val="008F223C"/>
    <w:rsid w:val="008F3882"/>
    <w:rsid w:val="008F4B7C"/>
    <w:rsid w:val="008F5A87"/>
    <w:rsid w:val="008F6BDC"/>
    <w:rsid w:val="008F785B"/>
    <w:rsid w:val="008F7BB4"/>
    <w:rsid w:val="009021F3"/>
    <w:rsid w:val="0091690A"/>
    <w:rsid w:val="00926E05"/>
    <w:rsid w:val="00926E47"/>
    <w:rsid w:val="009312FF"/>
    <w:rsid w:val="00932C48"/>
    <w:rsid w:val="009364E5"/>
    <w:rsid w:val="00942500"/>
    <w:rsid w:val="00943748"/>
    <w:rsid w:val="00947162"/>
    <w:rsid w:val="00951C9B"/>
    <w:rsid w:val="0095242B"/>
    <w:rsid w:val="00954785"/>
    <w:rsid w:val="00960CE9"/>
    <w:rsid w:val="009610D0"/>
    <w:rsid w:val="00961C7B"/>
    <w:rsid w:val="0096375C"/>
    <w:rsid w:val="00964415"/>
    <w:rsid w:val="009662E6"/>
    <w:rsid w:val="00966595"/>
    <w:rsid w:val="0097095E"/>
    <w:rsid w:val="0098592B"/>
    <w:rsid w:val="00985FC4"/>
    <w:rsid w:val="00990766"/>
    <w:rsid w:val="00990EF3"/>
    <w:rsid w:val="00991261"/>
    <w:rsid w:val="00992486"/>
    <w:rsid w:val="00994850"/>
    <w:rsid w:val="009964C4"/>
    <w:rsid w:val="00996C4B"/>
    <w:rsid w:val="009A0E00"/>
    <w:rsid w:val="009A2C1E"/>
    <w:rsid w:val="009A639A"/>
    <w:rsid w:val="009A7B81"/>
    <w:rsid w:val="009B0041"/>
    <w:rsid w:val="009B0C51"/>
    <w:rsid w:val="009D01C0"/>
    <w:rsid w:val="009D4D99"/>
    <w:rsid w:val="009D6A08"/>
    <w:rsid w:val="009D772B"/>
    <w:rsid w:val="009E0A16"/>
    <w:rsid w:val="009E1FB5"/>
    <w:rsid w:val="009E6CB7"/>
    <w:rsid w:val="009E7970"/>
    <w:rsid w:val="009E7D58"/>
    <w:rsid w:val="009F2EAC"/>
    <w:rsid w:val="009F57E3"/>
    <w:rsid w:val="00A04DDC"/>
    <w:rsid w:val="00A052B5"/>
    <w:rsid w:val="00A10F4F"/>
    <w:rsid w:val="00A11067"/>
    <w:rsid w:val="00A13319"/>
    <w:rsid w:val="00A134AD"/>
    <w:rsid w:val="00A141A6"/>
    <w:rsid w:val="00A147E2"/>
    <w:rsid w:val="00A14A96"/>
    <w:rsid w:val="00A1704A"/>
    <w:rsid w:val="00A337C5"/>
    <w:rsid w:val="00A358BE"/>
    <w:rsid w:val="00A35966"/>
    <w:rsid w:val="00A425EB"/>
    <w:rsid w:val="00A44590"/>
    <w:rsid w:val="00A462AC"/>
    <w:rsid w:val="00A52347"/>
    <w:rsid w:val="00A72F22"/>
    <w:rsid w:val="00A733BC"/>
    <w:rsid w:val="00A748A6"/>
    <w:rsid w:val="00A76A69"/>
    <w:rsid w:val="00A76F23"/>
    <w:rsid w:val="00A801E5"/>
    <w:rsid w:val="00A879A4"/>
    <w:rsid w:val="00AA0FF8"/>
    <w:rsid w:val="00AA1506"/>
    <w:rsid w:val="00AA460E"/>
    <w:rsid w:val="00AB21CA"/>
    <w:rsid w:val="00AC0E1D"/>
    <w:rsid w:val="00AC0F2C"/>
    <w:rsid w:val="00AC4B29"/>
    <w:rsid w:val="00AC502A"/>
    <w:rsid w:val="00AF29F9"/>
    <w:rsid w:val="00AF58C1"/>
    <w:rsid w:val="00B04A3F"/>
    <w:rsid w:val="00B06643"/>
    <w:rsid w:val="00B13F46"/>
    <w:rsid w:val="00B15055"/>
    <w:rsid w:val="00B15FE8"/>
    <w:rsid w:val="00B20551"/>
    <w:rsid w:val="00B30179"/>
    <w:rsid w:val="00B33FC7"/>
    <w:rsid w:val="00B36F2A"/>
    <w:rsid w:val="00B37B15"/>
    <w:rsid w:val="00B45C02"/>
    <w:rsid w:val="00B5059B"/>
    <w:rsid w:val="00B56FD3"/>
    <w:rsid w:val="00B70B63"/>
    <w:rsid w:val="00B72A1E"/>
    <w:rsid w:val="00B81E12"/>
    <w:rsid w:val="00B821A1"/>
    <w:rsid w:val="00B927CF"/>
    <w:rsid w:val="00B94754"/>
    <w:rsid w:val="00B96ECD"/>
    <w:rsid w:val="00BA0FDF"/>
    <w:rsid w:val="00BA339B"/>
    <w:rsid w:val="00BA4F60"/>
    <w:rsid w:val="00BA7DDB"/>
    <w:rsid w:val="00BB23CC"/>
    <w:rsid w:val="00BB38E3"/>
    <w:rsid w:val="00BC1E7E"/>
    <w:rsid w:val="00BC74E9"/>
    <w:rsid w:val="00BD4282"/>
    <w:rsid w:val="00BE36A9"/>
    <w:rsid w:val="00BE3F12"/>
    <w:rsid w:val="00BE618E"/>
    <w:rsid w:val="00BE7BEC"/>
    <w:rsid w:val="00BF0A5A"/>
    <w:rsid w:val="00BF0E63"/>
    <w:rsid w:val="00BF12A3"/>
    <w:rsid w:val="00BF16D7"/>
    <w:rsid w:val="00BF2373"/>
    <w:rsid w:val="00BF630E"/>
    <w:rsid w:val="00C044E2"/>
    <w:rsid w:val="00C048CB"/>
    <w:rsid w:val="00C066F3"/>
    <w:rsid w:val="00C1095E"/>
    <w:rsid w:val="00C14A00"/>
    <w:rsid w:val="00C33105"/>
    <w:rsid w:val="00C34F3C"/>
    <w:rsid w:val="00C43588"/>
    <w:rsid w:val="00C463DD"/>
    <w:rsid w:val="00C5715D"/>
    <w:rsid w:val="00C575DA"/>
    <w:rsid w:val="00C67212"/>
    <w:rsid w:val="00C745C3"/>
    <w:rsid w:val="00C75BD6"/>
    <w:rsid w:val="00C760DF"/>
    <w:rsid w:val="00C94131"/>
    <w:rsid w:val="00C978F5"/>
    <w:rsid w:val="00CA1CAB"/>
    <w:rsid w:val="00CA24A4"/>
    <w:rsid w:val="00CB067D"/>
    <w:rsid w:val="00CB0EAD"/>
    <w:rsid w:val="00CB348D"/>
    <w:rsid w:val="00CB42AE"/>
    <w:rsid w:val="00CB71D1"/>
    <w:rsid w:val="00CD29B7"/>
    <w:rsid w:val="00CD2C9A"/>
    <w:rsid w:val="00CD3488"/>
    <w:rsid w:val="00CD46F5"/>
    <w:rsid w:val="00CE4A8F"/>
    <w:rsid w:val="00CF071D"/>
    <w:rsid w:val="00CF331B"/>
    <w:rsid w:val="00D009B4"/>
    <w:rsid w:val="00D0123D"/>
    <w:rsid w:val="00D15B04"/>
    <w:rsid w:val="00D2031B"/>
    <w:rsid w:val="00D25FE2"/>
    <w:rsid w:val="00D37DA9"/>
    <w:rsid w:val="00D406A7"/>
    <w:rsid w:val="00D43252"/>
    <w:rsid w:val="00D446AA"/>
    <w:rsid w:val="00D44D86"/>
    <w:rsid w:val="00D47C7F"/>
    <w:rsid w:val="00D50B7D"/>
    <w:rsid w:val="00D52012"/>
    <w:rsid w:val="00D64080"/>
    <w:rsid w:val="00D704E5"/>
    <w:rsid w:val="00D72727"/>
    <w:rsid w:val="00D7568E"/>
    <w:rsid w:val="00D8551A"/>
    <w:rsid w:val="00D96E72"/>
    <w:rsid w:val="00D978C6"/>
    <w:rsid w:val="00DA0956"/>
    <w:rsid w:val="00DA357F"/>
    <w:rsid w:val="00DA3E12"/>
    <w:rsid w:val="00DB4D1F"/>
    <w:rsid w:val="00DB5AD8"/>
    <w:rsid w:val="00DC18AD"/>
    <w:rsid w:val="00DC492A"/>
    <w:rsid w:val="00DC53AB"/>
    <w:rsid w:val="00DD19CB"/>
    <w:rsid w:val="00DE5B99"/>
    <w:rsid w:val="00DF614F"/>
    <w:rsid w:val="00DF7CAE"/>
    <w:rsid w:val="00E00916"/>
    <w:rsid w:val="00E02C43"/>
    <w:rsid w:val="00E105B0"/>
    <w:rsid w:val="00E11BD6"/>
    <w:rsid w:val="00E13495"/>
    <w:rsid w:val="00E418D6"/>
    <w:rsid w:val="00E423C0"/>
    <w:rsid w:val="00E51376"/>
    <w:rsid w:val="00E5334B"/>
    <w:rsid w:val="00E55BA1"/>
    <w:rsid w:val="00E5730F"/>
    <w:rsid w:val="00E6414C"/>
    <w:rsid w:val="00E7260F"/>
    <w:rsid w:val="00E8303F"/>
    <w:rsid w:val="00E8439D"/>
    <w:rsid w:val="00E8702D"/>
    <w:rsid w:val="00E905F4"/>
    <w:rsid w:val="00E916A9"/>
    <w:rsid w:val="00E916DE"/>
    <w:rsid w:val="00E925AD"/>
    <w:rsid w:val="00E96630"/>
    <w:rsid w:val="00EA239F"/>
    <w:rsid w:val="00EA2419"/>
    <w:rsid w:val="00EC2348"/>
    <w:rsid w:val="00ED18DC"/>
    <w:rsid w:val="00ED2BF3"/>
    <w:rsid w:val="00ED5A89"/>
    <w:rsid w:val="00ED6201"/>
    <w:rsid w:val="00ED7094"/>
    <w:rsid w:val="00ED7A2A"/>
    <w:rsid w:val="00EE0CD8"/>
    <w:rsid w:val="00EE4D1B"/>
    <w:rsid w:val="00EF1D7F"/>
    <w:rsid w:val="00EF4B35"/>
    <w:rsid w:val="00EF56DF"/>
    <w:rsid w:val="00F0137E"/>
    <w:rsid w:val="00F060D1"/>
    <w:rsid w:val="00F1166A"/>
    <w:rsid w:val="00F13808"/>
    <w:rsid w:val="00F1547B"/>
    <w:rsid w:val="00F21786"/>
    <w:rsid w:val="00F25AB8"/>
    <w:rsid w:val="00F3293F"/>
    <w:rsid w:val="00F368C4"/>
    <w:rsid w:val="00F3742B"/>
    <w:rsid w:val="00F41FDB"/>
    <w:rsid w:val="00F4510C"/>
    <w:rsid w:val="00F5146D"/>
    <w:rsid w:val="00F56D63"/>
    <w:rsid w:val="00F601C3"/>
    <w:rsid w:val="00F609A9"/>
    <w:rsid w:val="00F610E2"/>
    <w:rsid w:val="00F63C58"/>
    <w:rsid w:val="00F80C99"/>
    <w:rsid w:val="00F851F1"/>
    <w:rsid w:val="00F867EC"/>
    <w:rsid w:val="00F87F74"/>
    <w:rsid w:val="00F91B2B"/>
    <w:rsid w:val="00F94965"/>
    <w:rsid w:val="00FB2672"/>
    <w:rsid w:val="00FB44EC"/>
    <w:rsid w:val="00FB49CE"/>
    <w:rsid w:val="00FC03CD"/>
    <w:rsid w:val="00FC0595"/>
    <w:rsid w:val="00FC0646"/>
    <w:rsid w:val="00FC28C4"/>
    <w:rsid w:val="00FC68B7"/>
    <w:rsid w:val="00FD05C3"/>
    <w:rsid w:val="00FD78EB"/>
    <w:rsid w:val="00FE1868"/>
    <w:rsid w:val="00FE4163"/>
    <w:rsid w:val="00FE6985"/>
    <w:rsid w:val="00FE7EE2"/>
    <w:rsid w:val="00FF02F5"/>
    <w:rsid w:val="00FF72B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5_GR Char"/>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locked/>
    <w:rsid w:val="005E42EC"/>
    <w:rPr>
      <w:lang w:val="en-GB"/>
    </w:rPr>
  </w:style>
  <w:style w:type="character" w:customStyle="1" w:styleId="H1GChar">
    <w:name w:val="_ H_1_G Char"/>
    <w:link w:val="H1G"/>
    <w:rsid w:val="0095242B"/>
    <w:rPr>
      <w:b/>
      <w:sz w:val="24"/>
      <w:lang w:val="en-GB"/>
    </w:rPr>
  </w:style>
  <w:style w:type="character" w:styleId="CommentReference">
    <w:name w:val="annotation reference"/>
    <w:basedOn w:val="DefaultParagraphFont"/>
    <w:semiHidden/>
    <w:unhideWhenUsed/>
    <w:rsid w:val="001C5F30"/>
    <w:rPr>
      <w:sz w:val="16"/>
      <w:szCs w:val="16"/>
    </w:rPr>
  </w:style>
  <w:style w:type="paragraph" w:styleId="CommentText">
    <w:name w:val="annotation text"/>
    <w:basedOn w:val="Normal"/>
    <w:link w:val="CommentTextChar"/>
    <w:unhideWhenUsed/>
    <w:rsid w:val="001C5F30"/>
    <w:pPr>
      <w:spacing w:line="240" w:lineRule="auto"/>
    </w:pPr>
  </w:style>
  <w:style w:type="character" w:customStyle="1" w:styleId="CommentTextChar">
    <w:name w:val="Comment Text Char"/>
    <w:basedOn w:val="DefaultParagraphFont"/>
    <w:link w:val="CommentText"/>
    <w:rsid w:val="001C5F30"/>
    <w:rPr>
      <w:lang w:val="en-GB"/>
    </w:rPr>
  </w:style>
  <w:style w:type="paragraph" w:styleId="CommentSubject">
    <w:name w:val="annotation subject"/>
    <w:basedOn w:val="CommentText"/>
    <w:next w:val="CommentText"/>
    <w:link w:val="CommentSubjectChar"/>
    <w:semiHidden/>
    <w:unhideWhenUsed/>
    <w:rsid w:val="001C5F30"/>
    <w:rPr>
      <w:b/>
      <w:bCs/>
    </w:rPr>
  </w:style>
  <w:style w:type="character" w:customStyle="1" w:styleId="CommentSubjectChar">
    <w:name w:val="Comment Subject Char"/>
    <w:basedOn w:val="CommentTextChar"/>
    <w:link w:val="CommentSubject"/>
    <w:semiHidden/>
    <w:rsid w:val="001C5F30"/>
    <w:rPr>
      <w:b/>
      <w:bCs/>
      <w:lang w:val="en-GB"/>
    </w:rPr>
  </w:style>
  <w:style w:type="paragraph" w:styleId="NormalWeb">
    <w:name w:val="Normal (Web)"/>
    <w:basedOn w:val="Normal"/>
    <w:uiPriority w:val="99"/>
    <w:unhideWhenUsed/>
    <w:rsid w:val="008C71EE"/>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8C71EE"/>
    <w:rPr>
      <w:b/>
      <w:bCs/>
    </w:rPr>
  </w:style>
  <w:style w:type="character" w:styleId="Emphasis">
    <w:name w:val="Emphasis"/>
    <w:basedOn w:val="DefaultParagraphFont"/>
    <w:uiPriority w:val="20"/>
    <w:qFormat/>
    <w:rsid w:val="0054561A"/>
    <w:rPr>
      <w:i/>
      <w:iCs/>
    </w:rPr>
  </w:style>
  <w:style w:type="character" w:customStyle="1" w:styleId="pull-right">
    <w:name w:val="pull-right"/>
    <w:basedOn w:val="DefaultParagraphFont"/>
    <w:rsid w:val="003A0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968">
      <w:bodyDiv w:val="1"/>
      <w:marLeft w:val="0"/>
      <w:marRight w:val="0"/>
      <w:marTop w:val="0"/>
      <w:marBottom w:val="0"/>
      <w:divBdr>
        <w:top w:val="none" w:sz="0" w:space="0" w:color="auto"/>
        <w:left w:val="none" w:sz="0" w:space="0" w:color="auto"/>
        <w:bottom w:val="none" w:sz="0" w:space="0" w:color="auto"/>
        <w:right w:val="none" w:sz="0" w:space="0" w:color="auto"/>
      </w:divBdr>
    </w:div>
    <w:div w:id="259873233">
      <w:bodyDiv w:val="1"/>
      <w:marLeft w:val="0"/>
      <w:marRight w:val="0"/>
      <w:marTop w:val="0"/>
      <w:marBottom w:val="0"/>
      <w:divBdr>
        <w:top w:val="none" w:sz="0" w:space="0" w:color="auto"/>
        <w:left w:val="none" w:sz="0" w:space="0" w:color="auto"/>
        <w:bottom w:val="none" w:sz="0" w:space="0" w:color="auto"/>
        <w:right w:val="none" w:sz="0" w:space="0" w:color="auto"/>
      </w:divBdr>
    </w:div>
    <w:div w:id="487792043">
      <w:bodyDiv w:val="1"/>
      <w:marLeft w:val="0"/>
      <w:marRight w:val="0"/>
      <w:marTop w:val="0"/>
      <w:marBottom w:val="0"/>
      <w:divBdr>
        <w:top w:val="none" w:sz="0" w:space="0" w:color="auto"/>
        <w:left w:val="none" w:sz="0" w:space="0" w:color="auto"/>
        <w:bottom w:val="none" w:sz="0" w:space="0" w:color="auto"/>
        <w:right w:val="none" w:sz="0" w:space="0" w:color="auto"/>
      </w:divBdr>
      <w:divsChild>
        <w:div w:id="463085708">
          <w:marLeft w:val="0"/>
          <w:marRight w:val="0"/>
          <w:marTop w:val="0"/>
          <w:marBottom w:val="0"/>
          <w:divBdr>
            <w:top w:val="none" w:sz="0" w:space="0" w:color="auto"/>
            <w:left w:val="none" w:sz="0" w:space="0" w:color="auto"/>
            <w:bottom w:val="none" w:sz="0" w:space="0" w:color="auto"/>
            <w:right w:val="none" w:sz="0" w:space="0" w:color="auto"/>
          </w:divBdr>
        </w:div>
        <w:div w:id="915896246">
          <w:marLeft w:val="370"/>
          <w:marRight w:val="0"/>
          <w:marTop w:val="0"/>
          <w:marBottom w:val="0"/>
          <w:divBdr>
            <w:top w:val="none" w:sz="0" w:space="0" w:color="auto"/>
            <w:left w:val="none" w:sz="0" w:space="0" w:color="auto"/>
            <w:bottom w:val="none" w:sz="0" w:space="0" w:color="auto"/>
            <w:right w:val="none" w:sz="0" w:space="0" w:color="auto"/>
          </w:divBdr>
          <w:divsChild>
            <w:div w:id="6569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97562154">
      <w:bodyDiv w:val="1"/>
      <w:marLeft w:val="0"/>
      <w:marRight w:val="0"/>
      <w:marTop w:val="0"/>
      <w:marBottom w:val="0"/>
      <w:divBdr>
        <w:top w:val="none" w:sz="0" w:space="0" w:color="auto"/>
        <w:left w:val="none" w:sz="0" w:space="0" w:color="auto"/>
        <w:bottom w:val="none" w:sz="0" w:space="0" w:color="auto"/>
        <w:right w:val="none" w:sz="0" w:space="0" w:color="auto"/>
      </w:divBdr>
    </w:div>
    <w:div w:id="716397085">
      <w:bodyDiv w:val="1"/>
      <w:marLeft w:val="0"/>
      <w:marRight w:val="0"/>
      <w:marTop w:val="0"/>
      <w:marBottom w:val="0"/>
      <w:divBdr>
        <w:top w:val="none" w:sz="0" w:space="0" w:color="auto"/>
        <w:left w:val="none" w:sz="0" w:space="0" w:color="auto"/>
        <w:bottom w:val="none" w:sz="0" w:space="0" w:color="auto"/>
        <w:right w:val="none" w:sz="0" w:space="0" w:color="auto"/>
      </w:divBdr>
      <w:divsChild>
        <w:div w:id="2023624292">
          <w:marLeft w:val="0"/>
          <w:marRight w:val="0"/>
          <w:marTop w:val="0"/>
          <w:marBottom w:val="0"/>
          <w:divBdr>
            <w:top w:val="none" w:sz="0" w:space="0" w:color="auto"/>
            <w:left w:val="none" w:sz="0" w:space="0" w:color="auto"/>
            <w:bottom w:val="none" w:sz="0" w:space="0" w:color="auto"/>
            <w:right w:val="none" w:sz="0" w:space="0" w:color="auto"/>
          </w:divBdr>
        </w:div>
        <w:div w:id="343629728">
          <w:marLeft w:val="370"/>
          <w:marRight w:val="0"/>
          <w:marTop w:val="0"/>
          <w:marBottom w:val="0"/>
          <w:divBdr>
            <w:top w:val="none" w:sz="0" w:space="0" w:color="auto"/>
            <w:left w:val="none" w:sz="0" w:space="0" w:color="auto"/>
            <w:bottom w:val="none" w:sz="0" w:space="0" w:color="auto"/>
            <w:right w:val="none" w:sz="0" w:space="0" w:color="auto"/>
          </w:divBdr>
          <w:divsChild>
            <w:div w:id="2577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7790">
      <w:bodyDiv w:val="1"/>
      <w:marLeft w:val="0"/>
      <w:marRight w:val="0"/>
      <w:marTop w:val="0"/>
      <w:marBottom w:val="0"/>
      <w:divBdr>
        <w:top w:val="none" w:sz="0" w:space="0" w:color="auto"/>
        <w:left w:val="none" w:sz="0" w:space="0" w:color="auto"/>
        <w:bottom w:val="none" w:sz="0" w:space="0" w:color="auto"/>
        <w:right w:val="none" w:sz="0" w:space="0" w:color="auto"/>
      </w:divBdr>
    </w:div>
    <w:div w:id="1062750395">
      <w:bodyDiv w:val="1"/>
      <w:marLeft w:val="0"/>
      <w:marRight w:val="0"/>
      <w:marTop w:val="0"/>
      <w:marBottom w:val="0"/>
      <w:divBdr>
        <w:top w:val="none" w:sz="0" w:space="0" w:color="auto"/>
        <w:left w:val="none" w:sz="0" w:space="0" w:color="auto"/>
        <w:bottom w:val="none" w:sz="0" w:space="0" w:color="auto"/>
        <w:right w:val="none" w:sz="0" w:space="0" w:color="auto"/>
      </w:divBdr>
    </w:div>
    <w:div w:id="1241598655">
      <w:bodyDiv w:val="1"/>
      <w:marLeft w:val="0"/>
      <w:marRight w:val="0"/>
      <w:marTop w:val="0"/>
      <w:marBottom w:val="0"/>
      <w:divBdr>
        <w:top w:val="none" w:sz="0" w:space="0" w:color="auto"/>
        <w:left w:val="none" w:sz="0" w:space="0" w:color="auto"/>
        <w:bottom w:val="none" w:sz="0" w:space="0" w:color="auto"/>
        <w:right w:val="none" w:sz="0" w:space="0" w:color="auto"/>
      </w:divBdr>
    </w:div>
    <w:div w:id="1474519887">
      <w:bodyDiv w:val="1"/>
      <w:marLeft w:val="0"/>
      <w:marRight w:val="0"/>
      <w:marTop w:val="0"/>
      <w:marBottom w:val="0"/>
      <w:divBdr>
        <w:top w:val="none" w:sz="0" w:space="0" w:color="auto"/>
        <w:left w:val="none" w:sz="0" w:space="0" w:color="auto"/>
        <w:bottom w:val="none" w:sz="0" w:space="0" w:color="auto"/>
        <w:right w:val="none" w:sz="0" w:space="0" w:color="auto"/>
      </w:divBdr>
    </w:div>
    <w:div w:id="1884439160">
      <w:bodyDiv w:val="1"/>
      <w:marLeft w:val="0"/>
      <w:marRight w:val="0"/>
      <w:marTop w:val="0"/>
      <w:marBottom w:val="0"/>
      <w:divBdr>
        <w:top w:val="none" w:sz="0" w:space="0" w:color="auto"/>
        <w:left w:val="none" w:sz="0" w:space="0" w:color="auto"/>
        <w:bottom w:val="none" w:sz="0" w:space="0" w:color="auto"/>
        <w:right w:val="none" w:sz="0" w:space="0" w:color="auto"/>
      </w:divBdr>
    </w:div>
    <w:div w:id="20422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9CEC352-71A1-40FC-86B7-E5FD92D4E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E0445-25D1-40E2-BAB0-6C73844C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3200</Words>
  <Characters>18178</Characters>
  <Application>Microsoft Office Word</Application>
  <DocSecurity>0</DocSecurity>
  <Lines>304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ECE/TRANS/2022/25</vt:lpstr>
      <vt:lpstr/>
    </vt:vector>
  </TitlesOfParts>
  <Company>CSD</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ECE/TRANS/2023/28</dc:title>
  <dc:subject>2227687</dc:subject>
  <dc:creator>Anastasia Barinova</dc:creator>
  <cp:keywords/>
  <dc:description/>
  <cp:lastModifiedBy>Maria Rosario Corazon Gatmaytan</cp:lastModifiedBy>
  <cp:revision>2</cp:revision>
  <cp:lastPrinted>2022-11-29T14:22:00Z</cp:lastPrinted>
  <dcterms:created xsi:type="dcterms:W3CDTF">2022-12-07T07:14:00Z</dcterms:created>
  <dcterms:modified xsi:type="dcterms:W3CDTF">2022-12-07T07:14:00Z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