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815332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9AE944" w14:textId="77777777" w:rsidR="002D5AAC" w:rsidRDefault="002D5AAC" w:rsidP="009347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F3C35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C991707" w14:textId="725E97C2" w:rsidR="002D5AAC" w:rsidRDefault="00934710" w:rsidP="00934710">
            <w:pPr>
              <w:jc w:val="right"/>
            </w:pPr>
            <w:r w:rsidRPr="00934710">
              <w:rPr>
                <w:sz w:val="40"/>
              </w:rPr>
              <w:t>ECE</w:t>
            </w:r>
            <w:r>
              <w:t>/TRANS/WP.29/GRBP/2023/1</w:t>
            </w:r>
          </w:p>
        </w:tc>
      </w:tr>
      <w:tr w:rsidR="002D5AAC" w14:paraId="08DD45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57F6D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039710E" wp14:editId="16B3057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A5A59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B2E22D" w14:textId="77777777" w:rsidR="002D5AAC" w:rsidRDefault="009347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6B6F05" w14:textId="77777777" w:rsidR="00934710" w:rsidRDefault="00934710" w:rsidP="009347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2022</w:t>
            </w:r>
          </w:p>
          <w:p w14:paraId="778B33FC" w14:textId="77777777" w:rsidR="00934710" w:rsidRDefault="00934710" w:rsidP="009347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2CE8BFD" w14:textId="30EC3730" w:rsidR="00934710" w:rsidRPr="008D53B6" w:rsidRDefault="00934710" w:rsidP="009347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C3CC8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CA7994" w14:textId="77777777" w:rsidR="007524E1" w:rsidRPr="007524E1" w:rsidRDefault="007524E1" w:rsidP="007524E1">
      <w:pPr>
        <w:spacing w:before="120"/>
        <w:rPr>
          <w:sz w:val="40"/>
          <w:szCs w:val="40"/>
        </w:rPr>
      </w:pPr>
      <w:r w:rsidRPr="007524E1">
        <w:rPr>
          <w:sz w:val="28"/>
          <w:szCs w:val="32"/>
        </w:rPr>
        <w:t>Комитет по внутреннему транспорту</w:t>
      </w:r>
    </w:p>
    <w:p w14:paraId="4AA6FFC0" w14:textId="7422B931" w:rsidR="007524E1" w:rsidRPr="007524E1" w:rsidRDefault="007524E1" w:rsidP="007524E1">
      <w:pPr>
        <w:spacing w:before="120"/>
        <w:rPr>
          <w:b/>
          <w:sz w:val="32"/>
          <w:szCs w:val="32"/>
        </w:rPr>
      </w:pPr>
      <w:r w:rsidRPr="007524E1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7524E1">
        <w:rPr>
          <w:b/>
          <w:bCs/>
          <w:sz w:val="24"/>
          <w:szCs w:val="28"/>
        </w:rPr>
        <w:t>в области транспортных средств</w:t>
      </w:r>
    </w:p>
    <w:p w14:paraId="03AE528E" w14:textId="77777777" w:rsidR="007524E1" w:rsidRPr="00C51B8F" w:rsidRDefault="007524E1" w:rsidP="007524E1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51A1B0FB" w14:textId="77777777" w:rsidR="007524E1" w:rsidRPr="00C51B8F" w:rsidRDefault="007524E1" w:rsidP="007524E1">
      <w:pPr>
        <w:spacing w:before="120"/>
        <w:rPr>
          <w:b/>
        </w:rPr>
      </w:pPr>
      <w:r>
        <w:rPr>
          <w:b/>
          <w:bCs/>
        </w:rPr>
        <w:t>Семьдесят седьмая сессия</w:t>
      </w:r>
    </w:p>
    <w:p w14:paraId="430F6B25" w14:textId="77777777" w:rsidR="007524E1" w:rsidRPr="00C51B8F" w:rsidRDefault="007524E1" w:rsidP="007524E1">
      <w:r>
        <w:t>Женева, 7</w:t>
      </w:r>
      <w:r>
        <w:rPr>
          <w:lang w:val="en-US"/>
        </w:rPr>
        <w:t>–</w:t>
      </w:r>
      <w:r>
        <w:t>10 февраля 2023 года</w:t>
      </w:r>
      <w:bookmarkStart w:id="0" w:name="_Hlk30413188"/>
      <w:bookmarkEnd w:id="0"/>
    </w:p>
    <w:p w14:paraId="418E3BBD" w14:textId="77777777" w:rsidR="007524E1" w:rsidRPr="00C51B8F" w:rsidRDefault="007524E1" w:rsidP="007524E1">
      <w:r>
        <w:t>Пункт 1 предварительной повестки дня</w:t>
      </w:r>
    </w:p>
    <w:p w14:paraId="08969E93" w14:textId="77777777" w:rsidR="007524E1" w:rsidRPr="00C51B8F" w:rsidRDefault="007524E1" w:rsidP="007524E1">
      <w:pPr>
        <w:rPr>
          <w:b/>
        </w:rPr>
      </w:pPr>
      <w:r>
        <w:rPr>
          <w:b/>
          <w:bCs/>
        </w:rPr>
        <w:t>Утверждение повестки дня</w:t>
      </w:r>
    </w:p>
    <w:p w14:paraId="72A919E3" w14:textId="2AD4487D" w:rsidR="007524E1" w:rsidRPr="007524E1" w:rsidRDefault="007524E1" w:rsidP="007524E1">
      <w:pPr>
        <w:pStyle w:val="HChG"/>
        <w:ind w:right="850"/>
        <w:rPr>
          <w:lang w:val="en-US"/>
        </w:rPr>
      </w:pPr>
      <w:r>
        <w:tab/>
      </w:r>
      <w:r>
        <w:tab/>
      </w:r>
      <w:r>
        <w:rPr>
          <w:bCs/>
        </w:rPr>
        <w:t>Аннотированная предварительная повестка дня семьдесят седьмой сессии</w:t>
      </w:r>
      <w:r w:rsidRPr="007524E1">
        <w:rPr>
          <w:rStyle w:val="aa"/>
          <w:b w:val="0"/>
          <w:bCs/>
          <w:sz w:val="20"/>
          <w:szCs w:val="32"/>
          <w:vertAlign w:val="baseline"/>
        </w:rPr>
        <w:footnoteReference w:customMarkFollows="1" w:id="1"/>
        <w:t xml:space="preserve">* </w:t>
      </w:r>
      <w:r w:rsidRPr="007524E1">
        <w:rPr>
          <w:rStyle w:val="aa"/>
          <w:b w:val="0"/>
          <w:bCs/>
          <w:sz w:val="20"/>
          <w:szCs w:val="32"/>
          <w:vertAlign w:val="baseline"/>
        </w:rPr>
        <w:footnoteReference w:customMarkFollows="1" w:id="2"/>
        <w:t>**</w:t>
      </w:r>
      <w:r w:rsidRPr="007524E1">
        <w:rPr>
          <w:sz w:val="20"/>
          <w:szCs w:val="32"/>
          <w:lang w:val="en-US"/>
        </w:rPr>
        <w:t>,</w:t>
      </w:r>
    </w:p>
    <w:p w14:paraId="5C531D6A" w14:textId="268F6CA4" w:rsidR="007524E1" w:rsidRPr="00C51B8F" w:rsidRDefault="007524E1" w:rsidP="007524E1">
      <w:pPr>
        <w:pStyle w:val="SingleTxtG"/>
      </w:pPr>
      <w:r>
        <w:t xml:space="preserve">которая состоится во Дворце Наций в Женеве, начнется в 14 ч 30 мин 7 февраля </w:t>
      </w:r>
      <w:r>
        <w:br/>
      </w:r>
      <w:r>
        <w:t xml:space="preserve">и завершится в 12 ч 30 мин 10 февраля 2023 года </w:t>
      </w:r>
    </w:p>
    <w:p w14:paraId="7B9C4066" w14:textId="77777777" w:rsidR="007524E1" w:rsidRPr="00C51B8F" w:rsidRDefault="007524E1" w:rsidP="007524E1">
      <w:pPr>
        <w:suppressAutoHyphens w:val="0"/>
        <w:spacing w:line="240" w:lineRule="auto"/>
        <w:rPr>
          <w:b/>
          <w:sz w:val="28"/>
        </w:rPr>
      </w:pPr>
      <w:r w:rsidRPr="00C51B8F">
        <w:br w:type="page"/>
      </w:r>
    </w:p>
    <w:p w14:paraId="345F818A" w14:textId="77777777" w:rsidR="007524E1" w:rsidRPr="00C51B8F" w:rsidRDefault="007524E1" w:rsidP="007524E1">
      <w:pPr>
        <w:pStyle w:val="HChG"/>
        <w:ind w:hanging="567"/>
      </w:pPr>
      <w:r>
        <w:rPr>
          <w:bCs/>
        </w:rPr>
        <w:lastRenderedPageBreak/>
        <w:t>I.</w:t>
      </w:r>
      <w:r>
        <w:tab/>
      </w:r>
      <w:r>
        <w:tab/>
      </w:r>
      <w:r>
        <w:rPr>
          <w:bCs/>
        </w:rPr>
        <w:t>Предварительная повестка дня</w:t>
      </w:r>
    </w:p>
    <w:p w14:paraId="4EF967F8" w14:textId="77777777" w:rsidR="007524E1" w:rsidRPr="00C51B8F" w:rsidRDefault="007524E1" w:rsidP="007524E1">
      <w:pPr>
        <w:pStyle w:val="SingleTxtG"/>
      </w:pPr>
      <w:r>
        <w:t>1.</w:t>
      </w:r>
      <w:r>
        <w:tab/>
        <w:t>Утверждение повестки дня.</w:t>
      </w:r>
    </w:p>
    <w:p w14:paraId="511670F5" w14:textId="77777777" w:rsidR="007524E1" w:rsidRPr="00C51B8F" w:rsidRDefault="007524E1" w:rsidP="007524E1">
      <w:pPr>
        <w:pStyle w:val="SingleTxtG"/>
      </w:pPr>
      <w:r>
        <w:t>2.</w:t>
      </w:r>
      <w:r>
        <w:tab/>
        <w:t>Правила № 41 ООН (шум, производимый мотоциклами).</w:t>
      </w:r>
    </w:p>
    <w:p w14:paraId="64F83501" w14:textId="00FD970A" w:rsidR="007524E1" w:rsidRPr="00C51B8F" w:rsidRDefault="007524E1" w:rsidP="007524E1">
      <w:pPr>
        <w:pStyle w:val="SingleTxtG"/>
        <w:ind w:left="1701" w:hanging="567"/>
      </w:pPr>
      <w:r>
        <w:t>3.</w:t>
      </w:r>
      <w:r>
        <w:tab/>
        <w:t xml:space="preserve">Правила № 51 ООН (шум, производимый транспортными средствами </w:t>
      </w:r>
      <w:r>
        <w:br/>
      </w:r>
      <w:r>
        <w:t>категорий M и N).</w:t>
      </w:r>
    </w:p>
    <w:p w14:paraId="21164494" w14:textId="77777777" w:rsidR="007524E1" w:rsidRPr="00315C42" w:rsidRDefault="007524E1" w:rsidP="007524E1">
      <w:pPr>
        <w:pStyle w:val="SingleTxtG"/>
      </w:pPr>
      <w:r>
        <w:t>4.</w:t>
      </w:r>
      <w:r>
        <w:tab/>
        <w:t>Правила № 138 ООН (бесшумные автотранспортные средства).</w:t>
      </w:r>
    </w:p>
    <w:p w14:paraId="6E5193BE" w14:textId="77777777" w:rsidR="007524E1" w:rsidRPr="00C51B8F" w:rsidRDefault="007524E1" w:rsidP="007524E1">
      <w:pPr>
        <w:pStyle w:val="SingleTxtG"/>
      </w:pPr>
      <w:r>
        <w:t>5.</w:t>
      </w:r>
      <w:r>
        <w:tab/>
        <w:t>Шины:</w:t>
      </w:r>
    </w:p>
    <w:p w14:paraId="4A9DBFC8" w14:textId="77777777" w:rsidR="007524E1" w:rsidRPr="00C51B8F" w:rsidRDefault="007524E1" w:rsidP="007524E1">
      <w:pPr>
        <w:pStyle w:val="SingleTxtG"/>
        <w:ind w:left="2268" w:hanging="567"/>
      </w:pPr>
      <w:r>
        <w:t>a)</w:t>
      </w:r>
      <w:r>
        <w:tab/>
        <w:t>Правила № 54 ООН (шины для коммерческих транспортных средств и их прицепов);</w:t>
      </w:r>
    </w:p>
    <w:p w14:paraId="20D33AE4" w14:textId="6FA49C21" w:rsidR="007524E1" w:rsidRPr="00C51B8F" w:rsidRDefault="007524E1" w:rsidP="007524E1">
      <w:pPr>
        <w:pStyle w:val="SingleTxtG"/>
        <w:ind w:left="2268" w:hanging="567"/>
      </w:pPr>
      <w:r>
        <w:tab/>
        <w:t>b)</w:t>
      </w:r>
      <w:r>
        <w:tab/>
        <w:t>Правила № 75 ООН (шины для транспортных средств категории L);</w:t>
      </w:r>
    </w:p>
    <w:p w14:paraId="6287117F" w14:textId="77777777" w:rsidR="007524E1" w:rsidRPr="00C51B8F" w:rsidRDefault="007524E1" w:rsidP="007524E1">
      <w:pPr>
        <w:pStyle w:val="SingleTxtG"/>
        <w:ind w:left="2268" w:hanging="567"/>
      </w:pPr>
      <w:r>
        <w:t>c)</w:t>
      </w:r>
      <w:r>
        <w:tab/>
        <w:t>Правила № 106 ООН (шины для сельскохозяйственных транспортных средств и их прицепов);</w:t>
      </w:r>
    </w:p>
    <w:p w14:paraId="72B718B7" w14:textId="77777777" w:rsidR="007524E1" w:rsidRPr="00C51B8F" w:rsidRDefault="007524E1" w:rsidP="007524E1">
      <w:pPr>
        <w:pStyle w:val="SingleTxtG"/>
        <w:ind w:left="2268" w:hanging="567"/>
      </w:pPr>
      <w:r>
        <w:t>d)</w:t>
      </w:r>
      <w:r>
        <w:tab/>
        <w:t>Правила № 109 ООН (шины с восстановленным протектором для транспортных средств неиндивидуального пользования и их прицепов);</w:t>
      </w:r>
    </w:p>
    <w:p w14:paraId="753C0DAD" w14:textId="77777777" w:rsidR="007524E1" w:rsidRPr="00C51B8F" w:rsidRDefault="007524E1" w:rsidP="007524E1">
      <w:pPr>
        <w:pStyle w:val="SingleTxtG"/>
        <w:ind w:left="2268" w:hanging="567"/>
      </w:pPr>
      <w:r>
        <w:t>e)</w:t>
      </w:r>
      <w:r>
        <w:tab/>
        <w:t>Правила № 117 ООН (сопротивление шин качению, шум, издаваемый шинами при качении, и их сцепление на мокрой поверхности);</w:t>
      </w:r>
    </w:p>
    <w:p w14:paraId="1BE5A6F4" w14:textId="77777777" w:rsidR="007524E1" w:rsidRPr="00C51B8F" w:rsidRDefault="007524E1" w:rsidP="007524E1">
      <w:pPr>
        <w:pStyle w:val="SingleTxtG"/>
        <w:ind w:firstLine="567"/>
      </w:pPr>
      <w:r>
        <w:t>f)</w:t>
      </w:r>
      <w:r>
        <w:tab/>
        <w:t>другие правила ООН, касающиеся шин.</w:t>
      </w:r>
    </w:p>
    <w:p w14:paraId="544290EB" w14:textId="6D442755" w:rsidR="007524E1" w:rsidRPr="00C51B8F" w:rsidRDefault="007524E1" w:rsidP="007524E1">
      <w:pPr>
        <w:pStyle w:val="SingleTxtG"/>
        <w:ind w:left="1701" w:hanging="567"/>
      </w:pPr>
      <w:r>
        <w:t>6.</w:t>
      </w:r>
      <w:r>
        <w:tab/>
        <w:t xml:space="preserve">Правила № [165] </w:t>
      </w:r>
      <w:r w:rsidR="003166C8">
        <w:t xml:space="preserve">ООН </w:t>
      </w:r>
      <w:r>
        <w:t xml:space="preserve">(сигнализация заднего хода). </w:t>
      </w:r>
    </w:p>
    <w:p w14:paraId="18BE5CA4" w14:textId="77777777" w:rsidR="007524E1" w:rsidRPr="00C51B8F" w:rsidRDefault="007524E1" w:rsidP="007524E1">
      <w:pPr>
        <w:pStyle w:val="SingleTxtG"/>
        <w:ind w:left="1701" w:hanging="567"/>
      </w:pPr>
      <w:r>
        <w:t>7.</w:t>
      </w:r>
      <w:r>
        <w:tab/>
        <w:t>Обмен информацией о национальных и международных требованиях, касающихся уровней шума.</w:t>
      </w:r>
    </w:p>
    <w:p w14:paraId="59F4CE2D" w14:textId="77777777" w:rsidR="007524E1" w:rsidRPr="00C51B8F" w:rsidRDefault="007524E1" w:rsidP="007524E1">
      <w:pPr>
        <w:pStyle w:val="SingleTxtG"/>
        <w:ind w:left="1701" w:hanging="567"/>
      </w:pPr>
      <w:r>
        <w:t>8.</w:t>
      </w:r>
      <w:r>
        <w:tab/>
        <w:t>Предложения по поправкам к Сводной резолюции о конструкции транспортных средств.</w:t>
      </w:r>
    </w:p>
    <w:p w14:paraId="1F9682F2" w14:textId="56DD4E31" w:rsidR="007524E1" w:rsidRPr="00C51B8F" w:rsidRDefault="007524E1" w:rsidP="007524E1">
      <w:pPr>
        <w:pStyle w:val="SingleTxtG"/>
        <w:ind w:left="1701" w:hanging="567"/>
      </w:pPr>
      <w:r>
        <w:t>9.</w:t>
      </w:r>
      <w:r>
        <w:tab/>
        <w:t>Разработка международной системы официального утверждения типа комплектного транспортного средства.</w:t>
      </w:r>
    </w:p>
    <w:p w14:paraId="6C2A3549" w14:textId="77777777" w:rsidR="007524E1" w:rsidRPr="00C51B8F" w:rsidRDefault="007524E1" w:rsidP="007524E1">
      <w:pPr>
        <w:pStyle w:val="SingleTxtG"/>
        <w:ind w:left="1710" w:hanging="576"/>
      </w:pPr>
      <w:r>
        <w:t>10.</w:t>
      </w:r>
      <w:r>
        <w:tab/>
        <w:t xml:space="preserve">Основные вопросы, рассмотренные на недавних сессиях Всемирного форума </w:t>
      </w:r>
      <w:proofErr w:type="gramStart"/>
      <w:r>
        <w:t>для согласования</w:t>
      </w:r>
      <w:proofErr w:type="gramEnd"/>
      <w:r>
        <w:t xml:space="preserve"> правил в области транспортных средств.</w:t>
      </w:r>
    </w:p>
    <w:p w14:paraId="2A4B1447" w14:textId="77777777" w:rsidR="007524E1" w:rsidRPr="00C51B8F" w:rsidRDefault="007524E1" w:rsidP="007524E1">
      <w:pPr>
        <w:pStyle w:val="SingleTxtG"/>
        <w:ind w:left="1710" w:hanging="576"/>
      </w:pPr>
      <w:r>
        <w:t>11.</w:t>
      </w:r>
      <w:r>
        <w:tab/>
        <w:t>Обмен мнениями о будущей деятельности Рабочей группы по вопросам шума и шин.</w:t>
      </w:r>
    </w:p>
    <w:p w14:paraId="1D55AADB" w14:textId="77777777" w:rsidR="007524E1" w:rsidRPr="00C51B8F" w:rsidRDefault="007524E1" w:rsidP="007524E1">
      <w:pPr>
        <w:pStyle w:val="SingleTxtG"/>
      </w:pPr>
      <w:r>
        <w:t>12.</w:t>
      </w:r>
      <w:r>
        <w:tab/>
        <w:t>Прочие вопросы.</w:t>
      </w:r>
    </w:p>
    <w:p w14:paraId="7A885CD6" w14:textId="77777777" w:rsidR="007524E1" w:rsidRPr="00C51B8F" w:rsidRDefault="007524E1" w:rsidP="007524E1">
      <w:pPr>
        <w:pStyle w:val="SingleTxtG"/>
      </w:pPr>
      <w:r>
        <w:t>13.</w:t>
      </w:r>
      <w:r>
        <w:tab/>
        <w:t>Предварительная повестка дня следующей сессии.</w:t>
      </w:r>
    </w:p>
    <w:p w14:paraId="5C5E704E" w14:textId="77777777" w:rsidR="007524E1" w:rsidRPr="00C51B8F" w:rsidRDefault="007524E1" w:rsidP="007524E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</w:t>
      </w:r>
    </w:p>
    <w:p w14:paraId="2E075633" w14:textId="77777777" w:rsidR="007524E1" w:rsidRPr="00C51B8F" w:rsidRDefault="007524E1" w:rsidP="007524E1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6A82B1A6" w14:textId="77777777" w:rsidR="007524E1" w:rsidRPr="00C51B8F" w:rsidRDefault="007524E1" w:rsidP="007524E1">
      <w:pPr>
        <w:pStyle w:val="SingleTxtG"/>
        <w:ind w:firstLine="567"/>
      </w:pPr>
      <w:r>
        <w:t>В соответствии с правилом 7 главы III правил процедуры (TRANS/WP.29/ 690/Rev.2)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32E62651" w14:textId="77777777" w:rsidR="007524E1" w:rsidRPr="00C51B8F" w:rsidRDefault="007524E1" w:rsidP="007524E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4258B250" w14:textId="77777777" w:rsidR="007524E1" w:rsidRPr="00C51B8F" w:rsidRDefault="007524E1" w:rsidP="007524E1">
      <w:pPr>
        <w:pStyle w:val="SingleTxtG"/>
        <w:spacing w:after="0"/>
      </w:pPr>
      <w:r>
        <w:t>ECE/TRANS/WP.29/GRBP/2023/1</w:t>
      </w:r>
    </w:p>
    <w:p w14:paraId="5FBD8C70" w14:textId="77777777" w:rsidR="007524E1" w:rsidRPr="00C51B8F" w:rsidRDefault="007524E1" w:rsidP="007524E1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Правила № 41 ООН (шум, производимый мотоциклами)</w:t>
      </w:r>
    </w:p>
    <w:p w14:paraId="05C19BAD" w14:textId="77777777" w:rsidR="007524E1" w:rsidRPr="00C51B8F" w:rsidRDefault="007524E1" w:rsidP="007524E1">
      <w:pPr>
        <w:pStyle w:val="SingleTxtG"/>
        <w:ind w:firstLine="567"/>
      </w:pPr>
      <w:r>
        <w:t xml:space="preserve">GRBP предлагается рассмотреть предложение, подготовленное экспертом от Международной ассоциации заводов-изготовителей мотоциклов (МАЗМ), в целях </w:t>
      </w:r>
      <w:r>
        <w:lastRenderedPageBreak/>
        <w:t>включения в таблицу дополнительных положений об уровне звука в виде сообщения о поправках серии 05 к Правилам № 41 ООН.</w:t>
      </w:r>
    </w:p>
    <w:p w14:paraId="6F7E0068" w14:textId="77777777" w:rsidR="007524E1" w:rsidRPr="00C51B8F" w:rsidRDefault="007524E1" w:rsidP="007524E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4FE27756" w14:textId="77777777" w:rsidR="007524E1" w:rsidRPr="00C51B8F" w:rsidRDefault="007524E1" w:rsidP="007524E1">
      <w:pPr>
        <w:pStyle w:val="SingleTxtG"/>
        <w:spacing w:after="0"/>
      </w:pPr>
      <w:r>
        <w:t>ECE/TRANS/WP.29/GRBP/2023/6</w:t>
      </w:r>
    </w:p>
    <w:p w14:paraId="3E090B43" w14:textId="77777777" w:rsidR="007524E1" w:rsidRPr="00C51B8F" w:rsidRDefault="007524E1" w:rsidP="007524E1">
      <w:pPr>
        <w:pStyle w:val="H1G"/>
        <w:keepNext w:val="0"/>
        <w:keepLines w:val="0"/>
      </w:pPr>
      <w:r>
        <w:rPr>
          <w:bCs/>
        </w:rPr>
        <w:tab/>
        <w:t>3.</w:t>
      </w:r>
      <w:r>
        <w:tab/>
      </w:r>
      <w:r>
        <w:rPr>
          <w:bCs/>
        </w:rPr>
        <w:t>Правила № 51 ООН (шум, производимый транспортными средствами категорий M и N)</w:t>
      </w:r>
    </w:p>
    <w:p w14:paraId="7C01EE31" w14:textId="0FD54112" w:rsidR="007524E1" w:rsidRPr="00C51B8F" w:rsidRDefault="007524E1" w:rsidP="007524E1">
      <w:pPr>
        <w:pStyle w:val="SingleTxtG"/>
        <w:ind w:firstLine="567"/>
      </w:pPr>
      <w:r>
        <w:t xml:space="preserve">GRBP будет проинформирован о редакционных исправлениях и разъяснениях к дополнению 7 к поправкам серии 03 к Правилам № 51 ООН, которые были подготовлены экспертами неофициальных рабочих групп по неточностям в измерениях (НРГ НИ) и по дополнительным положениям об уровне звука (ДПУЗ), </w:t>
      </w:r>
      <w:r>
        <w:br/>
      </w:r>
      <w:r>
        <w:t>а также Международной организацией по стандартизации (ИСО).</w:t>
      </w:r>
      <w:r w:rsidR="003166C8">
        <w:t xml:space="preserve"> </w:t>
      </w:r>
    </w:p>
    <w:p w14:paraId="711BBA5F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FC9AFFE" w14:textId="77777777" w:rsidR="007524E1" w:rsidRPr="00C51B8F" w:rsidRDefault="007524E1" w:rsidP="007524E1">
      <w:pPr>
        <w:spacing w:after="120"/>
        <w:ind w:left="1134" w:right="1134"/>
        <w:jc w:val="both"/>
      </w:pPr>
      <w:r>
        <w:t>ECE/TRANS/WP.29/GRBP/2023/12</w:t>
      </w:r>
    </w:p>
    <w:p w14:paraId="07718941" w14:textId="77777777" w:rsidR="007524E1" w:rsidRPr="00C51B8F" w:rsidRDefault="007524E1" w:rsidP="007524E1">
      <w:pPr>
        <w:spacing w:after="120"/>
        <w:ind w:left="1134" w:right="1134"/>
        <w:jc w:val="both"/>
      </w:pPr>
      <w:r>
        <w:tab/>
      </w:r>
      <w:r>
        <w:tab/>
        <w:t xml:space="preserve">На предыдущей сессии эксперт от Международной организации предприятий автомобильной промышленности (МОПАП) поднял ряд практических вопросов по сбору и анализу данных испытаний для дополнительных положений об уровне звука в реальных условиях вождения (ДПУЗ-РУВ). GRBP предложил договаривающимся сторонам, применяющим Правила № 51 ООН, подготовить предложения по этому вопросу и решил вернуться к нему на нынешней сессии. </w:t>
      </w:r>
    </w:p>
    <w:p w14:paraId="29AB3E42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298033EF" w14:textId="77777777" w:rsidR="007524E1" w:rsidRPr="00C51B8F" w:rsidRDefault="007524E1" w:rsidP="007524E1">
      <w:pPr>
        <w:spacing w:after="120"/>
        <w:ind w:left="1134" w:right="1134"/>
        <w:jc w:val="both"/>
      </w:pPr>
      <w:r>
        <w:t>GRBP-</w:t>
      </w:r>
      <w:proofErr w:type="gramStart"/>
      <w:r>
        <w:t>76-10</w:t>
      </w:r>
      <w:proofErr w:type="gramEnd"/>
    </w:p>
    <w:p w14:paraId="36551604" w14:textId="77777777" w:rsidR="007524E1" w:rsidRPr="00C51B8F" w:rsidRDefault="007524E1" w:rsidP="007524E1">
      <w:pPr>
        <w:spacing w:after="120"/>
        <w:ind w:left="1134" w:right="1134"/>
        <w:jc w:val="both"/>
      </w:pPr>
      <w:r>
        <w:tab/>
      </w:r>
      <w:r>
        <w:tab/>
        <w:t xml:space="preserve">GRBP ознакомится также с докладом о ходе работы НРГ НИ. </w:t>
      </w:r>
    </w:p>
    <w:p w14:paraId="793A6826" w14:textId="77777777" w:rsidR="007524E1" w:rsidRPr="00315C42" w:rsidRDefault="007524E1" w:rsidP="007524E1">
      <w:pPr>
        <w:pStyle w:val="H1G"/>
        <w:keepNext w:val="0"/>
        <w:keepLines w:val="0"/>
      </w:pPr>
      <w:r>
        <w:rPr>
          <w:bCs/>
        </w:rPr>
        <w:tab/>
        <w:t>4.</w:t>
      </w:r>
      <w:r>
        <w:tab/>
      </w:r>
      <w:r>
        <w:rPr>
          <w:bCs/>
        </w:rPr>
        <w:t>Правила № 138 ООН (бесшумные автотранспортные средства)</w:t>
      </w:r>
    </w:p>
    <w:p w14:paraId="50BA6BB2" w14:textId="77777777" w:rsidR="007524E1" w:rsidRPr="00C51B8F" w:rsidRDefault="007524E1" w:rsidP="007524E1">
      <w:pPr>
        <w:spacing w:after="120"/>
        <w:ind w:left="1134" w:right="1134"/>
        <w:jc w:val="both"/>
      </w:pPr>
      <w:r>
        <w:tab/>
      </w:r>
      <w:r>
        <w:tab/>
        <w:t xml:space="preserve">GRBP, возможно, будет представлен доклад о ходе работы неофициальной рабочей группы по бесшумным автотранспортным средствам над глобальными техническими правилами (НРГ по ГТП, касающимся БАТС). </w:t>
      </w:r>
    </w:p>
    <w:p w14:paraId="1AC2691A" w14:textId="77777777" w:rsidR="007524E1" w:rsidRPr="00C51B8F" w:rsidRDefault="007524E1" w:rsidP="007524E1">
      <w:pPr>
        <w:spacing w:after="120"/>
        <w:ind w:left="1134" w:right="1134"/>
        <w:jc w:val="both"/>
      </w:pPr>
      <w:r>
        <w:tab/>
      </w:r>
      <w:r>
        <w:tab/>
        <w:t>GRBP будет также проинформирована о деятельности целевой группы по бесшумным автотранспортным средствам (ЦГ БАТС).</w:t>
      </w:r>
    </w:p>
    <w:p w14:paraId="2F46D154" w14:textId="77777777" w:rsidR="007524E1" w:rsidRPr="00C51B8F" w:rsidRDefault="007524E1" w:rsidP="007524E1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Шины</w:t>
      </w:r>
    </w:p>
    <w:p w14:paraId="4AD956E9" w14:textId="2DB5B6EB" w:rsidR="007524E1" w:rsidRPr="00C51B8F" w:rsidRDefault="007524E1" w:rsidP="007524E1">
      <w:pPr>
        <w:pStyle w:val="H23G"/>
        <w:keepNext w:val="0"/>
        <w:keepLines w:val="0"/>
      </w:pPr>
      <w:r>
        <w:rPr>
          <w:bCs/>
        </w:rPr>
        <w:tab/>
        <w:t>a)</w:t>
      </w:r>
      <w:r>
        <w:tab/>
      </w:r>
      <w:r>
        <w:tab/>
      </w:r>
      <w:r w:rsidR="00FD2B7A">
        <w:t xml:space="preserve">Правила № 54 ООН (шины для коммерческих транспортных средств </w:t>
      </w:r>
      <w:r w:rsidR="00FD2B7A">
        <w:br/>
      </w:r>
      <w:r w:rsidR="00FD2B7A">
        <w:t>и их прицепов)</w:t>
      </w:r>
    </w:p>
    <w:p w14:paraId="0EE808DB" w14:textId="77777777" w:rsidR="007524E1" w:rsidRPr="00C51B8F" w:rsidRDefault="007524E1" w:rsidP="007524E1">
      <w:pPr>
        <w:pStyle w:val="SingleTxtG"/>
        <w:ind w:firstLine="567"/>
      </w:pPr>
      <w:r>
        <w:t>GRBP предлагается рассмотреть ряд предложений по поправкам, представленных экспертами от Европейской технической организации по вопросам пневматических шин и ободьев колес (ЕТОПОК).</w:t>
      </w:r>
    </w:p>
    <w:p w14:paraId="76A875B9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7B934F1" w14:textId="77777777" w:rsidR="007524E1" w:rsidRPr="00C51B8F" w:rsidRDefault="007524E1" w:rsidP="007524E1">
      <w:pPr>
        <w:ind w:left="1134" w:right="1134"/>
        <w:jc w:val="both"/>
      </w:pPr>
      <w:r>
        <w:t>ECE/TRANS/WP.29/GRBP/2023/11</w:t>
      </w:r>
    </w:p>
    <w:p w14:paraId="5730C968" w14:textId="77777777" w:rsidR="007524E1" w:rsidRPr="00C51B8F" w:rsidRDefault="007524E1" w:rsidP="007524E1">
      <w:pPr>
        <w:pStyle w:val="H23G"/>
        <w:keepNext w:val="0"/>
        <w:keepLines w:val="0"/>
      </w:pPr>
      <w:r>
        <w:rPr>
          <w:bCs/>
        </w:rPr>
        <w:tab/>
        <w:t>b)</w:t>
      </w:r>
      <w:r>
        <w:tab/>
      </w:r>
      <w:r>
        <w:rPr>
          <w:bCs/>
        </w:rPr>
        <w:t>Правила № 75 ООН (шины для транспортных средств категории L)</w:t>
      </w:r>
    </w:p>
    <w:p w14:paraId="05AB7C0B" w14:textId="77777777" w:rsidR="007524E1" w:rsidRPr="00C51B8F" w:rsidRDefault="007524E1" w:rsidP="007524E1">
      <w:pPr>
        <w:pStyle w:val="SingleTxtG"/>
        <w:ind w:firstLine="567"/>
      </w:pPr>
      <w:r>
        <w:t>GRBP рассмотрит исправления и уточнения, предложенные экспертом от ЕТОПОК.</w:t>
      </w:r>
    </w:p>
    <w:p w14:paraId="1EC25CA2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216873E4" w14:textId="77777777" w:rsidR="007524E1" w:rsidRPr="00C51B8F" w:rsidRDefault="007524E1" w:rsidP="007524E1">
      <w:pPr>
        <w:pStyle w:val="SingleTxtG"/>
      </w:pPr>
      <w:r>
        <w:t>ECE/TRANS/WP.29/GRBP/2023/7</w:t>
      </w:r>
    </w:p>
    <w:p w14:paraId="3F32BEC8" w14:textId="4E155CBE" w:rsidR="007524E1" w:rsidRPr="00C51B8F" w:rsidRDefault="007524E1" w:rsidP="007524E1">
      <w:pPr>
        <w:pStyle w:val="H23G"/>
        <w:keepNext w:val="0"/>
        <w:keepLines w:val="0"/>
      </w:pPr>
      <w:r>
        <w:rPr>
          <w:bCs/>
        </w:rPr>
        <w:lastRenderedPageBreak/>
        <w:tab/>
        <w:t>c)</w:t>
      </w:r>
      <w:r>
        <w:tab/>
      </w:r>
      <w:r>
        <w:rPr>
          <w:bCs/>
        </w:rPr>
        <w:t xml:space="preserve">Правила № 106 ООН (шины для сельскохозяйственных транспортных средств </w:t>
      </w:r>
      <w:r w:rsidR="003166C8">
        <w:rPr>
          <w:bCs/>
        </w:rPr>
        <w:br/>
      </w:r>
      <w:r>
        <w:rPr>
          <w:bCs/>
        </w:rPr>
        <w:t>и их прицепов)</w:t>
      </w:r>
    </w:p>
    <w:p w14:paraId="18CDC70A" w14:textId="77777777" w:rsidR="007524E1" w:rsidRPr="00C51B8F" w:rsidRDefault="007524E1" w:rsidP="007524E1">
      <w:pPr>
        <w:pStyle w:val="SingleTxtG"/>
        <w:ind w:firstLine="567"/>
      </w:pPr>
      <w:r>
        <w:t>GRBP рассмотрит ряд предложений по поправкам, представленных экспертом от ЕТОПОК.</w:t>
      </w:r>
    </w:p>
    <w:p w14:paraId="29598FF1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BF3EB10" w14:textId="77777777" w:rsidR="007524E1" w:rsidRPr="00C51B8F" w:rsidRDefault="007524E1" w:rsidP="007524E1">
      <w:pPr>
        <w:pStyle w:val="SingleTxtG"/>
      </w:pPr>
      <w:r>
        <w:t>ECE/TRANS/WP.29/GRBP/2023/9</w:t>
      </w:r>
    </w:p>
    <w:p w14:paraId="078DAED7" w14:textId="77777777" w:rsidR="007524E1" w:rsidRPr="00C51B8F" w:rsidRDefault="007524E1" w:rsidP="007524E1">
      <w:pPr>
        <w:pStyle w:val="H23G"/>
        <w:keepNext w:val="0"/>
        <w:keepLines w:val="0"/>
      </w:pPr>
      <w:r>
        <w:rPr>
          <w:bCs/>
        </w:rPr>
        <w:tab/>
        <w:t>d)</w:t>
      </w:r>
      <w:r>
        <w:tab/>
      </w:r>
      <w:r>
        <w:rPr>
          <w:bCs/>
        </w:rPr>
        <w:t>Правила № 109 ООН (шины с восстановленным протектором для транспортных средств неиндивидуального пользования и их прицепов)</w:t>
      </w:r>
    </w:p>
    <w:p w14:paraId="6179227B" w14:textId="6E1136C3" w:rsidR="007524E1" w:rsidRPr="00C51B8F" w:rsidRDefault="007524E1" w:rsidP="003166C8">
      <w:pPr>
        <w:pStyle w:val="SingleTxtG"/>
        <w:ind w:firstLine="567"/>
      </w:pPr>
      <w:r>
        <w:t>GRBP предлагается рассмотреть предложение, представленное экспертом от Франции, в котором процедуры испытаний в Правилах № 109 ООН приводятся в соответствие с процедурами испытаний в Правилах № 117 ООН.</w:t>
      </w:r>
    </w:p>
    <w:p w14:paraId="6E32E28C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12A0E05" w14:textId="77777777" w:rsidR="007524E1" w:rsidRPr="00C51B8F" w:rsidRDefault="007524E1" w:rsidP="007524E1">
      <w:pPr>
        <w:spacing w:after="120"/>
        <w:ind w:left="1134" w:right="1134"/>
        <w:jc w:val="both"/>
      </w:pPr>
      <w:r>
        <w:t xml:space="preserve">ECE/TRANS/WP.29/GRBP/2023/4 </w:t>
      </w:r>
    </w:p>
    <w:p w14:paraId="3568A4B8" w14:textId="77777777" w:rsidR="007524E1" w:rsidRPr="00C51B8F" w:rsidRDefault="007524E1" w:rsidP="007524E1">
      <w:pPr>
        <w:pStyle w:val="SingleTxtG"/>
        <w:ind w:firstLine="567"/>
      </w:pPr>
      <w:r>
        <w:t>GRBP рассмотрит исправление, предложенное экспертом от ЕТОПОК.</w:t>
      </w:r>
    </w:p>
    <w:p w14:paraId="0A83E497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00E51BBF" w14:textId="77777777" w:rsidR="007524E1" w:rsidRPr="00C51B8F" w:rsidRDefault="007524E1" w:rsidP="007524E1">
      <w:pPr>
        <w:pStyle w:val="SingleTxtG"/>
      </w:pPr>
      <w:r>
        <w:t>ECE/TRANS/WP.29/GRBP/2023/10</w:t>
      </w:r>
    </w:p>
    <w:p w14:paraId="70662C46" w14:textId="77777777" w:rsidR="007524E1" w:rsidRPr="00C51B8F" w:rsidRDefault="007524E1" w:rsidP="003166C8">
      <w:pPr>
        <w:pStyle w:val="H23G"/>
      </w:pPr>
      <w:r>
        <w:tab/>
        <w:t>e)</w:t>
      </w:r>
      <w:r>
        <w:tab/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1ABD7AFC" w14:textId="77777777" w:rsidR="007524E1" w:rsidRPr="00C51B8F" w:rsidRDefault="007524E1" w:rsidP="007524E1">
      <w:pPr>
        <w:spacing w:after="120"/>
        <w:ind w:left="1134" w:right="1134"/>
        <w:jc w:val="both"/>
      </w:pPr>
      <w:r>
        <w:tab/>
      </w:r>
      <w:r>
        <w:tab/>
        <w:t xml:space="preserve">GRBP будет кратко проинформирована о деятельности НРГ по характеристикам сцепления изношенных шин на мокрой поверхности (НРГ СИШМ) и обсудит предложения НРГ СИШМ по поправкам, которые предусматривает введение подробной ссылки на формованную стандартную эталонную испытательную шину (СЭИШ16). </w:t>
      </w:r>
    </w:p>
    <w:p w14:paraId="7223D6CF" w14:textId="77777777" w:rsidR="007524E1" w:rsidRPr="00B23DB5" w:rsidRDefault="007524E1" w:rsidP="007524E1">
      <w:pPr>
        <w:spacing w:after="120"/>
        <w:ind w:left="1134" w:right="1134"/>
        <w:jc w:val="both"/>
        <w:rPr>
          <w:b/>
        </w:rPr>
      </w:pPr>
      <w:bookmarkStart w:id="1" w:name="_Hlk106094072"/>
      <w:r>
        <w:rPr>
          <w:b/>
          <w:bCs/>
        </w:rPr>
        <w:t>Документация</w:t>
      </w:r>
    </w:p>
    <w:p w14:paraId="63F4A50E" w14:textId="77777777" w:rsidR="007524E1" w:rsidRPr="00B66C06" w:rsidRDefault="007524E1" w:rsidP="007524E1">
      <w:pPr>
        <w:spacing w:after="120"/>
        <w:ind w:left="1134" w:right="1134"/>
        <w:jc w:val="both"/>
      </w:pPr>
      <w:r w:rsidRPr="00C51B8F">
        <w:rPr>
          <w:lang w:val="en-US"/>
        </w:rPr>
        <w:t>ECE/TRANS/WP.29/GRBP/2023/2, ECE/TRANS/WP.29/GRBP/2023/3</w:t>
      </w:r>
    </w:p>
    <w:bookmarkEnd w:id="1"/>
    <w:p w14:paraId="3B6CEC9E" w14:textId="175620B5" w:rsidR="007524E1" w:rsidRPr="00C51B8F" w:rsidRDefault="007524E1" w:rsidP="007524E1">
      <w:pPr>
        <w:spacing w:after="120"/>
        <w:ind w:left="1134" w:right="1134"/>
        <w:jc w:val="both"/>
      </w:pPr>
      <w:r w:rsidRPr="00C51B8F">
        <w:rPr>
          <w:lang w:val="en-US"/>
        </w:rPr>
        <w:tab/>
      </w:r>
      <w:r w:rsidRPr="00C51B8F">
        <w:rPr>
          <w:lang w:val="en-US"/>
        </w:rPr>
        <w:tab/>
      </w:r>
      <w:r>
        <w:t>GRBP рассмотрит предложение о новом переходном положении, которое было представлено экспертами от Европейской комиссии.</w:t>
      </w:r>
      <w:r w:rsidR="003166C8">
        <w:t xml:space="preserve"> </w:t>
      </w:r>
    </w:p>
    <w:p w14:paraId="5CBE3DC4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tab/>
      </w:r>
      <w:r>
        <w:rPr>
          <w:b/>
          <w:bCs/>
        </w:rPr>
        <w:t>Документация</w:t>
      </w:r>
    </w:p>
    <w:p w14:paraId="09547647" w14:textId="77777777" w:rsidR="007524E1" w:rsidRPr="00C51B8F" w:rsidRDefault="007524E1" w:rsidP="007524E1">
      <w:pPr>
        <w:spacing w:after="120"/>
        <w:ind w:left="1134" w:right="1134"/>
        <w:jc w:val="both"/>
      </w:pPr>
      <w:r>
        <w:t>ECE/TRANS/WP.29/GRBP/2023/5</w:t>
      </w:r>
      <w:r>
        <w:tab/>
      </w:r>
    </w:p>
    <w:p w14:paraId="084A2EC1" w14:textId="77777777" w:rsidR="007524E1" w:rsidRPr="00C51B8F" w:rsidRDefault="007524E1" w:rsidP="007524E1">
      <w:pPr>
        <w:pStyle w:val="SingleTxtG"/>
        <w:ind w:firstLine="567"/>
      </w:pPr>
      <w:r>
        <w:t>GRBP рассмотрит исправления, предложенные экспертом от ЕТОПОК.</w:t>
      </w:r>
    </w:p>
    <w:p w14:paraId="20F054FE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EF95490" w14:textId="77777777" w:rsidR="007524E1" w:rsidRPr="00C51B8F" w:rsidRDefault="007524E1" w:rsidP="007524E1">
      <w:pPr>
        <w:pStyle w:val="SingleTxtG"/>
      </w:pPr>
      <w:r>
        <w:t>ECE/TRANS/WP.29/GRBP/2023/8</w:t>
      </w:r>
    </w:p>
    <w:p w14:paraId="7E2DEC4E" w14:textId="1DA86A30" w:rsidR="007524E1" w:rsidRPr="00C51B8F" w:rsidRDefault="007524E1" w:rsidP="007524E1">
      <w:pPr>
        <w:pStyle w:val="SingleTxtG"/>
      </w:pPr>
      <w:r>
        <w:tab/>
        <w:t xml:space="preserve">На предыдущей сессии GRBP приняла пакет предложений по поправкам </w:t>
      </w:r>
      <w:r w:rsidR="00495FAC">
        <w:br/>
      </w:r>
      <w:r>
        <w:t>серий 02, 03 и 04 к Правилам № 117 ООН и решила проверить сводные документы на предмет ошибок на нынешней сессии (ECE/TRANS/WP.29/GRBP/74, пункт 30). Эти документы будут подготовлены в декабре 2022 года для представления на сессии WP.29 в марте 2023 года. Их номера будут указаны в обновленной предварительной повестке дня, которая будет опубликована на более позднем этапе.</w:t>
      </w:r>
      <w:r w:rsidR="003166C8">
        <w:t xml:space="preserve"> </w:t>
      </w:r>
    </w:p>
    <w:p w14:paraId="42CF5DED" w14:textId="77777777" w:rsidR="007524E1" w:rsidRPr="00C51B8F" w:rsidRDefault="007524E1" w:rsidP="007524E1">
      <w:pPr>
        <w:pStyle w:val="H23G"/>
        <w:keepNext w:val="0"/>
        <w:keepLines w:val="0"/>
      </w:pPr>
      <w:r>
        <w:rPr>
          <w:bCs/>
        </w:rPr>
        <w:tab/>
        <w:t>f)</w:t>
      </w:r>
      <w:r>
        <w:tab/>
      </w:r>
      <w:r>
        <w:rPr>
          <w:bCs/>
        </w:rPr>
        <w:t>Другие правила ООН, касающиеся шин</w:t>
      </w:r>
      <w:bookmarkStart w:id="2" w:name="_Hlk119688471"/>
      <w:bookmarkEnd w:id="2"/>
    </w:p>
    <w:p w14:paraId="28533506" w14:textId="77777777" w:rsidR="007524E1" w:rsidRPr="00C51B8F" w:rsidRDefault="007524E1" w:rsidP="007524E1">
      <w:pPr>
        <w:pStyle w:val="SingleTxtG"/>
        <w:ind w:firstLine="567"/>
      </w:pPr>
      <w:r>
        <w:t xml:space="preserve">GRBP рассмотрит предложения по поправкам, если таковые будут представлены, к другим правилам ООН, касающимся шин. </w:t>
      </w:r>
    </w:p>
    <w:p w14:paraId="1B25FE8C" w14:textId="2BF9920A" w:rsidR="007524E1" w:rsidRPr="00C51B8F" w:rsidRDefault="007524E1" w:rsidP="007524E1">
      <w:pPr>
        <w:pStyle w:val="H1G"/>
      </w:pPr>
      <w:r>
        <w:rPr>
          <w:bCs/>
        </w:rPr>
        <w:lastRenderedPageBreak/>
        <w:tab/>
        <w:t>6.</w:t>
      </w:r>
      <w:r>
        <w:tab/>
      </w:r>
      <w:r>
        <w:rPr>
          <w:bCs/>
        </w:rPr>
        <w:t>Правила № [165]</w:t>
      </w:r>
      <w:r w:rsidR="003166C8" w:rsidRPr="003166C8">
        <w:rPr>
          <w:bCs/>
        </w:rPr>
        <w:t xml:space="preserve"> </w:t>
      </w:r>
      <w:r w:rsidR="003166C8">
        <w:rPr>
          <w:bCs/>
        </w:rPr>
        <w:t>ООН</w:t>
      </w:r>
      <w:r>
        <w:rPr>
          <w:bCs/>
        </w:rPr>
        <w:t xml:space="preserve"> (сигнализация заднего хода)</w:t>
      </w:r>
    </w:p>
    <w:p w14:paraId="1BA312C2" w14:textId="77777777" w:rsidR="007524E1" w:rsidRPr="00C34E8F" w:rsidRDefault="007524E1" w:rsidP="007524E1">
      <w:pPr>
        <w:pStyle w:val="H1G"/>
        <w:spacing w:before="0" w:after="120" w:line="240" w:lineRule="atLeast"/>
        <w:ind w:firstLine="0"/>
        <w:jc w:val="both"/>
        <w:rPr>
          <w:b w:val="0"/>
          <w:bCs/>
          <w:sz w:val="20"/>
        </w:rPr>
      </w:pPr>
      <w:r>
        <w:tab/>
      </w:r>
      <w:r w:rsidRPr="00C34E8F">
        <w:rPr>
          <w:b w:val="0"/>
          <w:bCs/>
          <w:sz w:val="20"/>
        </w:rPr>
        <w:tab/>
        <w:t xml:space="preserve">На предыдущей сессии эксперт от Соединенного Королевства предложил распространить установку функции </w:t>
      </w:r>
      <w:r>
        <w:rPr>
          <w:b w:val="0"/>
          <w:bCs/>
          <w:sz w:val="20"/>
        </w:rPr>
        <w:t>временного отключения сигнализатора</w:t>
      </w:r>
      <w:r w:rsidRPr="00C34E8F">
        <w:rPr>
          <w:b w:val="0"/>
          <w:bCs/>
          <w:sz w:val="20"/>
        </w:rPr>
        <w:t xml:space="preserve"> на ситуации, когда действуют национальные ограничения по времени, независимо от наличия устройства заднего обзора. С учетом ряда комментариев GRBP предложила эксперту от Соединенного Королевства подготовить пересмотренное предложение для рассмотрения на нынешней сессии.</w:t>
      </w:r>
    </w:p>
    <w:p w14:paraId="5A136468" w14:textId="77777777" w:rsidR="007524E1" w:rsidRPr="00C51B8F" w:rsidRDefault="007524E1" w:rsidP="007524E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4FFD202" w14:textId="77777777" w:rsidR="007524E1" w:rsidRPr="00C51B8F" w:rsidRDefault="007524E1" w:rsidP="007524E1">
      <w:pPr>
        <w:pStyle w:val="SingleTxtG"/>
      </w:pPr>
      <w:r>
        <w:t>ECE/TRANS/WP.29/GRBP/2022/24 и GRBP-</w:t>
      </w:r>
      <w:proofErr w:type="gramStart"/>
      <w:r>
        <w:t>76-07</w:t>
      </w:r>
      <w:proofErr w:type="gramEnd"/>
      <w:r>
        <w:t>-Rev.1</w:t>
      </w:r>
    </w:p>
    <w:p w14:paraId="5528639A" w14:textId="77777777" w:rsidR="007524E1" w:rsidRPr="00C51B8F" w:rsidRDefault="007524E1" w:rsidP="007524E1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Обмен информацией о национальных и международных требованиях, касающихся уровней шума</w:t>
      </w:r>
    </w:p>
    <w:p w14:paraId="0981F2BA" w14:textId="77777777" w:rsidR="007524E1" w:rsidRPr="00C51B8F" w:rsidRDefault="007524E1" w:rsidP="007524E1">
      <w:pPr>
        <w:pStyle w:val="SingleTxtG"/>
        <w:ind w:firstLine="567"/>
      </w:pPr>
      <w:r>
        <w:t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14:paraId="59496CA3" w14:textId="77777777" w:rsidR="007524E1" w:rsidRPr="00C51B8F" w:rsidRDefault="007524E1" w:rsidP="007524E1">
      <w:pPr>
        <w:pStyle w:val="H1G"/>
        <w:keepNext w:val="0"/>
        <w:keepLines w:val="0"/>
      </w:pPr>
      <w:r>
        <w:rPr>
          <w:bCs/>
        </w:rPr>
        <w:tab/>
        <w:t>8.</w:t>
      </w:r>
      <w:r>
        <w:tab/>
      </w:r>
      <w:r>
        <w:rPr>
          <w:bCs/>
        </w:rPr>
        <w:t>Предложения по поправкам к Сводной резолюции о конструкции транспортных средств</w:t>
      </w:r>
    </w:p>
    <w:p w14:paraId="70D9835A" w14:textId="04B98C1E" w:rsidR="007524E1" w:rsidRPr="00C51B8F" w:rsidRDefault="007524E1" w:rsidP="007524E1">
      <w:pPr>
        <w:pStyle w:val="SingleTxtG"/>
        <w:ind w:firstLine="567"/>
        <w:rPr>
          <w:bCs/>
        </w:rPr>
      </w:pPr>
      <w:r>
        <w:t>GRBP рассмотрит проекты поправок к Сводной резолюции о конструкции транспортных средств (СР.3), если таковые будут представлены.</w:t>
      </w:r>
      <w:r w:rsidR="003166C8">
        <w:t xml:space="preserve"> </w:t>
      </w:r>
    </w:p>
    <w:p w14:paraId="6391013D" w14:textId="1C5255EA" w:rsidR="007524E1" w:rsidRPr="00C51B8F" w:rsidRDefault="007524E1" w:rsidP="007524E1">
      <w:pPr>
        <w:pStyle w:val="H1G"/>
        <w:jc w:val="both"/>
      </w:pPr>
      <w:r>
        <w:rPr>
          <w:bCs/>
        </w:rPr>
        <w:tab/>
        <w:t>9.</w:t>
      </w:r>
      <w:r>
        <w:tab/>
      </w:r>
      <w:r>
        <w:rPr>
          <w:bCs/>
        </w:rPr>
        <w:t xml:space="preserve">Разработка международной системы официального утверждения типа комплектного транспортного средства </w:t>
      </w:r>
    </w:p>
    <w:p w14:paraId="4CE97094" w14:textId="77777777" w:rsidR="007524E1" w:rsidRPr="00C51B8F" w:rsidRDefault="007524E1" w:rsidP="007524E1">
      <w:pPr>
        <w:spacing w:after="120"/>
        <w:ind w:left="1134" w:right="1134" w:firstLine="567"/>
        <w:jc w:val="both"/>
      </w:pPr>
      <w:r>
        <w:t>GRBP будет проинформирована о ходе внедрения международной системы официального утверждения типа комплектного транспортного средства (МОУТКТС) (Правила № 0 ООН).</w:t>
      </w:r>
    </w:p>
    <w:p w14:paraId="3290BB6D" w14:textId="77777777" w:rsidR="007524E1" w:rsidRPr="00C51B8F" w:rsidRDefault="007524E1" w:rsidP="007524E1">
      <w:pPr>
        <w:pStyle w:val="H1G"/>
      </w:pPr>
      <w:r>
        <w:rPr>
          <w:bCs/>
        </w:rPr>
        <w:tab/>
        <w:t>10.</w:t>
      </w:r>
      <w:r>
        <w:tab/>
      </w:r>
      <w:r>
        <w:rPr>
          <w:bCs/>
        </w:rPr>
        <w:t xml:space="preserve">Основные вопросы, рассмотренные на недавних сессиях Всемирного форума </w:t>
      </w:r>
      <w:proofErr w:type="gramStart"/>
      <w:r>
        <w:rPr>
          <w:bCs/>
        </w:rPr>
        <w:t>для согласования</w:t>
      </w:r>
      <w:proofErr w:type="gramEnd"/>
      <w:r>
        <w:rPr>
          <w:bCs/>
        </w:rPr>
        <w:t xml:space="preserve"> правил в области транспортных средств</w:t>
      </w:r>
    </w:p>
    <w:p w14:paraId="75732062" w14:textId="7EA62FF5" w:rsidR="007524E1" w:rsidRPr="00A3183E" w:rsidRDefault="007524E1" w:rsidP="007524E1">
      <w:pPr>
        <w:pStyle w:val="H23G"/>
        <w:keepNext w:val="0"/>
        <w:keepLines w:val="0"/>
        <w:ind w:firstLine="0"/>
        <w:jc w:val="both"/>
        <w:rPr>
          <w:b w:val="0"/>
          <w:bCs/>
        </w:rPr>
      </w:pPr>
      <w:r>
        <w:tab/>
      </w:r>
      <w:r w:rsidRPr="00A3183E">
        <w:rPr>
          <w:b w:val="0"/>
          <w:bCs/>
        </w:rPr>
        <w:tab/>
        <w:t>GRBP будет кратко проинформирована секретариатом об основных вопросах, рассмотренных на недавних сессиях WP.29 и касающихся GRBР и общих тем.</w:t>
      </w:r>
      <w:r w:rsidR="003166C8">
        <w:rPr>
          <w:b w:val="0"/>
          <w:bCs/>
        </w:rPr>
        <w:t xml:space="preserve"> </w:t>
      </w:r>
    </w:p>
    <w:p w14:paraId="5CAE3CFF" w14:textId="417B823C" w:rsidR="007524E1" w:rsidRPr="00C51B8F" w:rsidRDefault="007524E1" w:rsidP="007524E1">
      <w:pPr>
        <w:pStyle w:val="H1G"/>
        <w:rPr>
          <w:b w:val="0"/>
        </w:rPr>
      </w:pPr>
      <w:r>
        <w:rPr>
          <w:bCs/>
        </w:rPr>
        <w:tab/>
        <w:t>11.</w:t>
      </w:r>
      <w:r>
        <w:tab/>
      </w:r>
      <w:r>
        <w:rPr>
          <w:bCs/>
        </w:rPr>
        <w:t xml:space="preserve">Обмен мнениями о будущей деятельности Рабочей группы </w:t>
      </w:r>
      <w:r w:rsidR="003166C8">
        <w:rPr>
          <w:bCs/>
        </w:rPr>
        <w:br/>
      </w:r>
      <w:r>
        <w:rPr>
          <w:bCs/>
        </w:rPr>
        <w:t>по вопросам шума и шин</w:t>
      </w:r>
    </w:p>
    <w:p w14:paraId="2366E3F8" w14:textId="77777777" w:rsidR="007524E1" w:rsidRPr="00C51B8F" w:rsidRDefault="007524E1" w:rsidP="007524E1">
      <w:pPr>
        <w:spacing w:after="120"/>
        <w:ind w:left="1134" w:right="1134" w:firstLine="567"/>
        <w:jc w:val="both"/>
      </w:pPr>
      <w:r>
        <w:t>GRBP, возможно, пожелает рассмотреть перечень приоритетов для будущей работы.</w:t>
      </w:r>
    </w:p>
    <w:p w14:paraId="3D44790F" w14:textId="77777777" w:rsidR="007524E1" w:rsidRPr="00C51B8F" w:rsidRDefault="007524E1" w:rsidP="007524E1">
      <w:pPr>
        <w:pStyle w:val="H1G"/>
      </w:pPr>
      <w:r>
        <w:rPr>
          <w:bCs/>
        </w:rPr>
        <w:tab/>
        <w:t>12.</w:t>
      </w:r>
      <w:r>
        <w:tab/>
      </w:r>
      <w:r>
        <w:rPr>
          <w:bCs/>
        </w:rPr>
        <w:t>Прочие вопросы</w:t>
      </w:r>
    </w:p>
    <w:p w14:paraId="06E517BC" w14:textId="77777777" w:rsidR="007524E1" w:rsidRPr="00C51B8F" w:rsidRDefault="007524E1" w:rsidP="007524E1">
      <w:pPr>
        <w:pStyle w:val="SingleTxtG"/>
        <w:ind w:firstLine="567"/>
      </w:pPr>
      <w:r>
        <w:t xml:space="preserve">GRBP будет проинформирован о деятельности неофициальной рабочей группы по электронной базе данных для обмена документацией об официальном утверждении типа (НРГ ДETA), с тем чтобы начать использование «уникального идентификатора» (УИ) в правилах ООН. </w:t>
      </w:r>
    </w:p>
    <w:p w14:paraId="1DCC2E43" w14:textId="77777777" w:rsidR="007524E1" w:rsidRPr="00C51B8F" w:rsidRDefault="007524E1" w:rsidP="007524E1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</w:p>
    <w:p w14:paraId="3D178533" w14:textId="77777777" w:rsidR="007524E1" w:rsidRPr="00C51B8F" w:rsidRDefault="007524E1" w:rsidP="007524E1">
      <w:pPr>
        <w:pStyle w:val="SingleTxtG"/>
      </w:pPr>
      <w:r>
        <w:t>WP.29-</w:t>
      </w:r>
      <w:proofErr w:type="gramStart"/>
      <w:r>
        <w:t>188-20</w:t>
      </w:r>
      <w:proofErr w:type="gramEnd"/>
    </w:p>
    <w:p w14:paraId="4A5DCC98" w14:textId="6A29B839" w:rsidR="007524E1" w:rsidRPr="00C51B8F" w:rsidRDefault="007524E1" w:rsidP="007524E1">
      <w:pPr>
        <w:pStyle w:val="SingleTxtG"/>
        <w:ind w:firstLine="567"/>
      </w:pPr>
      <w:r>
        <w:lastRenderedPageBreak/>
        <w:t>На предыдущей сессии Председатель предложил добровольцам провести обзор правил ООН, находящихся в ведении GRBP, с целью выявления поправок к функциям водителя, которые могут потребоваться для применения этих правил ООН в контексте автоматизированных/автономных транспортных средств (ECE/TRANS/WP.29/</w:t>
      </w:r>
      <w:r w:rsidR="003166C8">
        <w:rPr>
          <w:lang w:val="en-US"/>
        </w:rPr>
        <w:t xml:space="preserve"> </w:t>
      </w:r>
      <w:r>
        <w:t xml:space="preserve">GRBP/74, пункт 40). GRBP, возможно, пожелает вернуться к этому вопросу. </w:t>
      </w:r>
    </w:p>
    <w:p w14:paraId="0B7EBF9C" w14:textId="77777777" w:rsidR="007524E1" w:rsidRPr="00C51B8F" w:rsidRDefault="007524E1" w:rsidP="007524E1">
      <w:pPr>
        <w:pStyle w:val="SingleTxtG"/>
        <w:ind w:firstLine="567"/>
      </w:pPr>
      <w:r>
        <w:t xml:space="preserve">GRBP может быть представлен доклад о ходе работы целевой группы по износу шин (ЦГИШ). </w:t>
      </w:r>
    </w:p>
    <w:p w14:paraId="188975BA" w14:textId="77777777" w:rsidR="007524E1" w:rsidRPr="00C51B8F" w:rsidRDefault="007524E1" w:rsidP="007524E1">
      <w:pPr>
        <w:pStyle w:val="SingleTxtG"/>
        <w:ind w:firstLine="567"/>
      </w:pPr>
      <w:r>
        <w:t>GRBP рассмотрит при необходимости любые другие вопросы.</w:t>
      </w:r>
    </w:p>
    <w:p w14:paraId="6C7620EE" w14:textId="77777777" w:rsidR="007524E1" w:rsidRPr="00C51B8F" w:rsidRDefault="007524E1" w:rsidP="007524E1">
      <w:pPr>
        <w:pStyle w:val="H1G"/>
      </w:pPr>
      <w:r>
        <w:rPr>
          <w:bCs/>
        </w:rPr>
        <w:tab/>
        <w:t>13.</w:t>
      </w:r>
      <w:r>
        <w:tab/>
      </w:r>
      <w:r>
        <w:rPr>
          <w:bCs/>
        </w:rPr>
        <w:t>Предварительная повестка дня следующей сессии</w:t>
      </w:r>
    </w:p>
    <w:p w14:paraId="0ADA4BCA" w14:textId="5D8D56B2" w:rsidR="007524E1" w:rsidRPr="00C51B8F" w:rsidRDefault="007524E1" w:rsidP="007524E1">
      <w:pPr>
        <w:ind w:left="1134" w:right="1134"/>
        <w:jc w:val="both"/>
      </w:pPr>
      <w:r>
        <w:tab/>
      </w:r>
      <w:r>
        <w:tab/>
        <w:t xml:space="preserve">GRBP предлагается дать указания по предварительной повестке дня следующей сессии, которую ориентировочно планируется провести в Женеве 30 августа — </w:t>
      </w:r>
      <w:r w:rsidR="003166C8">
        <w:br/>
      </w:r>
      <w:r>
        <w:t>1 сентября 2023 года.</w:t>
      </w:r>
      <w:r>
        <w:tab/>
      </w:r>
    </w:p>
    <w:p w14:paraId="78892C75" w14:textId="77777777" w:rsidR="003166C8" w:rsidRDefault="007524E1" w:rsidP="007524E1">
      <w:pPr>
        <w:pStyle w:val="SingleTxtG"/>
        <w:spacing w:before="240" w:after="0"/>
        <w:jc w:val="center"/>
        <w:rPr>
          <w:u w:val="single"/>
        </w:rPr>
      </w:pPr>
      <w:r w:rsidRPr="00C51B8F">
        <w:rPr>
          <w:u w:val="single"/>
        </w:rPr>
        <w:tab/>
      </w:r>
      <w:r w:rsidRPr="00C51B8F">
        <w:rPr>
          <w:u w:val="single"/>
        </w:rPr>
        <w:tab/>
      </w:r>
      <w:r w:rsidRPr="00C51B8F">
        <w:rPr>
          <w:u w:val="single"/>
        </w:rPr>
        <w:tab/>
      </w:r>
      <w:r w:rsidRPr="00C51B8F">
        <w:rPr>
          <w:u w:val="single"/>
        </w:rPr>
        <w:tab/>
      </w:r>
    </w:p>
    <w:p w14:paraId="25873580" w14:textId="6680DC1D" w:rsidR="00E12C5F" w:rsidRPr="008D53B6" w:rsidRDefault="00E12C5F" w:rsidP="00D9145B"/>
    <w:sectPr w:rsidR="00E12C5F" w:rsidRPr="008D53B6" w:rsidSect="009347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B062" w14:textId="77777777" w:rsidR="00DC111D" w:rsidRPr="00A312BC" w:rsidRDefault="00DC111D" w:rsidP="00A312BC"/>
  </w:endnote>
  <w:endnote w:type="continuationSeparator" w:id="0">
    <w:p w14:paraId="18422287" w14:textId="77777777" w:rsidR="00DC111D" w:rsidRPr="00A312BC" w:rsidRDefault="00DC111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69E0" w14:textId="20C22F08" w:rsidR="00934710" w:rsidRPr="00934710" w:rsidRDefault="00934710">
    <w:pPr>
      <w:pStyle w:val="a8"/>
    </w:pPr>
    <w:r w:rsidRPr="00934710">
      <w:rPr>
        <w:b/>
        <w:sz w:val="18"/>
      </w:rPr>
      <w:fldChar w:fldCharType="begin"/>
    </w:r>
    <w:r w:rsidRPr="00934710">
      <w:rPr>
        <w:b/>
        <w:sz w:val="18"/>
      </w:rPr>
      <w:instrText xml:space="preserve"> PAGE  \* MERGEFORMAT </w:instrText>
    </w:r>
    <w:r w:rsidRPr="00934710">
      <w:rPr>
        <w:b/>
        <w:sz w:val="18"/>
      </w:rPr>
      <w:fldChar w:fldCharType="separate"/>
    </w:r>
    <w:r w:rsidRPr="00934710">
      <w:rPr>
        <w:b/>
        <w:noProof/>
        <w:sz w:val="18"/>
      </w:rPr>
      <w:t>2</w:t>
    </w:r>
    <w:r w:rsidRPr="00934710">
      <w:rPr>
        <w:b/>
        <w:sz w:val="18"/>
      </w:rPr>
      <w:fldChar w:fldCharType="end"/>
    </w:r>
    <w:r>
      <w:rPr>
        <w:b/>
        <w:sz w:val="18"/>
      </w:rPr>
      <w:tab/>
    </w:r>
    <w:r>
      <w:t>GE.22-26412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ABBB" w14:textId="48D13405" w:rsidR="00934710" w:rsidRPr="00934710" w:rsidRDefault="00934710" w:rsidP="00934710">
    <w:pPr>
      <w:pStyle w:val="a8"/>
      <w:tabs>
        <w:tab w:val="clear" w:pos="9639"/>
        <w:tab w:val="right" w:pos="9638"/>
      </w:tabs>
      <w:rPr>
        <w:b/>
        <w:sz w:val="18"/>
      </w:rPr>
    </w:pPr>
    <w:r>
      <w:t>GE.22-26412</w:t>
    </w:r>
    <w:r>
      <w:tab/>
    </w:r>
    <w:r w:rsidRPr="00934710">
      <w:rPr>
        <w:b/>
        <w:sz w:val="18"/>
      </w:rPr>
      <w:fldChar w:fldCharType="begin"/>
    </w:r>
    <w:r w:rsidRPr="00934710">
      <w:rPr>
        <w:b/>
        <w:sz w:val="18"/>
      </w:rPr>
      <w:instrText xml:space="preserve"> PAGE  \* MERGEFORMAT </w:instrText>
    </w:r>
    <w:r w:rsidRPr="00934710">
      <w:rPr>
        <w:b/>
        <w:sz w:val="18"/>
      </w:rPr>
      <w:fldChar w:fldCharType="separate"/>
    </w:r>
    <w:r w:rsidRPr="00934710">
      <w:rPr>
        <w:b/>
        <w:noProof/>
        <w:sz w:val="18"/>
      </w:rPr>
      <w:t>3</w:t>
    </w:r>
    <w:r w:rsidRPr="009347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DEBC" w14:textId="55407A2A" w:rsidR="00042B72" w:rsidRPr="00934710" w:rsidRDefault="00934710" w:rsidP="0093471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5EC64FD" wp14:editId="0BD0AC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26412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84D8EE" wp14:editId="032E1F0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231122  231122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AF32" w14:textId="77777777" w:rsidR="00DC111D" w:rsidRPr="001075E9" w:rsidRDefault="00DC111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039250" w14:textId="77777777" w:rsidR="00DC111D" w:rsidRDefault="00DC111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E907E5" w14:textId="224D0D22" w:rsidR="007524E1" w:rsidRPr="007524E1" w:rsidRDefault="007524E1" w:rsidP="003166C8">
      <w:pPr>
        <w:pStyle w:val="ad"/>
        <w:rPr>
          <w:lang w:val="en-US"/>
        </w:rPr>
      </w:pPr>
      <w:r>
        <w:tab/>
      </w:r>
      <w:r w:rsidRPr="007524E1">
        <w:rPr>
          <w:sz w:val="20"/>
          <w:szCs w:val="22"/>
        </w:rPr>
        <w:t xml:space="preserve">* </w:t>
      </w:r>
      <w:r>
        <w:tab/>
        <w:t>По соображениям экономии делегатов просят приносить на заседания все соответствующие документы.</w:t>
      </w:r>
      <w:r>
        <w:t xml:space="preserve"> </w:t>
      </w:r>
      <w:r>
        <w:t>В зале заседаний никакая документация распространяться не будет.</w:t>
      </w:r>
      <w:r>
        <w:t xml:space="preserve"> </w:t>
      </w:r>
      <w:r>
        <w:t xml:space="preserve">До сессии документы можно загрузить с веб-сайта Отдела устойчивого транспорта ЕЭК (URL: </w:t>
      </w:r>
      <w:hyperlink r:id="rId1" w:history="1">
        <w:r w:rsidRPr="00A06302">
          <w:rPr>
            <w:rStyle w:val="af1"/>
          </w:rPr>
          <w:t>https://unece.org/info/events/event/373065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Pr="00A06302">
          <w:rPr>
            <w:rStyle w:val="af1"/>
          </w:rPr>
          <w:t>GRBР@un.org</w:t>
        </w:r>
      </w:hyperlink>
      <w:r>
        <w:t xml:space="preserve">). В ходе сессии официальные документы можно получить в Секции распространения документов ЮНОГ (здание Е, подъезд 40, второй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веб-сайте. URL: </w:t>
      </w:r>
      <w:hyperlink r:id="rId3" w:history="1">
        <w:r w:rsidRPr="00A06302">
          <w:rPr>
            <w:rStyle w:val="af1"/>
          </w:rPr>
          <w:t>http://documents.un.org/</w:t>
        </w:r>
      </w:hyperlink>
      <w:r>
        <w:t>.</w:t>
      </w:r>
      <w:r>
        <w:rPr>
          <w:lang w:val="en-US"/>
        </w:rPr>
        <w:t xml:space="preserve"> </w:t>
      </w:r>
    </w:p>
  </w:footnote>
  <w:footnote w:id="2">
    <w:p w14:paraId="54E0A82B" w14:textId="0718C70A" w:rsidR="007524E1" w:rsidRPr="007524E1" w:rsidRDefault="007524E1" w:rsidP="003166C8">
      <w:pPr>
        <w:pStyle w:val="ad"/>
        <w:rPr>
          <w:sz w:val="20"/>
          <w:lang w:val="en-US"/>
        </w:rPr>
      </w:pPr>
      <w:r>
        <w:tab/>
      </w:r>
      <w:r w:rsidRPr="007524E1">
        <w:rPr>
          <w:sz w:val="20"/>
          <w:szCs w:val="22"/>
        </w:rPr>
        <w:t xml:space="preserve">** </w:t>
      </w:r>
      <w:r>
        <w:tab/>
        <w:t>Делегатов просят зарегистрироваться онлайн с помощью системы регистрации на веб-сайте (</w:t>
      </w:r>
      <w:hyperlink r:id="rId4" w:history="1">
        <w:r w:rsidRPr="00A06302">
          <w:rPr>
            <w:rStyle w:val="af1"/>
          </w:rPr>
          <w:t>https://indico.un.org/event/1002043/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на вилле </w:t>
      </w:r>
      <w:r>
        <w:br/>
      </w:r>
      <w:r>
        <w:t>Ле-</w:t>
      </w:r>
      <w:proofErr w:type="spellStart"/>
      <w:r>
        <w:t>Фёйантин</w:t>
      </w:r>
      <w:proofErr w:type="spellEnd"/>
      <w:r>
        <w:t xml:space="preserve"> (</w:t>
      </w:r>
      <w:proofErr w:type="spellStart"/>
      <w:r>
        <w:t>Villa</w:t>
      </w:r>
      <w:proofErr w:type="spellEnd"/>
      <w:r>
        <w:t xml:space="preserve"> Les </w:t>
      </w:r>
      <w:proofErr w:type="spellStart"/>
      <w:r>
        <w:t>Feuillantines</w:t>
      </w:r>
      <w:proofErr w:type="spellEnd"/>
      <w:r>
        <w:t xml:space="preserve"> (Avenue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 13)).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 xml:space="preserve">. ном. 74323). Схему Дворца Наций и другую полезную информацию см. на веб-сайте </w:t>
      </w:r>
      <w:hyperlink r:id="rId5" w:history="1">
        <w:r w:rsidRPr="00A06302">
          <w:rPr>
            <w:rStyle w:val="af1"/>
          </w:rPr>
          <w:t>http://www.unece.org/meetings/practical.html</w:t>
        </w:r>
      </w:hyperlink>
      <w:r>
        <w:t>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73C1" w14:textId="71B8BF99" w:rsidR="00934710" w:rsidRPr="00934710" w:rsidRDefault="00934710">
    <w:pPr>
      <w:pStyle w:val="a5"/>
    </w:pPr>
    <w:fldSimple w:instr=" TITLE  \* MERGEFORMAT ">
      <w:r w:rsidR="00A050D3">
        <w:t>ECE/TRANS/WP.29/GRBP/2023/1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8BBC" w14:textId="7BED06F8" w:rsidR="00934710" w:rsidRPr="00934710" w:rsidRDefault="00934710" w:rsidP="00934710">
    <w:pPr>
      <w:pStyle w:val="a5"/>
      <w:jc w:val="right"/>
    </w:pPr>
    <w:fldSimple w:instr=" TITLE  \* MERGEFORMAT ">
      <w:r w:rsidR="00A050D3">
        <w:t>ECE/TRANS/WP.29/GRBP/2023/1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1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179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6C8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5FA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314"/>
    <w:rsid w:val="006F35EE"/>
    <w:rsid w:val="007021FF"/>
    <w:rsid w:val="00712895"/>
    <w:rsid w:val="00734ACB"/>
    <w:rsid w:val="007524E1"/>
    <w:rsid w:val="00757357"/>
    <w:rsid w:val="00792497"/>
    <w:rsid w:val="00806737"/>
    <w:rsid w:val="00825F8D"/>
    <w:rsid w:val="00834B71"/>
    <w:rsid w:val="0084309B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4710"/>
    <w:rsid w:val="00951972"/>
    <w:rsid w:val="009608F3"/>
    <w:rsid w:val="00984A48"/>
    <w:rsid w:val="009A24AC"/>
    <w:rsid w:val="009C59D7"/>
    <w:rsid w:val="009C6FE6"/>
    <w:rsid w:val="009D7E7D"/>
    <w:rsid w:val="00A050D3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4F21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11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B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185A8"/>
  <w15:docId w15:val="{A6586615-8EE9-4D94-A23E-491390E7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524E1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75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&#1056;@un.org" TargetMode="External"/><Relationship Id="rId1" Type="http://schemas.openxmlformats.org/officeDocument/2006/relationships/hyperlink" Target="https://unece.org/info/events/event/373065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indico.un.org/event/100204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6</Pages>
  <Words>1183</Words>
  <Characters>8087</Characters>
  <Application>Microsoft Office Word</Application>
  <DocSecurity>0</DocSecurity>
  <Lines>199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ECE/TRANS/WP.29/GRBP/2023/1</vt:lpstr>
      <vt:lpstr>A/</vt:lpstr>
      <vt:lpstr>A/</vt:lpstr>
    </vt:vector>
  </TitlesOfParts>
  <Company>DCM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ECE/TRANS/WP.29/GRBP/2023/1</dc:title>
  <dc:subject/>
  <dc:creator>Ekaterina SALYNSKAYA</dc:creator>
  <cp:keywords/>
  <cp:lastModifiedBy>Ekaterina Salynskaya</cp:lastModifiedBy>
  <cp:revision>3</cp:revision>
  <cp:lastPrinted>2022-11-23T14:03:00Z</cp:lastPrinted>
  <dcterms:created xsi:type="dcterms:W3CDTF">2022-11-23T14:03:00Z</dcterms:created>
  <dcterms:modified xsi:type="dcterms:W3CDTF">2022-11-23T14:04:00Z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