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761D8F2" w14:textId="77777777" w:rsidTr="00B20551">
        <w:trPr>
          <w:cantSplit/>
          <w:trHeight w:hRule="exact" w:val="851"/>
        </w:trPr>
        <w:tc>
          <w:tcPr>
            <w:tcW w:w="1276" w:type="dxa"/>
            <w:tcBorders>
              <w:bottom w:val="single" w:sz="4" w:space="0" w:color="auto"/>
            </w:tcBorders>
            <w:vAlign w:val="bottom"/>
          </w:tcPr>
          <w:p w14:paraId="2782CEF9" w14:textId="77777777" w:rsidR="009E6CB7" w:rsidRDefault="009E6CB7" w:rsidP="00B20551">
            <w:pPr>
              <w:spacing w:after="80"/>
            </w:pPr>
          </w:p>
        </w:tc>
        <w:tc>
          <w:tcPr>
            <w:tcW w:w="2268" w:type="dxa"/>
            <w:tcBorders>
              <w:bottom w:val="single" w:sz="4" w:space="0" w:color="auto"/>
            </w:tcBorders>
            <w:vAlign w:val="bottom"/>
          </w:tcPr>
          <w:p w14:paraId="604AF50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A808AE" w14:textId="2DC87356" w:rsidR="009E6CB7" w:rsidRPr="00D47EEA" w:rsidRDefault="00F60E46" w:rsidP="00F60E46">
            <w:pPr>
              <w:jc w:val="right"/>
            </w:pPr>
            <w:r w:rsidRPr="00F60E46">
              <w:rPr>
                <w:sz w:val="40"/>
              </w:rPr>
              <w:t>ECE</w:t>
            </w:r>
            <w:r>
              <w:t>/TRANS/WP.15/AC.1/2023/</w:t>
            </w:r>
            <w:r w:rsidR="005C646F">
              <w:t>20</w:t>
            </w:r>
          </w:p>
        </w:tc>
      </w:tr>
      <w:tr w:rsidR="009E6CB7" w14:paraId="1CB73880" w14:textId="77777777" w:rsidTr="00B20551">
        <w:trPr>
          <w:cantSplit/>
          <w:trHeight w:hRule="exact" w:val="2835"/>
        </w:trPr>
        <w:tc>
          <w:tcPr>
            <w:tcW w:w="1276" w:type="dxa"/>
            <w:tcBorders>
              <w:top w:val="single" w:sz="4" w:space="0" w:color="auto"/>
              <w:bottom w:val="single" w:sz="12" w:space="0" w:color="auto"/>
            </w:tcBorders>
          </w:tcPr>
          <w:p w14:paraId="2FCC9EAC" w14:textId="77777777" w:rsidR="009E6CB7" w:rsidRDefault="00686A48" w:rsidP="00B20551">
            <w:pPr>
              <w:spacing w:before="120"/>
            </w:pPr>
            <w:r>
              <w:rPr>
                <w:noProof/>
                <w:lang w:val="fr-CH" w:eastAsia="fr-CH"/>
              </w:rPr>
              <w:drawing>
                <wp:inline distT="0" distB="0" distL="0" distR="0" wp14:anchorId="4D736E8C" wp14:editId="6064CA7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EFEF6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04D9DF1" w14:textId="77777777" w:rsidR="009E6CB7" w:rsidRPr="000D296D" w:rsidRDefault="00F60E46" w:rsidP="00F60E46">
            <w:pPr>
              <w:spacing w:before="240" w:line="240" w:lineRule="exact"/>
            </w:pPr>
            <w:r w:rsidRPr="000D296D">
              <w:t>Distr.: General</w:t>
            </w:r>
          </w:p>
          <w:p w14:paraId="349C379D" w14:textId="15570720" w:rsidR="00F60E46" w:rsidRPr="000D296D" w:rsidRDefault="000D296D" w:rsidP="00F60E46">
            <w:pPr>
              <w:spacing w:line="240" w:lineRule="exact"/>
            </w:pPr>
            <w:r>
              <w:t>30</w:t>
            </w:r>
            <w:r w:rsidR="00F60E46" w:rsidRPr="000D296D">
              <w:t xml:space="preserve"> December 2022</w:t>
            </w:r>
          </w:p>
          <w:p w14:paraId="07D689D9" w14:textId="77777777" w:rsidR="00F60E46" w:rsidRPr="007C61EB" w:rsidRDefault="00F60E46" w:rsidP="00F60E46">
            <w:pPr>
              <w:spacing w:line="240" w:lineRule="exact"/>
              <w:rPr>
                <w:highlight w:val="yellow"/>
              </w:rPr>
            </w:pPr>
          </w:p>
          <w:p w14:paraId="2ABFD766" w14:textId="4C72F3DE" w:rsidR="00F60E46" w:rsidRDefault="00F60E46" w:rsidP="00F60E46">
            <w:pPr>
              <w:spacing w:line="240" w:lineRule="exact"/>
            </w:pPr>
            <w:r w:rsidRPr="000D296D">
              <w:t>Original: English</w:t>
            </w:r>
          </w:p>
        </w:tc>
      </w:tr>
    </w:tbl>
    <w:p w14:paraId="3E869A44" w14:textId="77777777" w:rsidR="00AB6AB9" w:rsidRPr="00960236" w:rsidRDefault="00AB6AB9" w:rsidP="00C411EB">
      <w:pPr>
        <w:spacing w:before="120"/>
        <w:rPr>
          <w:b/>
          <w:sz w:val="28"/>
          <w:szCs w:val="28"/>
        </w:rPr>
      </w:pPr>
      <w:r w:rsidRPr="00960236">
        <w:rPr>
          <w:b/>
          <w:sz w:val="28"/>
          <w:szCs w:val="28"/>
        </w:rPr>
        <w:t>Economic Commission for Europe</w:t>
      </w:r>
    </w:p>
    <w:p w14:paraId="4CD8F367" w14:textId="77777777" w:rsidR="00AB6AB9" w:rsidRPr="00960236" w:rsidRDefault="00AB6AB9" w:rsidP="00C411EB">
      <w:pPr>
        <w:spacing w:before="120"/>
        <w:rPr>
          <w:sz w:val="28"/>
          <w:szCs w:val="28"/>
        </w:rPr>
      </w:pPr>
      <w:r w:rsidRPr="00960236">
        <w:rPr>
          <w:sz w:val="28"/>
          <w:szCs w:val="28"/>
        </w:rPr>
        <w:t>Inland Transport Committee</w:t>
      </w:r>
    </w:p>
    <w:p w14:paraId="39FE81F2" w14:textId="77777777" w:rsidR="00AB6AB9" w:rsidRPr="00960236" w:rsidRDefault="00AB6AB9" w:rsidP="00C411EB">
      <w:pPr>
        <w:spacing w:before="120"/>
        <w:rPr>
          <w:b/>
          <w:sz w:val="24"/>
          <w:szCs w:val="24"/>
        </w:rPr>
      </w:pPr>
      <w:r w:rsidRPr="00960236">
        <w:rPr>
          <w:b/>
          <w:sz w:val="24"/>
          <w:szCs w:val="24"/>
        </w:rPr>
        <w:t>Working Party on the Transport of Dangerous Goods</w:t>
      </w:r>
    </w:p>
    <w:p w14:paraId="73CBFE59" w14:textId="77777777" w:rsidR="00AB6AB9" w:rsidRPr="00960236" w:rsidRDefault="00AB6AB9"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3E98993" w14:textId="08B4250D" w:rsidR="00AB6AB9" w:rsidRDefault="005A555F" w:rsidP="00C411EB">
      <w:r>
        <w:t>Bern</w:t>
      </w:r>
      <w:r w:rsidR="00AB6AB9">
        <w:t xml:space="preserve">, </w:t>
      </w:r>
      <w:r>
        <w:t>20-24 March 2023</w:t>
      </w:r>
    </w:p>
    <w:p w14:paraId="614FC64F" w14:textId="3CDDECC4" w:rsidR="00AB6AB9" w:rsidRDefault="00AB6AB9" w:rsidP="00C411EB">
      <w:r>
        <w:t xml:space="preserve">Item </w:t>
      </w:r>
      <w:r w:rsidR="00D069A4">
        <w:t>5 (b)</w:t>
      </w:r>
      <w:r>
        <w:t xml:space="preserve"> of the provisional agenda</w:t>
      </w:r>
    </w:p>
    <w:p w14:paraId="0771430C" w14:textId="07DC651A" w:rsidR="001C6663" w:rsidRDefault="00D069A4" w:rsidP="00C411EB">
      <w:r>
        <w:rPr>
          <w:b/>
          <w:bCs/>
        </w:rPr>
        <w:t>Proposals for amendments to RID/ADR/ADN:</w:t>
      </w:r>
      <w:r>
        <w:rPr>
          <w:b/>
          <w:bCs/>
        </w:rPr>
        <w:br/>
      </w:r>
      <w:r w:rsidRPr="00D069A4">
        <w:rPr>
          <w:b/>
          <w:bCs/>
        </w:rPr>
        <w:t>new proposals</w:t>
      </w:r>
    </w:p>
    <w:p w14:paraId="0E6BD083" w14:textId="77777777" w:rsidR="006F64B2" w:rsidRDefault="006F64B2" w:rsidP="006F64B2">
      <w:pPr>
        <w:pStyle w:val="HChG"/>
      </w:pPr>
      <w:r>
        <w:tab/>
      </w:r>
      <w:r>
        <w:tab/>
        <w:t>Transport of packaged waste in combined packaging</w:t>
      </w:r>
    </w:p>
    <w:p w14:paraId="592AF2C7" w14:textId="7E8B26D4" w:rsidR="006F64B2" w:rsidRPr="00BF6C48" w:rsidRDefault="006F64B2" w:rsidP="006F64B2">
      <w:pPr>
        <w:pStyle w:val="H1G"/>
        <w:rPr>
          <w:vertAlign w:val="superscript"/>
        </w:rPr>
      </w:pPr>
      <w:r>
        <w:tab/>
      </w:r>
      <w:r>
        <w:tab/>
        <w:t>Transmitted by the European Federation of Waste Management and Environmental Services (FEAD)</w:t>
      </w:r>
      <w:r w:rsidR="000B03EC">
        <w:rPr>
          <w:rStyle w:val="FootnoteReference"/>
        </w:rPr>
        <w:footnoteReference w:id="2"/>
      </w:r>
      <w:r w:rsidR="00BF6C48">
        <w:rPr>
          <w:vertAlign w:val="superscript"/>
        </w:rPr>
        <w:t xml:space="preserve">, </w:t>
      </w:r>
      <w:r w:rsidR="00BF6C48">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A555F" w14:paraId="0AA79E65" w14:textId="77777777" w:rsidTr="00D069A4">
        <w:trPr>
          <w:jc w:val="center"/>
        </w:trPr>
        <w:tc>
          <w:tcPr>
            <w:tcW w:w="9629" w:type="dxa"/>
            <w:shd w:val="clear" w:color="auto" w:fill="auto"/>
          </w:tcPr>
          <w:p w14:paraId="01FE0F8F" w14:textId="77777777" w:rsidR="005A555F" w:rsidRPr="00C6263E" w:rsidRDefault="005A555F" w:rsidP="006E5E26">
            <w:pPr>
              <w:spacing w:before="240" w:after="120"/>
              <w:ind w:left="255"/>
              <w:rPr>
                <w:i/>
                <w:sz w:val="24"/>
              </w:rPr>
            </w:pPr>
            <w:r w:rsidRPr="00C6263E">
              <w:rPr>
                <w:i/>
                <w:sz w:val="24"/>
              </w:rPr>
              <w:t>Summary</w:t>
            </w:r>
          </w:p>
        </w:tc>
      </w:tr>
      <w:tr w:rsidR="005A555F" w14:paraId="14E4A9E9" w14:textId="77777777" w:rsidTr="00D069A4">
        <w:trPr>
          <w:jc w:val="center"/>
        </w:trPr>
        <w:tc>
          <w:tcPr>
            <w:tcW w:w="9629" w:type="dxa"/>
            <w:shd w:val="clear" w:color="auto" w:fill="auto"/>
          </w:tcPr>
          <w:p w14:paraId="02ECBE4C" w14:textId="579CB090" w:rsidR="005A555F" w:rsidRDefault="002468B2" w:rsidP="002468B2">
            <w:pPr>
              <w:pStyle w:val="SingleTxtG"/>
              <w:ind w:left="3402" w:hanging="2268"/>
            </w:pPr>
            <w:r>
              <w:rPr>
                <w:b/>
                <w:lang w:eastAsia="en-US"/>
              </w:rPr>
              <w:t>Executive summary</w:t>
            </w:r>
            <w:r>
              <w:rPr>
                <w:lang w:eastAsia="en-US"/>
              </w:rPr>
              <w:t>:</w:t>
            </w:r>
            <w:r>
              <w:rPr>
                <w:lang w:eastAsia="en-US"/>
              </w:rPr>
              <w:tab/>
            </w:r>
            <w:r w:rsidR="007C61EB">
              <w:t>This</w:t>
            </w:r>
            <w:r>
              <w:t xml:space="preserve"> document considers the need to introduce a solution to carry waste in combined packaging where the existing rules are not sufficient to cover all the possible variations encountered in the waste management reality, in which often only the inner packagings are available, and a suitable outer packaging </w:t>
            </w:r>
            <w:proofErr w:type="gramStart"/>
            <w:r>
              <w:t>has to</w:t>
            </w:r>
            <w:proofErr w:type="gramEnd"/>
            <w:r>
              <w:t xml:space="preserve"> be added.</w:t>
            </w:r>
          </w:p>
          <w:p w14:paraId="5B743A12" w14:textId="66851FEA" w:rsidR="002468B2" w:rsidRDefault="007D389D" w:rsidP="002468B2">
            <w:pPr>
              <w:pStyle w:val="SingleTxtG"/>
              <w:ind w:left="3402" w:hanging="2268"/>
            </w:pPr>
            <w:r>
              <w:rPr>
                <w:b/>
              </w:rPr>
              <w:t>Action to be taken</w:t>
            </w:r>
            <w:r>
              <w:t>:</w:t>
            </w:r>
            <w:r>
              <w:tab/>
              <w:t>Introduce a new 4.1.1.5.3.</w:t>
            </w:r>
          </w:p>
        </w:tc>
      </w:tr>
      <w:tr w:rsidR="005A555F" w14:paraId="5E335602" w14:textId="77777777" w:rsidTr="00D069A4">
        <w:trPr>
          <w:jc w:val="center"/>
        </w:trPr>
        <w:tc>
          <w:tcPr>
            <w:tcW w:w="9629" w:type="dxa"/>
            <w:shd w:val="clear" w:color="auto" w:fill="auto"/>
          </w:tcPr>
          <w:p w14:paraId="235710FC" w14:textId="77777777" w:rsidR="005A555F" w:rsidRDefault="005A555F" w:rsidP="006E5E26"/>
        </w:tc>
      </w:tr>
    </w:tbl>
    <w:p w14:paraId="4F2B232C" w14:textId="77777777" w:rsidR="0037575B" w:rsidRDefault="0037575B" w:rsidP="0037575B">
      <w:pPr>
        <w:pStyle w:val="HChG"/>
      </w:pPr>
      <w:r>
        <w:tab/>
      </w:r>
      <w:r>
        <w:tab/>
        <w:t>Introduction</w:t>
      </w:r>
    </w:p>
    <w:p w14:paraId="44F12BD2" w14:textId="2DB27FD3" w:rsidR="0037575B" w:rsidRDefault="008E0BBB" w:rsidP="008E0BBB">
      <w:pPr>
        <w:pStyle w:val="SingleTxtG"/>
      </w:pPr>
      <w:r>
        <w:tab/>
        <w:t>1.</w:t>
      </w:r>
      <w:r>
        <w:tab/>
      </w:r>
      <w:r w:rsidR="0037575B">
        <w:t>4.1.1.5.1 foresees certain variations of inner packaging without further testing of the outer packaging.</w:t>
      </w:r>
    </w:p>
    <w:p w14:paraId="732B0189" w14:textId="36CDFA5B" w:rsidR="0037575B" w:rsidRDefault="008E0BBB" w:rsidP="008E0BBB">
      <w:pPr>
        <w:pStyle w:val="SingleTxtG"/>
        <w:rPr>
          <w:rFonts w:ascii="Raleway" w:hAnsi="Raleway"/>
          <w:caps/>
          <w:color w:val="333333"/>
          <w:sz w:val="23"/>
          <w:szCs w:val="23"/>
        </w:rPr>
      </w:pPr>
      <w:r>
        <w:tab/>
        <w:t>2.</w:t>
      </w:r>
      <w:r>
        <w:tab/>
      </w:r>
      <w:r w:rsidR="0037575B">
        <w:t xml:space="preserve">6.1.5.1.7 determines specific testing rules for outer packaging with variations of inner packagings. </w:t>
      </w:r>
    </w:p>
    <w:p w14:paraId="53E6D456" w14:textId="4C6ED768" w:rsidR="0037575B" w:rsidRDefault="008E0BBB" w:rsidP="008E0BBB">
      <w:pPr>
        <w:pStyle w:val="SingleTxtG"/>
      </w:pPr>
      <w:r>
        <w:t>3.</w:t>
      </w:r>
      <w:r>
        <w:tab/>
      </w:r>
      <w:r w:rsidR="0037575B">
        <w:t xml:space="preserve">Original products are packed in a combined packaging, specifically tested for that purpose (see </w:t>
      </w:r>
      <w:r w:rsidR="00A50253">
        <w:t>RID/</w:t>
      </w:r>
      <w:r w:rsidR="0037575B">
        <w:t xml:space="preserve">ADR 6.1.5). For waste collection, often only the inner packaging remains available (see pictures). This waste must be sorted, according to its hazardous properties, and be packed fulfilling all the requirements of </w:t>
      </w:r>
      <w:r w:rsidR="00A50253">
        <w:t>RID/</w:t>
      </w:r>
      <w:r w:rsidR="0037575B">
        <w:t xml:space="preserve">ADR. </w:t>
      </w:r>
    </w:p>
    <w:p w14:paraId="596CD2EA" w14:textId="397AB026" w:rsidR="0037575B" w:rsidRDefault="008E0BBB" w:rsidP="008E0BBB">
      <w:pPr>
        <w:pStyle w:val="SingleTxtG"/>
      </w:pPr>
      <w:r>
        <w:lastRenderedPageBreak/>
        <w:tab/>
        <w:t>4.</w:t>
      </w:r>
      <w:r>
        <w:tab/>
      </w:r>
      <w:r w:rsidR="0037575B">
        <w:t>The variations foreseen under 4.1.1.5.1 and even the provisions in 6.1.5.1.7 are too strict for the waste management as the existing variations of inner packaging are much wider as those foreseen under 4.1.1.5.1 or the packaging cannot be correctly used in accordance with the certification under 6.1.5.1.7. Also, for safety reasons it is not realistic to repack each single packaging containing waste. Hence, there is a lack of a simple legal solution available to replace the missing outer packaging.</w:t>
      </w:r>
    </w:p>
    <w:p w14:paraId="3EE43586" w14:textId="17802B42" w:rsidR="0037575B" w:rsidRDefault="00261AFD" w:rsidP="00261AFD">
      <w:pPr>
        <w:pStyle w:val="SingleTxtG"/>
      </w:pPr>
      <w:r>
        <w:t>5.</w:t>
      </w:r>
      <w:r>
        <w:tab/>
      </w:r>
      <w:r w:rsidR="0037575B">
        <w:t xml:space="preserve">In absence of applicable rules in </w:t>
      </w:r>
      <w:r w:rsidR="0080360E">
        <w:t>RID/</w:t>
      </w:r>
      <w:r w:rsidR="0037575B">
        <w:t>ADR, some countries have developed their national derogations to provide solutions for the waste management. Therefore, there is a need for harmonised rules that ensure a level playing field between countries and allow for international transports.</w:t>
      </w:r>
    </w:p>
    <w:p w14:paraId="53E61957" w14:textId="0C17C5EB" w:rsidR="0037575B" w:rsidRDefault="00261AFD" w:rsidP="00261AFD">
      <w:pPr>
        <w:pStyle w:val="SingleTxtG"/>
        <w:ind w:right="0"/>
      </w:pPr>
      <w:r>
        <w:tab/>
        <w:t>6.</w:t>
      </w:r>
      <w:r>
        <w:tab/>
      </w:r>
      <w:r w:rsidR="0037575B">
        <w:t>The following pictures show situations faced daily by the waste management sector:</w:t>
      </w:r>
    </w:p>
    <w:p w14:paraId="3D66F945" w14:textId="31B851F7" w:rsidR="0037575B" w:rsidRDefault="0037575B" w:rsidP="00261AFD">
      <w:pPr>
        <w:pStyle w:val="SingleTxtG"/>
        <w:ind w:right="0"/>
        <w:jc w:val="center"/>
      </w:pPr>
      <w:r>
        <w:rPr>
          <w:noProof/>
        </w:rPr>
        <w:drawing>
          <wp:inline distT="0" distB="0" distL="0" distR="0" wp14:anchorId="43B5E957" wp14:editId="4D4A2D4A">
            <wp:extent cx="3034030" cy="2040255"/>
            <wp:effectExtent l="0" t="0" r="0" b="0"/>
            <wp:docPr id="6" name="Picture 6" descr="A picture containing trash, several&#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rash, several&#10;&#10;Description automatically generated"/>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t="10619" r="-2" b="-2"/>
                    <a:stretch>
                      <a:fillRect/>
                    </a:stretch>
                  </pic:blipFill>
                  <pic:spPr bwMode="auto">
                    <a:xfrm>
                      <a:off x="0" y="0"/>
                      <a:ext cx="3034030" cy="2040255"/>
                    </a:xfrm>
                    <a:prstGeom prst="rect">
                      <a:avLst/>
                    </a:prstGeom>
                    <a:noFill/>
                    <a:ln>
                      <a:noFill/>
                    </a:ln>
                  </pic:spPr>
                </pic:pic>
              </a:graphicData>
            </a:graphic>
          </wp:inline>
        </w:drawing>
      </w:r>
    </w:p>
    <w:p w14:paraId="32759DAA" w14:textId="07107B40" w:rsidR="0037575B" w:rsidRDefault="0037575B" w:rsidP="00261AFD">
      <w:pPr>
        <w:pStyle w:val="SingleTxtG"/>
        <w:jc w:val="center"/>
      </w:pPr>
      <w:r>
        <w:t>Fig.1: unsorted waste offered for disposal</w:t>
      </w:r>
    </w:p>
    <w:p w14:paraId="652E552D" w14:textId="2157CB2F" w:rsidR="0037575B" w:rsidRDefault="0037575B" w:rsidP="00261AFD">
      <w:pPr>
        <w:pStyle w:val="SingleTxtG"/>
        <w:ind w:right="0"/>
        <w:jc w:val="center"/>
      </w:pPr>
      <w:r>
        <w:rPr>
          <w:noProof/>
        </w:rPr>
        <w:drawing>
          <wp:inline distT="0" distB="0" distL="0" distR="0" wp14:anchorId="34C5818D" wp14:editId="0CF80155">
            <wp:extent cx="2013585" cy="3002280"/>
            <wp:effectExtent l="953" t="0" r="6667" b="6668"/>
            <wp:docPr id="5" name="Picture 5"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indoo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l="10440" r="39281" b="-2"/>
                    <a:stretch>
                      <a:fillRect/>
                    </a:stretch>
                  </pic:blipFill>
                  <pic:spPr bwMode="auto">
                    <a:xfrm rot="5400000">
                      <a:off x="0" y="0"/>
                      <a:ext cx="2013585" cy="3002280"/>
                    </a:xfrm>
                    <a:prstGeom prst="rect">
                      <a:avLst/>
                    </a:prstGeom>
                    <a:noFill/>
                    <a:ln>
                      <a:noFill/>
                    </a:ln>
                  </pic:spPr>
                </pic:pic>
              </a:graphicData>
            </a:graphic>
          </wp:inline>
        </w:drawing>
      </w:r>
    </w:p>
    <w:p w14:paraId="3D86980F" w14:textId="77777777" w:rsidR="0037575B" w:rsidRDefault="0037575B" w:rsidP="00261AFD">
      <w:pPr>
        <w:pStyle w:val="SingleTxtG"/>
        <w:jc w:val="center"/>
      </w:pPr>
      <w:r>
        <w:t>Fig. 2: university laboratory waste offered for disposal</w:t>
      </w:r>
    </w:p>
    <w:p w14:paraId="6F8442D3" w14:textId="77777777" w:rsidR="0037575B" w:rsidRDefault="0037575B" w:rsidP="00261AFD">
      <w:pPr>
        <w:pStyle w:val="HChG"/>
      </w:pPr>
      <w:r>
        <w:tab/>
      </w:r>
      <w:r>
        <w:tab/>
      </w:r>
      <w:r w:rsidRPr="00261AFD">
        <w:t>Proposal</w:t>
      </w:r>
    </w:p>
    <w:p w14:paraId="40048E84" w14:textId="4427C723" w:rsidR="0037575B" w:rsidRDefault="00261AFD" w:rsidP="00261AFD">
      <w:pPr>
        <w:pStyle w:val="SingleTxtG"/>
      </w:pPr>
      <w:r>
        <w:tab/>
        <w:t>7.</w:t>
      </w:r>
      <w:r>
        <w:tab/>
      </w:r>
      <w:r w:rsidR="0037575B">
        <w:t xml:space="preserve">Following discussions within the </w:t>
      </w:r>
      <w:r w:rsidR="0057607C">
        <w:t xml:space="preserve">informal working group </w:t>
      </w:r>
      <w:r w:rsidR="0037575B">
        <w:t xml:space="preserve">on the Transport of Hazardous Waste at the meeting held on 15 and 16 June 2022 in The Hague (and online), FEAD suggests adding </w:t>
      </w:r>
      <w:r w:rsidR="00B6521E">
        <w:t xml:space="preserve">a new </w:t>
      </w:r>
      <w:r w:rsidR="0037575B">
        <w:t>4.1.1.5.3:</w:t>
      </w:r>
    </w:p>
    <w:p w14:paraId="09DC2D28" w14:textId="521CF2BD" w:rsidR="0037575B" w:rsidRDefault="0037575B" w:rsidP="00C90F0F">
      <w:pPr>
        <w:pStyle w:val="SingleTxtG"/>
        <w:ind w:left="2268" w:hanging="1134"/>
        <w:rPr>
          <w:lang w:val="en-US"/>
        </w:rPr>
      </w:pPr>
      <w:r>
        <w:rPr>
          <w:lang w:val="en-US"/>
        </w:rPr>
        <w:t>“</w:t>
      </w:r>
      <w:r w:rsidR="00B6521E">
        <w:rPr>
          <w:lang w:val="en-US"/>
        </w:rPr>
        <w:t>4.1.1.5.3</w:t>
      </w:r>
      <w:r w:rsidR="00B6521E">
        <w:rPr>
          <w:lang w:val="en-US"/>
        </w:rPr>
        <w:tab/>
      </w:r>
      <w:r>
        <w:rPr>
          <w:lang w:val="en-US"/>
        </w:rPr>
        <w:t>In the case of carriage of waste classified under 2.1.3.5.5, different inner packagings can be used together with one outer packaging, if the outer packaging used complies with the following provisions:</w:t>
      </w:r>
    </w:p>
    <w:p w14:paraId="15537DCA" w14:textId="3DBCC3D4" w:rsidR="0037575B" w:rsidRDefault="00B6521E" w:rsidP="00B6521E">
      <w:pPr>
        <w:pStyle w:val="SingleTxtG"/>
        <w:ind w:left="2835" w:hanging="567"/>
      </w:pPr>
      <w:r>
        <w:rPr>
          <w:lang w:val="en-US"/>
        </w:rPr>
        <w:t>(a)</w:t>
      </w:r>
      <w:r w:rsidR="00261AFD">
        <w:rPr>
          <w:lang w:val="en-US"/>
        </w:rPr>
        <w:tab/>
      </w:r>
      <w:r w:rsidR="0037575B">
        <w:rPr>
          <w:lang w:val="en-US"/>
        </w:rPr>
        <w:t>The outer packaging shall be tested for packaging group I</w:t>
      </w:r>
      <w:r>
        <w:rPr>
          <w:lang w:val="en-US"/>
        </w:rPr>
        <w:t>;</w:t>
      </w:r>
    </w:p>
    <w:p w14:paraId="3F0D6DC6" w14:textId="0DB17BDA" w:rsidR="0037575B" w:rsidRDefault="00B6521E" w:rsidP="00B6521E">
      <w:pPr>
        <w:pStyle w:val="SingleTxtG"/>
        <w:ind w:left="2835" w:hanging="567"/>
      </w:pPr>
      <w:r>
        <w:rPr>
          <w:lang w:val="en-US"/>
        </w:rPr>
        <w:t>(b)</w:t>
      </w:r>
      <w:r w:rsidR="00F5208F">
        <w:rPr>
          <w:lang w:val="en-US"/>
        </w:rPr>
        <w:tab/>
      </w:r>
      <w:r w:rsidR="0037575B">
        <w:rPr>
          <w:lang w:val="en-US"/>
        </w:rPr>
        <w:t>An outer packaging tested for solids may be used for combined packaging, without specifically testing it for the inner packagings</w:t>
      </w:r>
      <w:r>
        <w:rPr>
          <w:lang w:val="en-US"/>
        </w:rPr>
        <w:t>;</w:t>
      </w:r>
    </w:p>
    <w:p w14:paraId="01391209" w14:textId="6CE919E2" w:rsidR="0037575B" w:rsidRDefault="00B6521E" w:rsidP="00B6521E">
      <w:pPr>
        <w:pStyle w:val="SingleTxtG"/>
        <w:ind w:left="2835" w:hanging="567"/>
        <w:rPr>
          <w:lang w:val="en-US"/>
        </w:rPr>
      </w:pPr>
      <w:r>
        <w:rPr>
          <w:lang w:val="en-US"/>
        </w:rPr>
        <w:t>(c)</w:t>
      </w:r>
      <w:r w:rsidR="00F5208F">
        <w:rPr>
          <w:lang w:val="en-US"/>
        </w:rPr>
        <w:tab/>
      </w:r>
      <w:r w:rsidR="0037575B">
        <w:rPr>
          <w:lang w:val="en-US"/>
        </w:rPr>
        <w:t>Inner packagings of different sizes and shapes and materials may be used, provided that the outer packaging used can be closed</w:t>
      </w:r>
      <w:r>
        <w:rPr>
          <w:lang w:val="en-US"/>
        </w:rPr>
        <w:t>;</w:t>
      </w:r>
    </w:p>
    <w:p w14:paraId="0575933A" w14:textId="4592DC13" w:rsidR="0037575B" w:rsidRDefault="00B6521E" w:rsidP="00B6521E">
      <w:pPr>
        <w:pStyle w:val="SingleTxtG"/>
        <w:ind w:left="2835" w:hanging="567"/>
        <w:rPr>
          <w:lang w:val="en-US"/>
        </w:rPr>
      </w:pPr>
      <w:r>
        <w:rPr>
          <w:lang w:val="en-US"/>
        </w:rPr>
        <w:t>(d)</w:t>
      </w:r>
      <w:r w:rsidR="00F5208F">
        <w:rPr>
          <w:lang w:val="en-US"/>
        </w:rPr>
        <w:tab/>
      </w:r>
      <w:r w:rsidR="0037575B">
        <w:rPr>
          <w:lang w:val="en-US"/>
        </w:rPr>
        <w:t>Sufficient cushioning material is used to prevent significant movement of the inner packagings under normal transport conditions</w:t>
      </w:r>
      <w:r>
        <w:rPr>
          <w:lang w:val="en-US"/>
        </w:rPr>
        <w:t>;</w:t>
      </w:r>
    </w:p>
    <w:p w14:paraId="0A9DD524" w14:textId="2E11B12D" w:rsidR="0037575B" w:rsidRDefault="00B6521E" w:rsidP="00B6521E">
      <w:pPr>
        <w:pStyle w:val="SingleTxtG"/>
        <w:ind w:left="2835" w:hanging="567"/>
      </w:pPr>
      <w:r>
        <w:rPr>
          <w:lang w:val="en-US"/>
        </w:rPr>
        <w:t>(e)</w:t>
      </w:r>
      <w:r w:rsidR="003A0452">
        <w:rPr>
          <w:lang w:val="en-US"/>
        </w:rPr>
        <w:tab/>
      </w:r>
      <w:r w:rsidR="0037575B">
        <w:rPr>
          <w:lang w:val="en-US"/>
        </w:rPr>
        <w:t>Sufficient absorbent material is used so that any leakage of the contents of the inner packagings does not compromise the integrity of the cushioning material or of the outer packaging</w:t>
      </w:r>
      <w:r>
        <w:rPr>
          <w:lang w:val="en-US"/>
        </w:rPr>
        <w:t>;</w:t>
      </w:r>
    </w:p>
    <w:p w14:paraId="64068679" w14:textId="77C6D0E1" w:rsidR="0037575B" w:rsidRDefault="00B6521E" w:rsidP="00B6521E">
      <w:pPr>
        <w:pStyle w:val="SingleTxtG"/>
        <w:ind w:left="2835" w:hanging="567"/>
      </w:pPr>
      <w:r>
        <w:rPr>
          <w:lang w:val="en-US"/>
        </w:rPr>
        <w:t>(f)</w:t>
      </w:r>
      <w:r w:rsidR="003A0452">
        <w:rPr>
          <w:lang w:val="en-US"/>
        </w:rPr>
        <w:tab/>
      </w:r>
      <w:r w:rsidR="0037575B">
        <w:rPr>
          <w:lang w:val="en-US"/>
        </w:rPr>
        <w:t>For packaging with codes 1H2, 3H2 and 4H2, proof of sufficient chemical compatibility is deemed to have been provided if the compatibility of the material with the respective standard liquids has been verified as part of a design test and approval for packaging with code 1H1 or 3H1</w:t>
      </w:r>
      <w:r>
        <w:rPr>
          <w:lang w:val="en-US"/>
        </w:rPr>
        <w:t>;</w:t>
      </w:r>
    </w:p>
    <w:p w14:paraId="6961B9F6" w14:textId="21483729" w:rsidR="0037575B" w:rsidRDefault="00B6521E" w:rsidP="00B6521E">
      <w:pPr>
        <w:pStyle w:val="SingleTxtG"/>
        <w:ind w:left="2835" w:hanging="567"/>
        <w:rPr>
          <w:lang w:val="en-US"/>
        </w:rPr>
      </w:pPr>
      <w:r>
        <w:rPr>
          <w:lang w:val="en-US"/>
        </w:rPr>
        <w:t>(g)</w:t>
      </w:r>
      <w:r>
        <w:rPr>
          <w:lang w:val="en-US"/>
        </w:rPr>
        <w:tab/>
      </w:r>
      <w:r w:rsidR="003A0452">
        <w:rPr>
          <w:lang w:val="en-US"/>
        </w:rPr>
        <w:tab/>
      </w:r>
      <w:r w:rsidR="0037575B">
        <w:rPr>
          <w:lang w:val="en-US"/>
        </w:rPr>
        <w:t>Waste presenting a risk, or a subsidiary risk, of Class 5.1 shall not be packed together with waste classified under another class in the same outer packaging</w:t>
      </w:r>
      <w:r>
        <w:rPr>
          <w:lang w:val="en-US"/>
        </w:rPr>
        <w:t>;</w:t>
      </w:r>
    </w:p>
    <w:p w14:paraId="6527F4E5" w14:textId="68C8A0C9" w:rsidR="0037575B" w:rsidRDefault="00B6521E" w:rsidP="00B6521E">
      <w:pPr>
        <w:pStyle w:val="SingleTxtG"/>
        <w:ind w:left="2835" w:hanging="567"/>
        <w:rPr>
          <w:lang w:val="en-US"/>
        </w:rPr>
      </w:pPr>
      <w:r>
        <w:rPr>
          <w:lang w:val="en-US"/>
        </w:rPr>
        <w:t>(h)</w:t>
      </w:r>
      <w:r>
        <w:rPr>
          <w:lang w:val="en-US"/>
        </w:rPr>
        <w:tab/>
      </w:r>
      <w:r w:rsidR="003A0452">
        <w:rPr>
          <w:lang w:val="en-US"/>
        </w:rPr>
        <w:tab/>
      </w:r>
      <w:r w:rsidR="0037575B">
        <w:rPr>
          <w:lang w:val="en-US"/>
        </w:rPr>
        <w:t>On the basis of the knowledge of the composition of the waste and the physical and chemical properties of the identified components, the waste contained in one outer packaging is assigned to the most stringent collective entry describing those properties, according to the table of precedence of hazards of 2.1.3.10.”</w:t>
      </w:r>
    </w:p>
    <w:p w14:paraId="78031ECD" w14:textId="17B54B7C" w:rsidR="0037575B" w:rsidRDefault="00237A1B" w:rsidP="00237A1B">
      <w:pPr>
        <w:pStyle w:val="SingleTxtG"/>
        <w:rPr>
          <w:lang w:val="en-US"/>
        </w:rPr>
      </w:pPr>
      <w:r>
        <w:rPr>
          <w:lang w:val="en-US"/>
        </w:rPr>
        <w:tab/>
        <w:t>8.</w:t>
      </w:r>
      <w:r>
        <w:rPr>
          <w:lang w:val="en-US"/>
        </w:rPr>
        <w:tab/>
      </w:r>
      <w:r w:rsidR="0037575B">
        <w:rPr>
          <w:lang w:val="en-US"/>
        </w:rPr>
        <w:t xml:space="preserve">A new paragraph 5.4.1.1.xx </w:t>
      </w:r>
      <w:proofErr w:type="gramStart"/>
      <w:r w:rsidR="0037575B">
        <w:rPr>
          <w:lang w:val="en-US"/>
        </w:rPr>
        <w:t>has to</w:t>
      </w:r>
      <w:proofErr w:type="gramEnd"/>
      <w:r w:rsidR="0037575B">
        <w:rPr>
          <w:lang w:val="en-US"/>
        </w:rPr>
        <w:t xml:space="preserve"> be added:</w:t>
      </w:r>
    </w:p>
    <w:p w14:paraId="2AC19828" w14:textId="4EDC5587" w:rsidR="0037575B" w:rsidRDefault="00C90F0F" w:rsidP="00C90F0F">
      <w:pPr>
        <w:pStyle w:val="SingleTxtG"/>
        <w:ind w:left="2268" w:hanging="1134"/>
        <w:rPr>
          <w:lang w:val="en-US"/>
        </w:rPr>
      </w:pPr>
      <w:r>
        <w:rPr>
          <w:lang w:val="en-US"/>
        </w:rPr>
        <w:t>“</w:t>
      </w:r>
      <w:r w:rsidR="0037575B">
        <w:rPr>
          <w:lang w:val="en-US"/>
        </w:rPr>
        <w:t xml:space="preserve">5.4.1.1.xx </w:t>
      </w:r>
      <w:r>
        <w:rPr>
          <w:lang w:val="en-US"/>
        </w:rPr>
        <w:tab/>
      </w:r>
      <w:r w:rsidR="0037575B">
        <w:rPr>
          <w:i/>
          <w:iCs/>
          <w:lang w:val="en-US"/>
        </w:rPr>
        <w:t>Special provision for the transport of waste in combined packaging</w:t>
      </w:r>
      <w:r w:rsidR="0037575B">
        <w:rPr>
          <w:lang w:val="en-US"/>
        </w:rPr>
        <w:t xml:space="preserve"> </w:t>
      </w:r>
    </w:p>
    <w:p w14:paraId="5FF70FC5" w14:textId="3FF7577C" w:rsidR="0037575B" w:rsidRDefault="00C90F0F" w:rsidP="00C90F0F">
      <w:pPr>
        <w:pStyle w:val="SingleTxtG"/>
        <w:ind w:left="2268" w:hanging="1134"/>
        <w:rPr>
          <w:lang w:val="en-US"/>
        </w:rPr>
      </w:pPr>
      <w:r>
        <w:rPr>
          <w:lang w:val="en-US"/>
        </w:rPr>
        <w:tab/>
      </w:r>
      <w:r w:rsidR="0037575B">
        <w:rPr>
          <w:lang w:val="en-US"/>
        </w:rPr>
        <w:t>For carriage in accordance with 4.1.1.5.3, a statement shall be included in the transport document, as follows "Transport in accordance with 4.1.1.5.3</w:t>
      </w:r>
      <w:r>
        <w:rPr>
          <w:lang w:val="en-US"/>
        </w:rPr>
        <w:t>".</w:t>
      </w:r>
      <w:r w:rsidR="0037575B">
        <w:rPr>
          <w:lang w:val="en-US"/>
        </w:rPr>
        <w:t>”</w:t>
      </w:r>
    </w:p>
    <w:p w14:paraId="35943B57" w14:textId="72A1A1A7" w:rsidR="0037575B" w:rsidRDefault="00237A1B" w:rsidP="00237A1B">
      <w:pPr>
        <w:pStyle w:val="SingleTxtG"/>
        <w:rPr>
          <w:lang w:val="en-US"/>
        </w:rPr>
      </w:pPr>
      <w:r>
        <w:rPr>
          <w:lang w:val="en-US"/>
        </w:rPr>
        <w:tab/>
        <w:t>9.</w:t>
      </w:r>
      <w:r>
        <w:rPr>
          <w:lang w:val="en-US"/>
        </w:rPr>
        <w:tab/>
      </w:r>
      <w:r w:rsidR="0037575B">
        <w:rPr>
          <w:lang w:val="en-US"/>
        </w:rPr>
        <w:t xml:space="preserve">Other obligations under </w:t>
      </w:r>
      <w:r w:rsidR="00C90F0F">
        <w:rPr>
          <w:lang w:val="en-US"/>
        </w:rPr>
        <w:t>RID/</w:t>
      </w:r>
      <w:r w:rsidR="0037575B">
        <w:rPr>
          <w:lang w:val="en-US"/>
        </w:rPr>
        <w:t xml:space="preserve">ADR remain applicable, </w:t>
      </w:r>
      <w:proofErr w:type="gramStart"/>
      <w:r w:rsidR="0037575B">
        <w:rPr>
          <w:lang w:val="en-US"/>
        </w:rPr>
        <w:t>in particular 4.1.1.6</w:t>
      </w:r>
      <w:proofErr w:type="gramEnd"/>
      <w:r w:rsidR="0037575B">
        <w:rPr>
          <w:lang w:val="en-US"/>
        </w:rPr>
        <w:t>. The proposal is based on the knowledge and practice acquired by the waste management sector in the past 20 years in different countries.</w:t>
      </w:r>
    </w:p>
    <w:p w14:paraId="4EF82A4E" w14:textId="722FE2C8" w:rsidR="0037575B" w:rsidRDefault="0037575B" w:rsidP="00237A1B">
      <w:pPr>
        <w:ind w:left="1134"/>
        <w:jc w:val="center"/>
        <w:rPr>
          <w:lang w:val="en-US"/>
        </w:rPr>
      </w:pPr>
      <w:r>
        <w:rPr>
          <w:noProof/>
        </w:rPr>
        <w:drawing>
          <wp:inline distT="0" distB="0" distL="0" distR="0" wp14:anchorId="1807DAFD" wp14:editId="06C29738">
            <wp:extent cx="3277235" cy="2199005"/>
            <wp:effectExtent l="0" t="0" r="0" b="0"/>
            <wp:docPr id="4" name="Picture 4" descr="A picture containing bowl, blue, containe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4" descr="A picture containing bowl, blue, container, plastic&#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t="7841" r="-2" b="2773"/>
                    <a:stretch>
                      <a:fillRect/>
                    </a:stretch>
                  </pic:blipFill>
                  <pic:spPr bwMode="auto">
                    <a:xfrm>
                      <a:off x="0" y="0"/>
                      <a:ext cx="3277235" cy="2199005"/>
                    </a:xfrm>
                    <a:prstGeom prst="rect">
                      <a:avLst/>
                    </a:prstGeom>
                    <a:noFill/>
                    <a:ln>
                      <a:noFill/>
                    </a:ln>
                  </pic:spPr>
                </pic:pic>
              </a:graphicData>
            </a:graphic>
          </wp:inline>
        </w:drawing>
      </w:r>
    </w:p>
    <w:p w14:paraId="217BC9B4" w14:textId="77777777" w:rsidR="0037575B" w:rsidRDefault="0037575B" w:rsidP="00237A1B">
      <w:pPr>
        <w:ind w:left="1134"/>
        <w:jc w:val="center"/>
      </w:pPr>
      <w:r>
        <w:t>Fig. 3: example of sorted waste for disposal</w:t>
      </w:r>
    </w:p>
    <w:p w14:paraId="24F5D04A" w14:textId="77777777" w:rsidR="0037575B" w:rsidRDefault="0037575B" w:rsidP="0037575B">
      <w:pPr>
        <w:ind w:left="1134"/>
        <w:jc w:val="both"/>
      </w:pPr>
    </w:p>
    <w:p w14:paraId="05446ED1" w14:textId="130AF52B" w:rsidR="0037575B" w:rsidRDefault="0037575B" w:rsidP="00237A1B">
      <w:pPr>
        <w:ind w:left="1134"/>
        <w:jc w:val="center"/>
      </w:pPr>
      <w:r>
        <w:rPr>
          <w:noProof/>
        </w:rPr>
        <w:drawing>
          <wp:inline distT="0" distB="0" distL="0" distR="0" wp14:anchorId="0068CA72" wp14:editId="735806D4">
            <wp:extent cx="3277235" cy="2458085"/>
            <wp:effectExtent l="0" t="0" r="0" b="0"/>
            <wp:docPr id="3" name="Picture 3" descr="A picture containing dirty,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irty, kitchen applianc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3277235" cy="2458085"/>
                    </a:xfrm>
                    <a:prstGeom prst="rect">
                      <a:avLst/>
                    </a:prstGeom>
                    <a:noFill/>
                    <a:ln>
                      <a:noFill/>
                    </a:ln>
                  </pic:spPr>
                </pic:pic>
              </a:graphicData>
            </a:graphic>
          </wp:inline>
        </w:drawing>
      </w:r>
    </w:p>
    <w:p w14:paraId="2D5C09CA" w14:textId="77777777" w:rsidR="0037575B" w:rsidRDefault="0037575B" w:rsidP="00237A1B">
      <w:pPr>
        <w:pStyle w:val="SingleTxtG"/>
        <w:jc w:val="center"/>
      </w:pPr>
      <w:r>
        <w:t>Fig. 4: sorted waste (inner packaging in an outer packaging)</w:t>
      </w:r>
    </w:p>
    <w:p w14:paraId="3EF05742" w14:textId="77777777" w:rsidR="0037575B" w:rsidRDefault="0037575B" w:rsidP="0037575B">
      <w:pPr>
        <w:pStyle w:val="HChG"/>
        <w:ind w:firstLine="0"/>
      </w:pPr>
      <w:r>
        <w:t>Justification</w:t>
      </w:r>
    </w:p>
    <w:p w14:paraId="255066C1" w14:textId="0ACA97F5" w:rsidR="0037575B" w:rsidRDefault="00237A1B" w:rsidP="0037575B">
      <w:pPr>
        <w:pStyle w:val="SingleTxtG"/>
        <w:ind w:right="621"/>
        <w:jc w:val="left"/>
      </w:pPr>
      <w:r>
        <w:tab/>
        <w:t>1</w:t>
      </w:r>
      <w:r w:rsidR="007651B2">
        <w:t>0</w:t>
      </w:r>
      <w:r>
        <w:t>.</w:t>
      </w:r>
      <w:r>
        <w:tab/>
      </w:r>
      <w:r w:rsidR="0037575B">
        <w:t>This proposal clarifies the situation faced in waste management and does not increase the current risk level.</w:t>
      </w:r>
    </w:p>
    <w:p w14:paraId="1882C38C" w14:textId="77777777" w:rsidR="0037575B" w:rsidRDefault="0037575B" w:rsidP="0037575B">
      <w:pPr>
        <w:spacing w:before="240"/>
        <w:jc w:val="center"/>
        <w:rPr>
          <w:u w:val="single"/>
        </w:rPr>
      </w:pPr>
      <w:r>
        <w:rPr>
          <w:u w:val="single"/>
        </w:rPr>
        <w:tab/>
      </w:r>
      <w:r>
        <w:rPr>
          <w:u w:val="single"/>
        </w:rPr>
        <w:tab/>
      </w:r>
      <w:r>
        <w:rPr>
          <w:u w:val="single"/>
        </w:rPr>
        <w:tab/>
      </w:r>
    </w:p>
    <w:p w14:paraId="6D325B72" w14:textId="3FEB17BB" w:rsidR="00AB6AB9" w:rsidRDefault="00AB6AB9" w:rsidP="005A555F"/>
    <w:p w14:paraId="38FA2964" w14:textId="7012AD9A" w:rsidR="00AB6AB9" w:rsidRDefault="00AB6AB9" w:rsidP="00C411EB"/>
    <w:p w14:paraId="179AE9B4" w14:textId="77777777" w:rsidR="00AB6AB9" w:rsidRPr="00F60E46" w:rsidRDefault="00AB6AB9" w:rsidP="00C411EB"/>
    <w:sectPr w:rsidR="00AB6AB9" w:rsidRPr="00F60E46" w:rsidSect="00F60E46">
      <w:headerReference w:type="even" r:id="rId16"/>
      <w:headerReference w:type="default" r:id="rId17"/>
      <w:footerReference w:type="even" r:id="rId18"/>
      <w:footerReference w:type="default" r:id="rId19"/>
      <w:headerReference w:type="first" r:id="rId20"/>
      <w:footerReference w:type="first" r:id="rId21"/>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84FE" w14:textId="77777777" w:rsidR="002D249C" w:rsidRDefault="002D249C"/>
  </w:endnote>
  <w:endnote w:type="continuationSeparator" w:id="0">
    <w:p w14:paraId="0DB17201" w14:textId="77777777" w:rsidR="002D249C" w:rsidRDefault="002D249C"/>
  </w:endnote>
  <w:endnote w:type="continuationNotice" w:id="1">
    <w:p w14:paraId="285EEBB3" w14:textId="77777777" w:rsidR="002D249C" w:rsidRDefault="002D2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6837" w14:textId="338A8215" w:rsidR="00F60E46" w:rsidRPr="00F60E46" w:rsidRDefault="00F60E46" w:rsidP="00F60E46">
    <w:pPr>
      <w:pStyle w:val="Footer"/>
      <w:tabs>
        <w:tab w:val="right" w:pos="9638"/>
      </w:tabs>
      <w:rPr>
        <w:sz w:val="18"/>
      </w:rPr>
    </w:pPr>
    <w:r w:rsidRPr="00F60E46">
      <w:rPr>
        <w:b/>
        <w:sz w:val="18"/>
      </w:rPr>
      <w:fldChar w:fldCharType="begin"/>
    </w:r>
    <w:r w:rsidRPr="00F60E46">
      <w:rPr>
        <w:b/>
        <w:sz w:val="18"/>
      </w:rPr>
      <w:instrText xml:space="preserve"> PAGE  \* MERGEFORMAT </w:instrText>
    </w:r>
    <w:r w:rsidRPr="00F60E46">
      <w:rPr>
        <w:b/>
        <w:sz w:val="18"/>
      </w:rPr>
      <w:fldChar w:fldCharType="separate"/>
    </w:r>
    <w:r w:rsidRPr="00F60E46">
      <w:rPr>
        <w:b/>
        <w:noProof/>
        <w:sz w:val="18"/>
      </w:rPr>
      <w:t>2</w:t>
    </w:r>
    <w:r w:rsidRPr="00F60E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C71A" w14:textId="13B8CABC" w:rsidR="00F60E46" w:rsidRPr="00F60E46" w:rsidRDefault="00F60E46" w:rsidP="00F60E46">
    <w:pPr>
      <w:pStyle w:val="Footer"/>
      <w:tabs>
        <w:tab w:val="right" w:pos="9638"/>
      </w:tabs>
      <w:rPr>
        <w:b/>
        <w:sz w:val="18"/>
      </w:rPr>
    </w:pPr>
    <w:r>
      <w:tab/>
    </w:r>
    <w:r w:rsidRPr="00F60E46">
      <w:rPr>
        <w:b/>
        <w:sz w:val="18"/>
      </w:rPr>
      <w:fldChar w:fldCharType="begin"/>
    </w:r>
    <w:r w:rsidRPr="00F60E46">
      <w:rPr>
        <w:b/>
        <w:sz w:val="18"/>
      </w:rPr>
      <w:instrText xml:space="preserve"> PAGE  \* MERGEFORMAT </w:instrText>
    </w:r>
    <w:r w:rsidRPr="00F60E46">
      <w:rPr>
        <w:b/>
        <w:sz w:val="18"/>
      </w:rPr>
      <w:fldChar w:fldCharType="separate"/>
    </w:r>
    <w:r w:rsidRPr="00F60E46">
      <w:rPr>
        <w:b/>
        <w:noProof/>
        <w:sz w:val="18"/>
      </w:rPr>
      <w:t>3</w:t>
    </w:r>
    <w:r w:rsidRPr="00F60E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EB1C" w14:textId="77777777" w:rsidR="0035223F" w:rsidRPr="00F60E46" w:rsidRDefault="00686A48">
    <w:pPr>
      <w:pStyle w:val="Footer"/>
      <w:rPr>
        <w:sz w:val="20"/>
      </w:rPr>
    </w:pPr>
    <w:r>
      <w:rPr>
        <w:noProof/>
        <w:lang w:val="fr-CH" w:eastAsia="fr-CH"/>
      </w:rPr>
      <w:drawing>
        <wp:anchor distT="0" distB="0" distL="114300" distR="114300" simplePos="0" relativeHeight="251657728" behindDoc="0" locked="1" layoutInCell="1" allowOverlap="1" wp14:anchorId="55BE574E" wp14:editId="02282DCC">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90D82" w14:textId="77777777" w:rsidR="002D249C" w:rsidRPr="000B175B" w:rsidRDefault="002D249C" w:rsidP="000B175B">
      <w:pPr>
        <w:tabs>
          <w:tab w:val="right" w:pos="2155"/>
        </w:tabs>
        <w:spacing w:after="80"/>
        <w:ind w:left="680"/>
        <w:rPr>
          <w:u w:val="single"/>
        </w:rPr>
      </w:pPr>
      <w:r>
        <w:rPr>
          <w:u w:val="single"/>
        </w:rPr>
        <w:tab/>
      </w:r>
    </w:p>
  </w:footnote>
  <w:footnote w:type="continuationSeparator" w:id="0">
    <w:p w14:paraId="7AB68034" w14:textId="77777777" w:rsidR="002D249C" w:rsidRPr="00FC68B7" w:rsidRDefault="002D249C" w:rsidP="00FC68B7">
      <w:pPr>
        <w:tabs>
          <w:tab w:val="left" w:pos="2155"/>
        </w:tabs>
        <w:spacing w:after="80"/>
        <w:ind w:left="680"/>
        <w:rPr>
          <w:u w:val="single"/>
        </w:rPr>
      </w:pPr>
      <w:r>
        <w:rPr>
          <w:u w:val="single"/>
        </w:rPr>
        <w:tab/>
      </w:r>
    </w:p>
  </w:footnote>
  <w:footnote w:type="continuationNotice" w:id="1">
    <w:p w14:paraId="1C965FED" w14:textId="77777777" w:rsidR="002D249C" w:rsidRDefault="002D249C"/>
  </w:footnote>
  <w:footnote w:id="2">
    <w:p w14:paraId="4CB5C9F6" w14:textId="3253336D" w:rsidR="000B03EC" w:rsidRPr="000B03EC" w:rsidRDefault="000B03EC" w:rsidP="00501BB3">
      <w:pPr>
        <w:pStyle w:val="FootnoteText"/>
        <w:ind w:firstLine="0"/>
        <w:rPr>
          <w:lang w:val="fr-CH"/>
        </w:rPr>
      </w:pPr>
      <w:r>
        <w:rPr>
          <w:rStyle w:val="FootnoteReference"/>
        </w:rPr>
        <w:footnoteRef/>
      </w:r>
      <w:r>
        <w:t xml:space="preserve"> </w:t>
      </w:r>
      <w:r w:rsidR="00BF6C48" w:rsidRPr="007054A5">
        <w:t>A/7</w:t>
      </w:r>
      <w:r w:rsidR="00BF6C48">
        <w:t>7</w:t>
      </w:r>
      <w:r w:rsidR="00BF6C48" w:rsidRPr="007054A5">
        <w:t>/6 (Sect.20), para. 20.76</w:t>
      </w:r>
    </w:p>
  </w:footnote>
  <w:footnote w:id="3">
    <w:p w14:paraId="3B5D7FAA" w14:textId="204AD433" w:rsidR="00BF6C48" w:rsidRPr="00BF6C48" w:rsidRDefault="00BF6C48" w:rsidP="00501BB3">
      <w:pPr>
        <w:pStyle w:val="FootnoteText"/>
        <w:ind w:firstLine="0"/>
        <w:rPr>
          <w:lang w:val="fr-CH"/>
        </w:rPr>
      </w:pPr>
      <w:r>
        <w:rPr>
          <w:rStyle w:val="FootnoteReference"/>
        </w:rPr>
        <w:t>**</w:t>
      </w:r>
      <w:r>
        <w:t xml:space="preserve"> </w:t>
      </w:r>
      <w:r w:rsidR="00501BB3">
        <w:rPr>
          <w:szCs w:val="18"/>
        </w:rPr>
        <w:t>Circulated by the Intergovernmental Organisation for International Carriage by Rail (OTIF) under the symbol OTIF/RID/RC/2023/20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4656" w14:textId="25FF8EDA" w:rsidR="00F60E46" w:rsidRPr="00F60E46" w:rsidRDefault="00C90F0F">
    <w:pPr>
      <w:pStyle w:val="Header"/>
    </w:pPr>
    <w:fldSimple w:instr=" TITLE  \* MERGEFORMAT ">
      <w:r w:rsidR="008254D1">
        <w:t>ECE/TRANS/WP.15/AC.1/2023/</w:t>
      </w:r>
    </w:fldSimple>
    <w:r w:rsidR="00237A1B">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39BB" w14:textId="2B936AD4" w:rsidR="00F60E46" w:rsidRPr="00F60E46" w:rsidRDefault="00C90F0F" w:rsidP="00F60E46">
    <w:pPr>
      <w:pStyle w:val="Header"/>
      <w:jc w:val="right"/>
    </w:pPr>
    <w:fldSimple w:instr=" TITLE  \* MERGEFORMAT ">
      <w:r w:rsidR="008254D1">
        <w:t>ECE/TRANS/WP.15/AC.1/2023/</w:t>
      </w:r>
    </w:fldSimple>
    <w:r w:rsidR="005B72C7">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E3AC" w14:textId="77777777" w:rsidR="005B72C7" w:rsidRDefault="005B7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95503B3"/>
    <w:multiLevelType w:val="hybridMultilevel"/>
    <w:tmpl w:val="FB269056"/>
    <w:lvl w:ilvl="0" w:tplc="2000001B">
      <w:start w:val="1"/>
      <w:numFmt w:val="lowerRoman"/>
      <w:lvlText w:val="%1."/>
      <w:lvlJc w:val="right"/>
      <w:pPr>
        <w:ind w:left="2061" w:hanging="360"/>
      </w:pPr>
    </w:lvl>
    <w:lvl w:ilvl="1" w:tplc="FFFFFFFF">
      <w:start w:val="1"/>
      <w:numFmt w:val="bullet"/>
      <w:lvlText w:val="o"/>
      <w:lvlJc w:val="left"/>
      <w:pPr>
        <w:ind w:left="2781" w:hanging="360"/>
      </w:pPr>
      <w:rPr>
        <w:rFonts w:ascii="Courier New" w:hAnsi="Courier New" w:cs="Courier New" w:hint="default"/>
      </w:rPr>
    </w:lvl>
    <w:lvl w:ilvl="2" w:tplc="FFFFFFFF">
      <w:start w:val="1"/>
      <w:numFmt w:val="bullet"/>
      <w:lvlText w:val=""/>
      <w:lvlJc w:val="left"/>
      <w:pPr>
        <w:ind w:left="3501" w:hanging="360"/>
      </w:pPr>
      <w:rPr>
        <w:rFonts w:ascii="Wingdings" w:hAnsi="Wingdings" w:hint="default"/>
      </w:rPr>
    </w:lvl>
    <w:lvl w:ilvl="3" w:tplc="FFFFFFFF">
      <w:start w:val="1"/>
      <w:numFmt w:val="bullet"/>
      <w:lvlText w:val=""/>
      <w:lvlJc w:val="left"/>
      <w:pPr>
        <w:ind w:left="4221" w:hanging="360"/>
      </w:pPr>
      <w:rPr>
        <w:rFonts w:ascii="Symbol" w:hAnsi="Symbol" w:hint="default"/>
      </w:rPr>
    </w:lvl>
    <w:lvl w:ilvl="4" w:tplc="FFFFFFFF">
      <w:start w:val="1"/>
      <w:numFmt w:val="bullet"/>
      <w:lvlText w:val="o"/>
      <w:lvlJc w:val="left"/>
      <w:pPr>
        <w:ind w:left="4941" w:hanging="360"/>
      </w:pPr>
      <w:rPr>
        <w:rFonts w:ascii="Courier New" w:hAnsi="Courier New" w:cs="Courier New" w:hint="default"/>
      </w:rPr>
    </w:lvl>
    <w:lvl w:ilvl="5" w:tplc="FFFFFFFF">
      <w:start w:val="1"/>
      <w:numFmt w:val="bullet"/>
      <w:lvlText w:val=""/>
      <w:lvlJc w:val="left"/>
      <w:pPr>
        <w:ind w:left="5661" w:hanging="360"/>
      </w:pPr>
      <w:rPr>
        <w:rFonts w:ascii="Wingdings" w:hAnsi="Wingdings" w:hint="default"/>
      </w:rPr>
    </w:lvl>
    <w:lvl w:ilvl="6" w:tplc="FFFFFFFF">
      <w:start w:val="1"/>
      <w:numFmt w:val="bullet"/>
      <w:lvlText w:val=""/>
      <w:lvlJc w:val="left"/>
      <w:pPr>
        <w:ind w:left="6381" w:hanging="360"/>
      </w:pPr>
      <w:rPr>
        <w:rFonts w:ascii="Symbol" w:hAnsi="Symbol" w:hint="default"/>
      </w:rPr>
    </w:lvl>
    <w:lvl w:ilvl="7" w:tplc="FFFFFFFF">
      <w:start w:val="1"/>
      <w:numFmt w:val="bullet"/>
      <w:lvlText w:val="o"/>
      <w:lvlJc w:val="left"/>
      <w:pPr>
        <w:ind w:left="7101" w:hanging="360"/>
      </w:pPr>
      <w:rPr>
        <w:rFonts w:ascii="Courier New" w:hAnsi="Courier New" w:cs="Courier New" w:hint="default"/>
      </w:rPr>
    </w:lvl>
    <w:lvl w:ilvl="8" w:tplc="FFFFFFFF">
      <w:start w:val="1"/>
      <w:numFmt w:val="bullet"/>
      <w:lvlText w:val=""/>
      <w:lvlJc w:val="left"/>
      <w:pPr>
        <w:ind w:left="7821"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1"/>
  </w:num>
  <w:num w:numId="21">
    <w:abstractNumId w:val="12"/>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4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03EC"/>
    <w:rsid w:val="000B175B"/>
    <w:rsid w:val="000B3A0F"/>
    <w:rsid w:val="000D296D"/>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7A1B"/>
    <w:rsid w:val="002468B2"/>
    <w:rsid w:val="00247258"/>
    <w:rsid w:val="00257BE5"/>
    <w:rsid w:val="00257CAC"/>
    <w:rsid w:val="00261AFD"/>
    <w:rsid w:val="00264441"/>
    <w:rsid w:val="0027237A"/>
    <w:rsid w:val="002974E9"/>
    <w:rsid w:val="002A7F94"/>
    <w:rsid w:val="002B109A"/>
    <w:rsid w:val="002C6D45"/>
    <w:rsid w:val="002D249C"/>
    <w:rsid w:val="002D6E53"/>
    <w:rsid w:val="002F046D"/>
    <w:rsid w:val="002F3023"/>
    <w:rsid w:val="00301764"/>
    <w:rsid w:val="003229D8"/>
    <w:rsid w:val="00336C97"/>
    <w:rsid w:val="00337F88"/>
    <w:rsid w:val="00342432"/>
    <w:rsid w:val="0035223F"/>
    <w:rsid w:val="00352D4B"/>
    <w:rsid w:val="0035638C"/>
    <w:rsid w:val="0037575B"/>
    <w:rsid w:val="003A0452"/>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1BB3"/>
    <w:rsid w:val="00503BEA"/>
    <w:rsid w:val="00533616"/>
    <w:rsid w:val="00535ABA"/>
    <w:rsid w:val="0053768B"/>
    <w:rsid w:val="005420F2"/>
    <w:rsid w:val="0054285C"/>
    <w:rsid w:val="0057607C"/>
    <w:rsid w:val="00584173"/>
    <w:rsid w:val="00595520"/>
    <w:rsid w:val="005A44B9"/>
    <w:rsid w:val="005A555F"/>
    <w:rsid w:val="005B1BA0"/>
    <w:rsid w:val="005B3DB3"/>
    <w:rsid w:val="005B72C7"/>
    <w:rsid w:val="005C646F"/>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6F64B2"/>
    <w:rsid w:val="007003CD"/>
    <w:rsid w:val="0070701E"/>
    <w:rsid w:val="0072632A"/>
    <w:rsid w:val="007358E8"/>
    <w:rsid w:val="00736ECE"/>
    <w:rsid w:val="0074533B"/>
    <w:rsid w:val="007643BC"/>
    <w:rsid w:val="007651B2"/>
    <w:rsid w:val="00780C68"/>
    <w:rsid w:val="007959FE"/>
    <w:rsid w:val="007A0CF1"/>
    <w:rsid w:val="007A478E"/>
    <w:rsid w:val="007B6BA5"/>
    <w:rsid w:val="007C3390"/>
    <w:rsid w:val="007C42D8"/>
    <w:rsid w:val="007C4F4B"/>
    <w:rsid w:val="007C61EB"/>
    <w:rsid w:val="007D389D"/>
    <w:rsid w:val="007D7362"/>
    <w:rsid w:val="007F5CE2"/>
    <w:rsid w:val="007F6611"/>
    <w:rsid w:val="00800522"/>
    <w:rsid w:val="0080360E"/>
    <w:rsid w:val="00810BAC"/>
    <w:rsid w:val="008175E9"/>
    <w:rsid w:val="008242D7"/>
    <w:rsid w:val="008254D1"/>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BBB"/>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50253"/>
    <w:rsid w:val="00A72F22"/>
    <w:rsid w:val="00A733BC"/>
    <w:rsid w:val="00A748A6"/>
    <w:rsid w:val="00A76A69"/>
    <w:rsid w:val="00A879A4"/>
    <w:rsid w:val="00AA0FF8"/>
    <w:rsid w:val="00AB6AB9"/>
    <w:rsid w:val="00AC0F2C"/>
    <w:rsid w:val="00AC502A"/>
    <w:rsid w:val="00AF58C1"/>
    <w:rsid w:val="00B04A3F"/>
    <w:rsid w:val="00B06643"/>
    <w:rsid w:val="00B15055"/>
    <w:rsid w:val="00B20551"/>
    <w:rsid w:val="00B30179"/>
    <w:rsid w:val="00B33FC7"/>
    <w:rsid w:val="00B37B15"/>
    <w:rsid w:val="00B45C02"/>
    <w:rsid w:val="00B6521E"/>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6C48"/>
    <w:rsid w:val="00C0294F"/>
    <w:rsid w:val="00C044E2"/>
    <w:rsid w:val="00C048CB"/>
    <w:rsid w:val="00C066F3"/>
    <w:rsid w:val="00C408B7"/>
    <w:rsid w:val="00C411EB"/>
    <w:rsid w:val="00C463DD"/>
    <w:rsid w:val="00C745C3"/>
    <w:rsid w:val="00C90F0F"/>
    <w:rsid w:val="00C978F5"/>
    <w:rsid w:val="00CA24A4"/>
    <w:rsid w:val="00CB348D"/>
    <w:rsid w:val="00CD46F5"/>
    <w:rsid w:val="00CE4A8F"/>
    <w:rsid w:val="00CE78F6"/>
    <w:rsid w:val="00CF071D"/>
    <w:rsid w:val="00D0123D"/>
    <w:rsid w:val="00D069A4"/>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208F"/>
    <w:rsid w:val="00F56D63"/>
    <w:rsid w:val="00F609A9"/>
    <w:rsid w:val="00F60E46"/>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087A2"/>
  <w15:docId w15:val="{B0EBE6A9-04ED-43CB-9A89-E5616CF3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eading1Char">
    <w:name w:val="Heading 1 Char"/>
    <w:aliases w:val="Table_G Char"/>
    <w:basedOn w:val="DefaultParagraphFont"/>
    <w:link w:val="Heading1"/>
    <w:rsid w:val="0037575B"/>
    <w:rPr>
      <w:lang w:val="en-GB"/>
    </w:rPr>
  </w:style>
  <w:style w:type="paragraph" w:styleId="ListParagraph">
    <w:name w:val="List Paragraph"/>
    <w:basedOn w:val="Normal"/>
    <w:uiPriority w:val="34"/>
    <w:qFormat/>
    <w:rsid w:val="0037575B"/>
    <w:pPr>
      <w:suppressAutoHyphens w:val="0"/>
      <w:spacing w:after="200" w:line="276" w:lineRule="auto"/>
      <w:ind w:left="720"/>
      <w:contextualSpacing/>
    </w:pPr>
    <w:rPr>
      <w:rFonts w:ascii="Calibri" w:hAnsi="Calibr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33217">
      <w:bodyDiv w:val="1"/>
      <w:marLeft w:val="0"/>
      <w:marRight w:val="0"/>
      <w:marTop w:val="0"/>
      <w:marBottom w:val="0"/>
      <w:divBdr>
        <w:top w:val="none" w:sz="0" w:space="0" w:color="auto"/>
        <w:left w:val="none" w:sz="0" w:space="0" w:color="auto"/>
        <w:bottom w:val="none" w:sz="0" w:space="0" w:color="auto"/>
        <w:right w:val="none" w:sz="0" w:space="0" w:color="auto"/>
      </w:divBdr>
    </w:div>
    <w:div w:id="18031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9A5C-A34B-4974-827A-9246EA5A94D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F5D9758D-ED63-4838-84BD-16E7B316117E}">
  <ds:schemaRefs>
    <ds:schemaRef ds:uri="http://schemas.microsoft.com/sharepoint/v3/contenttype/forms"/>
  </ds:schemaRefs>
</ds:datastoreItem>
</file>

<file path=customXml/itemProps3.xml><?xml version="1.0" encoding="utf-8"?>
<ds:datastoreItem xmlns:ds="http://schemas.openxmlformats.org/officeDocument/2006/customXml" ds:itemID="{48C12CDC-D716-4075-A869-4ED5DB77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23</TotalTime>
  <Pages>4</Pages>
  <Words>770</Words>
  <Characters>4390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dc:title>
  <dc:creator>Laurence BERTHET</dc:creator>
  <cp:lastModifiedBy>Laurence Berthet</cp:lastModifiedBy>
  <cp:revision>26</cp:revision>
  <cp:lastPrinted>2022-12-29T14:30:00Z</cp:lastPrinted>
  <dcterms:created xsi:type="dcterms:W3CDTF">2022-12-26T17:55:00Z</dcterms:created>
  <dcterms:modified xsi:type="dcterms:W3CDTF">2022-12-29T14:30:00Z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