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9935" w14:textId="7C5213CA" w:rsidR="00570BAD" w:rsidRPr="0020306E" w:rsidRDefault="00570BAD" w:rsidP="00570BAD">
      <w:pPr>
        <w:spacing w:after="0"/>
        <w:ind w:left="5387" w:right="-286"/>
        <w:outlineLvl w:val="0"/>
        <w:rPr>
          <w:rFonts w:ascii="Arial" w:eastAsia="Arial" w:hAnsi="Arial" w:cs="Arial"/>
          <w:bCs/>
          <w:sz w:val="20"/>
          <w:szCs w:val="24"/>
          <w:lang w:val="de-DE" w:eastAsia="de-DE"/>
        </w:rPr>
      </w:pPr>
      <w:r w:rsidRPr="0020306E">
        <w:rPr>
          <w:noProof/>
          <w:sz w:val="20"/>
          <w:lang w:val="de-DE"/>
        </w:rPr>
        <w:drawing>
          <wp:anchor distT="0" distB="0" distL="114300" distR="114300" simplePos="0" relativeHeight="251659264" behindDoc="0" locked="0" layoutInCell="1" allowOverlap="1" wp14:anchorId="69B40D9A" wp14:editId="3B7ABD6A">
            <wp:simplePos x="0" y="0"/>
            <wp:positionH relativeFrom="column">
              <wp:posOffset>0</wp:posOffset>
            </wp:positionH>
            <wp:positionV relativeFrom="paragraph">
              <wp:posOffset>-635</wp:posOffset>
            </wp:positionV>
            <wp:extent cx="1713865" cy="604520"/>
            <wp:effectExtent l="0" t="0" r="635" b="508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0306E">
        <w:rPr>
          <w:rFonts w:ascii="Arial" w:eastAsia="Arial" w:hAnsi="Arial" w:cs="Arial"/>
          <w:bCs/>
          <w:sz w:val="20"/>
          <w:szCs w:val="24"/>
          <w:lang w:val="de-DE" w:eastAsia="de-DE"/>
        </w:rPr>
        <w:t>CCNR-ZKR/ADN/WP.15/AC.2/41/INF.6</w:t>
      </w:r>
    </w:p>
    <w:p w14:paraId="0BA9876F" w14:textId="299A3C80" w:rsidR="00570BAD" w:rsidRPr="0020306E" w:rsidRDefault="00570BAD" w:rsidP="00570BAD">
      <w:pPr>
        <w:tabs>
          <w:tab w:val="right" w:pos="3856"/>
          <w:tab w:val="left" w:pos="5670"/>
        </w:tabs>
        <w:spacing w:after="0"/>
        <w:ind w:left="5387"/>
        <w:rPr>
          <w:rFonts w:ascii="Arial" w:eastAsia="Arial" w:hAnsi="Arial" w:cs="Arial"/>
          <w:sz w:val="20"/>
          <w:szCs w:val="24"/>
          <w:lang w:val="de-DE" w:eastAsia="de-DE"/>
        </w:rPr>
      </w:pPr>
      <w:r w:rsidRPr="0020306E">
        <w:rPr>
          <w:rFonts w:ascii="Arial" w:eastAsia="Arial" w:hAnsi="Arial" w:cs="Arial"/>
          <w:sz w:val="20"/>
          <w:szCs w:val="24"/>
          <w:lang w:val="de-DE" w:eastAsia="de-DE"/>
        </w:rPr>
        <w:t>8. De</w:t>
      </w:r>
      <w:r w:rsidR="00C80B66" w:rsidRPr="0020306E">
        <w:rPr>
          <w:rFonts w:ascii="Arial" w:eastAsia="Arial" w:hAnsi="Arial" w:cs="Arial"/>
          <w:sz w:val="20"/>
          <w:szCs w:val="24"/>
          <w:lang w:val="de-DE" w:eastAsia="de-DE"/>
        </w:rPr>
        <w:t>z</w:t>
      </w:r>
      <w:r w:rsidRPr="0020306E">
        <w:rPr>
          <w:rFonts w:ascii="Arial" w:eastAsia="Arial" w:hAnsi="Arial" w:cs="Arial"/>
          <w:sz w:val="20"/>
          <w:szCs w:val="24"/>
          <w:lang w:val="de-DE" w:eastAsia="de-DE"/>
        </w:rPr>
        <w:t>ember 2022</w:t>
      </w:r>
    </w:p>
    <w:p w14:paraId="01BD6680" w14:textId="77777777" w:rsidR="00570BAD" w:rsidRPr="0020306E" w:rsidRDefault="00570BAD" w:rsidP="00570BAD">
      <w:pPr>
        <w:tabs>
          <w:tab w:val="right" w:pos="3856"/>
          <w:tab w:val="left" w:pos="5670"/>
        </w:tabs>
        <w:spacing w:after="0"/>
        <w:ind w:left="5387" w:right="565"/>
        <w:rPr>
          <w:rFonts w:ascii="Arial" w:hAnsi="Arial" w:cs="Arial"/>
          <w:sz w:val="16"/>
          <w:szCs w:val="24"/>
          <w:lang w:val="de-DE" w:eastAsia="de-DE"/>
        </w:rPr>
      </w:pPr>
      <w:r w:rsidRPr="0020306E">
        <w:rPr>
          <w:rFonts w:ascii="Arial" w:eastAsia="Arial" w:hAnsi="Arial" w:cs="Arial"/>
          <w:sz w:val="16"/>
          <w:szCs w:val="24"/>
          <w:lang w:val="de-DE" w:eastAsia="de-DE"/>
        </w:rPr>
        <w:t>Or. DEUTSCH</w:t>
      </w:r>
    </w:p>
    <w:p w14:paraId="5A11E051" w14:textId="77777777" w:rsidR="00570BAD" w:rsidRPr="0020306E" w:rsidRDefault="00570BAD" w:rsidP="00570BAD">
      <w:pPr>
        <w:spacing w:after="0"/>
        <w:rPr>
          <w:rFonts w:ascii="Arial" w:hAnsi="Arial" w:cs="Arial"/>
          <w:sz w:val="16"/>
          <w:szCs w:val="24"/>
          <w:lang w:val="de-DE" w:eastAsia="de-DE"/>
        </w:rPr>
      </w:pPr>
    </w:p>
    <w:p w14:paraId="7AD75685" w14:textId="77777777" w:rsidR="00570BAD" w:rsidRPr="0020306E" w:rsidRDefault="00570BAD" w:rsidP="00570BAD">
      <w:pPr>
        <w:spacing w:after="0"/>
        <w:rPr>
          <w:rFonts w:ascii="Arial" w:hAnsi="Arial" w:cs="Arial"/>
          <w:sz w:val="16"/>
          <w:szCs w:val="24"/>
          <w:lang w:val="de-DE" w:eastAsia="de-DE"/>
        </w:rPr>
      </w:pPr>
    </w:p>
    <w:p w14:paraId="321F2E05" w14:textId="77777777" w:rsidR="00570BAD" w:rsidRPr="0020306E" w:rsidRDefault="00570BAD" w:rsidP="00570BAD">
      <w:pPr>
        <w:tabs>
          <w:tab w:val="left" w:pos="2977"/>
        </w:tabs>
        <w:snapToGrid w:val="0"/>
        <w:spacing w:after="0"/>
        <w:ind w:left="3958"/>
        <w:rPr>
          <w:rFonts w:ascii="Arial" w:hAnsi="Arial"/>
          <w:sz w:val="16"/>
          <w:lang w:val="de-DE" w:eastAsia="fr-FR"/>
        </w:rPr>
      </w:pPr>
      <w:r w:rsidRPr="0020306E">
        <w:rPr>
          <w:rFonts w:ascii="Arial" w:hAnsi="Arial"/>
          <w:sz w:val="16"/>
          <w:lang w:val="de-DE" w:eastAsia="fr-FR"/>
        </w:rPr>
        <w:t xml:space="preserve">GEMEINSAME EXPERTENTAGUNG FÜR DIE DEM ÜBEREINKOMMEN ÜBER DIE INTERNATIONALE BEFÖRDERUNG VON GEFÄHRLICHEN GÜTERN AUF </w:t>
      </w:r>
      <w:r w:rsidRPr="0020306E">
        <w:rPr>
          <w:rFonts w:ascii="Arial" w:eastAsia="Calibri" w:hAnsi="Arial"/>
          <w:sz w:val="16"/>
          <w:lang w:val="de-DE" w:eastAsia="fr-FR"/>
        </w:rPr>
        <w:t xml:space="preserve">BINNENWASSERSTRAẞEN (ADN) </w:t>
      </w:r>
      <w:r w:rsidRPr="0020306E">
        <w:rPr>
          <w:rFonts w:ascii="Arial" w:hAnsi="Arial"/>
          <w:sz w:val="16"/>
          <w:lang w:val="de-DE" w:eastAsia="fr-FR"/>
        </w:rPr>
        <w:t>BEIGEFÜGTE VERORDNUNG (SICHERHEITSAUSSCHUSS)</w:t>
      </w:r>
    </w:p>
    <w:p w14:paraId="71353979" w14:textId="77777777" w:rsidR="00570BAD" w:rsidRPr="0020306E" w:rsidRDefault="00570BAD" w:rsidP="00570BAD">
      <w:pPr>
        <w:tabs>
          <w:tab w:val="left" w:pos="2977"/>
        </w:tabs>
        <w:snapToGrid w:val="0"/>
        <w:spacing w:after="0"/>
        <w:ind w:left="3960"/>
        <w:rPr>
          <w:rFonts w:ascii="Arial" w:hAnsi="Arial"/>
          <w:sz w:val="16"/>
          <w:szCs w:val="24"/>
          <w:lang w:val="de-DE" w:eastAsia="fr-FR"/>
        </w:rPr>
      </w:pPr>
      <w:r w:rsidRPr="0020306E">
        <w:rPr>
          <w:rFonts w:ascii="Arial" w:hAnsi="Arial"/>
          <w:sz w:val="16"/>
          <w:szCs w:val="24"/>
          <w:lang w:val="de-DE" w:eastAsia="fr-FR"/>
        </w:rPr>
        <w:t>(41. Tagung, Genf, 23. – 27.Januar 2023)</w:t>
      </w:r>
    </w:p>
    <w:p w14:paraId="15B21CB9" w14:textId="77777777" w:rsidR="00570BAD" w:rsidRPr="0020306E" w:rsidRDefault="00570BAD" w:rsidP="00570BAD">
      <w:pPr>
        <w:tabs>
          <w:tab w:val="left" w:pos="2977"/>
        </w:tabs>
        <w:spacing w:after="0"/>
        <w:ind w:left="3960"/>
        <w:rPr>
          <w:rFonts w:ascii="Arial" w:hAnsi="Arial" w:cs="Arial"/>
          <w:sz w:val="16"/>
          <w:szCs w:val="16"/>
          <w:lang w:val="de-DE"/>
        </w:rPr>
      </w:pPr>
      <w:r w:rsidRPr="0020306E">
        <w:rPr>
          <w:rFonts w:ascii="Arial" w:hAnsi="Arial" w:cs="Arial"/>
          <w:sz w:val="16"/>
          <w:szCs w:val="16"/>
          <w:lang w:val="de-DE"/>
        </w:rPr>
        <w:t>Punkt 5 b) zur vorläufigen Tagesordnung</w:t>
      </w:r>
    </w:p>
    <w:p w14:paraId="6D049981" w14:textId="77777777" w:rsidR="00570BAD" w:rsidRPr="0020306E" w:rsidRDefault="00570BAD" w:rsidP="00570BAD">
      <w:pPr>
        <w:tabs>
          <w:tab w:val="left" w:pos="2977"/>
        </w:tabs>
        <w:spacing w:after="0"/>
        <w:ind w:left="3960"/>
        <w:rPr>
          <w:rFonts w:ascii="Arial" w:hAnsi="Arial" w:cs="Arial"/>
          <w:b/>
          <w:sz w:val="16"/>
          <w:szCs w:val="16"/>
          <w:lang w:val="de-DE"/>
        </w:rPr>
      </w:pPr>
      <w:r w:rsidRPr="0020306E">
        <w:rPr>
          <w:rFonts w:ascii="Arial" w:hAnsi="Arial" w:cs="Arial"/>
          <w:b/>
          <w:sz w:val="16"/>
          <w:szCs w:val="16"/>
          <w:lang w:val="de-DE"/>
        </w:rPr>
        <w:t>Vorschläge für Änderungen der dem ADN beigefügten Verordnung: Weitere Vorschläge</w:t>
      </w:r>
    </w:p>
    <w:p w14:paraId="65C12E25" w14:textId="77777777" w:rsidR="00570BAD" w:rsidRPr="0020306E" w:rsidRDefault="00570BAD" w:rsidP="00570BAD">
      <w:pPr>
        <w:suppressAutoHyphens/>
        <w:snapToGrid w:val="0"/>
        <w:spacing w:after="0" w:line="240" w:lineRule="atLeast"/>
        <w:ind w:left="1134" w:right="1134"/>
        <w:rPr>
          <w:b/>
          <w:bCs/>
          <w:sz w:val="28"/>
          <w:szCs w:val="24"/>
          <w:lang w:val="de-DE" w:eastAsia="fr-FR"/>
        </w:rPr>
      </w:pPr>
    </w:p>
    <w:p w14:paraId="341730DD" w14:textId="6481E1D2" w:rsidR="004C2BF5" w:rsidRPr="0020306E" w:rsidRDefault="004C2BF5" w:rsidP="00570BAD">
      <w:pPr>
        <w:suppressAutoHyphens/>
        <w:snapToGrid w:val="0"/>
        <w:spacing w:after="0" w:line="240" w:lineRule="atLeast"/>
        <w:ind w:left="1134" w:right="1134"/>
        <w:rPr>
          <w:b/>
          <w:bCs/>
          <w:sz w:val="28"/>
          <w:szCs w:val="24"/>
          <w:lang w:val="de-DE" w:eastAsia="fr-FR"/>
        </w:rPr>
      </w:pPr>
      <w:r w:rsidRPr="0020306E">
        <w:rPr>
          <w:b/>
          <w:bCs/>
          <w:sz w:val="28"/>
          <w:szCs w:val="24"/>
          <w:lang w:val="de-DE" w:eastAsia="fr-FR"/>
        </w:rPr>
        <w:t>Öffnen von Öffnungen</w:t>
      </w:r>
    </w:p>
    <w:p w14:paraId="78BA6041" w14:textId="77777777" w:rsidR="00D73CA6" w:rsidRPr="0020306E" w:rsidRDefault="00D73CA6" w:rsidP="00D539C7">
      <w:pPr>
        <w:suppressAutoHyphens/>
        <w:snapToGrid w:val="0"/>
        <w:spacing w:after="0" w:line="240" w:lineRule="atLeast"/>
        <w:ind w:left="1134" w:right="1134"/>
        <w:jc w:val="center"/>
        <w:rPr>
          <w:b/>
          <w:bCs/>
          <w:sz w:val="28"/>
          <w:szCs w:val="24"/>
          <w:lang w:val="de-DE" w:eastAsia="fr-FR"/>
        </w:rPr>
      </w:pPr>
    </w:p>
    <w:p w14:paraId="540E7F8E" w14:textId="6A9EC689" w:rsidR="00A909D8" w:rsidRPr="0020306E" w:rsidRDefault="00D73CA6" w:rsidP="00570BAD">
      <w:pPr>
        <w:suppressAutoHyphens/>
        <w:spacing w:after="100" w:afterAutospacing="1" w:line="240" w:lineRule="atLeast"/>
        <w:ind w:left="1134"/>
        <w:rPr>
          <w:sz w:val="20"/>
          <w:lang w:val="de-DE"/>
        </w:rPr>
      </w:pPr>
      <w:r w:rsidRPr="0020306E">
        <w:rPr>
          <w:b/>
          <w:szCs w:val="24"/>
          <w:lang w:val="de-DE"/>
        </w:rPr>
        <w:t xml:space="preserve">Eingereicht durch </w:t>
      </w:r>
      <w:r w:rsidR="00CD238D" w:rsidRPr="0020306E">
        <w:rPr>
          <w:b/>
          <w:szCs w:val="24"/>
          <w:lang w:val="de-DE"/>
        </w:rPr>
        <w:t>Deutschland</w:t>
      </w:r>
    </w:p>
    <w:p w14:paraId="4B403ECE" w14:textId="4024965F" w:rsidR="00A30366" w:rsidRPr="0020306E" w:rsidRDefault="00A30366" w:rsidP="004C730B">
      <w:pPr>
        <w:spacing w:after="0" w:line="360" w:lineRule="auto"/>
        <w:ind w:right="566"/>
        <w:rPr>
          <w:sz w:val="20"/>
          <w:lang w:val="de-DE"/>
        </w:rPr>
      </w:pPr>
    </w:p>
    <w:p w14:paraId="4AC229F5" w14:textId="77777777" w:rsidR="00570BAD" w:rsidRPr="0020306E" w:rsidRDefault="00570BAD" w:rsidP="00570BAD">
      <w:pPr>
        <w:suppressAutoHyphens/>
        <w:spacing w:after="0" w:line="240" w:lineRule="atLeast"/>
        <w:rPr>
          <w:sz w:val="20"/>
          <w:lang w:val="de-DE"/>
        </w:rPr>
      </w:pPr>
    </w:p>
    <w:tbl>
      <w:tblPr>
        <w:tblStyle w:val="Grilledutableau1"/>
        <w:tblW w:w="0" w:type="auto"/>
        <w:jc w:val="center"/>
        <w:tblCellMar>
          <w:left w:w="0" w:type="dxa"/>
          <w:right w:w="0" w:type="dxa"/>
        </w:tblCellMar>
        <w:tblLook w:val="05E0" w:firstRow="1" w:lastRow="1" w:firstColumn="1" w:lastColumn="1" w:noHBand="0" w:noVBand="1"/>
      </w:tblPr>
      <w:tblGrid>
        <w:gridCol w:w="2471"/>
        <w:gridCol w:w="6448"/>
      </w:tblGrid>
      <w:tr w:rsidR="00570BAD" w:rsidRPr="0020306E" w14:paraId="774D4B66" w14:textId="77777777" w:rsidTr="001423DB">
        <w:trPr>
          <w:jc w:val="center"/>
        </w:trPr>
        <w:tc>
          <w:tcPr>
            <w:tcW w:w="2557" w:type="dxa"/>
            <w:tcBorders>
              <w:bottom w:val="nil"/>
              <w:right w:val="nil"/>
            </w:tcBorders>
          </w:tcPr>
          <w:p w14:paraId="15D08A73" w14:textId="06CB0BDC" w:rsidR="00570BAD" w:rsidRPr="0020306E" w:rsidRDefault="00570BAD" w:rsidP="00514A38">
            <w:pPr>
              <w:tabs>
                <w:tab w:val="left" w:pos="255"/>
              </w:tabs>
              <w:spacing w:before="240" w:after="120"/>
              <w:ind w:right="-348"/>
              <w:rPr>
                <w:lang w:val="de-DE" w:eastAsia="zh-CN"/>
              </w:rPr>
            </w:pPr>
            <w:r w:rsidRPr="0020306E">
              <w:rPr>
                <w:sz w:val="20"/>
                <w:lang w:val="de-DE" w:eastAsia="zh-CN"/>
              </w:rPr>
              <w:tab/>
            </w:r>
            <w:r w:rsidRPr="0020306E">
              <w:rPr>
                <w:i/>
                <w:lang w:val="de-DE" w:eastAsia="zh-CN"/>
              </w:rPr>
              <w:t>Zusammenfassung</w:t>
            </w:r>
          </w:p>
        </w:tc>
        <w:tc>
          <w:tcPr>
            <w:tcW w:w="7072" w:type="dxa"/>
            <w:tcBorders>
              <w:left w:val="nil"/>
              <w:bottom w:val="nil"/>
            </w:tcBorders>
          </w:tcPr>
          <w:p w14:paraId="7C5C2D93" w14:textId="77777777" w:rsidR="00570BAD" w:rsidRPr="0020306E" w:rsidRDefault="00570BAD" w:rsidP="00514A38">
            <w:pPr>
              <w:tabs>
                <w:tab w:val="left" w:pos="1701"/>
                <w:tab w:val="left" w:pos="2268"/>
              </w:tabs>
              <w:spacing w:after="120"/>
              <w:ind w:right="-348"/>
              <w:jc w:val="both"/>
              <w:rPr>
                <w:sz w:val="20"/>
                <w:lang w:val="de-DE" w:eastAsia="zh-CN"/>
              </w:rPr>
            </w:pPr>
          </w:p>
        </w:tc>
      </w:tr>
      <w:tr w:rsidR="00570BAD" w:rsidRPr="0020306E" w14:paraId="5F63233E" w14:textId="77777777" w:rsidTr="001423DB">
        <w:trPr>
          <w:jc w:val="center"/>
        </w:trPr>
        <w:tc>
          <w:tcPr>
            <w:tcW w:w="2557" w:type="dxa"/>
            <w:tcBorders>
              <w:top w:val="nil"/>
              <w:bottom w:val="nil"/>
              <w:right w:val="nil"/>
            </w:tcBorders>
            <w:shd w:val="clear" w:color="auto" w:fill="auto"/>
          </w:tcPr>
          <w:p w14:paraId="6B527094" w14:textId="102442D6" w:rsidR="00570BAD" w:rsidRPr="0020306E" w:rsidRDefault="00514A38" w:rsidP="00514A38">
            <w:pPr>
              <w:tabs>
                <w:tab w:val="left" w:pos="1701"/>
                <w:tab w:val="left" w:pos="2268"/>
              </w:tabs>
              <w:spacing w:after="120"/>
              <w:ind w:left="284" w:right="-348"/>
              <w:jc w:val="both"/>
              <w:rPr>
                <w:b/>
                <w:bCs/>
                <w:sz w:val="20"/>
                <w:lang w:val="de-DE" w:eastAsia="zh-CN"/>
              </w:rPr>
            </w:pPr>
            <w:r w:rsidRPr="0020306E">
              <w:rPr>
                <w:b/>
                <w:bCs/>
                <w:sz w:val="20"/>
                <w:lang w:val="de-DE" w:eastAsia="zh-CN"/>
              </w:rPr>
              <w:t>Verbundene Dokumente</w:t>
            </w:r>
          </w:p>
        </w:tc>
        <w:tc>
          <w:tcPr>
            <w:tcW w:w="7072" w:type="dxa"/>
            <w:tcBorders>
              <w:top w:val="nil"/>
              <w:left w:val="nil"/>
              <w:bottom w:val="nil"/>
            </w:tcBorders>
            <w:shd w:val="clear" w:color="auto" w:fill="auto"/>
          </w:tcPr>
          <w:p w14:paraId="54B5C697" w14:textId="40B4101C" w:rsidR="00570BAD" w:rsidRPr="0020306E" w:rsidRDefault="00570BAD" w:rsidP="00514A38">
            <w:pPr>
              <w:spacing w:after="0" w:line="360" w:lineRule="auto"/>
              <w:ind w:left="348" w:right="-348"/>
              <w:rPr>
                <w:sz w:val="20"/>
                <w:lang w:val="de-DE"/>
              </w:rPr>
            </w:pPr>
            <w:r w:rsidRPr="0020306E">
              <w:rPr>
                <w:sz w:val="20"/>
                <w:lang w:val="de-DE"/>
              </w:rPr>
              <w:t>ECE/TRANS/WP.15/AC.2/2022/43</w:t>
            </w:r>
          </w:p>
          <w:p w14:paraId="5C906D30" w14:textId="77777777" w:rsidR="00570BAD" w:rsidRPr="0020306E" w:rsidRDefault="00570BAD" w:rsidP="00514A38">
            <w:pPr>
              <w:spacing w:after="0" w:line="360" w:lineRule="auto"/>
              <w:ind w:left="357" w:right="-348"/>
              <w:rPr>
                <w:sz w:val="20"/>
                <w:lang w:val="de-DE"/>
              </w:rPr>
            </w:pPr>
            <w:r w:rsidRPr="0020306E">
              <w:rPr>
                <w:sz w:val="20"/>
                <w:lang w:val="de-DE"/>
              </w:rPr>
              <w:t>ECE/TRANS/WP.15/AC.2/2022/45</w:t>
            </w:r>
          </w:p>
          <w:p w14:paraId="2BB9BE94" w14:textId="2A99D25B" w:rsidR="00570BAD" w:rsidRPr="0020306E" w:rsidRDefault="00514A38" w:rsidP="00514A38">
            <w:pPr>
              <w:tabs>
                <w:tab w:val="left" w:pos="1701"/>
                <w:tab w:val="left" w:pos="2268"/>
              </w:tabs>
              <w:spacing w:after="120"/>
              <w:ind w:left="357" w:right="-348"/>
              <w:jc w:val="both"/>
              <w:rPr>
                <w:bCs/>
                <w:sz w:val="20"/>
                <w:lang w:val="de-DE" w:eastAsia="zh-CN"/>
              </w:rPr>
            </w:pPr>
            <w:r w:rsidRPr="0020306E">
              <w:rPr>
                <w:sz w:val="20"/>
                <w:lang w:val="de-DE"/>
              </w:rPr>
              <w:t>Informelles Dokument</w:t>
            </w:r>
            <w:r w:rsidR="00570BAD" w:rsidRPr="0020306E">
              <w:rPr>
                <w:sz w:val="20"/>
                <w:lang w:val="de-DE"/>
              </w:rPr>
              <w:t xml:space="preserve"> INF.19 </w:t>
            </w:r>
            <w:r w:rsidRPr="0020306E">
              <w:rPr>
                <w:sz w:val="20"/>
                <w:lang w:val="de-DE"/>
              </w:rPr>
              <w:t>zur 40. Sitzung</w:t>
            </w:r>
          </w:p>
          <w:p w14:paraId="0FD0FC13" w14:textId="36EF1AB7" w:rsidR="00570BAD" w:rsidRPr="0020306E" w:rsidRDefault="00570BAD" w:rsidP="00514A38">
            <w:pPr>
              <w:tabs>
                <w:tab w:val="left" w:pos="1701"/>
                <w:tab w:val="left" w:pos="2268"/>
              </w:tabs>
              <w:spacing w:after="120"/>
              <w:ind w:left="357" w:right="-348"/>
              <w:jc w:val="both"/>
              <w:rPr>
                <w:sz w:val="20"/>
                <w:lang w:val="de-DE" w:eastAsia="zh-CN"/>
              </w:rPr>
            </w:pPr>
            <w:r w:rsidRPr="0020306E">
              <w:rPr>
                <w:bCs/>
                <w:sz w:val="20"/>
                <w:lang w:val="de-DE" w:eastAsia="zh-CN"/>
              </w:rPr>
              <w:t>ECE/TRANS/WP.15/AC.2/82 (</w:t>
            </w:r>
            <w:r w:rsidR="0020306E">
              <w:rPr>
                <w:bCs/>
                <w:sz w:val="20"/>
                <w:lang w:val="de-DE" w:eastAsia="zh-CN"/>
              </w:rPr>
              <w:t>Abs</w:t>
            </w:r>
            <w:r w:rsidR="00EE0F4F">
              <w:rPr>
                <w:bCs/>
                <w:sz w:val="20"/>
                <w:lang w:val="de-DE" w:eastAsia="zh-CN"/>
              </w:rPr>
              <w:t>ä</w:t>
            </w:r>
            <w:r w:rsidR="0020306E">
              <w:rPr>
                <w:bCs/>
                <w:sz w:val="20"/>
                <w:lang w:val="de-DE" w:eastAsia="zh-CN"/>
              </w:rPr>
              <w:t>tze</w:t>
            </w:r>
            <w:r w:rsidRPr="0020306E">
              <w:rPr>
                <w:bCs/>
                <w:sz w:val="20"/>
                <w:lang w:val="de-DE" w:eastAsia="zh-CN"/>
              </w:rPr>
              <w:t xml:space="preserve"> 51 </w:t>
            </w:r>
            <w:r w:rsidR="00514A38" w:rsidRPr="0020306E">
              <w:rPr>
                <w:bCs/>
                <w:sz w:val="20"/>
                <w:lang w:val="de-DE" w:eastAsia="zh-CN"/>
              </w:rPr>
              <w:t>und</w:t>
            </w:r>
            <w:r w:rsidRPr="0020306E">
              <w:rPr>
                <w:bCs/>
                <w:sz w:val="20"/>
                <w:lang w:val="de-DE" w:eastAsia="zh-CN"/>
              </w:rPr>
              <w:t xml:space="preserve"> 52)</w:t>
            </w:r>
          </w:p>
        </w:tc>
      </w:tr>
      <w:tr w:rsidR="00570BAD" w:rsidRPr="0020306E" w14:paraId="2054EB0C" w14:textId="77777777" w:rsidTr="001423DB">
        <w:trPr>
          <w:jc w:val="center"/>
        </w:trPr>
        <w:tc>
          <w:tcPr>
            <w:tcW w:w="2557" w:type="dxa"/>
            <w:tcBorders>
              <w:top w:val="nil"/>
              <w:right w:val="nil"/>
            </w:tcBorders>
          </w:tcPr>
          <w:p w14:paraId="794BE028" w14:textId="77777777" w:rsidR="00570BAD" w:rsidRPr="0020306E" w:rsidRDefault="00570BAD" w:rsidP="00570BAD">
            <w:pPr>
              <w:spacing w:after="0"/>
              <w:rPr>
                <w:sz w:val="20"/>
                <w:lang w:val="de-DE" w:eastAsia="zh-CN"/>
              </w:rPr>
            </w:pPr>
          </w:p>
        </w:tc>
        <w:tc>
          <w:tcPr>
            <w:tcW w:w="7072" w:type="dxa"/>
            <w:tcBorders>
              <w:top w:val="nil"/>
              <w:left w:val="nil"/>
            </w:tcBorders>
          </w:tcPr>
          <w:p w14:paraId="6EE3482D" w14:textId="77777777" w:rsidR="00570BAD" w:rsidRPr="0020306E" w:rsidRDefault="00570BAD" w:rsidP="00570BAD">
            <w:pPr>
              <w:spacing w:after="0"/>
              <w:rPr>
                <w:sz w:val="20"/>
                <w:lang w:val="de-DE" w:eastAsia="zh-CN"/>
              </w:rPr>
            </w:pPr>
          </w:p>
        </w:tc>
      </w:tr>
    </w:tbl>
    <w:p w14:paraId="23CF6934" w14:textId="6703B712" w:rsidR="00570BAD" w:rsidRPr="0020306E" w:rsidRDefault="00570BAD" w:rsidP="004C730B">
      <w:pPr>
        <w:spacing w:after="0" w:line="360" w:lineRule="auto"/>
        <w:ind w:right="566"/>
        <w:rPr>
          <w:sz w:val="20"/>
          <w:lang w:val="de-DE"/>
        </w:rPr>
      </w:pPr>
    </w:p>
    <w:p w14:paraId="53F261D7" w14:textId="77777777" w:rsidR="00AC6F22" w:rsidRPr="0020306E" w:rsidRDefault="00AC6F22" w:rsidP="004C730B">
      <w:pPr>
        <w:spacing w:after="0" w:line="360" w:lineRule="auto"/>
        <w:ind w:right="566"/>
        <w:rPr>
          <w:sz w:val="20"/>
          <w:lang w:val="de-DE"/>
        </w:rPr>
      </w:pPr>
    </w:p>
    <w:p w14:paraId="14A05EC2" w14:textId="77777777" w:rsidR="00A24DD5" w:rsidRPr="0020306E" w:rsidRDefault="00A909D8" w:rsidP="00514A38">
      <w:pPr>
        <w:autoSpaceDE w:val="0"/>
        <w:autoSpaceDN w:val="0"/>
        <w:adjustRightInd w:val="0"/>
        <w:spacing w:after="100" w:afterAutospacing="1"/>
        <w:ind w:right="566"/>
        <w:rPr>
          <w:b/>
          <w:sz w:val="28"/>
          <w:szCs w:val="28"/>
          <w:lang w:val="de-DE"/>
        </w:rPr>
      </w:pPr>
      <w:r w:rsidRPr="0020306E">
        <w:rPr>
          <w:b/>
          <w:sz w:val="28"/>
          <w:szCs w:val="28"/>
          <w:lang w:val="de-DE"/>
        </w:rPr>
        <w:t>Einleitung</w:t>
      </w:r>
    </w:p>
    <w:p w14:paraId="669279CF" w14:textId="77777777" w:rsidR="00377B53" w:rsidRPr="0020306E" w:rsidRDefault="00377B53" w:rsidP="00F5794E">
      <w:pPr>
        <w:spacing w:after="0" w:line="240" w:lineRule="atLeast"/>
        <w:ind w:right="566"/>
        <w:jc w:val="both"/>
        <w:rPr>
          <w:sz w:val="20"/>
          <w:lang w:val="de-DE"/>
        </w:rPr>
      </w:pPr>
      <w:r w:rsidRPr="0020306E">
        <w:rPr>
          <w:sz w:val="20"/>
          <w:lang w:val="de-DE"/>
        </w:rPr>
        <w:t>1.</w:t>
      </w:r>
      <w:r w:rsidRPr="0020306E">
        <w:rPr>
          <w:sz w:val="20"/>
          <w:lang w:val="de-DE"/>
        </w:rPr>
        <w:tab/>
      </w:r>
      <w:r w:rsidR="00AD726C" w:rsidRPr="0020306E">
        <w:rPr>
          <w:sz w:val="20"/>
          <w:lang w:val="de-DE"/>
        </w:rPr>
        <w:t xml:space="preserve">Deutschland dankt allen Delegationen, die nach der Beratung des Antrages „Öffnen von Öffnungen“ in der 40. Sitzung des ADN-Sicherheitsausschusses ihre konstruktiven </w:t>
      </w:r>
      <w:r w:rsidR="00E7118C" w:rsidRPr="0020306E">
        <w:rPr>
          <w:sz w:val="20"/>
          <w:lang w:val="de-DE"/>
        </w:rPr>
        <w:t>Nachfragen und Verbesserungsvorschläge übermittelt haben.</w:t>
      </w:r>
    </w:p>
    <w:p w14:paraId="1C57F11D" w14:textId="77777777" w:rsidR="00377B53" w:rsidRPr="0020306E" w:rsidRDefault="00377B53" w:rsidP="00F5794E">
      <w:pPr>
        <w:spacing w:after="0" w:line="240" w:lineRule="atLeast"/>
        <w:ind w:right="566"/>
        <w:jc w:val="both"/>
        <w:rPr>
          <w:sz w:val="20"/>
          <w:lang w:val="de-DE"/>
        </w:rPr>
      </w:pPr>
    </w:p>
    <w:p w14:paraId="74C9A320" w14:textId="77777777" w:rsidR="00240A17" w:rsidRPr="0020306E" w:rsidRDefault="00670847" w:rsidP="00F5794E">
      <w:pPr>
        <w:spacing w:after="0" w:line="240" w:lineRule="atLeast"/>
        <w:ind w:right="566"/>
        <w:jc w:val="both"/>
        <w:rPr>
          <w:color w:val="000000"/>
          <w:sz w:val="20"/>
          <w:lang w:val="de-DE"/>
        </w:rPr>
      </w:pPr>
      <w:r w:rsidRPr="0020306E">
        <w:rPr>
          <w:sz w:val="20"/>
          <w:lang w:val="de-DE"/>
        </w:rPr>
        <w:t>2.</w:t>
      </w:r>
      <w:r w:rsidRPr="0020306E">
        <w:rPr>
          <w:sz w:val="20"/>
          <w:lang w:val="de-DE"/>
        </w:rPr>
        <w:tab/>
      </w:r>
      <w:r w:rsidR="00E7118C" w:rsidRPr="0020306E">
        <w:rPr>
          <w:color w:val="000000"/>
          <w:sz w:val="20"/>
          <w:lang w:val="de-DE"/>
        </w:rPr>
        <w:t xml:space="preserve">Im Folgenden soll kurz über die Prüfung und </w:t>
      </w:r>
      <w:r w:rsidR="00AC6F22" w:rsidRPr="0020306E">
        <w:rPr>
          <w:color w:val="000000"/>
          <w:sz w:val="20"/>
          <w:lang w:val="de-DE"/>
        </w:rPr>
        <w:t>Bewertung</w:t>
      </w:r>
      <w:r w:rsidR="00E7118C" w:rsidRPr="0020306E">
        <w:rPr>
          <w:color w:val="000000"/>
          <w:sz w:val="20"/>
          <w:lang w:val="de-DE"/>
        </w:rPr>
        <w:t xml:space="preserve"> dieser Beiträge berichtet werden.</w:t>
      </w:r>
    </w:p>
    <w:p w14:paraId="7683E84D" w14:textId="77777777" w:rsidR="00240A17" w:rsidRPr="0020306E" w:rsidRDefault="00240A17" w:rsidP="00F5794E">
      <w:pPr>
        <w:spacing w:after="0" w:line="240" w:lineRule="atLeast"/>
        <w:ind w:right="566"/>
        <w:jc w:val="both"/>
        <w:rPr>
          <w:color w:val="000000"/>
          <w:sz w:val="20"/>
          <w:lang w:val="de-DE"/>
        </w:rPr>
      </w:pPr>
    </w:p>
    <w:p w14:paraId="3D73BE8B" w14:textId="77777777" w:rsidR="000C6FB2" w:rsidRPr="0020306E" w:rsidRDefault="000C6FB2" w:rsidP="00514A38">
      <w:pPr>
        <w:spacing w:after="0" w:line="240" w:lineRule="atLeast"/>
        <w:ind w:right="566"/>
        <w:jc w:val="both"/>
        <w:rPr>
          <w:b/>
          <w:szCs w:val="24"/>
          <w:lang w:val="de-DE"/>
        </w:rPr>
      </w:pPr>
      <w:r w:rsidRPr="0020306E">
        <w:rPr>
          <w:b/>
          <w:szCs w:val="24"/>
          <w:lang w:val="de-DE"/>
        </w:rPr>
        <w:br w:type="page"/>
      </w:r>
    </w:p>
    <w:p w14:paraId="1C61BBFB" w14:textId="2F74CA3C" w:rsidR="00BB27CA" w:rsidRPr="0020306E" w:rsidRDefault="00E7118C" w:rsidP="00514A38">
      <w:pPr>
        <w:pStyle w:val="Paragraphedeliste"/>
        <w:numPr>
          <w:ilvl w:val="0"/>
          <w:numId w:val="39"/>
        </w:numPr>
        <w:spacing w:after="120" w:line="240" w:lineRule="atLeast"/>
        <w:ind w:left="567" w:right="566" w:hanging="578"/>
        <w:jc w:val="both"/>
        <w:rPr>
          <w:b/>
          <w:sz w:val="28"/>
          <w:szCs w:val="28"/>
          <w:lang w:val="de-DE"/>
        </w:rPr>
      </w:pPr>
      <w:r w:rsidRPr="0020306E">
        <w:rPr>
          <w:b/>
          <w:sz w:val="28"/>
          <w:szCs w:val="28"/>
          <w:lang w:val="de-DE"/>
        </w:rPr>
        <w:lastRenderedPageBreak/>
        <w:t>Fragen, Vorschläge und Antworten</w:t>
      </w:r>
    </w:p>
    <w:p w14:paraId="6AE6D33E" w14:textId="77777777" w:rsidR="00076781" w:rsidRPr="0020306E" w:rsidRDefault="00076781" w:rsidP="00514A38">
      <w:pPr>
        <w:spacing w:after="0" w:line="240" w:lineRule="atLeast"/>
        <w:ind w:right="566"/>
        <w:jc w:val="both"/>
        <w:rPr>
          <w:sz w:val="20"/>
          <w:lang w:val="de-DE"/>
        </w:rPr>
      </w:pPr>
    </w:p>
    <w:p w14:paraId="3442E60A" w14:textId="0CB62C39" w:rsidR="00076781" w:rsidRPr="0020306E" w:rsidRDefault="00514A38" w:rsidP="006E7F4E">
      <w:pPr>
        <w:spacing w:after="120" w:line="240" w:lineRule="atLeast"/>
        <w:ind w:right="566"/>
        <w:jc w:val="both"/>
        <w:rPr>
          <w:b/>
          <w:bCs/>
          <w:szCs w:val="24"/>
          <w:lang w:val="de-DE"/>
        </w:rPr>
      </w:pPr>
      <w:r w:rsidRPr="0020306E">
        <w:rPr>
          <w:b/>
          <w:bCs/>
          <w:szCs w:val="24"/>
          <w:lang w:val="de-DE"/>
        </w:rPr>
        <w:t>A</w:t>
      </w:r>
      <w:r w:rsidR="00AF42C7" w:rsidRPr="0020306E">
        <w:rPr>
          <w:b/>
          <w:bCs/>
          <w:szCs w:val="24"/>
          <w:lang w:val="de-DE"/>
        </w:rPr>
        <w:t xml:space="preserve">. </w:t>
      </w:r>
      <w:r w:rsidR="00AF42C7" w:rsidRPr="0020306E">
        <w:rPr>
          <w:b/>
          <w:bCs/>
          <w:szCs w:val="24"/>
          <w:lang w:val="de-DE"/>
        </w:rPr>
        <w:tab/>
      </w:r>
      <w:r w:rsidR="00076781" w:rsidRPr="0020306E">
        <w:rPr>
          <w:b/>
          <w:bCs/>
          <w:szCs w:val="24"/>
          <w:lang w:val="de-DE"/>
        </w:rPr>
        <w:t>Öffnungen, die verwendet werden</w:t>
      </w:r>
    </w:p>
    <w:p w14:paraId="057FD27F" w14:textId="77777777" w:rsidR="00076781" w:rsidRPr="0020306E" w:rsidRDefault="00076781" w:rsidP="00514A38">
      <w:pPr>
        <w:spacing w:after="0" w:line="240" w:lineRule="atLeast"/>
        <w:ind w:right="566"/>
        <w:jc w:val="both"/>
        <w:rPr>
          <w:sz w:val="20"/>
          <w:lang w:val="de-DE"/>
        </w:rPr>
      </w:pPr>
    </w:p>
    <w:p w14:paraId="13BB02D8" w14:textId="3B690EAB" w:rsidR="001B6241" w:rsidRPr="0020306E" w:rsidRDefault="00514A38" w:rsidP="00F5794E">
      <w:pPr>
        <w:spacing w:after="0" w:line="240" w:lineRule="atLeast"/>
        <w:ind w:right="566"/>
        <w:jc w:val="both"/>
        <w:rPr>
          <w:sz w:val="20"/>
          <w:lang w:val="de-DE"/>
        </w:rPr>
      </w:pPr>
      <w:r w:rsidRPr="0020306E">
        <w:rPr>
          <w:sz w:val="20"/>
          <w:lang w:val="de-DE"/>
        </w:rPr>
        <w:t>3.</w:t>
      </w:r>
      <w:r w:rsidRPr="0020306E">
        <w:rPr>
          <w:sz w:val="20"/>
          <w:lang w:val="de-DE"/>
        </w:rPr>
        <w:tab/>
      </w:r>
      <w:r w:rsidR="00022EDF" w:rsidRPr="0020306E">
        <w:rPr>
          <w:sz w:val="20"/>
          <w:lang w:val="de-DE"/>
        </w:rPr>
        <w:t xml:space="preserve">Es wurde im Arbeitsdokument </w:t>
      </w:r>
      <w:r w:rsidR="00E80430" w:rsidRPr="0020306E">
        <w:rPr>
          <w:sz w:val="20"/>
          <w:lang w:val="de-DE"/>
        </w:rPr>
        <w:t>ECE/TRANS/WP.15/AC.2/</w:t>
      </w:r>
      <w:r w:rsidR="00022EDF" w:rsidRPr="0020306E">
        <w:rPr>
          <w:sz w:val="20"/>
          <w:lang w:val="de-DE"/>
        </w:rPr>
        <w:t xml:space="preserve">2022/43 noch nicht ausreichend beschrieben, welche </w:t>
      </w:r>
      <w:r w:rsidR="00E7118C" w:rsidRPr="0020306E">
        <w:rPr>
          <w:sz w:val="20"/>
          <w:lang w:val="de-DE"/>
        </w:rPr>
        <w:t xml:space="preserve">Öffnungen </w:t>
      </w:r>
      <w:r w:rsidR="00022EDF" w:rsidRPr="0020306E">
        <w:rPr>
          <w:sz w:val="20"/>
          <w:lang w:val="de-DE"/>
        </w:rPr>
        <w:t xml:space="preserve">im Einzelnen </w:t>
      </w:r>
      <w:r w:rsidR="00E7118C" w:rsidRPr="0020306E">
        <w:rPr>
          <w:sz w:val="20"/>
          <w:lang w:val="de-DE"/>
        </w:rPr>
        <w:t>auf Tankschiffen genutzt</w:t>
      </w:r>
      <w:r w:rsidR="000C6FB2" w:rsidRPr="0020306E">
        <w:rPr>
          <w:sz w:val="20"/>
          <w:lang w:val="de-DE"/>
        </w:rPr>
        <w:t xml:space="preserve"> werden, </w:t>
      </w:r>
      <w:r w:rsidR="008B716A" w:rsidRPr="0020306E">
        <w:rPr>
          <w:sz w:val="20"/>
          <w:lang w:val="de-DE"/>
        </w:rPr>
        <w:t xml:space="preserve">welche </w:t>
      </w:r>
      <w:r w:rsidR="00A23953" w:rsidRPr="0020306E">
        <w:rPr>
          <w:sz w:val="20"/>
          <w:lang w:val="de-DE"/>
        </w:rPr>
        <w:t>Gründe</w:t>
      </w:r>
      <w:r w:rsidR="008B716A" w:rsidRPr="0020306E">
        <w:rPr>
          <w:sz w:val="20"/>
          <w:lang w:val="de-DE"/>
        </w:rPr>
        <w:t xml:space="preserve"> es gibt</w:t>
      </w:r>
      <w:r w:rsidR="00A23953" w:rsidRPr="0020306E">
        <w:rPr>
          <w:sz w:val="20"/>
          <w:lang w:val="de-DE"/>
        </w:rPr>
        <w:t xml:space="preserve">, </w:t>
      </w:r>
      <w:r w:rsidR="00E7118C" w:rsidRPr="0020306E">
        <w:rPr>
          <w:sz w:val="20"/>
          <w:lang w:val="de-DE"/>
        </w:rPr>
        <w:t xml:space="preserve">Ladetanks </w:t>
      </w:r>
      <w:r w:rsidR="008B716A" w:rsidRPr="0020306E">
        <w:rPr>
          <w:sz w:val="20"/>
          <w:lang w:val="de-DE"/>
        </w:rPr>
        <w:t>zu öffnen, und wie dies in der heute geltenden Fassung der Verordnung geregelt ist.</w:t>
      </w:r>
    </w:p>
    <w:p w14:paraId="0868CE7F" w14:textId="77777777" w:rsidR="00CD5F6E" w:rsidRPr="0020306E" w:rsidRDefault="00CD5F6E" w:rsidP="00514A38">
      <w:pPr>
        <w:spacing w:after="0" w:line="240" w:lineRule="atLeast"/>
        <w:ind w:right="566"/>
        <w:jc w:val="both"/>
        <w:rPr>
          <w:sz w:val="20"/>
          <w:lang w:val="de-DE"/>
        </w:rPr>
      </w:pPr>
    </w:p>
    <w:p w14:paraId="37C69031" w14:textId="02437FB3" w:rsidR="00CD5F6E" w:rsidRPr="0020306E" w:rsidRDefault="00514A38" w:rsidP="00514A38">
      <w:pPr>
        <w:spacing w:after="0" w:line="240" w:lineRule="atLeast"/>
        <w:ind w:right="566"/>
        <w:jc w:val="both"/>
        <w:rPr>
          <w:sz w:val="20"/>
          <w:lang w:val="de-DE"/>
        </w:rPr>
      </w:pPr>
      <w:r w:rsidRPr="0020306E">
        <w:rPr>
          <w:sz w:val="20"/>
          <w:lang w:val="de-DE"/>
        </w:rPr>
        <w:t>4.</w:t>
      </w:r>
      <w:r w:rsidRPr="0020306E">
        <w:rPr>
          <w:sz w:val="20"/>
          <w:lang w:val="de-DE"/>
        </w:rPr>
        <w:tab/>
      </w:r>
      <w:r w:rsidR="00CD5F6E" w:rsidRPr="0020306E">
        <w:rPr>
          <w:sz w:val="20"/>
          <w:lang w:val="de-DE"/>
        </w:rPr>
        <w:t>Nachfolgend eine Tabelle zur Beschreibung der Anwendungsfälle.</w:t>
      </w:r>
    </w:p>
    <w:p w14:paraId="5796682A" w14:textId="77777777" w:rsidR="00E7118C" w:rsidRPr="0020306E" w:rsidRDefault="00E7118C" w:rsidP="00514A38">
      <w:pPr>
        <w:spacing w:after="0" w:line="240" w:lineRule="atLeast"/>
        <w:ind w:right="566"/>
        <w:jc w:val="both"/>
        <w:rPr>
          <w:bCs/>
          <w:sz w:val="20"/>
          <w:lang w:val="de-DE"/>
        </w:rPr>
      </w:pPr>
    </w:p>
    <w:tbl>
      <w:tblPr>
        <w:tblStyle w:val="Grilledutableau"/>
        <w:tblW w:w="9781" w:type="dxa"/>
        <w:tblInd w:w="-5" w:type="dxa"/>
        <w:tblLook w:val="04A0" w:firstRow="1" w:lastRow="0" w:firstColumn="1" w:lastColumn="0" w:noHBand="0" w:noVBand="1"/>
      </w:tblPr>
      <w:tblGrid>
        <w:gridCol w:w="2102"/>
        <w:gridCol w:w="2910"/>
        <w:gridCol w:w="2660"/>
        <w:gridCol w:w="2109"/>
      </w:tblGrid>
      <w:tr w:rsidR="00781553" w:rsidRPr="0020306E" w14:paraId="148D8DA5" w14:textId="77777777" w:rsidTr="00514A38">
        <w:trPr>
          <w:cantSplit/>
          <w:tblHeader/>
        </w:trPr>
        <w:tc>
          <w:tcPr>
            <w:tcW w:w="2102" w:type="dxa"/>
          </w:tcPr>
          <w:p w14:paraId="4026EE39" w14:textId="77777777" w:rsidR="00781553" w:rsidRPr="0020306E" w:rsidRDefault="00781553" w:rsidP="00514A38">
            <w:pPr>
              <w:spacing w:after="0" w:line="240" w:lineRule="atLeast"/>
              <w:ind w:right="566"/>
              <w:rPr>
                <w:b/>
                <w:sz w:val="20"/>
                <w:lang w:val="de-DE"/>
              </w:rPr>
            </w:pPr>
            <w:r w:rsidRPr="0020306E">
              <w:rPr>
                <w:b/>
                <w:sz w:val="20"/>
                <w:lang w:val="de-DE"/>
              </w:rPr>
              <w:t>Maßnahme</w:t>
            </w:r>
          </w:p>
        </w:tc>
        <w:tc>
          <w:tcPr>
            <w:tcW w:w="2910" w:type="dxa"/>
          </w:tcPr>
          <w:p w14:paraId="308DC7D1" w14:textId="77777777" w:rsidR="00781553" w:rsidRPr="0020306E" w:rsidRDefault="00781553" w:rsidP="00514A38">
            <w:pPr>
              <w:spacing w:after="0" w:line="240" w:lineRule="atLeast"/>
              <w:ind w:right="128"/>
              <w:rPr>
                <w:b/>
                <w:sz w:val="20"/>
                <w:lang w:val="de-DE"/>
              </w:rPr>
            </w:pPr>
            <w:r w:rsidRPr="0020306E">
              <w:rPr>
                <w:b/>
                <w:bCs/>
                <w:sz w:val="20"/>
                <w:lang w:val="de-DE"/>
              </w:rPr>
              <w:t>Zweck</w:t>
            </w:r>
          </w:p>
        </w:tc>
        <w:tc>
          <w:tcPr>
            <w:tcW w:w="2660" w:type="dxa"/>
          </w:tcPr>
          <w:p w14:paraId="4A375EDD" w14:textId="77777777" w:rsidR="00781553" w:rsidRPr="0020306E" w:rsidRDefault="00781553" w:rsidP="00514A38">
            <w:pPr>
              <w:spacing w:after="0" w:line="240" w:lineRule="atLeast"/>
              <w:ind w:right="566"/>
              <w:rPr>
                <w:b/>
                <w:bCs/>
                <w:sz w:val="20"/>
                <w:lang w:val="de-DE"/>
              </w:rPr>
            </w:pPr>
            <w:r w:rsidRPr="0020306E">
              <w:rPr>
                <w:b/>
                <w:sz w:val="20"/>
                <w:lang w:val="de-DE"/>
              </w:rPr>
              <w:t>Öffnung, die geöffnet werden muss:</w:t>
            </w:r>
          </w:p>
        </w:tc>
        <w:tc>
          <w:tcPr>
            <w:tcW w:w="2109" w:type="dxa"/>
          </w:tcPr>
          <w:p w14:paraId="493F1821" w14:textId="77777777" w:rsidR="00781553" w:rsidRPr="0020306E" w:rsidRDefault="00781553" w:rsidP="00514A38">
            <w:pPr>
              <w:spacing w:after="0" w:line="240" w:lineRule="atLeast"/>
              <w:ind w:right="566"/>
              <w:rPr>
                <w:b/>
                <w:bCs/>
                <w:sz w:val="20"/>
                <w:lang w:val="de-DE"/>
              </w:rPr>
            </w:pPr>
            <w:r w:rsidRPr="0020306E">
              <w:rPr>
                <w:b/>
                <w:sz w:val="20"/>
                <w:lang w:val="de-DE"/>
              </w:rPr>
              <w:t>Alternative zum Öffnen:</w:t>
            </w:r>
          </w:p>
        </w:tc>
      </w:tr>
      <w:tr w:rsidR="00781553" w:rsidRPr="0020306E" w14:paraId="4B9AED03" w14:textId="77777777" w:rsidTr="00514A38">
        <w:trPr>
          <w:cantSplit/>
        </w:trPr>
        <w:tc>
          <w:tcPr>
            <w:tcW w:w="2102" w:type="dxa"/>
          </w:tcPr>
          <w:p w14:paraId="157FBCC0" w14:textId="77777777" w:rsidR="00781553" w:rsidRPr="0020306E" w:rsidRDefault="00781553" w:rsidP="00514A38">
            <w:pPr>
              <w:spacing w:after="0" w:line="240" w:lineRule="atLeast"/>
              <w:ind w:right="566"/>
              <w:rPr>
                <w:bCs/>
                <w:sz w:val="20"/>
                <w:lang w:val="de-DE"/>
              </w:rPr>
            </w:pPr>
            <w:r w:rsidRPr="0020306E">
              <w:rPr>
                <w:sz w:val="20"/>
                <w:lang w:val="de-DE"/>
              </w:rPr>
              <w:t>Sichtkontrolle leerer, nicht entgaster Ladetanks</w:t>
            </w:r>
          </w:p>
        </w:tc>
        <w:tc>
          <w:tcPr>
            <w:tcW w:w="2910" w:type="dxa"/>
          </w:tcPr>
          <w:p w14:paraId="6078C201" w14:textId="77777777" w:rsidR="00781553" w:rsidRPr="0020306E" w:rsidRDefault="00781553" w:rsidP="00514A38">
            <w:pPr>
              <w:spacing w:after="0" w:line="240" w:lineRule="atLeast"/>
              <w:ind w:right="128"/>
              <w:rPr>
                <w:bCs/>
                <w:sz w:val="20"/>
                <w:lang w:val="de-DE"/>
              </w:rPr>
            </w:pPr>
            <w:r w:rsidRPr="0020306E">
              <w:rPr>
                <w:sz w:val="20"/>
                <w:lang w:val="de-DE"/>
              </w:rPr>
              <w:t>Visuelle Kontrolle von Ladetanks vor der Beladung, um sicherzustellen, dass eine Kontamination der Ladung durch die Vorladung bzw. unerwünschte Reaktionen der Ladung mit Resten der Vorladung vermieden werden. Nach der Entladung muss die visuelle Kontrolle durchgeführt werden, um zu prüfen, ob die Ladetanks leer und nicht verunreinigt sind.</w:t>
            </w:r>
          </w:p>
        </w:tc>
        <w:tc>
          <w:tcPr>
            <w:tcW w:w="2660" w:type="dxa"/>
          </w:tcPr>
          <w:p w14:paraId="13B7794E" w14:textId="77777777" w:rsidR="00781553" w:rsidRPr="0020306E" w:rsidRDefault="005664D7" w:rsidP="006E7F4E">
            <w:pPr>
              <w:spacing w:after="0" w:line="240" w:lineRule="atLeast"/>
              <w:ind w:right="165"/>
              <w:rPr>
                <w:bCs/>
                <w:sz w:val="20"/>
                <w:lang w:val="de-DE"/>
              </w:rPr>
            </w:pPr>
            <w:r w:rsidRPr="0020306E">
              <w:rPr>
                <w:sz w:val="20"/>
                <w:lang w:val="de-DE"/>
              </w:rPr>
              <w:t>Probeentnahmeöffnung</w:t>
            </w:r>
            <w:r w:rsidR="00781553" w:rsidRPr="0020306E">
              <w:rPr>
                <w:sz w:val="20"/>
                <w:lang w:val="de-DE"/>
              </w:rPr>
              <w:t xml:space="preserve"> entsprechend der neuen vorgeschlagenen </w:t>
            </w:r>
            <w:r w:rsidRPr="0020306E">
              <w:rPr>
                <w:sz w:val="20"/>
                <w:lang w:val="de-DE"/>
              </w:rPr>
              <w:t>Begriffsbestimmung</w:t>
            </w:r>
          </w:p>
        </w:tc>
        <w:tc>
          <w:tcPr>
            <w:tcW w:w="2109" w:type="dxa"/>
          </w:tcPr>
          <w:p w14:paraId="00B5701E" w14:textId="13D6CDEB" w:rsidR="00781553" w:rsidRPr="0020306E" w:rsidRDefault="00EE09FE" w:rsidP="00514A38">
            <w:pPr>
              <w:spacing w:after="0" w:line="240" w:lineRule="atLeast"/>
              <w:ind w:right="566"/>
              <w:rPr>
                <w:bCs/>
                <w:sz w:val="20"/>
                <w:lang w:val="de-DE"/>
              </w:rPr>
            </w:pPr>
            <w:r w:rsidRPr="0020306E">
              <w:rPr>
                <w:sz w:val="20"/>
                <w:lang w:val="de-DE"/>
              </w:rPr>
              <w:t xml:space="preserve">Nach heutiger </w:t>
            </w:r>
            <w:r w:rsidR="006D2550" w:rsidRPr="0020306E">
              <w:rPr>
                <w:sz w:val="20"/>
                <w:lang w:val="de-DE"/>
              </w:rPr>
              <w:t>Bauweise</w:t>
            </w:r>
            <w:r w:rsidRPr="0020306E">
              <w:rPr>
                <w:sz w:val="20"/>
                <w:lang w:val="de-DE"/>
              </w:rPr>
              <w:t xml:space="preserve"> der Schiffe: </w:t>
            </w:r>
            <w:r w:rsidR="00781553" w:rsidRPr="0020306E">
              <w:rPr>
                <w:sz w:val="20"/>
                <w:lang w:val="de-DE"/>
              </w:rPr>
              <w:t>Keine</w:t>
            </w:r>
          </w:p>
        </w:tc>
      </w:tr>
      <w:tr w:rsidR="0020301B" w:rsidRPr="0020306E" w14:paraId="7895F37C" w14:textId="77777777" w:rsidTr="00514A38">
        <w:trPr>
          <w:cantSplit/>
        </w:trPr>
        <w:tc>
          <w:tcPr>
            <w:tcW w:w="2102" w:type="dxa"/>
          </w:tcPr>
          <w:p w14:paraId="11837C30" w14:textId="77777777" w:rsidR="00781553" w:rsidRPr="0020306E" w:rsidRDefault="008F5D38" w:rsidP="00514A38">
            <w:pPr>
              <w:spacing w:after="0" w:line="240" w:lineRule="atLeast"/>
              <w:ind w:right="566"/>
              <w:rPr>
                <w:sz w:val="20"/>
                <w:lang w:val="de-DE"/>
              </w:rPr>
            </w:pPr>
            <w:r w:rsidRPr="0020306E">
              <w:rPr>
                <w:sz w:val="20"/>
                <w:lang w:val="de-DE"/>
              </w:rPr>
              <w:t>Probeentnahme</w:t>
            </w:r>
          </w:p>
        </w:tc>
        <w:tc>
          <w:tcPr>
            <w:tcW w:w="2910" w:type="dxa"/>
          </w:tcPr>
          <w:p w14:paraId="7C3FF22F" w14:textId="77777777" w:rsidR="00781553" w:rsidRPr="0020306E" w:rsidRDefault="008F5D38" w:rsidP="00514A38">
            <w:pPr>
              <w:spacing w:after="0" w:line="240" w:lineRule="atLeast"/>
              <w:ind w:right="105"/>
              <w:rPr>
                <w:sz w:val="20"/>
                <w:lang w:val="de-DE"/>
              </w:rPr>
            </w:pPr>
            <w:r w:rsidRPr="0020306E">
              <w:rPr>
                <w:sz w:val="20"/>
                <w:lang w:val="de-DE"/>
              </w:rPr>
              <w:t>Überprüfung der Qualität der Ladung (Kontrollzweck). Bei bestimmten gefährlichen Gütern sind offene Probeentnahmen über eine Probeentnahmeöffnung zulässig. Wenn eine geschlossene oder teilweise geschlossene Probenentnahmeeinrichtung vorgeschrieben ist, kann es bei einem technischen Problem mit dieser Einrichtung im Ausnahmefall erforderlich werden, eine Probenahme durch die Probeentnahmeöffnung oder einer gleichwertigen Öffnung vorzunehmen.</w:t>
            </w:r>
          </w:p>
        </w:tc>
        <w:tc>
          <w:tcPr>
            <w:tcW w:w="2660" w:type="dxa"/>
          </w:tcPr>
          <w:p w14:paraId="3C3AF07B" w14:textId="77777777" w:rsidR="00781553" w:rsidRPr="0020306E" w:rsidRDefault="005664D7" w:rsidP="00514A38">
            <w:pPr>
              <w:spacing w:after="0" w:line="240" w:lineRule="atLeast"/>
              <w:ind w:right="165"/>
              <w:rPr>
                <w:sz w:val="20"/>
                <w:lang w:val="de-DE"/>
              </w:rPr>
            </w:pPr>
            <w:r w:rsidRPr="0020306E">
              <w:rPr>
                <w:sz w:val="20"/>
                <w:lang w:val="de-DE"/>
              </w:rPr>
              <w:t>Probeentnahmeöffnung entsprechend der neuen vorgeschlagenen Begriffsbestimmung</w:t>
            </w:r>
          </w:p>
        </w:tc>
        <w:tc>
          <w:tcPr>
            <w:tcW w:w="2109" w:type="dxa"/>
          </w:tcPr>
          <w:p w14:paraId="3C287ED1" w14:textId="32A6759B" w:rsidR="00781553" w:rsidRPr="0020306E" w:rsidRDefault="00EE09FE" w:rsidP="00514A38">
            <w:pPr>
              <w:spacing w:after="0" w:line="240" w:lineRule="atLeast"/>
              <w:ind w:right="566"/>
              <w:rPr>
                <w:sz w:val="20"/>
                <w:lang w:val="de-DE"/>
              </w:rPr>
            </w:pPr>
            <w:r w:rsidRPr="0020306E">
              <w:rPr>
                <w:sz w:val="20"/>
                <w:lang w:val="de-DE"/>
              </w:rPr>
              <w:t xml:space="preserve">Nach heutiger </w:t>
            </w:r>
            <w:r w:rsidR="006D2550" w:rsidRPr="0020306E">
              <w:rPr>
                <w:sz w:val="20"/>
                <w:lang w:val="de-DE"/>
              </w:rPr>
              <w:t>Bauweise</w:t>
            </w:r>
            <w:r w:rsidRPr="0020306E">
              <w:rPr>
                <w:sz w:val="20"/>
                <w:lang w:val="de-DE"/>
              </w:rPr>
              <w:t xml:space="preserve"> der Schiffe: Keine</w:t>
            </w:r>
          </w:p>
        </w:tc>
      </w:tr>
      <w:tr w:rsidR="00781553" w:rsidRPr="0020306E" w14:paraId="396D0A82" w14:textId="77777777" w:rsidTr="00514A38">
        <w:trPr>
          <w:cantSplit/>
        </w:trPr>
        <w:tc>
          <w:tcPr>
            <w:tcW w:w="2102" w:type="dxa"/>
          </w:tcPr>
          <w:p w14:paraId="2BAADAE7" w14:textId="77777777" w:rsidR="00781553" w:rsidRPr="0020306E" w:rsidRDefault="00EE09FE" w:rsidP="00514A38">
            <w:pPr>
              <w:spacing w:after="0" w:line="240" w:lineRule="atLeast"/>
              <w:ind w:right="566"/>
              <w:rPr>
                <w:sz w:val="20"/>
                <w:lang w:val="de-DE"/>
              </w:rPr>
            </w:pPr>
            <w:r w:rsidRPr="0020306E">
              <w:rPr>
                <w:sz w:val="20"/>
                <w:lang w:val="de-DE"/>
              </w:rPr>
              <w:t>Ermittlung der Füllmenge</w:t>
            </w:r>
          </w:p>
        </w:tc>
        <w:tc>
          <w:tcPr>
            <w:tcW w:w="2910" w:type="dxa"/>
          </w:tcPr>
          <w:p w14:paraId="549C9753" w14:textId="0DE0BBEB" w:rsidR="00781553" w:rsidRPr="0020306E" w:rsidRDefault="00EE09FE" w:rsidP="00514A38">
            <w:pPr>
              <w:spacing w:after="0" w:line="240" w:lineRule="atLeast"/>
              <w:ind w:right="85"/>
              <w:rPr>
                <w:sz w:val="20"/>
                <w:lang w:val="de-DE"/>
              </w:rPr>
            </w:pPr>
            <w:r w:rsidRPr="0020306E">
              <w:rPr>
                <w:sz w:val="20"/>
                <w:lang w:val="de-DE"/>
              </w:rPr>
              <w:t>Genaue Ermittlung der Füllmenge in den Ladetanks ist vor allem unter steuerrechtlichen Gesichtspunkten und im Havariefall notwendig. Wenn die an Bord verbauten Messeinrichtungen aufgrund einer Funktionsstörung nicht zur Verfügung stehen, muss per Maßband und Thermometer gemessen werden.</w:t>
            </w:r>
          </w:p>
        </w:tc>
        <w:tc>
          <w:tcPr>
            <w:tcW w:w="2660" w:type="dxa"/>
          </w:tcPr>
          <w:p w14:paraId="166628F7" w14:textId="77777777" w:rsidR="00781553" w:rsidRPr="0020306E" w:rsidRDefault="005664D7" w:rsidP="00514A38">
            <w:pPr>
              <w:spacing w:after="0" w:line="240" w:lineRule="atLeast"/>
              <w:ind w:right="566"/>
              <w:rPr>
                <w:sz w:val="20"/>
                <w:lang w:val="de-DE"/>
              </w:rPr>
            </w:pPr>
            <w:r w:rsidRPr="0020306E">
              <w:rPr>
                <w:sz w:val="20"/>
                <w:lang w:val="de-DE"/>
              </w:rPr>
              <w:t>Probeentnahmeöffnung entsprechend der neuen vorgeschlagenen Begriffsbestimmung</w:t>
            </w:r>
          </w:p>
        </w:tc>
        <w:tc>
          <w:tcPr>
            <w:tcW w:w="2109" w:type="dxa"/>
          </w:tcPr>
          <w:p w14:paraId="683E4F17" w14:textId="77777777" w:rsidR="00781553" w:rsidRPr="0020306E" w:rsidRDefault="00EE09FE" w:rsidP="00514A38">
            <w:pPr>
              <w:spacing w:after="0" w:line="240" w:lineRule="atLeast"/>
              <w:ind w:right="566"/>
              <w:rPr>
                <w:sz w:val="20"/>
                <w:lang w:val="de-DE"/>
              </w:rPr>
            </w:pPr>
            <w:r w:rsidRPr="0020306E">
              <w:rPr>
                <w:sz w:val="20"/>
                <w:lang w:val="de-DE"/>
              </w:rPr>
              <w:t>Nach heutiger Bauweise der Schiffe: Keine</w:t>
            </w:r>
          </w:p>
        </w:tc>
      </w:tr>
      <w:tr w:rsidR="00781553" w:rsidRPr="0020306E" w14:paraId="13E369D8" w14:textId="77777777" w:rsidTr="00514A38">
        <w:trPr>
          <w:cantSplit/>
        </w:trPr>
        <w:tc>
          <w:tcPr>
            <w:tcW w:w="2102" w:type="dxa"/>
          </w:tcPr>
          <w:p w14:paraId="3CE69632" w14:textId="51BC32B2" w:rsidR="00781553" w:rsidRPr="0020306E" w:rsidRDefault="005664D7" w:rsidP="006E7F4E">
            <w:pPr>
              <w:spacing w:after="0" w:line="240" w:lineRule="atLeast"/>
              <w:ind w:right="566"/>
              <w:rPr>
                <w:sz w:val="20"/>
                <w:lang w:val="de-DE"/>
              </w:rPr>
            </w:pPr>
            <w:r w:rsidRPr="0020306E">
              <w:rPr>
                <w:sz w:val="20"/>
                <w:lang w:val="de-DE"/>
              </w:rPr>
              <w:lastRenderedPageBreak/>
              <w:t>Zugabe von Stabilisatoren</w:t>
            </w:r>
          </w:p>
        </w:tc>
        <w:tc>
          <w:tcPr>
            <w:tcW w:w="2910" w:type="dxa"/>
          </w:tcPr>
          <w:p w14:paraId="751CCD3C" w14:textId="77777777" w:rsidR="00781553" w:rsidRPr="0020306E" w:rsidRDefault="005664D7" w:rsidP="006E7F4E">
            <w:pPr>
              <w:spacing w:after="0" w:line="240" w:lineRule="atLeast"/>
              <w:ind w:right="85"/>
              <w:rPr>
                <w:sz w:val="20"/>
                <w:lang w:val="de-DE"/>
              </w:rPr>
            </w:pPr>
            <w:r w:rsidRPr="0020306E">
              <w:rPr>
                <w:sz w:val="20"/>
                <w:lang w:val="de-DE"/>
              </w:rPr>
              <w:t>Es kann vorkommen, dass sich die Transportdauer unerwartet verlängert. Bei manchen Stoffen kann es deswegen erforderlich werden, einen Stabilisator nachträglich zuzufügen, um unerwünschte Reaktionen zu vermeiden.</w:t>
            </w:r>
          </w:p>
        </w:tc>
        <w:tc>
          <w:tcPr>
            <w:tcW w:w="2660" w:type="dxa"/>
          </w:tcPr>
          <w:p w14:paraId="6CFA652A" w14:textId="77777777" w:rsidR="00781553" w:rsidRPr="0020306E" w:rsidRDefault="005664D7" w:rsidP="00514A38">
            <w:pPr>
              <w:spacing w:after="0" w:line="240" w:lineRule="atLeast"/>
              <w:ind w:right="98"/>
              <w:rPr>
                <w:sz w:val="20"/>
                <w:lang w:val="de-DE"/>
              </w:rPr>
            </w:pPr>
            <w:r w:rsidRPr="0020306E">
              <w:rPr>
                <w:sz w:val="20"/>
                <w:lang w:val="de-DE"/>
              </w:rPr>
              <w:t>Probeentnahmeöffnung entsprechend der neuen vorgeschlagenen Begriffsbestimmung</w:t>
            </w:r>
          </w:p>
        </w:tc>
        <w:tc>
          <w:tcPr>
            <w:tcW w:w="2109" w:type="dxa"/>
          </w:tcPr>
          <w:p w14:paraId="5D07EB86" w14:textId="77777777" w:rsidR="00781553" w:rsidRPr="0020306E" w:rsidRDefault="005664D7" w:rsidP="00514A38">
            <w:pPr>
              <w:spacing w:after="0" w:line="240" w:lineRule="atLeast"/>
              <w:ind w:right="566"/>
              <w:rPr>
                <w:sz w:val="20"/>
                <w:lang w:val="de-DE"/>
              </w:rPr>
            </w:pPr>
            <w:r w:rsidRPr="0020306E">
              <w:rPr>
                <w:sz w:val="20"/>
                <w:lang w:val="de-DE"/>
              </w:rPr>
              <w:t>Nach heutiger Bauweise der Schiffe: Keine</w:t>
            </w:r>
          </w:p>
        </w:tc>
      </w:tr>
      <w:tr w:rsidR="00B22B19" w:rsidRPr="0020306E" w14:paraId="4ABE649E" w14:textId="77777777" w:rsidTr="00514A38">
        <w:trPr>
          <w:cantSplit/>
        </w:trPr>
        <w:tc>
          <w:tcPr>
            <w:tcW w:w="2102" w:type="dxa"/>
          </w:tcPr>
          <w:p w14:paraId="06BAF5F9" w14:textId="3BF1BA05" w:rsidR="00B22B19" w:rsidRPr="0020306E" w:rsidRDefault="00B22B19" w:rsidP="006E7F4E">
            <w:pPr>
              <w:spacing w:after="0" w:line="240" w:lineRule="atLeast"/>
              <w:ind w:right="566"/>
              <w:rPr>
                <w:sz w:val="20"/>
                <w:lang w:val="de-DE"/>
              </w:rPr>
            </w:pPr>
            <w:r w:rsidRPr="0020306E">
              <w:rPr>
                <w:sz w:val="20"/>
                <w:lang w:val="de-DE"/>
              </w:rPr>
              <w:t>Gasmessung</w:t>
            </w:r>
          </w:p>
        </w:tc>
        <w:tc>
          <w:tcPr>
            <w:tcW w:w="2910" w:type="dxa"/>
          </w:tcPr>
          <w:p w14:paraId="4D7B13D8" w14:textId="77777777" w:rsidR="00B22B19" w:rsidRPr="0020306E" w:rsidRDefault="00B22B19" w:rsidP="006E7F4E">
            <w:pPr>
              <w:spacing w:after="0" w:line="240" w:lineRule="atLeast"/>
              <w:ind w:right="85"/>
              <w:rPr>
                <w:sz w:val="20"/>
                <w:lang w:val="de-DE"/>
              </w:rPr>
            </w:pPr>
            <w:r w:rsidRPr="0020306E">
              <w:rPr>
                <w:sz w:val="20"/>
                <w:lang w:val="de-DE"/>
              </w:rPr>
              <w:t>Vor Betreten der Ladetanks, Wegnahme von Kegeln und Lichtern, sowie zum Zwecke der Inertisierung und zur Gasfreiheitsmessung muss eine Gasmessung vorgenommen werden.</w:t>
            </w:r>
          </w:p>
        </w:tc>
        <w:tc>
          <w:tcPr>
            <w:tcW w:w="2660" w:type="dxa"/>
          </w:tcPr>
          <w:p w14:paraId="05B51CC4" w14:textId="77777777" w:rsidR="00B22B19" w:rsidRPr="0020306E" w:rsidRDefault="00B22B19" w:rsidP="00514A38">
            <w:pPr>
              <w:spacing w:after="0" w:line="240" w:lineRule="atLeast"/>
              <w:ind w:right="51"/>
              <w:rPr>
                <w:sz w:val="20"/>
                <w:lang w:val="de-DE"/>
              </w:rPr>
            </w:pPr>
            <w:r w:rsidRPr="0020306E">
              <w:rPr>
                <w:sz w:val="20"/>
                <w:lang w:val="de-DE"/>
              </w:rPr>
              <w:t>Probeentnahmeöffnung entsprechend der neuen vorgeschlagenen Begriffsbestimmung</w:t>
            </w:r>
          </w:p>
        </w:tc>
        <w:tc>
          <w:tcPr>
            <w:tcW w:w="2109" w:type="dxa"/>
          </w:tcPr>
          <w:p w14:paraId="101D2FC5" w14:textId="77777777" w:rsidR="00B22B19" w:rsidRPr="0020306E" w:rsidRDefault="00B22B19" w:rsidP="00514A38">
            <w:pPr>
              <w:spacing w:after="0" w:line="240" w:lineRule="atLeast"/>
              <w:ind w:right="566"/>
              <w:rPr>
                <w:sz w:val="20"/>
                <w:lang w:val="de-DE"/>
              </w:rPr>
            </w:pPr>
            <w:r w:rsidRPr="0020306E">
              <w:rPr>
                <w:sz w:val="20"/>
                <w:lang w:val="de-DE"/>
              </w:rPr>
              <w:t>Nach heutiger Bauweise der Schiffe: Keine</w:t>
            </w:r>
          </w:p>
        </w:tc>
      </w:tr>
    </w:tbl>
    <w:p w14:paraId="0526E941" w14:textId="77777777" w:rsidR="008F5D38" w:rsidRPr="0020306E" w:rsidRDefault="008F5D38" w:rsidP="00F5794E">
      <w:pPr>
        <w:spacing w:after="0" w:line="240" w:lineRule="atLeast"/>
        <w:ind w:right="566"/>
        <w:jc w:val="both"/>
        <w:rPr>
          <w:sz w:val="20"/>
          <w:lang w:val="de-DE"/>
        </w:rPr>
      </w:pPr>
    </w:p>
    <w:p w14:paraId="40CF0CA6" w14:textId="77777777" w:rsidR="0020301B" w:rsidRPr="0020306E" w:rsidRDefault="0020301B" w:rsidP="00F5794E">
      <w:pPr>
        <w:spacing w:after="0" w:line="240" w:lineRule="atLeast"/>
        <w:ind w:right="566"/>
        <w:jc w:val="both"/>
        <w:rPr>
          <w:sz w:val="20"/>
          <w:lang w:val="de-DE"/>
        </w:rPr>
      </w:pPr>
    </w:p>
    <w:p w14:paraId="62251252" w14:textId="00F0193A" w:rsidR="0020301B" w:rsidRPr="0020306E" w:rsidRDefault="006E7F4E" w:rsidP="00F5794E">
      <w:pPr>
        <w:spacing w:after="120" w:line="240" w:lineRule="atLeast"/>
        <w:ind w:right="566"/>
        <w:jc w:val="both"/>
        <w:rPr>
          <w:b/>
          <w:bCs/>
          <w:szCs w:val="24"/>
          <w:lang w:val="de-DE"/>
        </w:rPr>
      </w:pPr>
      <w:r w:rsidRPr="0020306E">
        <w:rPr>
          <w:b/>
          <w:bCs/>
          <w:szCs w:val="24"/>
          <w:lang w:val="de-DE"/>
        </w:rPr>
        <w:t>B</w:t>
      </w:r>
      <w:r w:rsidR="0020301B" w:rsidRPr="0020306E">
        <w:rPr>
          <w:b/>
          <w:bCs/>
          <w:szCs w:val="24"/>
          <w:lang w:val="de-DE"/>
        </w:rPr>
        <w:t xml:space="preserve">. </w:t>
      </w:r>
      <w:r w:rsidR="0020301B" w:rsidRPr="0020306E">
        <w:rPr>
          <w:b/>
          <w:bCs/>
          <w:szCs w:val="24"/>
          <w:lang w:val="de-DE"/>
        </w:rPr>
        <w:tab/>
      </w:r>
      <w:r w:rsidR="00697B20" w:rsidRPr="0020306E">
        <w:rPr>
          <w:b/>
          <w:bCs/>
          <w:szCs w:val="24"/>
          <w:lang w:val="de-DE"/>
        </w:rPr>
        <w:t>Erläuterung der v</w:t>
      </w:r>
      <w:r w:rsidR="0020301B" w:rsidRPr="0020306E">
        <w:rPr>
          <w:b/>
          <w:bCs/>
          <w:szCs w:val="24"/>
          <w:lang w:val="de-DE"/>
        </w:rPr>
        <w:t>orgeschlagene</w:t>
      </w:r>
      <w:r w:rsidR="001906C5" w:rsidRPr="0020306E">
        <w:rPr>
          <w:b/>
          <w:bCs/>
          <w:szCs w:val="24"/>
          <w:lang w:val="de-DE"/>
        </w:rPr>
        <w:t>n</w:t>
      </w:r>
      <w:r w:rsidR="0020301B" w:rsidRPr="0020306E">
        <w:rPr>
          <w:b/>
          <w:bCs/>
          <w:szCs w:val="24"/>
          <w:lang w:val="de-DE"/>
        </w:rPr>
        <w:t xml:space="preserve"> Sicherheitsmaßnahmen</w:t>
      </w:r>
    </w:p>
    <w:p w14:paraId="433CC1B6" w14:textId="77777777" w:rsidR="0020301B" w:rsidRPr="0020306E" w:rsidRDefault="0020301B" w:rsidP="00F5794E">
      <w:pPr>
        <w:spacing w:after="0" w:line="240" w:lineRule="atLeast"/>
        <w:ind w:right="566"/>
        <w:jc w:val="both"/>
        <w:rPr>
          <w:sz w:val="20"/>
          <w:lang w:val="de-DE"/>
        </w:rPr>
      </w:pPr>
    </w:p>
    <w:p w14:paraId="0CE02881" w14:textId="64760937" w:rsidR="0020301B" w:rsidRPr="0020306E" w:rsidRDefault="0020301B" w:rsidP="00F5794E">
      <w:pPr>
        <w:tabs>
          <w:tab w:val="left" w:pos="567"/>
        </w:tabs>
        <w:spacing w:after="0" w:line="240" w:lineRule="atLeast"/>
        <w:ind w:right="566"/>
        <w:jc w:val="both"/>
        <w:rPr>
          <w:b/>
          <w:bCs/>
          <w:sz w:val="20"/>
          <w:lang w:val="de-DE"/>
        </w:rPr>
      </w:pPr>
      <w:r w:rsidRPr="0020306E">
        <w:rPr>
          <w:b/>
          <w:bCs/>
          <w:sz w:val="20"/>
          <w:lang w:val="de-DE"/>
        </w:rPr>
        <w:t xml:space="preserve">a) </w:t>
      </w:r>
      <w:r w:rsidR="006E7F4E" w:rsidRPr="0020306E">
        <w:rPr>
          <w:b/>
          <w:bCs/>
          <w:sz w:val="20"/>
          <w:lang w:val="de-DE"/>
        </w:rPr>
        <w:tab/>
      </w:r>
      <w:r w:rsidRPr="0020306E">
        <w:rPr>
          <w:b/>
          <w:bCs/>
          <w:sz w:val="20"/>
          <w:lang w:val="de-DE"/>
        </w:rPr>
        <w:t>Sichtkontrolle</w:t>
      </w:r>
    </w:p>
    <w:p w14:paraId="23508DF4" w14:textId="3460774D" w:rsidR="004E54DB" w:rsidRPr="0020306E" w:rsidRDefault="004E54DB" w:rsidP="00F5794E">
      <w:pPr>
        <w:spacing w:after="0" w:line="240" w:lineRule="atLeast"/>
        <w:ind w:right="566"/>
        <w:jc w:val="both"/>
        <w:rPr>
          <w:sz w:val="20"/>
          <w:lang w:val="de-DE"/>
        </w:rPr>
      </w:pPr>
    </w:p>
    <w:p w14:paraId="73CD8C74" w14:textId="2EF36E56" w:rsidR="004E54DB" w:rsidRPr="0020306E" w:rsidRDefault="00E80430" w:rsidP="00F5794E">
      <w:pPr>
        <w:spacing w:after="0" w:line="240" w:lineRule="atLeast"/>
        <w:ind w:right="566"/>
        <w:jc w:val="both"/>
        <w:rPr>
          <w:sz w:val="20"/>
          <w:lang w:val="de-DE"/>
        </w:rPr>
      </w:pPr>
      <w:r w:rsidRPr="0020306E">
        <w:rPr>
          <w:sz w:val="20"/>
          <w:lang w:val="de-DE"/>
        </w:rPr>
        <w:t>5.</w:t>
      </w:r>
      <w:r w:rsidRPr="0020306E">
        <w:rPr>
          <w:sz w:val="20"/>
          <w:lang w:val="de-DE"/>
        </w:rPr>
        <w:tab/>
      </w:r>
      <w:r w:rsidR="004E54DB" w:rsidRPr="0020306E">
        <w:rPr>
          <w:sz w:val="20"/>
          <w:lang w:val="de-DE"/>
        </w:rPr>
        <w:t xml:space="preserve">Der Vorschlag für einen besonderen Absatz zur Sichtkontrolle (aktueller Entwurf Absatz </w:t>
      </w:r>
      <w:r w:rsidR="00EF747E" w:rsidRPr="0020306E">
        <w:rPr>
          <w:sz w:val="20"/>
          <w:lang w:val="de-DE"/>
        </w:rPr>
        <w:t xml:space="preserve">7.2.4.23.1) </w:t>
      </w:r>
      <w:r w:rsidR="004E54DB" w:rsidRPr="0020306E">
        <w:rPr>
          <w:sz w:val="20"/>
          <w:lang w:val="de-DE"/>
        </w:rPr>
        <w:t xml:space="preserve">enthält eine Bestimmung, dass die vom Schiff abgehenden Leitungen von der Landanlage abgekoppelt sein </w:t>
      </w:r>
      <w:r w:rsidR="00002DD7" w:rsidRPr="0020306E">
        <w:rPr>
          <w:sz w:val="20"/>
          <w:lang w:val="de-DE"/>
        </w:rPr>
        <w:t>müssen. Diese Bestimmung soll zukünftig für alle Maßnahmen gelten. (Näheres dazu unten</w:t>
      </w:r>
      <w:r w:rsidR="008A05F6" w:rsidRPr="0020306E">
        <w:rPr>
          <w:sz w:val="20"/>
          <w:lang w:val="de-DE"/>
        </w:rPr>
        <w:t xml:space="preserve"> Abs</w:t>
      </w:r>
      <w:r w:rsidRPr="0020306E">
        <w:rPr>
          <w:sz w:val="20"/>
          <w:lang w:val="de-DE"/>
        </w:rPr>
        <w:t>ä</w:t>
      </w:r>
      <w:r w:rsidR="008A05F6" w:rsidRPr="0020306E">
        <w:rPr>
          <w:sz w:val="20"/>
          <w:lang w:val="de-DE"/>
        </w:rPr>
        <w:t>tz</w:t>
      </w:r>
      <w:r w:rsidRPr="0020306E">
        <w:rPr>
          <w:sz w:val="20"/>
          <w:lang w:val="de-DE"/>
        </w:rPr>
        <w:t>e</w:t>
      </w:r>
      <w:r w:rsidR="008A05F6" w:rsidRPr="0020306E">
        <w:rPr>
          <w:sz w:val="20"/>
          <w:lang w:val="de-DE"/>
        </w:rPr>
        <w:t xml:space="preserve"> </w:t>
      </w:r>
      <w:r w:rsidRPr="0020306E">
        <w:rPr>
          <w:sz w:val="20"/>
          <w:lang w:val="de-DE"/>
        </w:rPr>
        <w:t>28-32</w:t>
      </w:r>
      <w:r w:rsidR="00002DD7" w:rsidRPr="0020306E">
        <w:rPr>
          <w:sz w:val="20"/>
          <w:lang w:val="de-DE"/>
        </w:rPr>
        <w:t>).</w:t>
      </w:r>
    </w:p>
    <w:p w14:paraId="6430F683" w14:textId="6D7688ED" w:rsidR="00225237" w:rsidRDefault="00225237" w:rsidP="00F5794E">
      <w:pPr>
        <w:spacing w:after="0" w:line="240" w:lineRule="atLeast"/>
        <w:ind w:right="566"/>
        <w:jc w:val="both"/>
        <w:rPr>
          <w:b/>
          <w:bCs/>
          <w:sz w:val="20"/>
          <w:lang w:val="de-DE"/>
        </w:rPr>
      </w:pPr>
    </w:p>
    <w:p w14:paraId="776FF07E" w14:textId="77777777" w:rsidR="008456C7" w:rsidRPr="0020306E" w:rsidRDefault="008456C7" w:rsidP="00F5794E">
      <w:pPr>
        <w:spacing w:after="0" w:line="240" w:lineRule="atLeast"/>
        <w:ind w:right="566"/>
        <w:jc w:val="both"/>
        <w:rPr>
          <w:b/>
          <w:bCs/>
          <w:sz w:val="20"/>
          <w:lang w:val="de-DE"/>
        </w:rPr>
      </w:pPr>
    </w:p>
    <w:p w14:paraId="456DE1BF" w14:textId="66479D9A" w:rsidR="008F5D38" w:rsidRPr="0020306E" w:rsidRDefault="0020301B" w:rsidP="00F5794E">
      <w:pPr>
        <w:tabs>
          <w:tab w:val="left" w:pos="567"/>
        </w:tabs>
        <w:spacing w:after="0" w:line="240" w:lineRule="atLeast"/>
        <w:ind w:right="566"/>
        <w:jc w:val="both"/>
        <w:rPr>
          <w:b/>
          <w:bCs/>
          <w:sz w:val="20"/>
          <w:lang w:val="de-DE"/>
        </w:rPr>
      </w:pPr>
      <w:r w:rsidRPr="0020306E">
        <w:rPr>
          <w:b/>
          <w:bCs/>
          <w:sz w:val="20"/>
          <w:lang w:val="de-DE"/>
        </w:rPr>
        <w:t>b)</w:t>
      </w:r>
      <w:r w:rsidR="006E7F4E" w:rsidRPr="0020306E">
        <w:rPr>
          <w:b/>
          <w:bCs/>
          <w:sz w:val="20"/>
          <w:lang w:val="de-DE"/>
        </w:rPr>
        <w:tab/>
      </w:r>
      <w:r w:rsidR="008F5D38" w:rsidRPr="0020306E">
        <w:rPr>
          <w:b/>
          <w:bCs/>
          <w:sz w:val="20"/>
          <w:lang w:val="de-DE"/>
        </w:rPr>
        <w:t>Probeentnahme</w:t>
      </w:r>
    </w:p>
    <w:p w14:paraId="237A3448" w14:textId="77777777" w:rsidR="008F5D38" w:rsidRPr="0020306E" w:rsidRDefault="008F5D38" w:rsidP="00F5794E">
      <w:pPr>
        <w:spacing w:after="0" w:line="240" w:lineRule="atLeast"/>
        <w:ind w:right="566"/>
        <w:jc w:val="both"/>
        <w:rPr>
          <w:sz w:val="20"/>
          <w:lang w:val="de-DE"/>
        </w:rPr>
      </w:pPr>
    </w:p>
    <w:p w14:paraId="6AA71721" w14:textId="77777777" w:rsidR="00E80430" w:rsidRPr="0020306E" w:rsidRDefault="00225237" w:rsidP="00F5794E">
      <w:pPr>
        <w:spacing w:after="0" w:line="240" w:lineRule="atLeast"/>
        <w:ind w:right="566"/>
        <w:jc w:val="both"/>
        <w:rPr>
          <w:sz w:val="20"/>
          <w:lang w:val="de-DE"/>
        </w:rPr>
      </w:pPr>
      <w:r w:rsidRPr="0020306E">
        <w:rPr>
          <w:sz w:val="20"/>
          <w:lang w:val="de-DE"/>
        </w:rPr>
        <w:t xml:space="preserve">7.2.4.23.2.1 Die Probeentnahmegefäße einschließlich aller Zubehörteile, wie Seile usw., müssen aus elektrostatisch leitfähigem Material bestehen und mit dem Schiffskörper leitfähig verbunden sein. </w:t>
      </w:r>
    </w:p>
    <w:p w14:paraId="5A77FC14" w14:textId="77777777" w:rsidR="00E80430" w:rsidRPr="0020306E" w:rsidRDefault="00E80430" w:rsidP="00F5794E">
      <w:pPr>
        <w:spacing w:after="0" w:line="240" w:lineRule="atLeast"/>
        <w:ind w:right="566"/>
        <w:jc w:val="both"/>
        <w:rPr>
          <w:sz w:val="20"/>
          <w:lang w:val="de-DE"/>
        </w:rPr>
      </w:pPr>
    </w:p>
    <w:p w14:paraId="6CC4FD68" w14:textId="77777777" w:rsidR="00E80430" w:rsidRPr="0020306E" w:rsidRDefault="00225237" w:rsidP="00F5794E">
      <w:pPr>
        <w:spacing w:after="0" w:line="240" w:lineRule="atLeast"/>
        <w:ind w:right="566"/>
        <w:jc w:val="both"/>
        <w:rPr>
          <w:sz w:val="20"/>
          <w:lang w:val="de-DE"/>
        </w:rPr>
      </w:pPr>
      <w:r w:rsidRPr="0020306E">
        <w:rPr>
          <w:sz w:val="20"/>
          <w:lang w:val="de-DE"/>
        </w:rPr>
        <w:t xml:space="preserve">7.2.4.23.2.2 Die Probeentnahme ist nur über die im Unterabschnitt 3.2.3.2 Tabelle C Spalte (13) angegebene Probeentnahmeeinrichtung oder über eine Probeentnahmeeinrichtung, die ein höheres Sicherheitsniveau bietet, gestattet. </w:t>
      </w:r>
    </w:p>
    <w:p w14:paraId="4A0CA7F8" w14:textId="77777777" w:rsidR="00E80430" w:rsidRPr="0020306E" w:rsidRDefault="00E80430" w:rsidP="00F5794E">
      <w:pPr>
        <w:spacing w:after="0" w:line="240" w:lineRule="atLeast"/>
        <w:ind w:right="566"/>
        <w:jc w:val="both"/>
        <w:rPr>
          <w:sz w:val="20"/>
          <w:lang w:val="de-DE"/>
        </w:rPr>
      </w:pPr>
    </w:p>
    <w:p w14:paraId="2EAE93F3" w14:textId="77777777" w:rsidR="00E80430" w:rsidRPr="0020306E" w:rsidRDefault="00225237" w:rsidP="00F5794E">
      <w:pPr>
        <w:spacing w:after="0" w:line="240" w:lineRule="atLeast"/>
        <w:ind w:right="566"/>
        <w:jc w:val="both"/>
        <w:rPr>
          <w:sz w:val="20"/>
          <w:lang w:val="de-DE"/>
        </w:rPr>
      </w:pPr>
      <w:r w:rsidRPr="0020306E">
        <w:rPr>
          <w:sz w:val="20"/>
          <w:lang w:val="de-DE"/>
        </w:rPr>
        <w:t xml:space="preserve">Neu: </w:t>
      </w:r>
    </w:p>
    <w:p w14:paraId="2234641B" w14:textId="5FF3FFF0" w:rsidR="00225237" w:rsidRPr="0020306E" w:rsidRDefault="00E80430" w:rsidP="008456C7">
      <w:pPr>
        <w:spacing w:after="0" w:line="240" w:lineRule="atLeast"/>
        <w:ind w:left="567" w:right="566"/>
        <w:jc w:val="both"/>
        <w:rPr>
          <w:sz w:val="20"/>
          <w:lang w:val="de-DE"/>
        </w:rPr>
      </w:pPr>
      <w:r w:rsidRPr="0020306E">
        <w:rPr>
          <w:sz w:val="20"/>
          <w:lang w:val="de-DE"/>
        </w:rPr>
        <w:t>„</w:t>
      </w:r>
      <w:r w:rsidR="00225237" w:rsidRPr="0020306E">
        <w:rPr>
          <w:sz w:val="20"/>
          <w:lang w:val="de-DE"/>
        </w:rPr>
        <w:t>7.2.4.23.2.3 In Ausnahmefällen darf bei einer Funktionsstörung der Probeentnahmeeinrichtung, die nicht kurzfristig behoben werden kann, eine Probenahme über die Probeentnahmeöffnung durchgeführt werden.</w:t>
      </w:r>
      <w:r w:rsidRPr="0020306E">
        <w:rPr>
          <w:sz w:val="20"/>
          <w:lang w:val="de-DE"/>
        </w:rPr>
        <w:t>“</w:t>
      </w:r>
      <w:r w:rsidR="00225237" w:rsidRPr="0020306E">
        <w:rPr>
          <w:sz w:val="20"/>
          <w:lang w:val="de-DE"/>
        </w:rPr>
        <w:t xml:space="preserve"> </w:t>
      </w:r>
    </w:p>
    <w:p w14:paraId="4EF13141" w14:textId="77777777" w:rsidR="00D421B0" w:rsidRPr="0020306E" w:rsidRDefault="00D421B0" w:rsidP="00F5794E">
      <w:pPr>
        <w:spacing w:after="0" w:line="240" w:lineRule="atLeast"/>
        <w:ind w:right="566"/>
        <w:jc w:val="both"/>
        <w:rPr>
          <w:sz w:val="20"/>
          <w:lang w:val="de-DE"/>
        </w:rPr>
      </w:pPr>
      <w:bookmarkStart w:id="0" w:name="_Hlk117851947"/>
    </w:p>
    <w:bookmarkEnd w:id="0"/>
    <w:p w14:paraId="3E492377" w14:textId="4626BF31" w:rsidR="00E80430" w:rsidRPr="0020306E" w:rsidRDefault="00C537A3" w:rsidP="00F5794E">
      <w:pPr>
        <w:spacing w:after="0" w:line="240" w:lineRule="atLeast"/>
        <w:ind w:right="566"/>
        <w:jc w:val="both"/>
        <w:rPr>
          <w:sz w:val="20"/>
          <w:lang w:val="de-DE"/>
        </w:rPr>
      </w:pPr>
      <w:r w:rsidRPr="0020306E">
        <w:rPr>
          <w:sz w:val="20"/>
          <w:lang w:val="de-DE"/>
        </w:rPr>
        <w:t xml:space="preserve">Begründung für neue Vorschrift: </w:t>
      </w:r>
    </w:p>
    <w:p w14:paraId="06D72DB0" w14:textId="77777777" w:rsidR="00E80430" w:rsidRPr="0020306E" w:rsidRDefault="00E80430" w:rsidP="00F5794E">
      <w:pPr>
        <w:spacing w:after="0" w:line="240" w:lineRule="atLeast"/>
        <w:ind w:right="566"/>
        <w:jc w:val="both"/>
        <w:rPr>
          <w:sz w:val="20"/>
          <w:lang w:val="de-DE"/>
        </w:rPr>
      </w:pPr>
    </w:p>
    <w:p w14:paraId="6AD60A74" w14:textId="4978534F" w:rsidR="00225237" w:rsidRPr="0020306E" w:rsidRDefault="00E80430" w:rsidP="00F5794E">
      <w:pPr>
        <w:spacing w:after="0" w:line="240" w:lineRule="atLeast"/>
        <w:ind w:right="566"/>
        <w:jc w:val="both"/>
        <w:rPr>
          <w:sz w:val="20"/>
          <w:lang w:val="de-DE"/>
        </w:rPr>
      </w:pPr>
      <w:r w:rsidRPr="0020306E">
        <w:rPr>
          <w:sz w:val="20"/>
          <w:lang w:val="de-DE"/>
        </w:rPr>
        <w:t>6.</w:t>
      </w:r>
      <w:r w:rsidRPr="0020306E">
        <w:rPr>
          <w:sz w:val="20"/>
          <w:lang w:val="de-DE"/>
        </w:rPr>
        <w:tab/>
      </w:r>
      <w:r w:rsidR="00225237" w:rsidRPr="0020306E">
        <w:rPr>
          <w:sz w:val="20"/>
          <w:lang w:val="de-DE"/>
        </w:rPr>
        <w:t>Es wird sichergestellt, dass das Entladen des Schiffes nicht verhindert und sein Einsatzplan nicht nachhaltig gestört wird (mit der Folge von wirtschaftlichen Schäden für den Beförderer), wenn der Schaden nicht kurzfristig mit Bordmitteln oder durch externe Dienstleister innerhalb etwa vorhandener Zeitpuffer beseitigt werden kann.</w:t>
      </w:r>
    </w:p>
    <w:p w14:paraId="305BF522" w14:textId="77777777" w:rsidR="00697B20" w:rsidRPr="0020306E" w:rsidRDefault="00697B20" w:rsidP="00F5794E">
      <w:pPr>
        <w:spacing w:after="0" w:line="240" w:lineRule="atLeast"/>
        <w:ind w:right="566"/>
        <w:jc w:val="both"/>
        <w:rPr>
          <w:sz w:val="20"/>
          <w:lang w:val="de-DE"/>
        </w:rPr>
      </w:pPr>
    </w:p>
    <w:p w14:paraId="6FBBAA02" w14:textId="77777777" w:rsidR="00EE0F4F" w:rsidRDefault="00EE0F4F">
      <w:pPr>
        <w:spacing w:after="0"/>
        <w:rPr>
          <w:b/>
          <w:bCs/>
          <w:sz w:val="20"/>
          <w:lang w:val="de-DE"/>
        </w:rPr>
      </w:pPr>
      <w:r>
        <w:rPr>
          <w:b/>
          <w:bCs/>
          <w:sz w:val="20"/>
          <w:lang w:val="de-DE"/>
        </w:rPr>
        <w:br w:type="page"/>
      </w:r>
    </w:p>
    <w:p w14:paraId="52D7EFE5" w14:textId="0195ED42" w:rsidR="00225237" w:rsidRPr="0020306E" w:rsidRDefault="00D421B0" w:rsidP="00F5794E">
      <w:pPr>
        <w:tabs>
          <w:tab w:val="left" w:pos="567"/>
        </w:tabs>
        <w:spacing w:after="0" w:line="240" w:lineRule="atLeast"/>
        <w:ind w:right="566"/>
        <w:jc w:val="both"/>
        <w:rPr>
          <w:b/>
          <w:bCs/>
          <w:sz w:val="20"/>
          <w:lang w:val="de-DE"/>
        </w:rPr>
      </w:pPr>
      <w:r w:rsidRPr="0020306E">
        <w:rPr>
          <w:b/>
          <w:bCs/>
          <w:sz w:val="20"/>
          <w:lang w:val="de-DE"/>
        </w:rPr>
        <w:lastRenderedPageBreak/>
        <w:t>c)</w:t>
      </w:r>
      <w:r w:rsidR="006E7F4E" w:rsidRPr="0020306E">
        <w:rPr>
          <w:b/>
          <w:bCs/>
          <w:sz w:val="20"/>
          <w:lang w:val="de-DE"/>
        </w:rPr>
        <w:tab/>
      </w:r>
      <w:r w:rsidR="00225237" w:rsidRPr="0020306E">
        <w:rPr>
          <w:b/>
          <w:bCs/>
          <w:sz w:val="20"/>
          <w:lang w:val="de-DE"/>
        </w:rPr>
        <w:t>Ermittlung der Füllmenge</w:t>
      </w:r>
    </w:p>
    <w:p w14:paraId="411AF62A" w14:textId="77777777" w:rsidR="00D421B0" w:rsidRPr="0020306E" w:rsidRDefault="00D421B0" w:rsidP="00F5794E">
      <w:pPr>
        <w:spacing w:after="0" w:line="240" w:lineRule="atLeast"/>
        <w:ind w:right="566"/>
        <w:jc w:val="both"/>
        <w:rPr>
          <w:sz w:val="20"/>
          <w:lang w:val="de-DE"/>
        </w:rPr>
      </w:pPr>
    </w:p>
    <w:p w14:paraId="42627828" w14:textId="7B17696E" w:rsidR="00225237" w:rsidRPr="0020306E" w:rsidRDefault="00E80430" w:rsidP="00F5794E">
      <w:pPr>
        <w:spacing w:after="0" w:line="240" w:lineRule="atLeast"/>
        <w:ind w:right="566"/>
        <w:jc w:val="both"/>
        <w:rPr>
          <w:sz w:val="20"/>
          <w:lang w:val="de-DE"/>
        </w:rPr>
      </w:pPr>
      <w:r w:rsidRPr="0020306E">
        <w:rPr>
          <w:sz w:val="20"/>
          <w:lang w:val="de-DE"/>
        </w:rPr>
        <w:t>7.</w:t>
      </w:r>
      <w:r w:rsidRPr="0020306E">
        <w:rPr>
          <w:sz w:val="20"/>
          <w:lang w:val="de-DE"/>
        </w:rPr>
        <w:tab/>
      </w:r>
      <w:r w:rsidR="00225237" w:rsidRPr="0020306E">
        <w:rPr>
          <w:sz w:val="20"/>
          <w:lang w:val="de-DE"/>
        </w:rPr>
        <w:t xml:space="preserve">Weicht die vom Befüller gemessene Menge des Ladeguts von der an Bord über Messgeräte bestimmten Menge ab, darf die Füllmenge im Ladetank über die Probeentnahmeöffnung mit Maßband und Thermometer manuell bestimmt werden. Die zur Ermittlung der Füllmenge in Ladetanks verwendeten Messgeräte müssen aus elektrostatisch leitfähigem Material bestehen und beim Messen mit dem Schiffskörper leitfähig verbunden sein. Das Messgerät muss für die Verwendung in der Zone 0 geeignet sein. </w:t>
      </w:r>
    </w:p>
    <w:p w14:paraId="709A957B" w14:textId="77777777" w:rsidR="00697B20" w:rsidRPr="0020306E" w:rsidRDefault="00697B20" w:rsidP="00F5794E">
      <w:pPr>
        <w:spacing w:after="0" w:line="240" w:lineRule="atLeast"/>
        <w:ind w:right="566"/>
        <w:jc w:val="both"/>
        <w:rPr>
          <w:sz w:val="20"/>
          <w:lang w:val="de-DE"/>
        </w:rPr>
      </w:pPr>
    </w:p>
    <w:p w14:paraId="1B200E1C" w14:textId="77777777" w:rsidR="00E80430" w:rsidRPr="0020306E" w:rsidRDefault="00C537A3" w:rsidP="00F5794E">
      <w:pPr>
        <w:spacing w:after="0" w:line="240" w:lineRule="atLeast"/>
        <w:ind w:right="566"/>
        <w:jc w:val="both"/>
        <w:rPr>
          <w:sz w:val="20"/>
          <w:lang w:val="de-DE"/>
        </w:rPr>
      </w:pPr>
      <w:r w:rsidRPr="0020306E">
        <w:rPr>
          <w:sz w:val="20"/>
          <w:lang w:val="de-DE"/>
        </w:rPr>
        <w:t xml:space="preserve">Begründung für neue Vorschrift: </w:t>
      </w:r>
    </w:p>
    <w:p w14:paraId="5C6E6DF7" w14:textId="77777777" w:rsidR="00E80430" w:rsidRPr="0020306E" w:rsidRDefault="00E80430" w:rsidP="00F5794E">
      <w:pPr>
        <w:spacing w:after="0" w:line="240" w:lineRule="atLeast"/>
        <w:ind w:right="566"/>
        <w:jc w:val="both"/>
        <w:rPr>
          <w:sz w:val="20"/>
          <w:lang w:val="de-DE"/>
        </w:rPr>
      </w:pPr>
    </w:p>
    <w:p w14:paraId="7565913B" w14:textId="6D2BD229" w:rsidR="00225237" w:rsidRPr="0020306E" w:rsidRDefault="00E80430" w:rsidP="00F5794E">
      <w:pPr>
        <w:spacing w:after="0" w:line="240" w:lineRule="atLeast"/>
        <w:ind w:right="566"/>
        <w:jc w:val="both"/>
        <w:rPr>
          <w:sz w:val="20"/>
          <w:lang w:val="de-DE"/>
        </w:rPr>
      </w:pPr>
      <w:r w:rsidRPr="0020306E">
        <w:rPr>
          <w:sz w:val="20"/>
          <w:lang w:val="de-DE"/>
        </w:rPr>
        <w:t>8.</w:t>
      </w:r>
      <w:r w:rsidRPr="0020306E">
        <w:rPr>
          <w:sz w:val="20"/>
          <w:lang w:val="de-DE"/>
        </w:rPr>
        <w:tab/>
      </w:r>
      <w:r w:rsidR="00225237" w:rsidRPr="0020306E">
        <w:rPr>
          <w:sz w:val="20"/>
          <w:lang w:val="de-DE"/>
        </w:rPr>
        <w:t xml:space="preserve">Die im neuen Absatz 7.2.4.23.2.5 angesprochene Messung mittels der fest verbauten Messsysteme kann gelegentlich fehlerbehaftet sein. Zum Beispiel durch Luftblasen, Tropfen, welche Radar- oder Schallmesssysteme irritieren oder Schwimmer, die „hängen“. Ein Defekt von Sensoren kann ein weiterer Grund sein. Dadurch kann die vom Befüller gegenüber dem Beförderer beim Laden oder durch den Beförderer an der Löschstelle angegebene Menge von der durch die fest eingebauten Messeinrichtung am Ladetank angezeigten Menge abweichen. Eine genaue Feststellung von Menge und Warenwert ist dann nur mit Maßband und Thermometer möglich. Eine Ermittlung über die Eich-Markierungen ist fehlerbehaftet, da die Ablesungen von äußeren Einflüssen abhängig sind, z.B. Wellenhöhe und Wellenfrequenz. Dies trifft natürlich auch für Mengenermittlungen zur zolltechnischen Abwicklung zu. </w:t>
      </w:r>
    </w:p>
    <w:p w14:paraId="548186E2" w14:textId="640D162D" w:rsidR="00225237" w:rsidRPr="0020306E" w:rsidRDefault="00225237" w:rsidP="00F5794E">
      <w:pPr>
        <w:spacing w:after="0" w:line="240" w:lineRule="atLeast"/>
        <w:ind w:right="566"/>
        <w:jc w:val="both"/>
        <w:rPr>
          <w:sz w:val="20"/>
          <w:lang w:val="de-DE"/>
        </w:rPr>
      </w:pPr>
    </w:p>
    <w:p w14:paraId="651896EF" w14:textId="77777777" w:rsidR="008A05F6" w:rsidRPr="0020306E" w:rsidRDefault="008A05F6" w:rsidP="00F5794E">
      <w:pPr>
        <w:spacing w:after="0" w:line="240" w:lineRule="atLeast"/>
        <w:ind w:right="566"/>
        <w:jc w:val="both"/>
        <w:rPr>
          <w:sz w:val="20"/>
          <w:lang w:val="de-DE"/>
        </w:rPr>
      </w:pPr>
    </w:p>
    <w:p w14:paraId="08206F16" w14:textId="0EF35BDF" w:rsidR="00225237" w:rsidRPr="0020306E" w:rsidRDefault="00697B20" w:rsidP="00F5794E">
      <w:pPr>
        <w:tabs>
          <w:tab w:val="left" w:pos="567"/>
        </w:tabs>
        <w:spacing w:after="0" w:line="240" w:lineRule="atLeast"/>
        <w:ind w:right="566"/>
        <w:jc w:val="both"/>
        <w:rPr>
          <w:b/>
          <w:bCs/>
          <w:sz w:val="20"/>
          <w:lang w:val="de-DE"/>
        </w:rPr>
      </w:pPr>
      <w:r w:rsidRPr="0020306E">
        <w:rPr>
          <w:b/>
          <w:bCs/>
          <w:sz w:val="20"/>
          <w:lang w:val="de-DE"/>
        </w:rPr>
        <w:t>d)</w:t>
      </w:r>
      <w:r w:rsidR="00F5794E" w:rsidRPr="0020306E">
        <w:rPr>
          <w:b/>
          <w:bCs/>
          <w:sz w:val="20"/>
          <w:lang w:val="de-DE"/>
        </w:rPr>
        <w:tab/>
      </w:r>
      <w:r w:rsidR="00225237" w:rsidRPr="0020306E">
        <w:rPr>
          <w:b/>
          <w:bCs/>
          <w:sz w:val="20"/>
          <w:lang w:val="de-DE"/>
        </w:rPr>
        <w:t>Zugabe von Stabilisatoren</w:t>
      </w:r>
    </w:p>
    <w:p w14:paraId="5F525071" w14:textId="6D2A09E1" w:rsidR="00697B20" w:rsidRPr="0020306E" w:rsidRDefault="00697B20" w:rsidP="00F5794E">
      <w:pPr>
        <w:spacing w:after="0" w:line="240" w:lineRule="atLeast"/>
        <w:ind w:right="566"/>
        <w:jc w:val="both"/>
        <w:rPr>
          <w:sz w:val="20"/>
          <w:lang w:val="de-DE"/>
        </w:rPr>
      </w:pPr>
    </w:p>
    <w:p w14:paraId="04740C2F" w14:textId="77777777" w:rsidR="00E80430" w:rsidRPr="0020306E" w:rsidRDefault="00C537A3" w:rsidP="00F5794E">
      <w:pPr>
        <w:spacing w:after="0" w:line="240" w:lineRule="atLeast"/>
        <w:ind w:right="566"/>
        <w:jc w:val="both"/>
        <w:rPr>
          <w:sz w:val="20"/>
          <w:lang w:val="de-DE"/>
        </w:rPr>
      </w:pPr>
      <w:r w:rsidRPr="0020306E">
        <w:rPr>
          <w:sz w:val="20"/>
          <w:lang w:val="de-DE"/>
        </w:rPr>
        <w:t xml:space="preserve">Neue Vorschrift für das ADN: </w:t>
      </w:r>
    </w:p>
    <w:p w14:paraId="00C9DE86" w14:textId="6C660882" w:rsidR="00C537A3" w:rsidRPr="0020306E" w:rsidRDefault="00E80430" w:rsidP="00EE0F4F">
      <w:pPr>
        <w:spacing w:before="120" w:after="0" w:line="240" w:lineRule="atLeast"/>
        <w:ind w:left="567" w:right="566"/>
        <w:jc w:val="both"/>
        <w:rPr>
          <w:sz w:val="20"/>
          <w:lang w:val="de-DE"/>
        </w:rPr>
      </w:pPr>
      <w:r w:rsidRPr="0020306E">
        <w:rPr>
          <w:sz w:val="20"/>
          <w:lang w:val="de-DE"/>
        </w:rPr>
        <w:t>„</w:t>
      </w:r>
      <w:r w:rsidR="00C537A3" w:rsidRPr="0020306E">
        <w:rPr>
          <w:sz w:val="20"/>
          <w:lang w:val="de-DE"/>
        </w:rPr>
        <w:t>7.2.4.23.2.6</w:t>
      </w:r>
      <w:r w:rsidR="00781537" w:rsidRPr="0020306E">
        <w:rPr>
          <w:sz w:val="20"/>
          <w:lang w:val="de-DE"/>
        </w:rPr>
        <w:t xml:space="preserve">: </w:t>
      </w:r>
      <w:r w:rsidR="00C537A3" w:rsidRPr="0020306E">
        <w:rPr>
          <w:sz w:val="20"/>
          <w:lang w:val="de-DE"/>
        </w:rPr>
        <w:t>Bei einer Zugabe von Stabilisator über die Probeentnahmeöffnung muss eine statische Aufladung verhindert werden.</w:t>
      </w:r>
      <w:r w:rsidR="00781537" w:rsidRPr="0020306E">
        <w:rPr>
          <w:sz w:val="20"/>
          <w:lang w:val="de-DE"/>
        </w:rPr>
        <w:t>“</w:t>
      </w:r>
    </w:p>
    <w:p w14:paraId="01312F19" w14:textId="77777777" w:rsidR="00E30756" w:rsidRPr="0020306E" w:rsidRDefault="00E30756" w:rsidP="00F5794E">
      <w:pPr>
        <w:spacing w:after="0" w:line="240" w:lineRule="atLeast"/>
        <w:ind w:right="566"/>
        <w:jc w:val="both"/>
        <w:rPr>
          <w:sz w:val="20"/>
          <w:lang w:val="de-DE"/>
        </w:rPr>
      </w:pPr>
    </w:p>
    <w:p w14:paraId="409E8E2A" w14:textId="77777777" w:rsidR="00E80430" w:rsidRPr="0020306E" w:rsidRDefault="00225237" w:rsidP="00F5794E">
      <w:pPr>
        <w:spacing w:after="0" w:line="240" w:lineRule="atLeast"/>
        <w:ind w:right="566"/>
        <w:jc w:val="both"/>
        <w:rPr>
          <w:sz w:val="20"/>
          <w:lang w:val="de-DE"/>
        </w:rPr>
      </w:pPr>
      <w:r w:rsidRPr="0020306E">
        <w:rPr>
          <w:sz w:val="20"/>
          <w:lang w:val="de-DE"/>
        </w:rPr>
        <w:t xml:space="preserve">Begründung für neue Vorschrift: </w:t>
      </w:r>
    </w:p>
    <w:p w14:paraId="05ED7EB9" w14:textId="77777777" w:rsidR="00E80430" w:rsidRPr="0020306E" w:rsidRDefault="00E80430" w:rsidP="00F5794E">
      <w:pPr>
        <w:spacing w:after="0" w:line="240" w:lineRule="atLeast"/>
        <w:ind w:right="566"/>
        <w:jc w:val="both"/>
        <w:rPr>
          <w:sz w:val="20"/>
          <w:lang w:val="de-DE"/>
        </w:rPr>
      </w:pPr>
    </w:p>
    <w:p w14:paraId="3274BA0C" w14:textId="729AD80F" w:rsidR="00225237" w:rsidRPr="0020306E" w:rsidRDefault="00E80430" w:rsidP="00F5794E">
      <w:pPr>
        <w:spacing w:after="0" w:line="240" w:lineRule="atLeast"/>
        <w:ind w:right="566"/>
        <w:jc w:val="both"/>
        <w:rPr>
          <w:sz w:val="20"/>
          <w:lang w:val="de-DE"/>
        </w:rPr>
      </w:pPr>
      <w:r w:rsidRPr="0020306E">
        <w:rPr>
          <w:sz w:val="20"/>
          <w:lang w:val="de-DE"/>
        </w:rPr>
        <w:t>9.</w:t>
      </w:r>
      <w:r w:rsidRPr="0020306E">
        <w:rPr>
          <w:sz w:val="20"/>
          <w:lang w:val="de-DE"/>
        </w:rPr>
        <w:tab/>
      </w:r>
      <w:r w:rsidR="00225237" w:rsidRPr="0020306E">
        <w:rPr>
          <w:sz w:val="20"/>
          <w:lang w:val="de-DE"/>
        </w:rPr>
        <w:t>Die Anforderung in Absatz 7.2.4.23.6 greift auf, was im ADN bereits an anderer Stelle geregelt ist, zum Beispiel bei der Inertisierung 7.2.4.18.4 oder der Beladung in 7.2.4.16.15 um eine elektrostatische Aufladung zu verhindern. Dafür muss unter Berücksichtigung der Leitfähigkeit die Füllgeschwindigkeit so gering wie möglich gehalten werden. In der Praxis handelt es sich bei der Zugabe von Stabilisatoren um verhältnismäßig geringe Mengen.</w:t>
      </w:r>
    </w:p>
    <w:p w14:paraId="79DF5B3F" w14:textId="1F5E7D3C" w:rsidR="008A05F6" w:rsidRDefault="008A05F6" w:rsidP="00F5794E">
      <w:pPr>
        <w:spacing w:after="0" w:line="240" w:lineRule="atLeast"/>
        <w:ind w:right="566"/>
        <w:jc w:val="both"/>
        <w:rPr>
          <w:sz w:val="20"/>
          <w:lang w:val="de-DE"/>
        </w:rPr>
      </w:pPr>
    </w:p>
    <w:p w14:paraId="06F727EA" w14:textId="77777777" w:rsidR="008456C7" w:rsidRPr="0020306E" w:rsidRDefault="008456C7" w:rsidP="00F5794E">
      <w:pPr>
        <w:spacing w:after="0" w:line="240" w:lineRule="atLeast"/>
        <w:ind w:right="566"/>
        <w:jc w:val="both"/>
        <w:rPr>
          <w:sz w:val="20"/>
          <w:lang w:val="de-DE"/>
        </w:rPr>
      </w:pPr>
    </w:p>
    <w:p w14:paraId="29C6F372" w14:textId="41C89983" w:rsidR="00225237" w:rsidRPr="0020306E" w:rsidRDefault="00697B20" w:rsidP="00F5794E">
      <w:pPr>
        <w:tabs>
          <w:tab w:val="left" w:pos="567"/>
        </w:tabs>
        <w:spacing w:after="0" w:line="240" w:lineRule="atLeast"/>
        <w:ind w:right="566"/>
        <w:jc w:val="both"/>
        <w:rPr>
          <w:b/>
          <w:bCs/>
          <w:sz w:val="20"/>
          <w:lang w:val="de-DE"/>
        </w:rPr>
      </w:pPr>
      <w:r w:rsidRPr="0020306E">
        <w:rPr>
          <w:b/>
          <w:bCs/>
          <w:sz w:val="20"/>
          <w:lang w:val="de-DE"/>
        </w:rPr>
        <w:t>e)</w:t>
      </w:r>
      <w:r w:rsidR="00F5794E" w:rsidRPr="0020306E">
        <w:rPr>
          <w:b/>
          <w:bCs/>
          <w:sz w:val="20"/>
          <w:lang w:val="de-DE"/>
        </w:rPr>
        <w:tab/>
      </w:r>
      <w:r w:rsidR="00225237" w:rsidRPr="0020306E">
        <w:rPr>
          <w:b/>
          <w:bCs/>
          <w:sz w:val="20"/>
          <w:lang w:val="de-DE"/>
        </w:rPr>
        <w:t>Gasmessung</w:t>
      </w:r>
    </w:p>
    <w:p w14:paraId="50763368" w14:textId="77777777" w:rsidR="00697B20" w:rsidRPr="0020306E" w:rsidRDefault="00697B20" w:rsidP="00F5794E">
      <w:pPr>
        <w:spacing w:after="0" w:line="240" w:lineRule="atLeast"/>
        <w:ind w:right="566"/>
        <w:jc w:val="both"/>
        <w:rPr>
          <w:sz w:val="20"/>
          <w:lang w:val="de-DE"/>
        </w:rPr>
      </w:pPr>
    </w:p>
    <w:p w14:paraId="27BF174C" w14:textId="77777777" w:rsidR="00E80430" w:rsidRPr="0020306E" w:rsidRDefault="00C537A3" w:rsidP="00F5794E">
      <w:pPr>
        <w:spacing w:after="0" w:line="240" w:lineRule="atLeast"/>
        <w:ind w:right="566"/>
        <w:jc w:val="both"/>
        <w:rPr>
          <w:sz w:val="20"/>
          <w:lang w:val="de-DE"/>
        </w:rPr>
      </w:pPr>
      <w:r w:rsidRPr="0020306E">
        <w:rPr>
          <w:sz w:val="20"/>
          <w:lang w:val="de-DE"/>
        </w:rPr>
        <w:t>Neue Vorschrift für das ADN:</w:t>
      </w:r>
    </w:p>
    <w:p w14:paraId="5E232602" w14:textId="68ED8125" w:rsidR="00C537A3" w:rsidRPr="0020306E" w:rsidRDefault="00EF747E" w:rsidP="00EE0F4F">
      <w:pPr>
        <w:spacing w:before="120" w:after="0" w:line="240" w:lineRule="atLeast"/>
        <w:ind w:left="567" w:right="566"/>
        <w:jc w:val="both"/>
        <w:rPr>
          <w:sz w:val="20"/>
          <w:lang w:val="de-DE"/>
        </w:rPr>
      </w:pPr>
      <w:r w:rsidRPr="0020306E">
        <w:rPr>
          <w:sz w:val="20"/>
          <w:lang w:val="de-DE"/>
        </w:rPr>
        <w:t>„</w:t>
      </w:r>
      <w:r w:rsidR="00C537A3" w:rsidRPr="0020306E">
        <w:rPr>
          <w:sz w:val="20"/>
          <w:lang w:val="de-DE"/>
        </w:rPr>
        <w:t>7.2.4.23.2.7 Für die Gasmessung gelten zusätzlich die Anforderungen nach Absatz 7.2.3.1.4.</w:t>
      </w:r>
      <w:r w:rsidRPr="0020306E">
        <w:rPr>
          <w:sz w:val="20"/>
          <w:lang w:val="de-DE"/>
        </w:rPr>
        <w:t>“.</w:t>
      </w:r>
    </w:p>
    <w:p w14:paraId="16D24DCD" w14:textId="77777777" w:rsidR="00E30756" w:rsidRPr="0020306E" w:rsidRDefault="00E30756" w:rsidP="00F5794E">
      <w:pPr>
        <w:spacing w:after="0" w:line="240" w:lineRule="atLeast"/>
        <w:ind w:right="566"/>
        <w:jc w:val="both"/>
        <w:rPr>
          <w:sz w:val="20"/>
          <w:lang w:val="de-DE"/>
        </w:rPr>
      </w:pPr>
    </w:p>
    <w:p w14:paraId="2730822C" w14:textId="492FC77E" w:rsidR="00E80430" w:rsidRPr="0020306E" w:rsidRDefault="00C537A3" w:rsidP="00F5794E">
      <w:pPr>
        <w:spacing w:after="0" w:line="240" w:lineRule="atLeast"/>
        <w:ind w:right="566"/>
        <w:jc w:val="both"/>
        <w:rPr>
          <w:sz w:val="20"/>
          <w:lang w:val="de-DE"/>
        </w:rPr>
      </w:pPr>
      <w:r w:rsidRPr="0020306E">
        <w:rPr>
          <w:sz w:val="20"/>
          <w:lang w:val="de-DE"/>
        </w:rPr>
        <w:t xml:space="preserve">Begründung für neue Vorschrift: </w:t>
      </w:r>
    </w:p>
    <w:p w14:paraId="49050770" w14:textId="77777777" w:rsidR="00E80430" w:rsidRPr="0020306E" w:rsidRDefault="00E80430" w:rsidP="00F5794E">
      <w:pPr>
        <w:spacing w:after="0" w:line="240" w:lineRule="atLeast"/>
        <w:ind w:right="566"/>
        <w:jc w:val="both"/>
        <w:rPr>
          <w:sz w:val="20"/>
          <w:lang w:val="de-DE"/>
        </w:rPr>
      </w:pPr>
    </w:p>
    <w:p w14:paraId="7A1639DD" w14:textId="4F068BD8" w:rsidR="00C537A3" w:rsidRPr="0020306E" w:rsidRDefault="00E80430" w:rsidP="00F5794E">
      <w:pPr>
        <w:spacing w:after="0" w:line="240" w:lineRule="atLeast"/>
        <w:ind w:right="566"/>
        <w:jc w:val="both"/>
        <w:rPr>
          <w:sz w:val="20"/>
          <w:lang w:val="de-DE"/>
        </w:rPr>
      </w:pPr>
      <w:r w:rsidRPr="0020306E">
        <w:rPr>
          <w:sz w:val="20"/>
          <w:lang w:val="de-DE"/>
        </w:rPr>
        <w:t>10.</w:t>
      </w:r>
      <w:r w:rsidRPr="0020306E">
        <w:rPr>
          <w:sz w:val="20"/>
          <w:lang w:val="de-DE"/>
        </w:rPr>
        <w:tab/>
      </w:r>
      <w:r w:rsidR="00C537A3" w:rsidRPr="0020306E">
        <w:rPr>
          <w:sz w:val="20"/>
          <w:lang w:val="de-DE"/>
        </w:rPr>
        <w:t xml:space="preserve">Gasmessungen können sicher durchgeführt werden, wenn neben den neuen Vorschriften auch die Anforderungen nach 7.2.3.1.4 beachtet werden. </w:t>
      </w:r>
    </w:p>
    <w:p w14:paraId="6E1C82A8" w14:textId="77777777" w:rsidR="00C537A3" w:rsidRPr="0020306E" w:rsidRDefault="00C537A3" w:rsidP="00F5794E">
      <w:pPr>
        <w:spacing w:after="0" w:line="240" w:lineRule="atLeast"/>
        <w:ind w:right="566"/>
        <w:jc w:val="both"/>
        <w:rPr>
          <w:sz w:val="20"/>
          <w:lang w:val="de-DE"/>
        </w:rPr>
      </w:pPr>
    </w:p>
    <w:p w14:paraId="70EA6630" w14:textId="77777777" w:rsidR="00E30756" w:rsidRPr="0020306E" w:rsidRDefault="00E30756" w:rsidP="00F5794E">
      <w:pPr>
        <w:spacing w:after="0" w:line="240" w:lineRule="atLeast"/>
        <w:ind w:right="566"/>
        <w:jc w:val="both"/>
        <w:rPr>
          <w:sz w:val="20"/>
          <w:lang w:val="de-DE"/>
        </w:rPr>
      </w:pPr>
    </w:p>
    <w:p w14:paraId="091E2B2B" w14:textId="1DD233F1" w:rsidR="00A23953" w:rsidRPr="0020306E" w:rsidRDefault="00E80430" w:rsidP="00F5794E">
      <w:pPr>
        <w:spacing w:after="0" w:line="240" w:lineRule="atLeast"/>
        <w:ind w:right="566"/>
        <w:jc w:val="both"/>
        <w:rPr>
          <w:b/>
          <w:bCs/>
          <w:szCs w:val="24"/>
          <w:lang w:val="de-DE"/>
        </w:rPr>
      </w:pPr>
      <w:r w:rsidRPr="0020306E">
        <w:rPr>
          <w:b/>
          <w:bCs/>
          <w:szCs w:val="24"/>
          <w:lang w:val="de-DE"/>
        </w:rPr>
        <w:t>C</w:t>
      </w:r>
      <w:r w:rsidR="00A23953" w:rsidRPr="0020306E">
        <w:rPr>
          <w:b/>
          <w:bCs/>
          <w:szCs w:val="24"/>
          <w:lang w:val="de-DE"/>
        </w:rPr>
        <w:t>.</w:t>
      </w:r>
      <w:r w:rsidR="00A23953" w:rsidRPr="0020306E">
        <w:rPr>
          <w:b/>
          <w:bCs/>
          <w:szCs w:val="24"/>
          <w:lang w:val="de-DE"/>
        </w:rPr>
        <w:tab/>
      </w:r>
      <w:r w:rsidR="00076781" w:rsidRPr="0020306E">
        <w:rPr>
          <w:b/>
          <w:bCs/>
          <w:szCs w:val="24"/>
          <w:lang w:val="de-DE"/>
        </w:rPr>
        <w:t xml:space="preserve">Begriffsbestimmung </w:t>
      </w:r>
      <w:r w:rsidR="00A23953" w:rsidRPr="0020306E">
        <w:rPr>
          <w:b/>
          <w:bCs/>
          <w:szCs w:val="24"/>
          <w:lang w:val="de-DE"/>
        </w:rPr>
        <w:t>Probeentnahmeöffnung</w:t>
      </w:r>
      <w:r w:rsidR="00076781" w:rsidRPr="0020306E">
        <w:rPr>
          <w:b/>
          <w:bCs/>
          <w:szCs w:val="24"/>
          <w:lang w:val="de-DE"/>
        </w:rPr>
        <w:t>:</w:t>
      </w:r>
      <w:r w:rsidR="00A23953" w:rsidRPr="0020306E">
        <w:rPr>
          <w:b/>
          <w:bCs/>
          <w:szCs w:val="24"/>
          <w:lang w:val="de-DE"/>
        </w:rPr>
        <w:t xml:space="preserve"> gleichwertige Öffnungen</w:t>
      </w:r>
    </w:p>
    <w:p w14:paraId="656AC8BE" w14:textId="77777777" w:rsidR="00A23953" w:rsidRPr="0020306E" w:rsidRDefault="00A23953" w:rsidP="00F5794E">
      <w:pPr>
        <w:spacing w:after="0" w:line="240" w:lineRule="atLeast"/>
        <w:ind w:right="566"/>
        <w:jc w:val="both"/>
        <w:rPr>
          <w:bCs/>
          <w:sz w:val="20"/>
          <w:lang w:val="de-DE"/>
        </w:rPr>
      </w:pPr>
    </w:p>
    <w:p w14:paraId="4CA3FCBC" w14:textId="22D35E92" w:rsidR="00A23953" w:rsidRPr="0020306E" w:rsidRDefault="007D6762" w:rsidP="00F5794E">
      <w:pPr>
        <w:spacing w:after="0" w:line="240" w:lineRule="atLeast"/>
        <w:ind w:right="566"/>
        <w:jc w:val="both"/>
        <w:rPr>
          <w:sz w:val="20"/>
          <w:lang w:val="de-DE"/>
        </w:rPr>
      </w:pPr>
      <w:r w:rsidRPr="0020306E">
        <w:rPr>
          <w:sz w:val="20"/>
          <w:lang w:val="de-DE"/>
        </w:rPr>
        <w:t>11.</w:t>
      </w:r>
      <w:r w:rsidRPr="0020306E">
        <w:rPr>
          <w:sz w:val="20"/>
          <w:lang w:val="de-DE"/>
        </w:rPr>
        <w:tab/>
      </w:r>
      <w:r w:rsidR="00A23953" w:rsidRPr="0020306E">
        <w:rPr>
          <w:sz w:val="20"/>
          <w:lang w:val="de-DE"/>
        </w:rPr>
        <w:t xml:space="preserve">Österreich hatte vorgeschlagen, die </w:t>
      </w:r>
      <w:r w:rsidR="00DD3640" w:rsidRPr="0020306E">
        <w:rPr>
          <w:sz w:val="20"/>
          <w:lang w:val="de-DE"/>
        </w:rPr>
        <w:t>in</w:t>
      </w:r>
      <w:r w:rsidR="00A23953" w:rsidRPr="0020306E">
        <w:rPr>
          <w:sz w:val="20"/>
          <w:lang w:val="de-DE"/>
        </w:rPr>
        <w:t xml:space="preserve"> der Begriffsbestimmung „Probeentnahmeöffnung“ </w:t>
      </w:r>
      <w:r w:rsidR="00DD3640" w:rsidRPr="0020306E">
        <w:rPr>
          <w:sz w:val="20"/>
          <w:lang w:val="de-DE"/>
        </w:rPr>
        <w:t xml:space="preserve">die Gleichwertigkeit anderer Öffnungen </w:t>
      </w:r>
      <w:r w:rsidR="00A23953" w:rsidRPr="0020306E">
        <w:rPr>
          <w:sz w:val="20"/>
          <w:lang w:val="de-DE"/>
        </w:rPr>
        <w:t>verständlicher zu</w:t>
      </w:r>
      <w:r w:rsidR="006B6152" w:rsidRPr="0020306E">
        <w:rPr>
          <w:sz w:val="20"/>
          <w:lang w:val="de-DE"/>
        </w:rPr>
        <w:t xml:space="preserve"> </w:t>
      </w:r>
      <w:r w:rsidR="00A23953" w:rsidRPr="0020306E">
        <w:rPr>
          <w:sz w:val="20"/>
          <w:lang w:val="de-DE"/>
        </w:rPr>
        <w:t>formulieren.</w:t>
      </w:r>
    </w:p>
    <w:p w14:paraId="4A239EB9" w14:textId="77777777" w:rsidR="00A23953" w:rsidRPr="0020306E" w:rsidRDefault="00A23953" w:rsidP="00F5794E">
      <w:pPr>
        <w:spacing w:after="0" w:line="240" w:lineRule="atLeast"/>
        <w:ind w:right="566"/>
        <w:jc w:val="both"/>
        <w:rPr>
          <w:sz w:val="20"/>
          <w:lang w:val="de-DE"/>
        </w:rPr>
      </w:pPr>
    </w:p>
    <w:p w14:paraId="538D04A9" w14:textId="210720E9" w:rsidR="00A23953" w:rsidRPr="0020306E" w:rsidRDefault="007D6762" w:rsidP="00F5794E">
      <w:pPr>
        <w:spacing w:after="0" w:line="240" w:lineRule="atLeast"/>
        <w:ind w:right="566"/>
        <w:jc w:val="both"/>
        <w:rPr>
          <w:bCs/>
          <w:sz w:val="20"/>
          <w:lang w:val="de-DE"/>
        </w:rPr>
      </w:pPr>
      <w:r w:rsidRPr="0020306E">
        <w:rPr>
          <w:bCs/>
          <w:sz w:val="20"/>
          <w:lang w:val="de-DE"/>
        </w:rPr>
        <w:t>12.</w:t>
      </w:r>
      <w:r w:rsidRPr="0020306E">
        <w:rPr>
          <w:bCs/>
          <w:sz w:val="20"/>
          <w:lang w:val="de-DE"/>
        </w:rPr>
        <w:tab/>
      </w:r>
      <w:r w:rsidR="00654595" w:rsidRPr="0020306E">
        <w:rPr>
          <w:bCs/>
          <w:sz w:val="20"/>
          <w:lang w:val="de-DE"/>
        </w:rPr>
        <w:t xml:space="preserve">Ein neuer Satz in 1.2.1, Begriffsbestimmung „Probeentnahmeöffnung“ könnte wie </w:t>
      </w:r>
      <w:r w:rsidR="00654595" w:rsidRPr="0020306E">
        <w:rPr>
          <w:sz w:val="20"/>
          <w:lang w:val="de-DE"/>
        </w:rPr>
        <w:t>folgt</w:t>
      </w:r>
      <w:r w:rsidR="00654595" w:rsidRPr="0020306E">
        <w:rPr>
          <w:bCs/>
          <w:sz w:val="20"/>
          <w:lang w:val="de-DE"/>
        </w:rPr>
        <w:t xml:space="preserve"> lauten:</w:t>
      </w:r>
    </w:p>
    <w:p w14:paraId="63F89EFC" w14:textId="77777777" w:rsidR="00654595" w:rsidRPr="0020306E" w:rsidRDefault="00654595" w:rsidP="00F5794E">
      <w:pPr>
        <w:spacing w:after="0" w:line="240" w:lineRule="atLeast"/>
        <w:ind w:left="1134" w:right="566"/>
        <w:jc w:val="both"/>
        <w:rPr>
          <w:bCs/>
          <w:i/>
          <w:sz w:val="20"/>
          <w:lang w:val="de-DE"/>
        </w:rPr>
      </w:pPr>
    </w:p>
    <w:p w14:paraId="6BD4DF04" w14:textId="56BD4C28" w:rsidR="008456C7" w:rsidRDefault="00654595" w:rsidP="00EE0F4F">
      <w:pPr>
        <w:spacing w:after="0" w:line="240" w:lineRule="atLeast"/>
        <w:ind w:left="567" w:right="566"/>
        <w:jc w:val="both"/>
        <w:rPr>
          <w:b/>
          <w:bCs/>
          <w:szCs w:val="24"/>
          <w:lang w:val="de-DE"/>
        </w:rPr>
      </w:pPr>
      <w:r w:rsidRPr="0020306E">
        <w:rPr>
          <w:iCs/>
          <w:sz w:val="20"/>
          <w:lang w:val="de-DE"/>
        </w:rPr>
        <w:t xml:space="preserve">„Andere Ladetanköffnungen, ausgenommen die Ladetankluken, gelten als </w:t>
      </w:r>
      <w:r w:rsidR="006D2550" w:rsidRPr="0020306E">
        <w:rPr>
          <w:iCs/>
          <w:sz w:val="20"/>
          <w:lang w:val="de-DE"/>
        </w:rPr>
        <w:t>Probeentnahmeöffnungen,</w:t>
      </w:r>
      <w:r w:rsidRPr="0020306E">
        <w:rPr>
          <w:iCs/>
          <w:sz w:val="20"/>
          <w:lang w:val="de-DE"/>
        </w:rPr>
        <w:t xml:space="preserve"> wenn sie die vorstehend beschriebenen Anforderungen erfüllen.“.</w:t>
      </w:r>
      <w:r w:rsidR="008456C7">
        <w:rPr>
          <w:b/>
          <w:bCs/>
          <w:szCs w:val="24"/>
          <w:lang w:val="de-DE"/>
        </w:rPr>
        <w:br w:type="page"/>
      </w:r>
    </w:p>
    <w:p w14:paraId="65D5D7C3" w14:textId="0737340F" w:rsidR="00076781" w:rsidRPr="0020306E" w:rsidRDefault="007D6762" w:rsidP="00F5794E">
      <w:pPr>
        <w:spacing w:after="0" w:line="240" w:lineRule="atLeast"/>
        <w:ind w:left="567" w:right="566" w:hanging="567"/>
        <w:jc w:val="both"/>
        <w:rPr>
          <w:b/>
          <w:bCs/>
          <w:szCs w:val="24"/>
          <w:lang w:val="de-DE"/>
        </w:rPr>
      </w:pPr>
      <w:r w:rsidRPr="0020306E">
        <w:rPr>
          <w:b/>
          <w:bCs/>
          <w:szCs w:val="24"/>
          <w:lang w:val="de-DE"/>
        </w:rPr>
        <w:lastRenderedPageBreak/>
        <w:t>D</w:t>
      </w:r>
      <w:r w:rsidR="00654595" w:rsidRPr="0020306E">
        <w:rPr>
          <w:b/>
          <w:bCs/>
          <w:szCs w:val="24"/>
          <w:lang w:val="de-DE"/>
        </w:rPr>
        <w:t>.</w:t>
      </w:r>
      <w:r w:rsidR="00654595" w:rsidRPr="0020306E">
        <w:rPr>
          <w:b/>
          <w:bCs/>
          <w:szCs w:val="24"/>
          <w:lang w:val="de-DE"/>
        </w:rPr>
        <w:tab/>
      </w:r>
      <w:r w:rsidR="00076781" w:rsidRPr="0020306E">
        <w:rPr>
          <w:b/>
          <w:bCs/>
          <w:szCs w:val="24"/>
          <w:lang w:val="de-DE"/>
        </w:rPr>
        <w:t>Entgasen: Flammendurchschlagsicherung, die am Auslass vorhanden sein muss</w:t>
      </w:r>
    </w:p>
    <w:p w14:paraId="57C33219" w14:textId="77777777" w:rsidR="00076781" w:rsidRPr="0020306E" w:rsidRDefault="00076781" w:rsidP="00F5794E">
      <w:pPr>
        <w:spacing w:after="0" w:line="240" w:lineRule="atLeast"/>
        <w:ind w:right="566"/>
        <w:jc w:val="both"/>
        <w:rPr>
          <w:sz w:val="20"/>
          <w:lang w:val="de-DE"/>
        </w:rPr>
      </w:pPr>
    </w:p>
    <w:p w14:paraId="7665D640" w14:textId="6E6C33C3" w:rsidR="002648A8" w:rsidRPr="0020306E" w:rsidRDefault="007D6762" w:rsidP="00F5794E">
      <w:pPr>
        <w:spacing w:after="0" w:line="240" w:lineRule="atLeast"/>
        <w:ind w:right="566"/>
        <w:jc w:val="both"/>
        <w:rPr>
          <w:sz w:val="20"/>
          <w:lang w:val="de-DE"/>
        </w:rPr>
      </w:pPr>
      <w:r w:rsidRPr="0020306E">
        <w:rPr>
          <w:sz w:val="20"/>
          <w:lang w:val="de-DE"/>
        </w:rPr>
        <w:t>13.</w:t>
      </w:r>
      <w:r w:rsidRPr="0020306E">
        <w:rPr>
          <w:sz w:val="20"/>
          <w:lang w:val="de-DE"/>
        </w:rPr>
        <w:tab/>
      </w:r>
      <w:r w:rsidR="00654595" w:rsidRPr="0020306E">
        <w:rPr>
          <w:sz w:val="20"/>
          <w:lang w:val="de-DE"/>
        </w:rPr>
        <w:t xml:space="preserve">Der von den Niederlanden </w:t>
      </w:r>
      <w:r w:rsidR="00F161C1" w:rsidRPr="0020306E">
        <w:rPr>
          <w:sz w:val="20"/>
          <w:lang w:val="de-DE"/>
        </w:rPr>
        <w:t xml:space="preserve">in der 40. Sitzung </w:t>
      </w:r>
      <w:r w:rsidR="00654595" w:rsidRPr="0020306E">
        <w:rPr>
          <w:sz w:val="20"/>
          <w:lang w:val="de-DE"/>
        </w:rPr>
        <w:t>mit dem Arbei</w:t>
      </w:r>
      <w:r w:rsidR="00F161C1" w:rsidRPr="0020306E">
        <w:rPr>
          <w:sz w:val="20"/>
          <w:lang w:val="de-DE"/>
        </w:rPr>
        <w:t>t</w:t>
      </w:r>
      <w:r w:rsidR="00654595" w:rsidRPr="0020306E">
        <w:rPr>
          <w:sz w:val="20"/>
          <w:lang w:val="de-DE"/>
        </w:rPr>
        <w:t xml:space="preserve">sdokument </w:t>
      </w:r>
      <w:r w:rsidR="00F161C1" w:rsidRPr="0020306E">
        <w:rPr>
          <w:sz w:val="20"/>
          <w:lang w:val="de-DE"/>
        </w:rPr>
        <w:t xml:space="preserve">CCNR-ZKR/ADN/WP.15/AC.2/2022/45 präsentierte Vorschlag, in Absatz 7.2.3.7.1.3, </w:t>
      </w:r>
      <w:r w:rsidR="006B6152" w:rsidRPr="0020306E">
        <w:rPr>
          <w:sz w:val="20"/>
          <w:lang w:val="de-DE"/>
        </w:rPr>
        <w:t>Satz 1</w:t>
      </w:r>
      <w:r w:rsidR="00F161C1" w:rsidRPr="0020306E">
        <w:rPr>
          <w:sz w:val="20"/>
          <w:lang w:val="de-DE"/>
        </w:rPr>
        <w:t xml:space="preserve">, die Verwendung einer “detonationssicheren Flammendurchschlagsicherung” anstelle einer “dauerbrandsicheren Flammendurchschlagsicherung” vorzuschreiben, wird von Deutschland unterstützt und soll </w:t>
      </w:r>
      <w:r w:rsidR="006B6152" w:rsidRPr="0020306E">
        <w:rPr>
          <w:sz w:val="20"/>
          <w:lang w:val="de-DE"/>
        </w:rPr>
        <w:t xml:space="preserve">in </w:t>
      </w:r>
      <w:r w:rsidR="00F161C1" w:rsidRPr="0020306E">
        <w:rPr>
          <w:sz w:val="20"/>
          <w:lang w:val="de-DE"/>
        </w:rPr>
        <w:t xml:space="preserve">eine Revision des </w:t>
      </w:r>
      <w:r w:rsidR="002648A8" w:rsidRPr="0020306E">
        <w:rPr>
          <w:sz w:val="20"/>
          <w:lang w:val="de-DE"/>
        </w:rPr>
        <w:t>Änderungspakets eingearbeitet werden.</w:t>
      </w:r>
    </w:p>
    <w:p w14:paraId="3BD9480A" w14:textId="77777777" w:rsidR="002648A8" w:rsidRPr="0020306E" w:rsidRDefault="002648A8" w:rsidP="00F5794E">
      <w:pPr>
        <w:spacing w:after="0" w:line="240" w:lineRule="atLeast"/>
        <w:ind w:right="566"/>
        <w:jc w:val="both"/>
        <w:rPr>
          <w:sz w:val="20"/>
          <w:lang w:val="de-DE"/>
        </w:rPr>
      </w:pPr>
    </w:p>
    <w:p w14:paraId="19AD8BF7" w14:textId="77777777" w:rsidR="002648A8" w:rsidRPr="0020306E" w:rsidRDefault="002648A8" w:rsidP="00F5794E">
      <w:pPr>
        <w:spacing w:after="0" w:line="240" w:lineRule="atLeast"/>
        <w:ind w:right="566"/>
        <w:jc w:val="both"/>
        <w:rPr>
          <w:bCs/>
          <w:sz w:val="20"/>
          <w:lang w:val="de-DE"/>
        </w:rPr>
      </w:pPr>
    </w:p>
    <w:p w14:paraId="31DF3E86" w14:textId="7D436C5E" w:rsidR="00076781" w:rsidRPr="0020306E" w:rsidRDefault="007D6762" w:rsidP="00F5794E">
      <w:pPr>
        <w:spacing w:after="0" w:line="240" w:lineRule="atLeast"/>
        <w:ind w:left="567" w:right="566" w:hanging="567"/>
        <w:jc w:val="both"/>
        <w:rPr>
          <w:b/>
          <w:bCs/>
          <w:szCs w:val="24"/>
          <w:lang w:val="de-DE"/>
        </w:rPr>
      </w:pPr>
      <w:r w:rsidRPr="0020306E">
        <w:rPr>
          <w:b/>
          <w:bCs/>
          <w:szCs w:val="24"/>
          <w:lang w:val="de-DE"/>
        </w:rPr>
        <w:t>E</w:t>
      </w:r>
      <w:r w:rsidR="002648A8" w:rsidRPr="0020306E">
        <w:rPr>
          <w:b/>
          <w:bCs/>
          <w:szCs w:val="24"/>
          <w:lang w:val="de-DE"/>
        </w:rPr>
        <w:t>.</w:t>
      </w:r>
      <w:r w:rsidR="002648A8" w:rsidRPr="0020306E">
        <w:rPr>
          <w:b/>
          <w:bCs/>
          <w:szCs w:val="24"/>
          <w:lang w:val="de-DE"/>
        </w:rPr>
        <w:tab/>
      </w:r>
      <w:r w:rsidR="00076781" w:rsidRPr="0020306E">
        <w:rPr>
          <w:b/>
          <w:bCs/>
          <w:szCs w:val="24"/>
          <w:lang w:val="de-DE"/>
        </w:rPr>
        <w:t xml:space="preserve">Entgasen: Beschreibung der Öffnung, über die Gase </w:t>
      </w:r>
      <w:r w:rsidR="00DD3640" w:rsidRPr="0020306E">
        <w:rPr>
          <w:b/>
          <w:bCs/>
          <w:szCs w:val="24"/>
          <w:lang w:val="de-DE"/>
        </w:rPr>
        <w:t>ausgeleitet</w:t>
      </w:r>
      <w:r w:rsidR="00691F40" w:rsidRPr="0020306E">
        <w:rPr>
          <w:b/>
          <w:bCs/>
          <w:szCs w:val="24"/>
          <w:lang w:val="de-DE"/>
        </w:rPr>
        <w:t xml:space="preserve"> werden</w:t>
      </w:r>
      <w:r w:rsidR="00076781" w:rsidRPr="0020306E">
        <w:rPr>
          <w:b/>
          <w:bCs/>
          <w:szCs w:val="24"/>
          <w:lang w:val="de-DE"/>
        </w:rPr>
        <w:t xml:space="preserve"> dürfen</w:t>
      </w:r>
    </w:p>
    <w:p w14:paraId="5C6E7292" w14:textId="77777777" w:rsidR="00076781" w:rsidRPr="0020306E" w:rsidRDefault="00076781" w:rsidP="00F5794E">
      <w:pPr>
        <w:spacing w:after="0" w:line="240" w:lineRule="atLeast"/>
        <w:ind w:right="566"/>
        <w:jc w:val="both"/>
        <w:rPr>
          <w:sz w:val="20"/>
          <w:lang w:val="de-DE"/>
        </w:rPr>
      </w:pPr>
    </w:p>
    <w:p w14:paraId="142E275B" w14:textId="7D4B8429" w:rsidR="002648A8" w:rsidRPr="0020306E" w:rsidRDefault="007D6762" w:rsidP="00F5794E">
      <w:pPr>
        <w:spacing w:after="0" w:line="240" w:lineRule="atLeast"/>
        <w:ind w:right="566"/>
        <w:jc w:val="both"/>
        <w:rPr>
          <w:sz w:val="20"/>
          <w:lang w:val="de-DE"/>
        </w:rPr>
      </w:pPr>
      <w:r w:rsidRPr="0020306E">
        <w:rPr>
          <w:sz w:val="20"/>
          <w:lang w:val="de-DE"/>
        </w:rPr>
        <w:t>14.</w:t>
      </w:r>
      <w:r w:rsidRPr="0020306E">
        <w:rPr>
          <w:sz w:val="20"/>
          <w:lang w:val="de-DE"/>
        </w:rPr>
        <w:tab/>
      </w:r>
      <w:r w:rsidR="002648A8" w:rsidRPr="0020306E">
        <w:rPr>
          <w:sz w:val="20"/>
          <w:lang w:val="de-DE"/>
        </w:rPr>
        <w:t>Die Niederlande haben weiterhin vorgeschlagen, den ursprünglichen Vorschlag für eine</w:t>
      </w:r>
      <w:r w:rsidR="000A5B14" w:rsidRPr="0020306E">
        <w:rPr>
          <w:sz w:val="20"/>
          <w:lang w:val="de-DE"/>
        </w:rPr>
        <w:t>n</w:t>
      </w:r>
      <w:r w:rsidR="002648A8" w:rsidRPr="0020306E">
        <w:rPr>
          <w:sz w:val="20"/>
          <w:lang w:val="de-DE"/>
        </w:rPr>
        <w:t xml:space="preserve"> Einschub in Absatz 7.2.3.7.1.3</w:t>
      </w:r>
      <w:r w:rsidR="006C5741" w:rsidRPr="0020306E">
        <w:rPr>
          <w:sz w:val="20"/>
          <w:lang w:val="de-DE"/>
        </w:rPr>
        <w:t xml:space="preserve"> </w:t>
      </w:r>
      <w:r w:rsidR="00C84395" w:rsidRPr="0020306E">
        <w:rPr>
          <w:sz w:val="20"/>
          <w:lang w:val="de-DE"/>
        </w:rPr>
        <w:t>(</w:t>
      </w:r>
      <w:r w:rsidR="00FD0600" w:rsidRPr="0020306E">
        <w:rPr>
          <w:sz w:val="20"/>
          <w:lang w:val="de-DE"/>
        </w:rPr>
        <w:t xml:space="preserve">„Der Austritt des Gas-/Luftgemisches aus den Ladetanks darf durch die Vorrichtung </w:t>
      </w:r>
      <w:r w:rsidR="006C5741" w:rsidRPr="0020306E">
        <w:rPr>
          <w:sz w:val="20"/>
          <w:lang w:val="de-DE"/>
        </w:rPr>
        <w:t>……”</w:t>
      </w:r>
      <w:r w:rsidR="00C84395" w:rsidRPr="0020306E">
        <w:rPr>
          <w:sz w:val="20"/>
          <w:lang w:val="de-DE"/>
        </w:rPr>
        <w:t>)</w:t>
      </w:r>
      <w:r w:rsidR="002648A8" w:rsidRPr="0020306E">
        <w:rPr>
          <w:sz w:val="20"/>
          <w:lang w:val="de-DE"/>
        </w:rPr>
        <w:t xml:space="preserve"> in die Begriffsbestimmungen zu verschieben. </w:t>
      </w:r>
      <w:r w:rsidR="0041466E" w:rsidRPr="0020306E">
        <w:rPr>
          <w:sz w:val="20"/>
          <w:lang w:val="de-DE"/>
        </w:rPr>
        <w:t xml:space="preserve">Dem </w:t>
      </w:r>
      <w:r w:rsidR="000A5B14" w:rsidRPr="0020306E">
        <w:rPr>
          <w:sz w:val="20"/>
          <w:lang w:val="de-DE"/>
        </w:rPr>
        <w:t>wird nicht gefolgt</w:t>
      </w:r>
      <w:r w:rsidR="0041466E" w:rsidRPr="0020306E">
        <w:rPr>
          <w:sz w:val="20"/>
          <w:lang w:val="de-DE"/>
        </w:rPr>
        <w:t>. Bei dem Einschub handelt es sich um eine Betriebsvorschrift, an welcher Stelle das Gas-/Luftgemisch aus den Ladetanks abgeleitet werden darf. Es ist nicht beabsichtigt die “geeignete Entlüftungseinrichtung” näher zu definieren. Diese besteht aus Ventilatoren, die nicht näher beschrieben werden müssen.</w:t>
      </w:r>
    </w:p>
    <w:p w14:paraId="5F3C44ED" w14:textId="77777777" w:rsidR="00A765DD" w:rsidRPr="0020306E" w:rsidRDefault="00A765DD" w:rsidP="00F5794E">
      <w:pPr>
        <w:spacing w:after="0" w:line="240" w:lineRule="atLeast"/>
        <w:ind w:right="566"/>
        <w:jc w:val="both"/>
        <w:rPr>
          <w:sz w:val="20"/>
          <w:lang w:val="de-DE"/>
        </w:rPr>
      </w:pPr>
    </w:p>
    <w:p w14:paraId="262D12B0" w14:textId="6D922E63" w:rsidR="00743D2D" w:rsidRPr="0020306E" w:rsidRDefault="007D6762" w:rsidP="00F5794E">
      <w:pPr>
        <w:spacing w:after="0" w:line="240" w:lineRule="atLeast"/>
        <w:ind w:right="566"/>
        <w:jc w:val="both"/>
        <w:rPr>
          <w:sz w:val="20"/>
          <w:lang w:val="de-DE"/>
        </w:rPr>
      </w:pPr>
      <w:r w:rsidRPr="0020306E">
        <w:rPr>
          <w:sz w:val="20"/>
          <w:lang w:val="de-DE"/>
        </w:rPr>
        <w:t>15</w:t>
      </w:r>
      <w:r w:rsidR="00743D2D" w:rsidRPr="0020306E">
        <w:rPr>
          <w:sz w:val="20"/>
          <w:lang w:val="de-DE"/>
        </w:rPr>
        <w:t>.</w:t>
      </w:r>
      <w:r w:rsidR="008E23E2" w:rsidRPr="0020306E">
        <w:rPr>
          <w:sz w:val="20"/>
          <w:lang w:val="de-DE"/>
        </w:rPr>
        <w:tab/>
      </w:r>
      <w:r w:rsidR="00743D2D" w:rsidRPr="0020306E">
        <w:rPr>
          <w:sz w:val="20"/>
          <w:lang w:val="de-DE"/>
        </w:rPr>
        <w:t>Wie Österreich zutreffend angemerkt hat, ist in dem bisherigen Vorschlag für</w:t>
      </w:r>
      <w:r w:rsidR="00C84395" w:rsidRPr="0020306E">
        <w:rPr>
          <w:sz w:val="20"/>
          <w:lang w:val="de-DE"/>
        </w:rPr>
        <w:t xml:space="preserve"> die Änderung von</w:t>
      </w:r>
      <w:r w:rsidR="00743D2D" w:rsidRPr="0020306E">
        <w:rPr>
          <w:sz w:val="20"/>
          <w:lang w:val="de-DE"/>
        </w:rPr>
        <w:t xml:space="preserve"> Absatz 7.2.3.7.1.3 </w:t>
      </w:r>
      <w:r w:rsidR="00C5550E" w:rsidRPr="0020306E">
        <w:rPr>
          <w:sz w:val="20"/>
          <w:lang w:val="de-DE"/>
        </w:rPr>
        <w:t xml:space="preserve">nicht </w:t>
      </w:r>
      <w:r w:rsidR="00AC6F22" w:rsidRPr="0020306E">
        <w:rPr>
          <w:sz w:val="20"/>
          <w:lang w:val="de-DE"/>
        </w:rPr>
        <w:t>sofort zu erkennen</w:t>
      </w:r>
      <w:r w:rsidR="00743D2D" w:rsidRPr="0020306E">
        <w:rPr>
          <w:sz w:val="20"/>
          <w:lang w:val="de-DE"/>
        </w:rPr>
        <w:t xml:space="preserve">, ob nur Beispiele für mögliche Austrittsstellen genannt werden oder ob es sich um eine abschließende Aufzählung </w:t>
      </w:r>
      <w:r w:rsidR="00CE3D68" w:rsidRPr="0020306E">
        <w:rPr>
          <w:sz w:val="20"/>
          <w:lang w:val="de-DE"/>
        </w:rPr>
        <w:t xml:space="preserve">handelt. </w:t>
      </w:r>
      <w:r w:rsidR="00AC6F22" w:rsidRPr="0020306E">
        <w:rPr>
          <w:sz w:val="20"/>
          <w:lang w:val="de-DE"/>
        </w:rPr>
        <w:t xml:space="preserve">Es handelt sich um eine abschließende Aufzählung, die auch aus dem </w:t>
      </w:r>
      <w:r w:rsidR="00CE3D68" w:rsidRPr="0020306E">
        <w:rPr>
          <w:sz w:val="20"/>
          <w:lang w:val="de-DE"/>
        </w:rPr>
        <w:t xml:space="preserve">Schriftsatz </w:t>
      </w:r>
      <w:r w:rsidR="00AC6F22" w:rsidRPr="0020306E">
        <w:rPr>
          <w:sz w:val="20"/>
          <w:lang w:val="de-DE"/>
        </w:rPr>
        <w:t>erkennbar sein soll:</w:t>
      </w:r>
    </w:p>
    <w:p w14:paraId="2A32B491" w14:textId="77777777" w:rsidR="00CE3D68" w:rsidRPr="0020306E" w:rsidRDefault="00CE3D68" w:rsidP="00F5794E">
      <w:pPr>
        <w:spacing w:after="0" w:line="240" w:lineRule="atLeast"/>
        <w:ind w:right="566"/>
        <w:jc w:val="both"/>
        <w:rPr>
          <w:bCs/>
          <w:sz w:val="20"/>
          <w:lang w:val="de-DE"/>
        </w:rPr>
      </w:pPr>
    </w:p>
    <w:p w14:paraId="7645F537" w14:textId="77777777" w:rsidR="00CE3D68" w:rsidRPr="008456C7" w:rsidRDefault="00CE3D68" w:rsidP="008456C7">
      <w:pPr>
        <w:tabs>
          <w:tab w:val="left" w:pos="1701"/>
        </w:tabs>
        <w:spacing w:before="40" w:after="0" w:line="240" w:lineRule="atLeast"/>
        <w:ind w:left="1134" w:right="124"/>
        <w:jc w:val="both"/>
        <w:rPr>
          <w:iCs/>
          <w:sz w:val="20"/>
          <w:lang w:val="de-DE"/>
        </w:rPr>
      </w:pPr>
      <w:r w:rsidRPr="008456C7">
        <w:rPr>
          <w:iCs/>
          <w:sz w:val="20"/>
          <w:lang w:val="de-DE"/>
        </w:rPr>
        <w:t>„Der Austritt des Gas-/Luftgemisches aus den Ladetanks darf nur</w:t>
      </w:r>
    </w:p>
    <w:p w14:paraId="74DD3750" w14:textId="27980E82" w:rsidR="00CE3D68" w:rsidRPr="008456C7" w:rsidRDefault="00CE3D68" w:rsidP="00EE0F4F">
      <w:pPr>
        <w:tabs>
          <w:tab w:val="left" w:pos="1701"/>
        </w:tabs>
        <w:spacing w:before="120" w:after="0" w:line="240" w:lineRule="atLeast"/>
        <w:ind w:left="1134" w:right="124"/>
        <w:jc w:val="both"/>
        <w:rPr>
          <w:iCs/>
          <w:sz w:val="20"/>
          <w:lang w:val="de-DE"/>
        </w:rPr>
      </w:pPr>
      <w:r w:rsidRPr="008456C7">
        <w:rPr>
          <w:iCs/>
          <w:sz w:val="20"/>
          <w:lang w:val="de-DE"/>
        </w:rPr>
        <w:t>a)</w:t>
      </w:r>
      <w:r w:rsidR="008456C7">
        <w:rPr>
          <w:iCs/>
          <w:sz w:val="20"/>
          <w:lang w:val="de-DE"/>
        </w:rPr>
        <w:tab/>
      </w:r>
      <w:r w:rsidRPr="008456C7">
        <w:rPr>
          <w:iCs/>
          <w:sz w:val="20"/>
          <w:lang w:val="de-DE"/>
        </w:rPr>
        <w:t xml:space="preserve">durch die Vorrichtung zum gefahrlosen Entspannen der Ladetanks [im Sinne von 9.3.2.22.4 a) und 9.3.2.22.4 b) oder 9.3.3.22.4 a) und 9.3.3.22.4 b)], </w:t>
      </w:r>
    </w:p>
    <w:p w14:paraId="659FED79" w14:textId="0C92A372" w:rsidR="00CE3D68" w:rsidRPr="008456C7" w:rsidRDefault="00CE3D68" w:rsidP="00EE0F4F">
      <w:pPr>
        <w:tabs>
          <w:tab w:val="left" w:pos="1701"/>
        </w:tabs>
        <w:spacing w:before="120" w:after="0" w:line="240" w:lineRule="atLeast"/>
        <w:ind w:left="1134" w:right="124"/>
        <w:jc w:val="both"/>
        <w:rPr>
          <w:iCs/>
          <w:sz w:val="20"/>
          <w:lang w:val="de-DE"/>
        </w:rPr>
      </w:pPr>
      <w:r w:rsidRPr="008456C7">
        <w:rPr>
          <w:iCs/>
          <w:sz w:val="20"/>
          <w:lang w:val="de-DE"/>
        </w:rPr>
        <w:t>b)</w:t>
      </w:r>
      <w:r w:rsidR="008456C7">
        <w:rPr>
          <w:iCs/>
          <w:sz w:val="20"/>
          <w:lang w:val="de-DE"/>
        </w:rPr>
        <w:tab/>
      </w:r>
      <w:r w:rsidRPr="008456C7">
        <w:rPr>
          <w:iCs/>
          <w:sz w:val="20"/>
          <w:lang w:val="de-DE"/>
        </w:rPr>
        <w:t>durch die Probeentnahmeöffnung [(9.3.2.21.1. g) oder 9.3.3.21.1 g))]</w:t>
      </w:r>
      <w:r w:rsidR="00657A71" w:rsidRPr="008456C7">
        <w:rPr>
          <w:iCs/>
          <w:sz w:val="20"/>
          <w:lang w:val="de-DE"/>
        </w:rPr>
        <w:t>,</w:t>
      </w:r>
    </w:p>
    <w:p w14:paraId="43662D13" w14:textId="21D8A098" w:rsidR="00CE3D68" w:rsidRPr="008456C7" w:rsidRDefault="00CE3D68" w:rsidP="00EE0F4F">
      <w:pPr>
        <w:tabs>
          <w:tab w:val="left" w:pos="1701"/>
        </w:tabs>
        <w:spacing w:before="120" w:after="0" w:line="240" w:lineRule="atLeast"/>
        <w:ind w:left="1134" w:right="124"/>
        <w:jc w:val="both"/>
        <w:rPr>
          <w:iCs/>
          <w:sz w:val="20"/>
          <w:lang w:val="de-DE"/>
        </w:rPr>
      </w:pPr>
      <w:r w:rsidRPr="008456C7">
        <w:rPr>
          <w:iCs/>
          <w:sz w:val="20"/>
          <w:lang w:val="de-DE"/>
        </w:rPr>
        <w:t>c)</w:t>
      </w:r>
      <w:r w:rsidR="008456C7">
        <w:rPr>
          <w:iCs/>
          <w:sz w:val="20"/>
          <w:lang w:val="de-DE"/>
        </w:rPr>
        <w:tab/>
      </w:r>
      <w:r w:rsidRPr="008456C7">
        <w:rPr>
          <w:iCs/>
          <w:sz w:val="20"/>
          <w:lang w:val="de-DE"/>
        </w:rPr>
        <w:t>durch das geöffnete Gehäuse der Flammendurchschlagsicherung an der Einführung der Gasabfuhrleitung in den Ladetank [(9.3.2.22.4 b) oder 9.3.3.22.4 d)]</w:t>
      </w:r>
      <w:r w:rsidR="00992DC4" w:rsidRPr="008456C7">
        <w:rPr>
          <w:iCs/>
          <w:sz w:val="20"/>
          <w:lang w:val="de-DE"/>
        </w:rPr>
        <w:t xml:space="preserve">, </w:t>
      </w:r>
      <w:r w:rsidR="00DE1851" w:rsidRPr="008456C7">
        <w:rPr>
          <w:iCs/>
          <w:sz w:val="20"/>
          <w:lang w:val="de-DE"/>
        </w:rPr>
        <w:t>oder</w:t>
      </w:r>
    </w:p>
    <w:p w14:paraId="41DBFDE1" w14:textId="371F7006" w:rsidR="00CE3D68" w:rsidRPr="008456C7" w:rsidRDefault="00CE3D68" w:rsidP="00EE0F4F">
      <w:pPr>
        <w:tabs>
          <w:tab w:val="left" w:pos="1701"/>
        </w:tabs>
        <w:spacing w:before="120" w:after="0" w:line="240" w:lineRule="atLeast"/>
        <w:ind w:left="1134" w:right="124"/>
        <w:jc w:val="both"/>
        <w:rPr>
          <w:iCs/>
          <w:sz w:val="20"/>
          <w:lang w:val="de-DE"/>
        </w:rPr>
      </w:pPr>
      <w:r w:rsidRPr="008456C7">
        <w:rPr>
          <w:iCs/>
          <w:sz w:val="20"/>
          <w:lang w:val="de-DE"/>
        </w:rPr>
        <w:t>d)</w:t>
      </w:r>
      <w:r w:rsidR="008456C7">
        <w:rPr>
          <w:iCs/>
          <w:sz w:val="20"/>
          <w:lang w:val="de-DE"/>
        </w:rPr>
        <w:tab/>
      </w:r>
      <w:r w:rsidRPr="008456C7">
        <w:rPr>
          <w:iCs/>
          <w:sz w:val="20"/>
          <w:lang w:val="de-DE"/>
        </w:rPr>
        <w:t>durch einen geeigneten Schlauch, welcher an der Gasabfuhrleitung angeschlossen und mit einer dem Schlauch vorgeschalteten Flammendurchschlagsicherung (Explosionsgruppe / Untergruppe gemäß 3.2.3.2 Tabelle C, Spalte (16)) versehen ist,</w:t>
      </w:r>
    </w:p>
    <w:p w14:paraId="2FA7819F" w14:textId="77777777" w:rsidR="00CE3D68" w:rsidRPr="008456C7" w:rsidRDefault="00CE3D68" w:rsidP="00EE0F4F">
      <w:pPr>
        <w:pStyle w:val="Textebrut"/>
        <w:tabs>
          <w:tab w:val="left" w:pos="1701"/>
        </w:tabs>
        <w:spacing w:before="120" w:line="240" w:lineRule="atLeast"/>
        <w:ind w:left="1134"/>
        <w:jc w:val="both"/>
        <w:rPr>
          <w:rFonts w:ascii="Times New Roman" w:hAnsi="Times New Roman" w:cs="Times New Roman"/>
          <w:iCs/>
          <w:sz w:val="20"/>
          <w:szCs w:val="20"/>
        </w:rPr>
      </w:pPr>
      <w:r w:rsidRPr="008456C7">
        <w:rPr>
          <w:rFonts w:ascii="Times New Roman" w:hAnsi="Times New Roman" w:cs="Times New Roman"/>
          <w:iCs/>
          <w:sz w:val="20"/>
          <w:szCs w:val="20"/>
        </w:rPr>
        <w:t>erfolgen.“.</w:t>
      </w:r>
    </w:p>
    <w:p w14:paraId="3C19F0CD" w14:textId="77777777" w:rsidR="00654595" w:rsidRPr="0020306E" w:rsidRDefault="00654595" w:rsidP="008456C7">
      <w:pPr>
        <w:spacing w:before="40" w:after="0" w:line="240" w:lineRule="atLeast"/>
        <w:ind w:right="566"/>
        <w:jc w:val="both"/>
        <w:rPr>
          <w:sz w:val="20"/>
          <w:lang w:val="de-DE"/>
        </w:rPr>
      </w:pPr>
    </w:p>
    <w:p w14:paraId="4A37B38D" w14:textId="58910352" w:rsidR="006C5741" w:rsidRPr="0020306E" w:rsidRDefault="007D6762" w:rsidP="00F5794E">
      <w:pPr>
        <w:spacing w:after="0" w:line="240" w:lineRule="atLeast"/>
        <w:ind w:left="567" w:right="566" w:hanging="567"/>
        <w:jc w:val="both"/>
        <w:rPr>
          <w:b/>
          <w:bCs/>
          <w:szCs w:val="24"/>
          <w:lang w:val="de-DE"/>
        </w:rPr>
      </w:pPr>
      <w:r w:rsidRPr="0020306E">
        <w:rPr>
          <w:b/>
          <w:bCs/>
          <w:szCs w:val="24"/>
          <w:lang w:val="de-DE"/>
        </w:rPr>
        <w:t>F</w:t>
      </w:r>
      <w:r w:rsidR="008E23E2" w:rsidRPr="0020306E">
        <w:rPr>
          <w:b/>
          <w:bCs/>
          <w:szCs w:val="24"/>
          <w:lang w:val="de-DE"/>
        </w:rPr>
        <w:t>.</w:t>
      </w:r>
      <w:r w:rsidR="008E23E2" w:rsidRPr="0020306E">
        <w:rPr>
          <w:b/>
          <w:bCs/>
          <w:szCs w:val="24"/>
          <w:lang w:val="de-DE"/>
        </w:rPr>
        <w:tab/>
      </w:r>
      <w:r w:rsidR="006C5741" w:rsidRPr="0020306E">
        <w:rPr>
          <w:b/>
          <w:bCs/>
          <w:szCs w:val="24"/>
          <w:lang w:val="de-DE"/>
        </w:rPr>
        <w:t>Anwendungsbereich der Vorschriften über das Öffnen von Öffnungen</w:t>
      </w:r>
    </w:p>
    <w:p w14:paraId="55F00236" w14:textId="77777777" w:rsidR="006C5741" w:rsidRPr="0020306E" w:rsidRDefault="006C5741" w:rsidP="00F5794E">
      <w:pPr>
        <w:spacing w:after="0" w:line="240" w:lineRule="atLeast"/>
        <w:ind w:right="566"/>
        <w:jc w:val="both"/>
        <w:rPr>
          <w:bCs/>
          <w:sz w:val="20"/>
          <w:lang w:val="de-DE"/>
        </w:rPr>
      </w:pPr>
    </w:p>
    <w:p w14:paraId="7391B139" w14:textId="586A72B5" w:rsidR="00A94ACE" w:rsidRPr="0020306E" w:rsidRDefault="007D6762" w:rsidP="00F5794E">
      <w:pPr>
        <w:spacing w:after="0" w:line="240" w:lineRule="atLeast"/>
        <w:ind w:right="566"/>
        <w:jc w:val="both"/>
        <w:rPr>
          <w:bCs/>
          <w:sz w:val="20"/>
          <w:lang w:val="de-DE"/>
        </w:rPr>
      </w:pPr>
      <w:r w:rsidRPr="0020306E">
        <w:rPr>
          <w:bCs/>
          <w:sz w:val="20"/>
          <w:lang w:val="de-DE"/>
        </w:rPr>
        <w:t>16.</w:t>
      </w:r>
      <w:r w:rsidRPr="0020306E">
        <w:rPr>
          <w:bCs/>
          <w:sz w:val="20"/>
          <w:lang w:val="de-DE"/>
        </w:rPr>
        <w:tab/>
      </w:r>
      <w:r w:rsidR="008E23E2" w:rsidRPr="0020306E">
        <w:rPr>
          <w:bCs/>
          <w:sz w:val="20"/>
          <w:lang w:val="de-DE"/>
        </w:rPr>
        <w:t xml:space="preserve">Die ersten beiden Änderungsvorschläge, die Belgien in </w:t>
      </w:r>
      <w:r w:rsidRPr="0020306E">
        <w:rPr>
          <w:bCs/>
          <w:sz w:val="20"/>
          <w:lang w:val="de-DE"/>
        </w:rPr>
        <w:t xml:space="preserve">dem informellen </w:t>
      </w:r>
      <w:r w:rsidR="008E23E2" w:rsidRPr="0020306E">
        <w:rPr>
          <w:bCs/>
          <w:sz w:val="20"/>
          <w:lang w:val="de-DE"/>
        </w:rPr>
        <w:t xml:space="preserve">INF.19 </w:t>
      </w:r>
      <w:r w:rsidRPr="0020306E">
        <w:rPr>
          <w:bCs/>
          <w:sz w:val="20"/>
          <w:lang w:val="de-DE"/>
        </w:rPr>
        <w:t xml:space="preserve">der 40. Sitzung </w:t>
      </w:r>
      <w:r w:rsidR="008E23E2" w:rsidRPr="0020306E">
        <w:rPr>
          <w:bCs/>
          <w:sz w:val="20"/>
          <w:lang w:val="de-DE"/>
        </w:rPr>
        <w:t xml:space="preserve">vorgestellt hat (Nennung der Schiffstypen anstelle der Gefahrgutklassen, Sichtkontrollen nur von Deck aus), sind begründet, und </w:t>
      </w:r>
      <w:r w:rsidR="00E03205" w:rsidRPr="0020306E">
        <w:rPr>
          <w:bCs/>
          <w:sz w:val="20"/>
          <w:lang w:val="de-DE"/>
        </w:rPr>
        <w:t>können</w:t>
      </w:r>
      <w:r w:rsidR="008E23E2" w:rsidRPr="0020306E">
        <w:rPr>
          <w:bCs/>
          <w:sz w:val="20"/>
          <w:lang w:val="de-DE"/>
        </w:rPr>
        <w:t xml:space="preserve"> in eine revidierte Fassung des Änderungspakets übernommen werden. </w:t>
      </w:r>
    </w:p>
    <w:p w14:paraId="3748CF38" w14:textId="77777777" w:rsidR="000A5B14" w:rsidRPr="0020306E" w:rsidRDefault="000A5B14" w:rsidP="00F5794E">
      <w:pPr>
        <w:spacing w:after="0" w:line="240" w:lineRule="atLeast"/>
        <w:ind w:left="1134" w:right="566"/>
        <w:jc w:val="both"/>
        <w:rPr>
          <w:i/>
          <w:sz w:val="20"/>
          <w:lang w:val="de-DE"/>
        </w:rPr>
      </w:pPr>
    </w:p>
    <w:p w14:paraId="7F426664" w14:textId="2AD854D1" w:rsidR="00A94ACE" w:rsidRPr="008456C7" w:rsidRDefault="00A94ACE" w:rsidP="00F5794E">
      <w:pPr>
        <w:spacing w:after="0" w:line="240" w:lineRule="atLeast"/>
        <w:ind w:left="1134" w:right="566"/>
        <w:jc w:val="both"/>
        <w:rPr>
          <w:iCs/>
          <w:sz w:val="20"/>
          <w:lang w:val="de-DE"/>
        </w:rPr>
      </w:pPr>
      <w:r w:rsidRPr="008456C7">
        <w:rPr>
          <w:iCs/>
          <w:sz w:val="20"/>
          <w:lang w:val="de-DE"/>
        </w:rPr>
        <w:t xml:space="preserve">“Die Unterabschnitte 7.2.4.22 und 7.2.4.23 finden nur Anwendung für </w:t>
      </w:r>
      <w:r w:rsidRPr="008456C7">
        <w:rPr>
          <w:iCs/>
          <w:sz w:val="20"/>
          <w:u w:val="single"/>
          <w:lang w:val="de-DE"/>
        </w:rPr>
        <w:t>Tankschiffe der Typen N und C.</w:t>
      </w:r>
      <w:r w:rsidRPr="008456C7">
        <w:rPr>
          <w:iCs/>
          <w:sz w:val="20"/>
          <w:lang w:val="de-DE"/>
        </w:rPr>
        <w:t xml:space="preserve"> </w:t>
      </w:r>
      <w:r w:rsidRPr="008456C7">
        <w:rPr>
          <w:iCs/>
          <w:strike/>
          <w:sz w:val="20"/>
          <w:lang w:val="de-DE"/>
        </w:rPr>
        <w:t>die Güter der Klassen 3, 4.1, 5.1, 6.1, 8 oder 9 entladen haben oder laden wollen</w:t>
      </w:r>
      <w:r w:rsidRPr="008456C7">
        <w:rPr>
          <w:iCs/>
          <w:sz w:val="20"/>
          <w:lang w:val="de-DE"/>
        </w:rPr>
        <w:t>.</w:t>
      </w:r>
      <w:r w:rsidR="00657A71" w:rsidRPr="008456C7">
        <w:rPr>
          <w:iCs/>
          <w:sz w:val="20"/>
          <w:lang w:val="de-DE"/>
        </w:rPr>
        <w:t>“.</w:t>
      </w:r>
    </w:p>
    <w:p w14:paraId="315EFC5F" w14:textId="77777777" w:rsidR="003A59E7" w:rsidRPr="008456C7" w:rsidRDefault="003A59E7" w:rsidP="00F5794E">
      <w:pPr>
        <w:spacing w:after="0" w:line="240" w:lineRule="atLeast"/>
        <w:ind w:right="566"/>
        <w:jc w:val="both"/>
        <w:rPr>
          <w:bCs/>
          <w:iCs/>
          <w:sz w:val="20"/>
          <w:lang w:val="de-DE"/>
        </w:rPr>
      </w:pPr>
    </w:p>
    <w:p w14:paraId="24048DAC" w14:textId="56EFF6E5" w:rsidR="00C5550E" w:rsidRPr="008456C7" w:rsidRDefault="006D2550" w:rsidP="00F5794E">
      <w:pPr>
        <w:spacing w:after="0" w:line="240" w:lineRule="atLeast"/>
        <w:ind w:left="1134" w:right="566"/>
        <w:jc w:val="both"/>
        <w:rPr>
          <w:iCs/>
          <w:sz w:val="20"/>
          <w:lang w:val="de-DE"/>
        </w:rPr>
      </w:pPr>
      <w:r w:rsidRPr="008456C7">
        <w:rPr>
          <w:bCs/>
          <w:iCs/>
          <w:sz w:val="20"/>
          <w:lang w:val="de-DE"/>
        </w:rPr>
        <w:t>„......</w:t>
      </w:r>
      <w:r w:rsidR="00C5550E" w:rsidRPr="008456C7">
        <w:rPr>
          <w:bCs/>
          <w:iCs/>
          <w:sz w:val="20"/>
          <w:lang w:val="de-DE"/>
        </w:rPr>
        <w:t xml:space="preserve"> </w:t>
      </w:r>
      <w:r w:rsidR="00C5550E" w:rsidRPr="008456C7">
        <w:rPr>
          <w:iCs/>
          <w:sz w:val="20"/>
          <w:lang w:val="de-DE"/>
        </w:rPr>
        <w:t xml:space="preserve">ist das Öffnen der Öffnungen abweichend von Unterabschnitt 7.2.3.22 unter den folgenden Bedingungen zur Reinigung und/oder zum Austausch der Flammensperre, zur Sichtkontrolle </w:t>
      </w:r>
      <w:r w:rsidR="00C5550E" w:rsidRPr="008456C7">
        <w:rPr>
          <w:iCs/>
          <w:sz w:val="20"/>
          <w:u w:val="single"/>
          <w:lang w:val="de-DE"/>
        </w:rPr>
        <w:t>von Deck aus</w:t>
      </w:r>
      <w:r w:rsidR="00C5550E" w:rsidRPr="008456C7">
        <w:rPr>
          <w:iCs/>
          <w:sz w:val="20"/>
          <w:lang w:val="de-DE"/>
        </w:rPr>
        <w:t>, zur Probeentnahme, ….”</w:t>
      </w:r>
    </w:p>
    <w:p w14:paraId="5DBBCC0F" w14:textId="77777777" w:rsidR="00C5550E" w:rsidRPr="0020306E" w:rsidRDefault="00C5550E" w:rsidP="00F5794E">
      <w:pPr>
        <w:spacing w:after="0" w:line="240" w:lineRule="atLeast"/>
        <w:ind w:left="1134" w:right="566"/>
        <w:jc w:val="both"/>
        <w:rPr>
          <w:bCs/>
          <w:i/>
          <w:sz w:val="20"/>
          <w:lang w:val="de-DE"/>
        </w:rPr>
      </w:pPr>
    </w:p>
    <w:p w14:paraId="08904DB8" w14:textId="3122E75B" w:rsidR="003A59E7" w:rsidRPr="0020306E" w:rsidRDefault="007D6762" w:rsidP="00F5794E">
      <w:pPr>
        <w:spacing w:after="0" w:line="240" w:lineRule="atLeast"/>
        <w:ind w:right="566"/>
        <w:jc w:val="both"/>
        <w:rPr>
          <w:bCs/>
          <w:sz w:val="20"/>
          <w:lang w:val="de-DE"/>
        </w:rPr>
      </w:pPr>
      <w:r w:rsidRPr="0020306E">
        <w:rPr>
          <w:bCs/>
          <w:sz w:val="20"/>
          <w:lang w:val="de-DE"/>
        </w:rPr>
        <w:t>17.</w:t>
      </w:r>
      <w:r w:rsidRPr="0020306E">
        <w:rPr>
          <w:bCs/>
          <w:sz w:val="20"/>
          <w:lang w:val="de-DE"/>
        </w:rPr>
        <w:tab/>
      </w:r>
      <w:r w:rsidR="003A59E7" w:rsidRPr="0020306E">
        <w:rPr>
          <w:bCs/>
          <w:sz w:val="20"/>
          <w:lang w:val="de-DE"/>
        </w:rPr>
        <w:t xml:space="preserve">Damit kann auch ein </w:t>
      </w:r>
      <w:r w:rsidR="000A5B14" w:rsidRPr="0020306E">
        <w:rPr>
          <w:bCs/>
          <w:sz w:val="20"/>
          <w:lang w:val="de-DE"/>
        </w:rPr>
        <w:t>anderer</w:t>
      </w:r>
      <w:r w:rsidR="003A59E7" w:rsidRPr="0020306E">
        <w:rPr>
          <w:bCs/>
          <w:sz w:val="20"/>
          <w:lang w:val="de-DE"/>
        </w:rPr>
        <w:t xml:space="preserve"> Einwand entkräftet werden. Österreich hatte darauf hingewiesen, dass die bisherigen Vorschläge nicht schlüssig sind, ob Landetanks auch dann geöffnet werden dürfen, wenn sie gefüllt sind, oder nur wenn sie entladen sind.</w:t>
      </w:r>
    </w:p>
    <w:p w14:paraId="23023F66" w14:textId="77777777" w:rsidR="003A59E7" w:rsidRPr="0020306E" w:rsidRDefault="003A59E7" w:rsidP="00F5794E">
      <w:pPr>
        <w:spacing w:after="0" w:line="240" w:lineRule="atLeast"/>
        <w:ind w:right="566"/>
        <w:jc w:val="both"/>
        <w:rPr>
          <w:bCs/>
          <w:sz w:val="20"/>
          <w:lang w:val="de-DE"/>
        </w:rPr>
      </w:pPr>
    </w:p>
    <w:p w14:paraId="5D3B633A" w14:textId="4A0E1AC7" w:rsidR="00DF0CAD" w:rsidRPr="0020306E" w:rsidRDefault="007D6762" w:rsidP="00F5794E">
      <w:pPr>
        <w:spacing w:after="0" w:line="240" w:lineRule="atLeast"/>
        <w:ind w:right="566"/>
        <w:jc w:val="both"/>
        <w:rPr>
          <w:bCs/>
          <w:sz w:val="20"/>
          <w:lang w:val="de-DE"/>
        </w:rPr>
      </w:pPr>
      <w:r w:rsidRPr="0020306E">
        <w:rPr>
          <w:bCs/>
          <w:sz w:val="20"/>
          <w:lang w:val="de-DE"/>
        </w:rPr>
        <w:lastRenderedPageBreak/>
        <w:t>18.</w:t>
      </w:r>
      <w:r w:rsidRPr="0020306E">
        <w:rPr>
          <w:bCs/>
          <w:sz w:val="20"/>
          <w:lang w:val="de-DE"/>
        </w:rPr>
        <w:tab/>
      </w:r>
      <w:r w:rsidR="004D573E" w:rsidRPr="0020306E">
        <w:rPr>
          <w:bCs/>
          <w:sz w:val="20"/>
          <w:lang w:val="de-DE"/>
        </w:rPr>
        <w:t xml:space="preserve">Es gibt Stoffe der Klasse 3, z.B. UN 1089 Acetaldehyd, oder </w:t>
      </w:r>
      <w:r w:rsidR="00781537" w:rsidRPr="0020306E">
        <w:rPr>
          <w:bCs/>
          <w:sz w:val="20"/>
          <w:lang w:val="de-DE"/>
        </w:rPr>
        <w:t xml:space="preserve">UN 1267 und 1268 </w:t>
      </w:r>
      <w:r w:rsidR="004D573E" w:rsidRPr="0020306E">
        <w:rPr>
          <w:bCs/>
          <w:sz w:val="20"/>
          <w:lang w:val="de-DE"/>
        </w:rPr>
        <w:t xml:space="preserve">Roherdöle, </w:t>
      </w:r>
      <w:r w:rsidR="00781537" w:rsidRPr="0020306E">
        <w:rPr>
          <w:bCs/>
          <w:sz w:val="20"/>
          <w:lang w:val="de-DE"/>
        </w:rPr>
        <w:t>für die das geeignete Schiff erst über die Anwendung des Entscheidungsdiagramms in Unterabschnitt 3.2.3.3 ADN ermittel</w:t>
      </w:r>
      <w:r w:rsidR="00DF0892" w:rsidRPr="0020306E">
        <w:rPr>
          <w:bCs/>
          <w:sz w:val="20"/>
          <w:lang w:val="de-DE"/>
        </w:rPr>
        <w:t>t</w:t>
      </w:r>
      <w:r w:rsidR="00781537" w:rsidRPr="0020306E">
        <w:rPr>
          <w:bCs/>
          <w:sz w:val="20"/>
          <w:lang w:val="de-DE"/>
        </w:rPr>
        <w:t xml:space="preserve"> werden muss. </w:t>
      </w:r>
      <w:r w:rsidR="00BD7D42" w:rsidRPr="0020306E">
        <w:rPr>
          <w:bCs/>
          <w:sz w:val="20"/>
          <w:lang w:val="de-DE"/>
        </w:rPr>
        <w:t xml:space="preserve">Für diese Stoffe wäre die Verwendung eines Tankschiffes der Form „C-1-1“ (Tankschiffstyp C mit Drucktanks) erforderlich. Solche Schiffe existieren aber nicht. Die Stoffe müssen in Tankschiffen des Typs G (mit Drucktanks) befördert werden. </w:t>
      </w:r>
    </w:p>
    <w:p w14:paraId="119A86C1" w14:textId="77777777" w:rsidR="00DF0CAD" w:rsidRPr="0020306E" w:rsidRDefault="00DF0CAD" w:rsidP="00F5794E">
      <w:pPr>
        <w:spacing w:after="0" w:line="240" w:lineRule="atLeast"/>
        <w:ind w:right="566"/>
        <w:jc w:val="both"/>
        <w:rPr>
          <w:bCs/>
          <w:sz w:val="20"/>
          <w:lang w:val="de-DE"/>
        </w:rPr>
      </w:pPr>
    </w:p>
    <w:p w14:paraId="2846DE55" w14:textId="2BFFFB6D" w:rsidR="004D573E" w:rsidRPr="0020306E" w:rsidRDefault="007D6762" w:rsidP="00F5794E">
      <w:pPr>
        <w:spacing w:after="0" w:line="240" w:lineRule="atLeast"/>
        <w:ind w:right="566"/>
        <w:jc w:val="both"/>
        <w:rPr>
          <w:bCs/>
          <w:sz w:val="20"/>
          <w:lang w:val="de-DE"/>
        </w:rPr>
      </w:pPr>
      <w:r w:rsidRPr="0020306E">
        <w:rPr>
          <w:bCs/>
          <w:sz w:val="20"/>
          <w:lang w:val="de-DE"/>
        </w:rPr>
        <w:t>19.</w:t>
      </w:r>
      <w:r w:rsidRPr="0020306E">
        <w:rPr>
          <w:bCs/>
          <w:sz w:val="20"/>
          <w:lang w:val="de-DE"/>
        </w:rPr>
        <w:tab/>
      </w:r>
      <w:r w:rsidR="00F42A30" w:rsidRPr="0020306E">
        <w:rPr>
          <w:bCs/>
          <w:sz w:val="20"/>
          <w:lang w:val="de-DE"/>
        </w:rPr>
        <w:t xml:space="preserve">Abhängig vom </w:t>
      </w:r>
      <w:r w:rsidR="00462445" w:rsidRPr="0020306E">
        <w:rPr>
          <w:bCs/>
          <w:sz w:val="20"/>
          <w:lang w:val="de-DE"/>
        </w:rPr>
        <w:t xml:space="preserve">jeweils </w:t>
      </w:r>
      <w:r w:rsidR="00F42A30" w:rsidRPr="0020306E">
        <w:rPr>
          <w:bCs/>
          <w:sz w:val="20"/>
          <w:lang w:val="de-DE"/>
        </w:rPr>
        <w:t xml:space="preserve">beförderten Stoff </w:t>
      </w:r>
      <w:r w:rsidR="00BD7D42" w:rsidRPr="0020306E">
        <w:rPr>
          <w:bCs/>
          <w:sz w:val="20"/>
          <w:lang w:val="de-DE"/>
        </w:rPr>
        <w:t xml:space="preserve">müssen in Einzelfällen auch auf Tankschiffen des Typs G für die genannten Zwecke Öffnungen geöffnet werden. </w:t>
      </w:r>
      <w:r w:rsidR="004D573E" w:rsidRPr="0020306E">
        <w:rPr>
          <w:bCs/>
          <w:sz w:val="20"/>
          <w:lang w:val="de-DE"/>
        </w:rPr>
        <w:t>Deswegen wurde</w:t>
      </w:r>
      <w:r w:rsidR="005012B6" w:rsidRPr="0020306E">
        <w:rPr>
          <w:bCs/>
          <w:sz w:val="20"/>
          <w:lang w:val="de-DE"/>
        </w:rPr>
        <w:t xml:space="preserve"> der Anwendungsbereich </w:t>
      </w:r>
      <w:r w:rsidR="004D573E" w:rsidRPr="0020306E">
        <w:rPr>
          <w:bCs/>
          <w:sz w:val="20"/>
          <w:lang w:val="de-DE"/>
        </w:rPr>
        <w:t xml:space="preserve">bisher nicht auf die </w:t>
      </w:r>
      <w:r w:rsidR="00DF0892" w:rsidRPr="0020306E">
        <w:rPr>
          <w:bCs/>
          <w:sz w:val="20"/>
          <w:lang w:val="de-DE"/>
        </w:rPr>
        <w:t xml:space="preserve">Tankschiffe der Typen C und N </w:t>
      </w:r>
      <w:r w:rsidR="004D573E" w:rsidRPr="0020306E">
        <w:rPr>
          <w:bCs/>
          <w:sz w:val="20"/>
          <w:lang w:val="de-DE"/>
        </w:rPr>
        <w:t xml:space="preserve">beschränkt, sondern </w:t>
      </w:r>
      <w:r w:rsidR="005012B6" w:rsidRPr="0020306E">
        <w:rPr>
          <w:bCs/>
          <w:sz w:val="20"/>
          <w:lang w:val="de-DE"/>
        </w:rPr>
        <w:t xml:space="preserve">es wurde </w:t>
      </w:r>
      <w:r w:rsidR="004D573E" w:rsidRPr="0020306E">
        <w:rPr>
          <w:bCs/>
          <w:sz w:val="20"/>
          <w:lang w:val="de-DE"/>
        </w:rPr>
        <w:t xml:space="preserve">die </w:t>
      </w:r>
      <w:r w:rsidR="00DF0892" w:rsidRPr="0020306E">
        <w:rPr>
          <w:bCs/>
          <w:sz w:val="20"/>
          <w:lang w:val="de-DE"/>
        </w:rPr>
        <w:t xml:space="preserve">Anwendung </w:t>
      </w:r>
      <w:r w:rsidR="00FA3E8C" w:rsidRPr="0020306E">
        <w:rPr>
          <w:bCs/>
          <w:sz w:val="20"/>
          <w:lang w:val="de-DE"/>
        </w:rPr>
        <w:t xml:space="preserve">dieser Vorschriften </w:t>
      </w:r>
      <w:r w:rsidR="00DF0892" w:rsidRPr="0020306E">
        <w:rPr>
          <w:bCs/>
          <w:sz w:val="20"/>
          <w:lang w:val="de-DE"/>
        </w:rPr>
        <w:t xml:space="preserve">bei der </w:t>
      </w:r>
      <w:r w:rsidR="004D573E" w:rsidRPr="0020306E">
        <w:rPr>
          <w:bCs/>
          <w:sz w:val="20"/>
          <w:lang w:val="de-DE"/>
        </w:rPr>
        <w:t xml:space="preserve">Beförderung </w:t>
      </w:r>
      <w:r w:rsidR="005012B6" w:rsidRPr="0020306E">
        <w:rPr>
          <w:bCs/>
          <w:sz w:val="20"/>
          <w:lang w:val="de-DE"/>
        </w:rPr>
        <w:t xml:space="preserve">von Gefahrgütern </w:t>
      </w:r>
      <w:r w:rsidR="004D573E" w:rsidRPr="0020306E">
        <w:rPr>
          <w:bCs/>
          <w:sz w:val="20"/>
          <w:lang w:val="de-DE"/>
        </w:rPr>
        <w:t>der Klasse 2 in Tankschiffen ausgeschlossen.</w:t>
      </w:r>
    </w:p>
    <w:p w14:paraId="065FE111" w14:textId="77777777" w:rsidR="00657A71" w:rsidRPr="0020306E" w:rsidRDefault="00657A71" w:rsidP="00F5794E">
      <w:pPr>
        <w:spacing w:after="0" w:line="240" w:lineRule="atLeast"/>
        <w:ind w:right="566"/>
        <w:jc w:val="both"/>
        <w:rPr>
          <w:bCs/>
          <w:sz w:val="20"/>
          <w:lang w:val="de-DE"/>
        </w:rPr>
      </w:pPr>
    </w:p>
    <w:p w14:paraId="41CC3826" w14:textId="4ACB4396" w:rsidR="004D573E" w:rsidRPr="0020306E" w:rsidRDefault="007D6762" w:rsidP="00F5794E">
      <w:pPr>
        <w:spacing w:after="0" w:line="240" w:lineRule="atLeast"/>
        <w:ind w:right="566"/>
        <w:jc w:val="both"/>
        <w:rPr>
          <w:bCs/>
          <w:sz w:val="20"/>
          <w:lang w:val="de-DE"/>
        </w:rPr>
      </w:pPr>
      <w:r w:rsidRPr="0020306E">
        <w:rPr>
          <w:bCs/>
          <w:sz w:val="20"/>
          <w:lang w:val="de-DE"/>
        </w:rPr>
        <w:t>20.</w:t>
      </w:r>
      <w:r w:rsidRPr="0020306E">
        <w:rPr>
          <w:bCs/>
          <w:sz w:val="20"/>
          <w:lang w:val="de-DE"/>
        </w:rPr>
        <w:tab/>
      </w:r>
      <w:r w:rsidR="00DF0892" w:rsidRPr="0020306E">
        <w:rPr>
          <w:bCs/>
          <w:sz w:val="20"/>
          <w:lang w:val="de-DE"/>
        </w:rPr>
        <w:t xml:space="preserve">Für diese </w:t>
      </w:r>
      <w:r w:rsidR="00240393" w:rsidRPr="0020306E">
        <w:rPr>
          <w:bCs/>
          <w:sz w:val="20"/>
          <w:lang w:val="de-DE"/>
        </w:rPr>
        <w:t>S</w:t>
      </w:r>
      <w:r w:rsidR="00DF0892" w:rsidRPr="0020306E">
        <w:rPr>
          <w:bCs/>
          <w:sz w:val="20"/>
          <w:lang w:val="de-DE"/>
        </w:rPr>
        <w:t>onderfälle wurde noch keine Lösung gefunden.</w:t>
      </w:r>
    </w:p>
    <w:p w14:paraId="6684D603" w14:textId="6CFA54F4" w:rsidR="00984F21" w:rsidRPr="0020306E" w:rsidRDefault="00984F21" w:rsidP="00F5794E">
      <w:pPr>
        <w:spacing w:after="0" w:line="240" w:lineRule="atLeast"/>
        <w:ind w:right="566"/>
        <w:jc w:val="both"/>
        <w:rPr>
          <w:bCs/>
          <w:sz w:val="20"/>
          <w:lang w:val="de-DE"/>
        </w:rPr>
      </w:pPr>
    </w:p>
    <w:p w14:paraId="5A9A0961" w14:textId="77777777" w:rsidR="006D2550" w:rsidRPr="0020306E" w:rsidRDefault="006D2550" w:rsidP="00F5794E">
      <w:pPr>
        <w:spacing w:after="0" w:line="240" w:lineRule="atLeast"/>
        <w:ind w:right="566"/>
        <w:jc w:val="both"/>
        <w:rPr>
          <w:bCs/>
          <w:sz w:val="20"/>
          <w:lang w:val="de-DE"/>
        </w:rPr>
      </w:pPr>
    </w:p>
    <w:p w14:paraId="11130ED4" w14:textId="0CC7811B" w:rsidR="00984F21" w:rsidRPr="0020306E" w:rsidRDefault="007D6762" w:rsidP="00F5794E">
      <w:pPr>
        <w:spacing w:after="0" w:line="240" w:lineRule="atLeast"/>
        <w:ind w:left="567" w:right="566" w:hanging="567"/>
        <w:jc w:val="both"/>
        <w:rPr>
          <w:b/>
          <w:bCs/>
          <w:szCs w:val="24"/>
          <w:lang w:val="de-DE"/>
        </w:rPr>
      </w:pPr>
      <w:r w:rsidRPr="0020306E">
        <w:rPr>
          <w:b/>
          <w:bCs/>
          <w:szCs w:val="24"/>
          <w:lang w:val="de-DE"/>
        </w:rPr>
        <w:t>G</w:t>
      </w:r>
      <w:r w:rsidR="00984F21" w:rsidRPr="0020306E">
        <w:rPr>
          <w:b/>
          <w:bCs/>
          <w:szCs w:val="24"/>
          <w:lang w:val="de-DE"/>
        </w:rPr>
        <w:t>.</w:t>
      </w:r>
      <w:r w:rsidR="00984F21" w:rsidRPr="0020306E">
        <w:rPr>
          <w:b/>
          <w:bCs/>
          <w:szCs w:val="24"/>
          <w:lang w:val="de-DE"/>
        </w:rPr>
        <w:tab/>
        <w:t>Beförderungen, bei denen ein Öffnen von Öffnungen verboten sein soll</w:t>
      </w:r>
    </w:p>
    <w:p w14:paraId="232C9769" w14:textId="77777777" w:rsidR="00984F21" w:rsidRPr="0020306E" w:rsidRDefault="00984F21" w:rsidP="00F5794E">
      <w:pPr>
        <w:spacing w:after="0" w:line="240" w:lineRule="atLeast"/>
        <w:ind w:right="566"/>
        <w:jc w:val="both"/>
        <w:rPr>
          <w:bCs/>
          <w:sz w:val="20"/>
          <w:lang w:val="de-DE"/>
        </w:rPr>
      </w:pPr>
    </w:p>
    <w:p w14:paraId="00B95A0F" w14:textId="2ECD2558" w:rsidR="00984F21" w:rsidRPr="0020306E" w:rsidRDefault="007D6762" w:rsidP="00F5794E">
      <w:pPr>
        <w:spacing w:after="0" w:line="240" w:lineRule="atLeast"/>
        <w:ind w:right="566"/>
        <w:jc w:val="both"/>
        <w:rPr>
          <w:bCs/>
          <w:sz w:val="20"/>
          <w:lang w:val="de-DE"/>
        </w:rPr>
      </w:pPr>
      <w:r w:rsidRPr="0020306E">
        <w:rPr>
          <w:bCs/>
          <w:sz w:val="20"/>
          <w:lang w:val="de-DE"/>
        </w:rPr>
        <w:t>21.</w:t>
      </w:r>
      <w:r w:rsidRPr="0020306E">
        <w:rPr>
          <w:bCs/>
          <w:sz w:val="20"/>
          <w:lang w:val="de-DE"/>
        </w:rPr>
        <w:tab/>
      </w:r>
      <w:r w:rsidR="00984F21" w:rsidRPr="0020306E">
        <w:rPr>
          <w:bCs/>
          <w:sz w:val="20"/>
          <w:lang w:val="de-DE"/>
        </w:rPr>
        <w:t>Dem dritten Vorschlag der belgischen Delegation, ein Verbot für das Öffnen von Öffnungen aufgrund von Mitteilungen des Absenders einzuführen, möchte Deutschland nicht folgen. Solche Fälle sind in Deutschland nicht bekannt und könnten besser durch eine Bemerkung in Spalte (20) der Tabelle C abgedeckt werden.</w:t>
      </w:r>
    </w:p>
    <w:p w14:paraId="61C0ACCA" w14:textId="77777777" w:rsidR="00984F21" w:rsidRPr="0020306E" w:rsidRDefault="00984F21" w:rsidP="00F5794E">
      <w:pPr>
        <w:spacing w:after="0" w:line="240" w:lineRule="atLeast"/>
        <w:ind w:right="566"/>
        <w:jc w:val="both"/>
        <w:rPr>
          <w:bCs/>
          <w:sz w:val="20"/>
          <w:lang w:val="de-DE"/>
        </w:rPr>
      </w:pPr>
    </w:p>
    <w:p w14:paraId="1917463D" w14:textId="77777777" w:rsidR="00E30756" w:rsidRPr="0020306E" w:rsidRDefault="00E30756" w:rsidP="00F5794E">
      <w:pPr>
        <w:spacing w:after="0" w:line="240" w:lineRule="atLeast"/>
        <w:ind w:right="566"/>
        <w:jc w:val="both"/>
        <w:rPr>
          <w:bCs/>
          <w:sz w:val="20"/>
          <w:lang w:val="de-DE"/>
        </w:rPr>
      </w:pPr>
    </w:p>
    <w:p w14:paraId="37B1BC31" w14:textId="1B08EA99" w:rsidR="00984F21" w:rsidRPr="0020306E" w:rsidRDefault="007D6762" w:rsidP="00F5794E">
      <w:pPr>
        <w:spacing w:after="0" w:line="240" w:lineRule="atLeast"/>
        <w:ind w:left="567" w:right="566" w:hanging="567"/>
        <w:jc w:val="both"/>
        <w:rPr>
          <w:b/>
          <w:bCs/>
          <w:szCs w:val="24"/>
          <w:lang w:val="de-DE"/>
        </w:rPr>
      </w:pPr>
      <w:r w:rsidRPr="0020306E">
        <w:rPr>
          <w:b/>
          <w:bCs/>
          <w:szCs w:val="24"/>
          <w:lang w:val="de-DE"/>
        </w:rPr>
        <w:t>H</w:t>
      </w:r>
      <w:r w:rsidR="00984F21" w:rsidRPr="0020306E">
        <w:rPr>
          <w:b/>
          <w:bCs/>
          <w:szCs w:val="24"/>
          <w:lang w:val="de-DE"/>
        </w:rPr>
        <w:t>.</w:t>
      </w:r>
      <w:r w:rsidR="00984F21" w:rsidRPr="0020306E">
        <w:rPr>
          <w:b/>
          <w:bCs/>
          <w:szCs w:val="24"/>
          <w:lang w:val="de-DE"/>
        </w:rPr>
        <w:tab/>
        <w:t>Ausnahmefälle, bei denen ein Öffnen von Öffnungen erlaubt ist</w:t>
      </w:r>
    </w:p>
    <w:p w14:paraId="388D7DF1" w14:textId="77777777" w:rsidR="00984F21" w:rsidRPr="0020306E" w:rsidRDefault="00984F21" w:rsidP="00F5794E">
      <w:pPr>
        <w:spacing w:after="0" w:line="240" w:lineRule="atLeast"/>
        <w:ind w:right="566"/>
        <w:jc w:val="both"/>
        <w:rPr>
          <w:bCs/>
          <w:sz w:val="20"/>
          <w:lang w:val="de-DE"/>
        </w:rPr>
      </w:pPr>
    </w:p>
    <w:p w14:paraId="27254DBC" w14:textId="08DCBD2F" w:rsidR="00984F21" w:rsidRPr="0020306E" w:rsidRDefault="007D6762" w:rsidP="00F5794E">
      <w:pPr>
        <w:spacing w:after="0" w:line="240" w:lineRule="atLeast"/>
        <w:ind w:right="566"/>
        <w:jc w:val="both"/>
        <w:rPr>
          <w:bCs/>
          <w:sz w:val="20"/>
          <w:lang w:val="de-DE"/>
        </w:rPr>
      </w:pPr>
      <w:r w:rsidRPr="0020306E">
        <w:rPr>
          <w:bCs/>
          <w:sz w:val="20"/>
          <w:lang w:val="de-DE"/>
        </w:rPr>
        <w:t>22.</w:t>
      </w:r>
      <w:r w:rsidRPr="0020306E">
        <w:rPr>
          <w:bCs/>
          <w:sz w:val="20"/>
          <w:lang w:val="de-DE"/>
        </w:rPr>
        <w:tab/>
      </w:r>
      <w:r w:rsidR="00984F21" w:rsidRPr="0020306E">
        <w:rPr>
          <w:bCs/>
          <w:sz w:val="20"/>
          <w:lang w:val="de-DE"/>
        </w:rPr>
        <w:t xml:space="preserve">Die Niederlande haben angemerkt, dass an mehreren Stellen von „Ausnahmefällen“ gesprochen wird, in denen Ladetanks geöffnet werden dürfen. Es wird gefragt, ob das Vorliegen eines solchen Ausnahmefalls bei Kontrollen leicht zu beantworten ist. Deutschland möchte diesen Einwand aufgreifen und die Änderungsvorschläge </w:t>
      </w:r>
      <w:r w:rsidR="0073098B" w:rsidRPr="0020306E">
        <w:rPr>
          <w:bCs/>
          <w:sz w:val="20"/>
          <w:lang w:val="de-DE"/>
        </w:rPr>
        <w:t xml:space="preserve">wie folgt </w:t>
      </w:r>
      <w:r w:rsidR="00984F21" w:rsidRPr="0020306E">
        <w:rPr>
          <w:bCs/>
          <w:sz w:val="20"/>
          <w:lang w:val="de-DE"/>
        </w:rPr>
        <w:t>anpassen.</w:t>
      </w:r>
    </w:p>
    <w:p w14:paraId="5D23EE33" w14:textId="77777777" w:rsidR="00984F21" w:rsidRPr="0020306E" w:rsidRDefault="00984F21" w:rsidP="00F5794E">
      <w:pPr>
        <w:spacing w:after="0" w:line="240" w:lineRule="atLeast"/>
        <w:ind w:right="566"/>
        <w:jc w:val="both"/>
        <w:rPr>
          <w:bCs/>
          <w:sz w:val="20"/>
          <w:lang w:val="de-DE"/>
        </w:rPr>
      </w:pPr>
    </w:p>
    <w:p w14:paraId="4676109D" w14:textId="174AD8F1" w:rsidR="00984F21" w:rsidRPr="008456C7" w:rsidRDefault="00984F21" w:rsidP="00F5794E">
      <w:pPr>
        <w:spacing w:after="0" w:line="240" w:lineRule="atLeast"/>
        <w:ind w:left="1134" w:right="566"/>
        <w:jc w:val="both"/>
        <w:rPr>
          <w:bCs/>
          <w:iCs/>
          <w:sz w:val="20"/>
          <w:lang w:val="de-DE"/>
        </w:rPr>
      </w:pPr>
      <w:r w:rsidRPr="008456C7">
        <w:rPr>
          <w:bCs/>
          <w:iCs/>
          <w:sz w:val="20"/>
          <w:lang w:val="de-DE"/>
        </w:rPr>
        <w:t>7.2.4.23.2.3 neu:</w:t>
      </w:r>
    </w:p>
    <w:p w14:paraId="3A683B11" w14:textId="77777777" w:rsidR="00984F21" w:rsidRPr="008456C7" w:rsidRDefault="00984F21" w:rsidP="00F5794E">
      <w:pPr>
        <w:spacing w:after="0" w:line="240" w:lineRule="atLeast"/>
        <w:ind w:left="1134" w:right="566"/>
        <w:jc w:val="both"/>
        <w:rPr>
          <w:bCs/>
          <w:iCs/>
          <w:sz w:val="20"/>
          <w:lang w:val="de-DE"/>
        </w:rPr>
      </w:pPr>
    </w:p>
    <w:p w14:paraId="4BAEC175" w14:textId="4F438251" w:rsidR="00984F21" w:rsidRPr="008456C7" w:rsidRDefault="006F5981" w:rsidP="00F5794E">
      <w:pPr>
        <w:spacing w:after="0" w:line="240" w:lineRule="atLeast"/>
        <w:ind w:left="1134" w:right="566"/>
        <w:jc w:val="both"/>
        <w:rPr>
          <w:iCs/>
          <w:sz w:val="20"/>
          <w:lang w:val="de-DE"/>
        </w:rPr>
      </w:pPr>
      <w:r w:rsidRPr="008456C7">
        <w:rPr>
          <w:iCs/>
          <w:sz w:val="20"/>
          <w:lang w:val="de-DE"/>
        </w:rPr>
        <w:t>„</w:t>
      </w:r>
      <w:r w:rsidR="00984F21" w:rsidRPr="008456C7">
        <w:rPr>
          <w:iCs/>
          <w:sz w:val="20"/>
          <w:lang w:val="de-DE"/>
        </w:rPr>
        <w:t>Bei einer Funktionsstörung der Probeentnahmeeinrichtung, die nicht kurzfristig behoben werden kann, darf eine offene Probenahme über die Probeentnahme-öffnung durchgeführt werden.</w:t>
      </w:r>
      <w:r w:rsidRPr="008456C7">
        <w:rPr>
          <w:iCs/>
          <w:sz w:val="20"/>
          <w:lang w:val="de-DE"/>
        </w:rPr>
        <w:t>“</w:t>
      </w:r>
    </w:p>
    <w:p w14:paraId="0A408DE2" w14:textId="77777777" w:rsidR="00984F21" w:rsidRPr="0020306E" w:rsidRDefault="00984F21" w:rsidP="00F5794E">
      <w:pPr>
        <w:spacing w:after="0" w:line="240" w:lineRule="atLeast"/>
        <w:ind w:right="566"/>
        <w:jc w:val="both"/>
        <w:rPr>
          <w:bCs/>
          <w:i/>
          <w:sz w:val="20"/>
          <w:u w:val="single"/>
          <w:lang w:val="de-DE"/>
        </w:rPr>
      </w:pPr>
    </w:p>
    <w:p w14:paraId="698FCB8D" w14:textId="77777777" w:rsidR="00984F21" w:rsidRPr="0020306E" w:rsidRDefault="00984F21" w:rsidP="00F5794E">
      <w:pPr>
        <w:pStyle w:val="Textebrut"/>
        <w:spacing w:line="240" w:lineRule="atLeast"/>
        <w:jc w:val="both"/>
        <w:rPr>
          <w:rFonts w:ascii="Times New Roman" w:eastAsia="Times New Roman" w:hAnsi="Times New Roman" w:cs="Times New Roman"/>
          <w:bCs/>
          <w:sz w:val="20"/>
          <w:szCs w:val="20"/>
        </w:rPr>
      </w:pPr>
      <w:r w:rsidRPr="0020306E">
        <w:rPr>
          <w:rFonts w:ascii="Times New Roman" w:eastAsia="Times New Roman" w:hAnsi="Times New Roman" w:cs="Times New Roman"/>
          <w:bCs/>
          <w:sz w:val="20"/>
          <w:szCs w:val="20"/>
          <w:u w:val="single"/>
        </w:rPr>
        <w:t>Literaturhinweis (nur deutsch)</w:t>
      </w:r>
      <w:r w:rsidRPr="0020306E">
        <w:rPr>
          <w:rFonts w:ascii="Times New Roman" w:eastAsia="Times New Roman" w:hAnsi="Times New Roman" w:cs="Times New Roman"/>
          <w:bCs/>
          <w:sz w:val="20"/>
          <w:szCs w:val="20"/>
        </w:rPr>
        <w:t>:</w:t>
      </w:r>
    </w:p>
    <w:p w14:paraId="4C80BFC1" w14:textId="77777777" w:rsidR="00984F21" w:rsidRPr="0020306E" w:rsidRDefault="00984F21" w:rsidP="00F5794E">
      <w:pPr>
        <w:spacing w:after="0" w:line="240" w:lineRule="atLeast"/>
        <w:ind w:right="566"/>
        <w:jc w:val="both"/>
        <w:rPr>
          <w:bCs/>
          <w:i/>
          <w:sz w:val="20"/>
          <w:u w:val="single"/>
          <w:lang w:val="de-DE"/>
        </w:rPr>
      </w:pPr>
    </w:p>
    <w:p w14:paraId="02493FA9" w14:textId="77777777" w:rsidR="00984F21" w:rsidRPr="0020306E" w:rsidRDefault="00984F21" w:rsidP="00F5794E">
      <w:pPr>
        <w:pStyle w:val="Textebrut"/>
        <w:spacing w:line="240" w:lineRule="atLeast"/>
        <w:jc w:val="both"/>
        <w:rPr>
          <w:rFonts w:ascii="Times New Roman" w:eastAsia="Times New Roman" w:hAnsi="Times New Roman" w:cs="Times New Roman"/>
          <w:bCs/>
          <w:sz w:val="20"/>
          <w:szCs w:val="20"/>
        </w:rPr>
      </w:pPr>
      <w:r w:rsidRPr="0020306E">
        <w:rPr>
          <w:rFonts w:ascii="Times New Roman" w:eastAsia="Times New Roman" w:hAnsi="Times New Roman" w:cs="Times New Roman"/>
          <w:bCs/>
          <w:sz w:val="20"/>
          <w:szCs w:val="20"/>
        </w:rPr>
        <w:t>https://binnenschifffahrt-online.de/wp-content/uploads/2018/01/Recht_07_17.pdf</w:t>
      </w:r>
    </w:p>
    <w:p w14:paraId="4F1BE320" w14:textId="77777777" w:rsidR="00984F21" w:rsidRPr="0020306E" w:rsidRDefault="00984F21" w:rsidP="00F5794E">
      <w:pPr>
        <w:spacing w:after="0" w:line="240" w:lineRule="atLeast"/>
        <w:ind w:right="566"/>
        <w:jc w:val="both"/>
        <w:rPr>
          <w:bCs/>
          <w:i/>
          <w:sz w:val="20"/>
          <w:u w:val="single"/>
          <w:lang w:val="de-DE"/>
        </w:rPr>
      </w:pPr>
    </w:p>
    <w:p w14:paraId="7BE52D52" w14:textId="77777777" w:rsidR="00984F21" w:rsidRPr="008456C7" w:rsidRDefault="00984F21" w:rsidP="00F5794E">
      <w:pPr>
        <w:pStyle w:val="ADN11"/>
        <w:tabs>
          <w:tab w:val="left" w:pos="1701"/>
        </w:tabs>
        <w:ind w:left="2268" w:right="566"/>
        <w:rPr>
          <w:rFonts w:ascii="Times New Roman" w:hAnsi="Times New Roman"/>
          <w:b w:val="0"/>
          <w:iCs/>
          <w:sz w:val="20"/>
          <w:szCs w:val="20"/>
        </w:rPr>
      </w:pPr>
      <w:r w:rsidRPr="008456C7">
        <w:rPr>
          <w:rFonts w:ascii="Times New Roman" w:hAnsi="Times New Roman"/>
          <w:b w:val="0"/>
          <w:iCs/>
          <w:sz w:val="20"/>
          <w:szCs w:val="20"/>
        </w:rPr>
        <w:t>7.2.4.23.2.6 neu:</w:t>
      </w:r>
    </w:p>
    <w:p w14:paraId="2208ACCF" w14:textId="77777777" w:rsidR="00984F21" w:rsidRPr="008456C7" w:rsidRDefault="00984F21" w:rsidP="00F5794E">
      <w:pPr>
        <w:pStyle w:val="ADN11"/>
        <w:tabs>
          <w:tab w:val="left" w:pos="1701"/>
        </w:tabs>
        <w:ind w:left="2268" w:right="566"/>
        <w:rPr>
          <w:rFonts w:ascii="Times New Roman" w:hAnsi="Times New Roman"/>
          <w:b w:val="0"/>
          <w:iCs/>
          <w:sz w:val="20"/>
          <w:szCs w:val="20"/>
        </w:rPr>
      </w:pPr>
    </w:p>
    <w:p w14:paraId="41DA4B27" w14:textId="0951A066" w:rsidR="00984F21" w:rsidRPr="008456C7" w:rsidRDefault="006F5981" w:rsidP="00F5794E">
      <w:pPr>
        <w:spacing w:after="0" w:line="240" w:lineRule="atLeast"/>
        <w:ind w:left="1134" w:right="566"/>
        <w:jc w:val="both"/>
        <w:rPr>
          <w:iCs/>
          <w:sz w:val="20"/>
          <w:lang w:val="de-DE"/>
        </w:rPr>
      </w:pPr>
      <w:r w:rsidRPr="008456C7">
        <w:rPr>
          <w:iCs/>
          <w:sz w:val="20"/>
          <w:lang w:val="de-DE"/>
        </w:rPr>
        <w:t>„</w:t>
      </w:r>
      <w:r w:rsidR="00984F21" w:rsidRPr="008456C7">
        <w:rPr>
          <w:iCs/>
          <w:sz w:val="20"/>
          <w:lang w:val="de-DE"/>
        </w:rPr>
        <w:t>Wenn aufgrund einer unerwarteten Verlängerung der Fahrtzeit während der Beförderung in einem oder mehreren Ladetanks zusätzlicher Stabilisator beigefügt werden muss, darf das ausschließlich über die Probeentnahmeöffnung erfolgen. Eine statische Aufladung muss verhindert werden.</w:t>
      </w:r>
      <w:r w:rsidRPr="008456C7">
        <w:rPr>
          <w:iCs/>
          <w:sz w:val="20"/>
          <w:lang w:val="de-DE"/>
        </w:rPr>
        <w:t>“</w:t>
      </w:r>
    </w:p>
    <w:p w14:paraId="6E81FBB8" w14:textId="77777777" w:rsidR="00984F21" w:rsidRPr="0020306E" w:rsidRDefault="00984F21" w:rsidP="00F5794E">
      <w:pPr>
        <w:spacing w:after="0" w:line="240" w:lineRule="atLeast"/>
        <w:ind w:right="566"/>
        <w:jc w:val="both"/>
        <w:rPr>
          <w:bCs/>
          <w:sz w:val="20"/>
          <w:lang w:val="de-DE"/>
        </w:rPr>
      </w:pPr>
    </w:p>
    <w:p w14:paraId="0BA2B8E9" w14:textId="77777777" w:rsidR="00984F21" w:rsidRPr="0020306E" w:rsidRDefault="00984F21" w:rsidP="00F5794E">
      <w:pPr>
        <w:spacing w:after="0" w:line="240" w:lineRule="atLeast"/>
        <w:ind w:right="566"/>
        <w:jc w:val="both"/>
        <w:rPr>
          <w:b/>
          <w:bCs/>
          <w:szCs w:val="24"/>
          <w:lang w:val="de-DE"/>
        </w:rPr>
      </w:pPr>
    </w:p>
    <w:p w14:paraId="7C9C67E1" w14:textId="12A7BF87" w:rsidR="00984F21" w:rsidRPr="0020306E" w:rsidRDefault="006F5981" w:rsidP="00F5794E">
      <w:pPr>
        <w:pStyle w:val="Textebrut"/>
        <w:spacing w:line="240" w:lineRule="atLeast"/>
        <w:jc w:val="both"/>
        <w:rPr>
          <w:rFonts w:ascii="Times New Roman" w:eastAsia="Times New Roman" w:hAnsi="Times New Roman" w:cs="Times New Roman"/>
          <w:b/>
          <w:bCs/>
          <w:sz w:val="24"/>
          <w:szCs w:val="24"/>
        </w:rPr>
      </w:pPr>
      <w:r w:rsidRPr="0020306E">
        <w:rPr>
          <w:rFonts w:ascii="Times New Roman" w:eastAsia="Times New Roman" w:hAnsi="Times New Roman" w:cs="Times New Roman"/>
          <w:b/>
          <w:bCs/>
          <w:sz w:val="24"/>
          <w:szCs w:val="24"/>
        </w:rPr>
        <w:t>I</w:t>
      </w:r>
      <w:r w:rsidR="00984F21" w:rsidRPr="0020306E">
        <w:rPr>
          <w:rFonts w:ascii="Times New Roman" w:eastAsia="Times New Roman" w:hAnsi="Times New Roman" w:cs="Times New Roman"/>
          <w:b/>
          <w:bCs/>
          <w:sz w:val="24"/>
          <w:szCs w:val="24"/>
        </w:rPr>
        <w:t>.</w:t>
      </w:r>
      <w:r w:rsidR="00984F21" w:rsidRPr="0020306E">
        <w:rPr>
          <w:rFonts w:ascii="Times New Roman" w:eastAsia="Times New Roman" w:hAnsi="Times New Roman" w:cs="Times New Roman"/>
          <w:b/>
          <w:bCs/>
          <w:sz w:val="24"/>
          <w:szCs w:val="24"/>
        </w:rPr>
        <w:tab/>
        <w:t>Öffnen der Ladetankluken</w:t>
      </w:r>
    </w:p>
    <w:p w14:paraId="174A2D82" w14:textId="77777777" w:rsidR="00984F21" w:rsidRPr="0020306E" w:rsidRDefault="00984F21" w:rsidP="00F5794E">
      <w:pPr>
        <w:spacing w:after="0" w:line="240" w:lineRule="atLeast"/>
        <w:ind w:right="566"/>
        <w:jc w:val="both"/>
        <w:rPr>
          <w:bCs/>
          <w:sz w:val="20"/>
          <w:lang w:val="de-DE"/>
        </w:rPr>
      </w:pPr>
    </w:p>
    <w:p w14:paraId="13C096FE" w14:textId="36EB0F09" w:rsidR="00AA0AAA" w:rsidRPr="0020306E" w:rsidRDefault="006F5981" w:rsidP="00F5794E">
      <w:pPr>
        <w:spacing w:after="0" w:line="240" w:lineRule="atLeast"/>
        <w:ind w:right="566"/>
        <w:jc w:val="both"/>
        <w:rPr>
          <w:bCs/>
          <w:sz w:val="20"/>
          <w:lang w:val="de-DE"/>
        </w:rPr>
      </w:pPr>
      <w:r w:rsidRPr="0020306E">
        <w:rPr>
          <w:bCs/>
          <w:sz w:val="20"/>
          <w:lang w:val="de-DE"/>
        </w:rPr>
        <w:t>23.</w:t>
      </w:r>
      <w:r w:rsidRPr="0020306E">
        <w:rPr>
          <w:bCs/>
          <w:sz w:val="20"/>
          <w:lang w:val="de-DE"/>
        </w:rPr>
        <w:tab/>
      </w:r>
      <w:r w:rsidR="00984F21" w:rsidRPr="0020306E">
        <w:rPr>
          <w:bCs/>
          <w:sz w:val="20"/>
          <w:lang w:val="de-DE"/>
        </w:rPr>
        <w:t xml:space="preserve">Zu dem Vorschlag für einen neuen Absatz </w:t>
      </w:r>
      <w:r w:rsidR="00984F21" w:rsidRPr="0020306E">
        <w:rPr>
          <w:sz w:val="20"/>
          <w:lang w:val="de-DE"/>
        </w:rPr>
        <w:t xml:space="preserve">7.2.4.22.2 haben die Niederlande darauf aufmerksam gemacht, dass es einen Übersetzungsfehler in der deutschen Sprachfassung des ADN 2021 gibt. Während nach der englischen und der französischen Sprachfassung Ladetankluken geöffnet werden dürfen, wenn die Ladetanks </w:t>
      </w:r>
      <w:r w:rsidR="00AE68D9">
        <w:rPr>
          <w:sz w:val="20"/>
          <w:lang w:val="de-DE"/>
        </w:rPr>
        <w:t>„</w:t>
      </w:r>
      <w:r w:rsidR="00984F21" w:rsidRPr="0020306E">
        <w:rPr>
          <w:sz w:val="20"/>
          <w:lang w:val="de-DE"/>
        </w:rPr>
        <w:t>entgast</w:t>
      </w:r>
      <w:r w:rsidR="00AE68D9">
        <w:rPr>
          <w:sz w:val="20"/>
          <w:lang w:val="de-DE"/>
        </w:rPr>
        <w:t>“</w:t>
      </w:r>
      <w:r w:rsidR="00984F21" w:rsidRPr="0020306E">
        <w:rPr>
          <w:sz w:val="20"/>
          <w:lang w:val="de-DE"/>
        </w:rPr>
        <w:t xml:space="preserve"> sind, darf dies nach der deutschen Sprachfassung geschehen, wenn die Ladetanks </w:t>
      </w:r>
      <w:r w:rsidR="00AE68D9">
        <w:rPr>
          <w:sz w:val="20"/>
          <w:lang w:val="de-DE"/>
        </w:rPr>
        <w:t>„</w:t>
      </w:r>
      <w:r w:rsidR="00984F21" w:rsidRPr="0020306E">
        <w:rPr>
          <w:sz w:val="20"/>
          <w:lang w:val="de-DE"/>
        </w:rPr>
        <w:t>entladen</w:t>
      </w:r>
      <w:r w:rsidR="00AE68D9">
        <w:rPr>
          <w:sz w:val="20"/>
          <w:lang w:val="de-DE"/>
        </w:rPr>
        <w:t>“</w:t>
      </w:r>
      <w:r w:rsidR="00984F21" w:rsidRPr="0020306E">
        <w:rPr>
          <w:sz w:val="20"/>
          <w:lang w:val="de-DE"/>
        </w:rPr>
        <w:t xml:space="preserve"> sind. Die deutsche Übersetzung wurde nach Rücksprache mit dem Sekretariat der ZKR und de</w:t>
      </w:r>
      <w:r w:rsidR="006D2550" w:rsidRPr="0020306E">
        <w:rPr>
          <w:sz w:val="20"/>
          <w:lang w:val="de-DE"/>
        </w:rPr>
        <w:t>r</w:t>
      </w:r>
      <w:r w:rsidR="00984F21" w:rsidRPr="0020306E">
        <w:rPr>
          <w:sz w:val="20"/>
          <w:lang w:val="de-DE"/>
        </w:rPr>
        <w:t xml:space="preserve"> </w:t>
      </w:r>
      <w:r w:rsidR="00AA0AAA" w:rsidRPr="0020306E">
        <w:rPr>
          <w:sz w:val="20"/>
          <w:lang w:val="de-DE"/>
        </w:rPr>
        <w:t>Schweiz zum 1. Januar 2023 berichtigt</w:t>
      </w:r>
      <w:r w:rsidR="00681DBD" w:rsidRPr="0020306E">
        <w:rPr>
          <w:sz w:val="20"/>
          <w:lang w:val="de-DE"/>
        </w:rPr>
        <w:t>.</w:t>
      </w:r>
    </w:p>
    <w:p w14:paraId="4911CD04" w14:textId="77777777" w:rsidR="008456C7" w:rsidRDefault="008456C7">
      <w:pPr>
        <w:spacing w:after="0"/>
        <w:rPr>
          <w:b/>
          <w:bCs/>
          <w:szCs w:val="24"/>
          <w:lang w:val="de-DE"/>
        </w:rPr>
      </w:pPr>
      <w:r>
        <w:rPr>
          <w:b/>
          <w:bCs/>
          <w:szCs w:val="24"/>
          <w:lang w:val="de-DE"/>
        </w:rPr>
        <w:br w:type="page"/>
      </w:r>
    </w:p>
    <w:p w14:paraId="0D206B7C" w14:textId="01F25775" w:rsidR="0082185B" w:rsidRPr="0020306E" w:rsidRDefault="006F5981" w:rsidP="00F5794E">
      <w:pPr>
        <w:spacing w:after="0" w:line="240" w:lineRule="atLeast"/>
        <w:ind w:right="566"/>
        <w:jc w:val="both"/>
        <w:rPr>
          <w:bCs/>
          <w:sz w:val="20"/>
          <w:lang w:val="de-DE"/>
        </w:rPr>
      </w:pPr>
      <w:r w:rsidRPr="0020306E">
        <w:rPr>
          <w:b/>
          <w:bCs/>
          <w:szCs w:val="24"/>
          <w:lang w:val="de-DE"/>
        </w:rPr>
        <w:lastRenderedPageBreak/>
        <w:t>J</w:t>
      </w:r>
      <w:r w:rsidR="00D3688C" w:rsidRPr="0020306E">
        <w:rPr>
          <w:b/>
          <w:bCs/>
          <w:szCs w:val="24"/>
          <w:lang w:val="de-DE"/>
        </w:rPr>
        <w:t>.</w:t>
      </w:r>
      <w:r w:rsidR="00D3688C" w:rsidRPr="0020306E">
        <w:rPr>
          <w:b/>
          <w:bCs/>
          <w:szCs w:val="24"/>
          <w:lang w:val="de-DE"/>
        </w:rPr>
        <w:tab/>
      </w:r>
      <w:r w:rsidR="0082185B" w:rsidRPr="0020306E">
        <w:rPr>
          <w:b/>
          <w:bCs/>
          <w:szCs w:val="24"/>
          <w:lang w:val="de-DE"/>
        </w:rPr>
        <w:t>Austausch der Flammensperren in Flammendurchschlagsicherungen</w:t>
      </w:r>
    </w:p>
    <w:p w14:paraId="2FC823ED" w14:textId="77777777" w:rsidR="0082185B" w:rsidRPr="0020306E" w:rsidRDefault="0082185B" w:rsidP="00F5794E">
      <w:pPr>
        <w:spacing w:after="0" w:line="240" w:lineRule="atLeast"/>
        <w:ind w:right="566"/>
        <w:jc w:val="both"/>
        <w:rPr>
          <w:bCs/>
          <w:sz w:val="20"/>
          <w:lang w:val="de-DE"/>
        </w:rPr>
      </w:pPr>
    </w:p>
    <w:p w14:paraId="2C171790" w14:textId="126975C2" w:rsidR="00AA0AAA" w:rsidRPr="0020306E" w:rsidRDefault="006F5981" w:rsidP="00F5794E">
      <w:pPr>
        <w:spacing w:after="0" w:line="240" w:lineRule="atLeast"/>
        <w:ind w:right="566"/>
        <w:jc w:val="both"/>
        <w:rPr>
          <w:bCs/>
          <w:sz w:val="20"/>
          <w:lang w:val="de-DE"/>
        </w:rPr>
      </w:pPr>
      <w:r w:rsidRPr="0020306E">
        <w:rPr>
          <w:bCs/>
          <w:sz w:val="20"/>
          <w:lang w:val="de-DE"/>
        </w:rPr>
        <w:t>24.</w:t>
      </w:r>
      <w:r w:rsidRPr="0020306E">
        <w:rPr>
          <w:bCs/>
          <w:sz w:val="20"/>
          <w:lang w:val="de-DE"/>
        </w:rPr>
        <w:tab/>
      </w:r>
      <w:r w:rsidR="00D3688C" w:rsidRPr="0020306E">
        <w:rPr>
          <w:bCs/>
          <w:sz w:val="20"/>
          <w:lang w:val="de-DE"/>
        </w:rPr>
        <w:t>Zu dem Vorschl</w:t>
      </w:r>
      <w:r w:rsidR="00EE5898" w:rsidRPr="0020306E">
        <w:rPr>
          <w:bCs/>
          <w:sz w:val="20"/>
          <w:lang w:val="de-DE"/>
        </w:rPr>
        <w:t>a</w:t>
      </w:r>
      <w:r w:rsidR="00D3688C" w:rsidRPr="0020306E">
        <w:rPr>
          <w:bCs/>
          <w:sz w:val="20"/>
          <w:lang w:val="de-DE"/>
        </w:rPr>
        <w:t xml:space="preserve">g für einen neuen Absatz 7.2.4.22.4 haben die Niederlande darauf hingewiesen, dass für den Austausch der Flammensperren zuerst das Gehäuse der Flammendurchschlagsicherung geöffnet werden muss. Das wird im heutigen Vorschriftentext in Absatz </w:t>
      </w:r>
      <w:r w:rsidR="00681DBD" w:rsidRPr="0020306E">
        <w:rPr>
          <w:bCs/>
          <w:sz w:val="20"/>
          <w:lang w:val="de-DE"/>
        </w:rPr>
        <w:t>7.2.4.22.5</w:t>
      </w:r>
      <w:r w:rsidR="00D3688C" w:rsidRPr="0020306E">
        <w:rPr>
          <w:bCs/>
          <w:sz w:val="20"/>
          <w:lang w:val="de-DE"/>
        </w:rPr>
        <w:t xml:space="preserve"> auch berücksichtigt</w:t>
      </w:r>
      <w:r w:rsidR="00EE5898" w:rsidRPr="0020306E">
        <w:rPr>
          <w:bCs/>
          <w:sz w:val="20"/>
          <w:lang w:val="de-DE"/>
        </w:rPr>
        <w:t>. Deutschland stimmt dem Vorschlag zu, das beizubehalten.</w:t>
      </w:r>
    </w:p>
    <w:p w14:paraId="6119A77C" w14:textId="77777777" w:rsidR="0073098B" w:rsidRPr="0020306E" w:rsidRDefault="0073098B" w:rsidP="00F5794E">
      <w:pPr>
        <w:spacing w:after="0" w:line="240" w:lineRule="atLeast"/>
        <w:ind w:right="566"/>
        <w:jc w:val="both"/>
        <w:rPr>
          <w:bCs/>
          <w:sz w:val="20"/>
          <w:lang w:val="de-DE"/>
        </w:rPr>
      </w:pPr>
    </w:p>
    <w:p w14:paraId="303B1B63" w14:textId="5644D495" w:rsidR="00BB2117" w:rsidRPr="0020306E" w:rsidRDefault="006F5981" w:rsidP="00F5794E">
      <w:pPr>
        <w:spacing w:after="0" w:line="240" w:lineRule="atLeast"/>
        <w:ind w:right="566"/>
        <w:jc w:val="both"/>
        <w:rPr>
          <w:b/>
          <w:bCs/>
          <w:szCs w:val="24"/>
          <w:lang w:val="de-DE"/>
        </w:rPr>
      </w:pPr>
      <w:r w:rsidRPr="0020306E">
        <w:rPr>
          <w:b/>
          <w:bCs/>
          <w:szCs w:val="24"/>
          <w:lang w:val="de-DE"/>
        </w:rPr>
        <w:t>K</w:t>
      </w:r>
      <w:r w:rsidR="00BB2117" w:rsidRPr="0020306E">
        <w:rPr>
          <w:b/>
          <w:bCs/>
          <w:szCs w:val="24"/>
          <w:lang w:val="de-DE"/>
        </w:rPr>
        <w:t>.</w:t>
      </w:r>
      <w:r w:rsidR="00BB2117" w:rsidRPr="0020306E">
        <w:rPr>
          <w:b/>
          <w:bCs/>
          <w:szCs w:val="24"/>
          <w:lang w:val="de-DE"/>
        </w:rPr>
        <w:tab/>
      </w:r>
      <w:bookmarkStart w:id="1" w:name="_Hlk118443825"/>
      <w:r w:rsidR="00BB2117" w:rsidRPr="0020306E">
        <w:rPr>
          <w:b/>
          <w:bCs/>
          <w:szCs w:val="24"/>
          <w:lang w:val="de-DE"/>
        </w:rPr>
        <w:t>Verwendung von Handwerkzeugen</w:t>
      </w:r>
      <w:bookmarkEnd w:id="1"/>
    </w:p>
    <w:p w14:paraId="6696688C" w14:textId="77777777" w:rsidR="00BB2117" w:rsidRPr="0020306E" w:rsidRDefault="00BB2117" w:rsidP="00F5794E">
      <w:pPr>
        <w:spacing w:after="0" w:line="240" w:lineRule="atLeast"/>
        <w:ind w:right="566"/>
        <w:jc w:val="both"/>
        <w:rPr>
          <w:bCs/>
          <w:sz w:val="20"/>
          <w:lang w:val="de-DE"/>
        </w:rPr>
      </w:pPr>
    </w:p>
    <w:p w14:paraId="3335BCEB" w14:textId="2AC0546A" w:rsidR="00BB2117" w:rsidRPr="0020306E" w:rsidRDefault="006F5981" w:rsidP="00F5794E">
      <w:pPr>
        <w:spacing w:after="0" w:line="240" w:lineRule="atLeast"/>
        <w:ind w:right="566"/>
        <w:jc w:val="both"/>
        <w:rPr>
          <w:bCs/>
          <w:sz w:val="20"/>
          <w:lang w:val="de-DE"/>
        </w:rPr>
      </w:pPr>
      <w:r w:rsidRPr="0020306E">
        <w:rPr>
          <w:bCs/>
          <w:sz w:val="20"/>
          <w:lang w:val="de-DE"/>
        </w:rPr>
        <w:t>25.</w:t>
      </w:r>
      <w:r w:rsidRPr="0020306E">
        <w:rPr>
          <w:bCs/>
          <w:sz w:val="20"/>
          <w:lang w:val="de-DE"/>
        </w:rPr>
        <w:tab/>
      </w:r>
      <w:r w:rsidR="00BB2117" w:rsidRPr="0020306E">
        <w:rPr>
          <w:bCs/>
          <w:sz w:val="20"/>
          <w:lang w:val="de-DE"/>
        </w:rPr>
        <w:t>In den neuen</w:t>
      </w:r>
      <w:r w:rsidR="001554F0" w:rsidRPr="0020306E">
        <w:rPr>
          <w:bCs/>
          <w:sz w:val="20"/>
          <w:lang w:val="de-DE"/>
        </w:rPr>
        <w:t xml:space="preserve"> Absatz 7.2.4.22.7</w:t>
      </w:r>
      <w:r w:rsidR="00293D48" w:rsidRPr="0020306E">
        <w:rPr>
          <w:bCs/>
          <w:sz w:val="20"/>
          <w:lang w:val="de-DE"/>
        </w:rPr>
        <w:t xml:space="preserve"> (ex 7.2.4.22.6)</w:t>
      </w:r>
      <w:r w:rsidR="001554F0" w:rsidRPr="0020306E">
        <w:rPr>
          <w:bCs/>
          <w:sz w:val="20"/>
          <w:lang w:val="de-DE"/>
        </w:rPr>
        <w:t xml:space="preserve"> soll in der englischen und der französischen Sprache der Ausdruck </w:t>
      </w:r>
      <w:r w:rsidR="00DB4B74">
        <w:rPr>
          <w:bCs/>
          <w:sz w:val="20"/>
          <w:lang w:val="de-DE"/>
        </w:rPr>
        <w:t>„</w:t>
      </w:r>
      <w:r w:rsidR="001554F0" w:rsidRPr="0020306E">
        <w:rPr>
          <w:bCs/>
          <w:sz w:val="20"/>
          <w:lang w:val="de-DE"/>
        </w:rPr>
        <w:t>hand tools</w:t>
      </w:r>
      <w:r w:rsidR="00DB4B74">
        <w:rPr>
          <w:bCs/>
          <w:sz w:val="20"/>
          <w:lang w:val="de-DE"/>
        </w:rPr>
        <w:t>“</w:t>
      </w:r>
      <w:r w:rsidR="001554F0" w:rsidRPr="0020306E">
        <w:rPr>
          <w:bCs/>
          <w:sz w:val="20"/>
          <w:lang w:val="de-DE"/>
        </w:rPr>
        <w:t xml:space="preserve"> bzw. </w:t>
      </w:r>
      <w:r w:rsidR="00DB4B74">
        <w:rPr>
          <w:bCs/>
          <w:sz w:val="20"/>
          <w:lang w:val="de-DE"/>
        </w:rPr>
        <w:t>„</w:t>
      </w:r>
      <w:r w:rsidR="00293D48" w:rsidRPr="0020306E">
        <w:rPr>
          <w:bCs/>
          <w:sz w:val="20"/>
          <w:lang w:val="de-DE"/>
        </w:rPr>
        <w:t>outils à main</w:t>
      </w:r>
      <w:r w:rsidR="00DB4B74">
        <w:rPr>
          <w:bCs/>
          <w:sz w:val="20"/>
          <w:lang w:val="de-DE"/>
        </w:rPr>
        <w:t>“</w:t>
      </w:r>
      <w:r w:rsidR="001554F0" w:rsidRPr="0020306E">
        <w:rPr>
          <w:bCs/>
          <w:sz w:val="20"/>
          <w:lang w:val="de-DE"/>
        </w:rPr>
        <w:t xml:space="preserve"> beibehalten werden. </w:t>
      </w:r>
      <w:r w:rsidR="00293D48" w:rsidRPr="0020306E">
        <w:rPr>
          <w:bCs/>
          <w:i/>
          <w:sz w:val="20"/>
          <w:lang w:val="de-DE"/>
        </w:rPr>
        <w:t>[Sekretariate: bitte die russische Sprachfassung prüfen]</w:t>
      </w:r>
      <w:r w:rsidR="00293D48" w:rsidRPr="0020306E">
        <w:rPr>
          <w:bCs/>
          <w:sz w:val="20"/>
          <w:lang w:val="de-DE"/>
        </w:rPr>
        <w:t xml:space="preserve"> </w:t>
      </w:r>
      <w:r w:rsidR="001554F0" w:rsidRPr="0020306E">
        <w:rPr>
          <w:bCs/>
          <w:sz w:val="20"/>
          <w:lang w:val="de-DE"/>
        </w:rPr>
        <w:t xml:space="preserve">Dem niederländischen Vorschlag, das Beispiel von Werkzeugen aus </w:t>
      </w:r>
      <w:r w:rsidR="00DB4B74">
        <w:rPr>
          <w:bCs/>
          <w:sz w:val="20"/>
          <w:lang w:val="de-DE"/>
        </w:rPr>
        <w:t>„</w:t>
      </w:r>
      <w:r w:rsidR="001554F0" w:rsidRPr="0020306E">
        <w:rPr>
          <w:bCs/>
          <w:sz w:val="20"/>
          <w:lang w:val="de-DE"/>
        </w:rPr>
        <w:t>Chrom Vanadium Stahl</w:t>
      </w:r>
      <w:r w:rsidR="00DB4B74">
        <w:rPr>
          <w:bCs/>
          <w:sz w:val="20"/>
          <w:lang w:val="de-DE"/>
        </w:rPr>
        <w:t>“</w:t>
      </w:r>
      <w:r w:rsidR="001554F0" w:rsidRPr="0020306E">
        <w:rPr>
          <w:bCs/>
          <w:sz w:val="20"/>
          <w:lang w:val="de-DE"/>
        </w:rPr>
        <w:t xml:space="preserve"> wieder aufzunehmen, soll aber aus sicherheits</w:t>
      </w:r>
      <w:r w:rsidR="00293D48" w:rsidRPr="0020306E">
        <w:rPr>
          <w:bCs/>
          <w:sz w:val="20"/>
          <w:lang w:val="de-DE"/>
        </w:rPr>
        <w:t>-</w:t>
      </w:r>
      <w:r w:rsidR="001554F0" w:rsidRPr="0020306E">
        <w:rPr>
          <w:bCs/>
          <w:sz w:val="20"/>
          <w:lang w:val="de-DE"/>
        </w:rPr>
        <w:t xml:space="preserve">technischen Erwägungen nicht gefolgt werden. Diese Spezifikation ist </w:t>
      </w:r>
      <w:r w:rsidR="006B4387" w:rsidRPr="0020306E">
        <w:rPr>
          <w:bCs/>
          <w:sz w:val="20"/>
          <w:lang w:val="de-DE"/>
        </w:rPr>
        <w:t>zu ungenau, weil Funkenarmut nur bei ganz bestimmen Zusammensetzungen von Chrom-Vanadium-Legierungen gewährleistet kann. Möglicherweise ist eine Folgeänderung in Absatz 8.3.5 ADN erforderlich. Die deutsche Delegation weist darauf hin, dass „funkenarmes Handwerkzeug“</w:t>
      </w:r>
      <w:r w:rsidR="00BE5AE5" w:rsidRPr="0020306E">
        <w:rPr>
          <w:bCs/>
          <w:sz w:val="20"/>
          <w:lang w:val="de-DE"/>
        </w:rPr>
        <w:t xml:space="preserve"> mit einer entsprechenden CE-Kennzeichnung auf dem Markt verfügbar ist.</w:t>
      </w:r>
    </w:p>
    <w:p w14:paraId="2F9D5917" w14:textId="77777777" w:rsidR="001554F0" w:rsidRPr="0020306E" w:rsidRDefault="001554F0" w:rsidP="00F5794E">
      <w:pPr>
        <w:spacing w:after="0" w:line="240" w:lineRule="atLeast"/>
        <w:ind w:right="566"/>
        <w:jc w:val="both"/>
        <w:rPr>
          <w:bCs/>
          <w:sz w:val="20"/>
          <w:lang w:val="de-DE"/>
        </w:rPr>
      </w:pPr>
    </w:p>
    <w:p w14:paraId="426F9967" w14:textId="77777777" w:rsidR="00BE5AE5" w:rsidRPr="0020306E" w:rsidRDefault="00BE5AE5" w:rsidP="00F5794E">
      <w:pPr>
        <w:spacing w:after="0" w:line="240" w:lineRule="atLeast"/>
        <w:ind w:right="566"/>
        <w:jc w:val="both"/>
        <w:rPr>
          <w:bCs/>
          <w:sz w:val="20"/>
          <w:lang w:val="de-DE"/>
        </w:rPr>
      </w:pPr>
    </w:p>
    <w:p w14:paraId="4E5CDA49" w14:textId="68E5A2B8" w:rsidR="0082185B" w:rsidRPr="0020306E" w:rsidRDefault="006F5981" w:rsidP="00F5794E">
      <w:pPr>
        <w:spacing w:after="0" w:line="240" w:lineRule="atLeast"/>
        <w:ind w:right="566"/>
        <w:jc w:val="both"/>
        <w:rPr>
          <w:b/>
          <w:bCs/>
          <w:szCs w:val="24"/>
          <w:lang w:val="de-DE"/>
        </w:rPr>
      </w:pPr>
      <w:r w:rsidRPr="0020306E">
        <w:rPr>
          <w:b/>
          <w:bCs/>
          <w:szCs w:val="24"/>
          <w:lang w:val="de-DE"/>
        </w:rPr>
        <w:t>L</w:t>
      </w:r>
      <w:r w:rsidR="00EE5898" w:rsidRPr="0020306E">
        <w:rPr>
          <w:b/>
          <w:bCs/>
          <w:szCs w:val="24"/>
          <w:lang w:val="de-DE"/>
        </w:rPr>
        <w:t>.</w:t>
      </w:r>
      <w:r w:rsidR="003D76BC" w:rsidRPr="0020306E">
        <w:rPr>
          <w:b/>
          <w:bCs/>
          <w:szCs w:val="24"/>
          <w:lang w:val="de-DE"/>
        </w:rPr>
        <w:tab/>
      </w:r>
      <w:r w:rsidR="0082185B" w:rsidRPr="0020306E">
        <w:rPr>
          <w:b/>
          <w:bCs/>
          <w:szCs w:val="24"/>
          <w:lang w:val="de-DE"/>
        </w:rPr>
        <w:t>Das Öffnen</w:t>
      </w:r>
      <w:r w:rsidR="00D50E3E" w:rsidRPr="0020306E">
        <w:rPr>
          <w:b/>
          <w:bCs/>
          <w:szCs w:val="24"/>
          <w:lang w:val="de-DE"/>
        </w:rPr>
        <w:t xml:space="preserve"> von Öffnungen</w:t>
      </w:r>
      <w:r w:rsidR="0082185B" w:rsidRPr="0020306E">
        <w:rPr>
          <w:b/>
          <w:bCs/>
          <w:szCs w:val="24"/>
          <w:lang w:val="de-DE"/>
        </w:rPr>
        <w:t xml:space="preserve"> vermeiden</w:t>
      </w:r>
    </w:p>
    <w:p w14:paraId="5B2F0280" w14:textId="77777777" w:rsidR="0082185B" w:rsidRPr="0020306E" w:rsidRDefault="0082185B" w:rsidP="00F5794E">
      <w:pPr>
        <w:spacing w:after="0" w:line="240" w:lineRule="atLeast"/>
        <w:ind w:right="566"/>
        <w:jc w:val="both"/>
        <w:rPr>
          <w:bCs/>
          <w:sz w:val="20"/>
          <w:lang w:val="de-DE"/>
        </w:rPr>
      </w:pPr>
    </w:p>
    <w:p w14:paraId="357FDC7D" w14:textId="24C812D7" w:rsidR="00D50E3E" w:rsidRPr="0020306E" w:rsidRDefault="006F5981" w:rsidP="00F5794E">
      <w:pPr>
        <w:spacing w:after="0" w:line="240" w:lineRule="atLeast"/>
        <w:ind w:right="566"/>
        <w:jc w:val="both"/>
        <w:rPr>
          <w:bCs/>
          <w:sz w:val="20"/>
          <w:lang w:val="de-DE"/>
        </w:rPr>
      </w:pPr>
      <w:r w:rsidRPr="0020306E">
        <w:rPr>
          <w:bCs/>
          <w:sz w:val="20"/>
          <w:lang w:val="de-DE"/>
        </w:rPr>
        <w:t>26.</w:t>
      </w:r>
      <w:r w:rsidRPr="0020306E">
        <w:rPr>
          <w:bCs/>
          <w:sz w:val="20"/>
          <w:lang w:val="de-DE"/>
        </w:rPr>
        <w:tab/>
      </w:r>
      <w:r w:rsidR="00BB2117" w:rsidRPr="0020306E">
        <w:rPr>
          <w:bCs/>
          <w:sz w:val="20"/>
          <w:lang w:val="de-DE"/>
        </w:rPr>
        <w:t>Von der niederländischen Delegation</w:t>
      </w:r>
      <w:r w:rsidR="003D76BC" w:rsidRPr="0020306E">
        <w:rPr>
          <w:bCs/>
          <w:sz w:val="20"/>
          <w:lang w:val="de-DE"/>
        </w:rPr>
        <w:t xml:space="preserve"> wurde die Frage gestellt, ob vermehrt technische Einrichtungen genutzt werden könnten, um das Öffnen von Landetanköffnungen zu vermeiden, zum Beispiel </w:t>
      </w:r>
      <w:r w:rsidR="00657928" w:rsidRPr="0020306E">
        <w:rPr>
          <w:bCs/>
          <w:sz w:val="20"/>
          <w:lang w:val="de-DE"/>
        </w:rPr>
        <w:t xml:space="preserve">bei der Füllstandsmessung im Ladetank oder bei der nachträglichen Zugabe von Stabilisatoren während der Fahrt des Schiffes. </w:t>
      </w:r>
      <w:r w:rsidR="00D50E3E" w:rsidRPr="0020306E">
        <w:rPr>
          <w:bCs/>
          <w:sz w:val="20"/>
          <w:lang w:val="de-DE"/>
        </w:rPr>
        <w:t>Vorhandene</w:t>
      </w:r>
      <w:r w:rsidR="00657928" w:rsidRPr="0020306E">
        <w:rPr>
          <w:bCs/>
          <w:sz w:val="20"/>
          <w:lang w:val="de-DE"/>
        </w:rPr>
        <w:t xml:space="preserve"> technische</w:t>
      </w:r>
      <w:r w:rsidR="00D50E3E" w:rsidRPr="0020306E">
        <w:rPr>
          <w:bCs/>
          <w:sz w:val="20"/>
          <w:lang w:val="de-DE"/>
        </w:rPr>
        <w:t xml:space="preserve"> Lösungen oder mittelfristig zu erwartende</w:t>
      </w:r>
      <w:r w:rsidR="00657928" w:rsidRPr="0020306E">
        <w:rPr>
          <w:bCs/>
          <w:sz w:val="20"/>
          <w:lang w:val="de-DE"/>
        </w:rPr>
        <w:t xml:space="preserve"> Innovationen in diese Richtung sind der deutschen Delegation nicht bekannt. </w:t>
      </w:r>
      <w:r w:rsidR="00D50E3E" w:rsidRPr="0020306E">
        <w:rPr>
          <w:bCs/>
          <w:sz w:val="20"/>
          <w:lang w:val="de-DE"/>
        </w:rPr>
        <w:t>Für die Zukunft steht Deutschland solchen Verbesserungen aber offen gegenüber.</w:t>
      </w:r>
    </w:p>
    <w:p w14:paraId="2A877D00" w14:textId="77777777" w:rsidR="006F5981" w:rsidRPr="0020306E" w:rsidRDefault="006F5981" w:rsidP="00F5794E">
      <w:pPr>
        <w:spacing w:after="0" w:line="240" w:lineRule="atLeast"/>
        <w:ind w:right="566"/>
        <w:jc w:val="both"/>
        <w:rPr>
          <w:bCs/>
          <w:sz w:val="20"/>
          <w:lang w:val="de-DE"/>
        </w:rPr>
      </w:pPr>
    </w:p>
    <w:p w14:paraId="053A8826" w14:textId="4E05E316" w:rsidR="00EE5898" w:rsidRPr="0020306E" w:rsidRDefault="006F5981" w:rsidP="00F5794E">
      <w:pPr>
        <w:spacing w:after="0" w:line="240" w:lineRule="atLeast"/>
        <w:ind w:right="566"/>
        <w:jc w:val="both"/>
        <w:rPr>
          <w:bCs/>
          <w:sz w:val="20"/>
          <w:lang w:val="de-DE"/>
        </w:rPr>
      </w:pPr>
      <w:r w:rsidRPr="0020306E">
        <w:rPr>
          <w:bCs/>
          <w:sz w:val="20"/>
          <w:lang w:val="de-DE"/>
        </w:rPr>
        <w:t>27.</w:t>
      </w:r>
      <w:r w:rsidRPr="0020306E">
        <w:rPr>
          <w:bCs/>
          <w:sz w:val="20"/>
          <w:lang w:val="de-DE"/>
        </w:rPr>
        <w:tab/>
      </w:r>
      <w:r w:rsidR="00D50E3E" w:rsidRPr="0020306E">
        <w:rPr>
          <w:bCs/>
          <w:sz w:val="20"/>
          <w:lang w:val="de-DE"/>
        </w:rPr>
        <w:t xml:space="preserve">Derzeit ist es </w:t>
      </w:r>
      <w:r w:rsidR="00A96CFA" w:rsidRPr="0020306E">
        <w:rPr>
          <w:bCs/>
          <w:sz w:val="20"/>
          <w:lang w:val="de-DE"/>
        </w:rPr>
        <w:t xml:space="preserve">nach Meinung der deutschen Delegation </w:t>
      </w:r>
      <w:r w:rsidR="00D50E3E" w:rsidRPr="0020306E">
        <w:rPr>
          <w:bCs/>
          <w:sz w:val="20"/>
          <w:lang w:val="de-DE"/>
        </w:rPr>
        <w:t>also erforderlich</w:t>
      </w:r>
      <w:r w:rsidR="00A96CFA" w:rsidRPr="0020306E">
        <w:rPr>
          <w:bCs/>
          <w:sz w:val="20"/>
          <w:lang w:val="de-DE"/>
        </w:rPr>
        <w:t>, für alle praxisrelevanten</w:t>
      </w:r>
      <w:r w:rsidR="00657928" w:rsidRPr="0020306E">
        <w:rPr>
          <w:bCs/>
          <w:sz w:val="20"/>
          <w:lang w:val="de-DE"/>
        </w:rPr>
        <w:t xml:space="preserve"> Fälle </w:t>
      </w:r>
      <w:r w:rsidR="00796D39" w:rsidRPr="0020306E">
        <w:rPr>
          <w:bCs/>
          <w:sz w:val="20"/>
          <w:lang w:val="de-DE"/>
        </w:rPr>
        <w:t>gewisse Sicherheitsvorschriften vorzusehen, auch wenn diese Maßnahmen nur in wenigen Fällen durchgeführt werden müssen. Für jeden Einzelfall sollten Zwischenfälle vermieden werden.</w:t>
      </w:r>
    </w:p>
    <w:p w14:paraId="3185BA06" w14:textId="77777777" w:rsidR="00683FE8" w:rsidRPr="0020306E" w:rsidRDefault="00683FE8" w:rsidP="00F5794E">
      <w:pPr>
        <w:spacing w:after="0" w:line="240" w:lineRule="atLeast"/>
        <w:ind w:right="566"/>
        <w:jc w:val="both"/>
        <w:rPr>
          <w:bCs/>
          <w:sz w:val="20"/>
          <w:lang w:val="de-DE"/>
        </w:rPr>
      </w:pPr>
    </w:p>
    <w:p w14:paraId="723E5610" w14:textId="77777777" w:rsidR="001F5D91" w:rsidRPr="0020306E" w:rsidRDefault="001F5D91" w:rsidP="00F5794E">
      <w:pPr>
        <w:spacing w:after="0" w:line="240" w:lineRule="atLeast"/>
        <w:ind w:right="566"/>
        <w:jc w:val="both"/>
        <w:rPr>
          <w:bCs/>
          <w:sz w:val="20"/>
          <w:lang w:val="de-DE"/>
        </w:rPr>
      </w:pPr>
    </w:p>
    <w:p w14:paraId="5C789481" w14:textId="2794FAC6" w:rsidR="00C24949" w:rsidRPr="0020306E" w:rsidRDefault="006F5981" w:rsidP="00F5794E">
      <w:pPr>
        <w:spacing w:after="0" w:line="240" w:lineRule="atLeast"/>
        <w:ind w:right="566"/>
        <w:jc w:val="both"/>
        <w:rPr>
          <w:b/>
          <w:bCs/>
          <w:szCs w:val="24"/>
          <w:lang w:val="de-DE"/>
        </w:rPr>
      </w:pPr>
      <w:r w:rsidRPr="0020306E">
        <w:rPr>
          <w:b/>
          <w:bCs/>
          <w:szCs w:val="24"/>
          <w:lang w:val="de-DE"/>
        </w:rPr>
        <w:t>M</w:t>
      </w:r>
      <w:r w:rsidR="001F5D91" w:rsidRPr="0020306E">
        <w:rPr>
          <w:b/>
          <w:bCs/>
          <w:szCs w:val="24"/>
          <w:lang w:val="de-DE"/>
        </w:rPr>
        <w:t>.</w:t>
      </w:r>
      <w:r w:rsidR="001F5D91" w:rsidRPr="0020306E">
        <w:rPr>
          <w:b/>
          <w:bCs/>
          <w:szCs w:val="24"/>
          <w:lang w:val="de-DE"/>
        </w:rPr>
        <w:tab/>
      </w:r>
      <w:r w:rsidR="00C24949" w:rsidRPr="0020306E">
        <w:rPr>
          <w:b/>
          <w:bCs/>
          <w:szCs w:val="24"/>
          <w:lang w:val="de-DE"/>
        </w:rPr>
        <w:t>Öffnen von Öffnungen für das Waschen von Ladetanks</w:t>
      </w:r>
    </w:p>
    <w:p w14:paraId="18E5F9E6" w14:textId="77777777" w:rsidR="00C24949" w:rsidRPr="0020306E" w:rsidRDefault="00C24949" w:rsidP="00F5794E">
      <w:pPr>
        <w:spacing w:after="0" w:line="240" w:lineRule="atLeast"/>
        <w:ind w:right="566"/>
        <w:jc w:val="both"/>
        <w:rPr>
          <w:bCs/>
          <w:sz w:val="20"/>
          <w:lang w:val="de-DE"/>
        </w:rPr>
      </w:pPr>
    </w:p>
    <w:p w14:paraId="49B0A8A6" w14:textId="2A482C8F" w:rsidR="00670472" w:rsidRPr="0020306E" w:rsidRDefault="006F5981" w:rsidP="00F5794E">
      <w:pPr>
        <w:spacing w:after="0" w:line="240" w:lineRule="atLeast"/>
        <w:ind w:right="566"/>
        <w:jc w:val="both"/>
        <w:rPr>
          <w:bCs/>
          <w:sz w:val="20"/>
          <w:lang w:val="de-DE"/>
        </w:rPr>
      </w:pPr>
      <w:r w:rsidRPr="0020306E">
        <w:rPr>
          <w:bCs/>
          <w:sz w:val="20"/>
          <w:lang w:val="de-DE"/>
        </w:rPr>
        <w:t>28.</w:t>
      </w:r>
      <w:r w:rsidRPr="0020306E">
        <w:rPr>
          <w:bCs/>
          <w:sz w:val="20"/>
          <w:lang w:val="de-DE"/>
        </w:rPr>
        <w:tab/>
      </w:r>
      <w:r w:rsidR="001F5D91" w:rsidRPr="0020306E">
        <w:rPr>
          <w:bCs/>
          <w:sz w:val="20"/>
          <w:lang w:val="de-DE"/>
        </w:rPr>
        <w:t xml:space="preserve">Die Delegation von </w:t>
      </w:r>
      <w:r w:rsidR="001139FF" w:rsidRPr="0020306E">
        <w:rPr>
          <w:bCs/>
          <w:sz w:val="20"/>
          <w:lang w:val="de-DE"/>
        </w:rPr>
        <w:t>der</w:t>
      </w:r>
      <w:r w:rsidR="001139FF" w:rsidRPr="0020306E">
        <w:rPr>
          <w:bCs/>
          <w:sz w:val="20"/>
          <w:lang w:val="de-DE"/>
        </w:rPr>
        <w:t xml:space="preserve"> Europäische</w:t>
      </w:r>
      <w:r w:rsidR="001139FF" w:rsidRPr="0020306E">
        <w:rPr>
          <w:bCs/>
          <w:sz w:val="20"/>
          <w:lang w:val="de-DE"/>
        </w:rPr>
        <w:t>n</w:t>
      </w:r>
      <w:r w:rsidR="001139FF" w:rsidRPr="0020306E">
        <w:rPr>
          <w:bCs/>
          <w:sz w:val="20"/>
          <w:lang w:val="de-DE"/>
        </w:rPr>
        <w:t xml:space="preserve"> Binnenschifffahrts-Union </w:t>
      </w:r>
      <w:r w:rsidR="001139FF" w:rsidRPr="0020306E">
        <w:rPr>
          <w:bCs/>
          <w:sz w:val="20"/>
          <w:lang w:val="de-DE"/>
        </w:rPr>
        <w:t xml:space="preserve">/ </w:t>
      </w:r>
      <w:r w:rsidR="001139FF" w:rsidRPr="0020306E">
        <w:rPr>
          <w:bCs/>
          <w:sz w:val="20"/>
          <w:lang w:val="de-DE"/>
        </w:rPr>
        <w:t>Europäische</w:t>
      </w:r>
      <w:r w:rsidR="001139FF" w:rsidRPr="0020306E">
        <w:rPr>
          <w:bCs/>
          <w:sz w:val="20"/>
          <w:lang w:val="de-DE"/>
        </w:rPr>
        <w:t>n</w:t>
      </w:r>
      <w:r w:rsidR="001139FF" w:rsidRPr="0020306E">
        <w:rPr>
          <w:bCs/>
          <w:sz w:val="20"/>
          <w:lang w:val="de-DE"/>
        </w:rPr>
        <w:t xml:space="preserve"> Schifferorganisation</w:t>
      </w:r>
      <w:r w:rsidR="001139FF" w:rsidRPr="0020306E">
        <w:rPr>
          <w:bCs/>
          <w:sz w:val="20"/>
          <w:lang w:val="de-DE"/>
        </w:rPr>
        <w:t xml:space="preserve"> (</w:t>
      </w:r>
      <w:r w:rsidR="001F5D91" w:rsidRPr="0020306E">
        <w:rPr>
          <w:bCs/>
          <w:sz w:val="20"/>
          <w:lang w:val="de-DE"/>
        </w:rPr>
        <w:t>EBU/ESO</w:t>
      </w:r>
      <w:r w:rsidR="001139FF" w:rsidRPr="0020306E">
        <w:rPr>
          <w:bCs/>
          <w:sz w:val="20"/>
          <w:lang w:val="de-DE"/>
        </w:rPr>
        <w:t>)</w:t>
      </w:r>
      <w:r w:rsidR="001F5D91" w:rsidRPr="0020306E">
        <w:rPr>
          <w:bCs/>
          <w:sz w:val="20"/>
          <w:lang w:val="de-DE"/>
        </w:rPr>
        <w:t xml:space="preserve"> hat vorgeschlagen, auch alle notwendigen Vorschriften für die Durch</w:t>
      </w:r>
      <w:r w:rsidR="00C24949" w:rsidRPr="0020306E">
        <w:rPr>
          <w:bCs/>
          <w:sz w:val="20"/>
          <w:lang w:val="de-DE"/>
        </w:rPr>
        <w:t>-</w:t>
      </w:r>
      <w:r w:rsidR="001F5D91" w:rsidRPr="0020306E">
        <w:rPr>
          <w:bCs/>
          <w:sz w:val="20"/>
          <w:lang w:val="de-DE"/>
        </w:rPr>
        <w:t xml:space="preserve">führung von Tankwaschungen (für die ebenfalls die Ladetanks geöffnet werden) in dieses Änderungspaket „Öffnen von Öffnungen“ mit aufzunehmen. </w:t>
      </w:r>
      <w:r w:rsidR="00C0027F" w:rsidRPr="0020306E">
        <w:rPr>
          <w:bCs/>
          <w:sz w:val="20"/>
          <w:lang w:val="de-DE"/>
        </w:rPr>
        <w:t>Richtig ist, dass zusätzlich zu den bisherigen Vorschlägen auch die Möglichkeit beschr</w:t>
      </w:r>
      <w:r w:rsidR="00186A6D" w:rsidRPr="0020306E">
        <w:rPr>
          <w:bCs/>
          <w:sz w:val="20"/>
          <w:lang w:val="de-DE"/>
        </w:rPr>
        <w:t>ieben und eingeschränkt werden muss</w:t>
      </w:r>
      <w:r w:rsidR="00C0027F" w:rsidRPr="0020306E">
        <w:rPr>
          <w:bCs/>
          <w:sz w:val="20"/>
          <w:lang w:val="de-DE"/>
        </w:rPr>
        <w:t xml:space="preserve">, wann und wie die sogenannte „butterwash Öffnung“ verwendet werden darf. </w:t>
      </w:r>
    </w:p>
    <w:p w14:paraId="1942B5B5" w14:textId="77777777" w:rsidR="00670472" w:rsidRPr="0020306E" w:rsidRDefault="00670472" w:rsidP="00F5794E">
      <w:pPr>
        <w:spacing w:after="0" w:line="240" w:lineRule="atLeast"/>
        <w:ind w:right="566"/>
        <w:jc w:val="both"/>
        <w:rPr>
          <w:bCs/>
          <w:sz w:val="20"/>
          <w:lang w:val="de-DE"/>
        </w:rPr>
      </w:pPr>
    </w:p>
    <w:p w14:paraId="0586A314" w14:textId="71FF9F88" w:rsidR="00E31861" w:rsidRPr="0020306E" w:rsidRDefault="006F5981" w:rsidP="00F5794E">
      <w:pPr>
        <w:spacing w:after="0" w:line="240" w:lineRule="atLeast"/>
        <w:ind w:right="566"/>
        <w:jc w:val="both"/>
        <w:rPr>
          <w:bCs/>
          <w:sz w:val="20"/>
          <w:lang w:val="de-DE"/>
        </w:rPr>
      </w:pPr>
      <w:r w:rsidRPr="0020306E">
        <w:rPr>
          <w:bCs/>
          <w:sz w:val="20"/>
          <w:lang w:val="de-DE"/>
        </w:rPr>
        <w:t>29.</w:t>
      </w:r>
      <w:r w:rsidRPr="0020306E">
        <w:rPr>
          <w:bCs/>
          <w:sz w:val="20"/>
          <w:lang w:val="de-DE"/>
        </w:rPr>
        <w:tab/>
      </w:r>
      <w:r w:rsidR="00E31861" w:rsidRPr="0020306E">
        <w:rPr>
          <w:bCs/>
          <w:sz w:val="20"/>
          <w:lang w:val="de-DE"/>
        </w:rPr>
        <w:t xml:space="preserve">Siehe zum Beispiel ADN-Fragenkatalog 2021, Teil Chemie, Frage 332 03.0-04 </w:t>
      </w:r>
      <w:r w:rsidR="00377BD2" w:rsidRPr="0020306E">
        <w:rPr>
          <w:bCs/>
          <w:sz w:val="20"/>
          <w:lang w:val="de-DE"/>
        </w:rPr>
        <w:t>„</w:t>
      </w:r>
      <w:r w:rsidR="00E31861" w:rsidRPr="0020306E">
        <w:rPr>
          <w:bCs/>
          <w:sz w:val="20"/>
          <w:lang w:val="de-DE"/>
        </w:rPr>
        <w:t>Reinigung der Ladetanks</w:t>
      </w:r>
      <w:r w:rsidR="00377BD2" w:rsidRPr="0020306E">
        <w:rPr>
          <w:bCs/>
          <w:sz w:val="20"/>
          <w:lang w:val="de-DE"/>
        </w:rPr>
        <w:t>“.</w:t>
      </w:r>
    </w:p>
    <w:p w14:paraId="192AECAB" w14:textId="77777777" w:rsidR="00E31861" w:rsidRPr="0020306E" w:rsidRDefault="00E31861" w:rsidP="00F5794E">
      <w:pPr>
        <w:spacing w:after="0" w:line="240" w:lineRule="atLeast"/>
        <w:ind w:right="566"/>
        <w:jc w:val="both"/>
        <w:rPr>
          <w:bCs/>
          <w:sz w:val="20"/>
          <w:lang w:val="de-DE"/>
        </w:rPr>
      </w:pPr>
    </w:p>
    <w:p w14:paraId="1EC60AA7" w14:textId="03E36FD7" w:rsidR="00670472" w:rsidRPr="0020306E" w:rsidRDefault="006F5981" w:rsidP="00F5794E">
      <w:pPr>
        <w:spacing w:after="0" w:line="240" w:lineRule="atLeast"/>
        <w:ind w:right="566"/>
        <w:jc w:val="both"/>
        <w:rPr>
          <w:bCs/>
          <w:sz w:val="20"/>
          <w:lang w:val="de-DE"/>
        </w:rPr>
      </w:pPr>
      <w:r w:rsidRPr="0020306E">
        <w:rPr>
          <w:bCs/>
          <w:sz w:val="20"/>
          <w:lang w:val="de-DE"/>
        </w:rPr>
        <w:t>30.</w:t>
      </w:r>
      <w:r w:rsidRPr="0020306E">
        <w:rPr>
          <w:bCs/>
          <w:sz w:val="20"/>
          <w:lang w:val="de-DE"/>
        </w:rPr>
        <w:tab/>
      </w:r>
      <w:r w:rsidR="00670472" w:rsidRPr="0020306E">
        <w:rPr>
          <w:bCs/>
          <w:sz w:val="20"/>
          <w:lang w:val="de-DE"/>
        </w:rPr>
        <w:t>Hierzu könnte die Aufzählung in Absatz 7.2.4.22.1 ergänzt werden:</w:t>
      </w:r>
    </w:p>
    <w:p w14:paraId="2E937ACA" w14:textId="77777777" w:rsidR="00670472" w:rsidRPr="0020306E" w:rsidRDefault="00670472" w:rsidP="00F5794E">
      <w:pPr>
        <w:spacing w:after="0" w:line="240" w:lineRule="atLeast"/>
        <w:ind w:right="566"/>
        <w:jc w:val="both"/>
        <w:rPr>
          <w:bCs/>
          <w:sz w:val="20"/>
          <w:lang w:val="de-DE"/>
        </w:rPr>
      </w:pPr>
    </w:p>
    <w:p w14:paraId="6ADA7437" w14:textId="77777777" w:rsidR="00670472" w:rsidRPr="008456C7" w:rsidRDefault="00802DE6" w:rsidP="00F5794E">
      <w:pPr>
        <w:tabs>
          <w:tab w:val="left" w:pos="1701"/>
        </w:tabs>
        <w:spacing w:line="240" w:lineRule="atLeast"/>
        <w:ind w:left="1134" w:right="566"/>
        <w:jc w:val="both"/>
        <w:rPr>
          <w:iCs/>
          <w:sz w:val="20"/>
          <w:lang w:val="de-DE"/>
        </w:rPr>
      </w:pPr>
      <w:r w:rsidRPr="008456C7">
        <w:rPr>
          <w:iCs/>
          <w:sz w:val="20"/>
          <w:lang w:val="de-DE"/>
        </w:rPr>
        <w:t xml:space="preserve">„ </w:t>
      </w:r>
      <w:r w:rsidR="00670472" w:rsidRPr="008456C7">
        <w:rPr>
          <w:iCs/>
          <w:sz w:val="20"/>
          <w:lang w:val="de-DE"/>
        </w:rPr>
        <w:t>......</w:t>
      </w:r>
    </w:p>
    <w:p w14:paraId="59A96434" w14:textId="77777777" w:rsidR="00670472" w:rsidRPr="008456C7" w:rsidRDefault="00670472" w:rsidP="00F5794E">
      <w:pPr>
        <w:spacing w:after="0" w:line="240" w:lineRule="atLeast"/>
        <w:ind w:left="1134" w:right="566"/>
        <w:jc w:val="both"/>
        <w:rPr>
          <w:iCs/>
          <w:sz w:val="20"/>
          <w:lang w:val="de-DE"/>
        </w:rPr>
      </w:pPr>
      <w:r w:rsidRPr="008456C7">
        <w:rPr>
          <w:bCs/>
          <w:iCs/>
          <w:sz w:val="20"/>
          <w:lang w:val="de-DE"/>
        </w:rPr>
        <w:t>Wenn und soweit es aufgrund anderer Rechtsvorschriften nicht verboten ist, ist das Öffnen der Öffnungen abweichend von Unterabschnitt 7.2.3.22 unter den folgenden Bedingungen zur Reinigung und/oder zum Austausch der Flammensperre, zur Sichtkontrolle, zur Probe</w:t>
      </w:r>
      <w:r w:rsidR="006922DD" w:rsidRPr="008456C7">
        <w:rPr>
          <w:bCs/>
          <w:iCs/>
          <w:sz w:val="20"/>
          <w:lang w:val="de-DE"/>
        </w:rPr>
        <w:t>-</w:t>
      </w:r>
      <w:r w:rsidRPr="008456C7">
        <w:rPr>
          <w:bCs/>
          <w:iCs/>
          <w:sz w:val="20"/>
          <w:lang w:val="de-DE"/>
        </w:rPr>
        <w:t xml:space="preserve">entnahme, zur Gasmessung, </w:t>
      </w:r>
      <w:r w:rsidR="00802DE6" w:rsidRPr="008456C7">
        <w:rPr>
          <w:bCs/>
          <w:iCs/>
          <w:sz w:val="20"/>
          <w:u w:val="single"/>
          <w:lang w:val="de-DE"/>
        </w:rPr>
        <w:t>zum Anschluss einer Tankwaschanlage</w:t>
      </w:r>
      <w:r w:rsidR="00802DE6" w:rsidRPr="008456C7">
        <w:rPr>
          <w:bCs/>
          <w:iCs/>
          <w:sz w:val="20"/>
          <w:lang w:val="de-DE"/>
        </w:rPr>
        <w:t xml:space="preserve">, </w:t>
      </w:r>
      <w:r w:rsidRPr="008456C7">
        <w:rPr>
          <w:bCs/>
          <w:iCs/>
          <w:sz w:val="20"/>
          <w:lang w:val="de-DE"/>
        </w:rPr>
        <w:t>zur Ermittlung der Füllmenge im Ladetank im Ausnahmefall und zur nachträglichen Zugabe von Stabilisator im Ausnahmefall gestattet.</w:t>
      </w:r>
      <w:r w:rsidR="00802DE6" w:rsidRPr="008456C7">
        <w:rPr>
          <w:bCs/>
          <w:iCs/>
          <w:sz w:val="20"/>
          <w:lang w:val="de-DE"/>
        </w:rPr>
        <w:t>“.</w:t>
      </w:r>
    </w:p>
    <w:p w14:paraId="5E1AF5E4" w14:textId="77777777" w:rsidR="002A7DF0" w:rsidRPr="0020306E" w:rsidRDefault="002A7DF0" w:rsidP="00F5794E">
      <w:pPr>
        <w:spacing w:after="0" w:line="240" w:lineRule="atLeast"/>
        <w:ind w:right="566"/>
        <w:jc w:val="both"/>
        <w:rPr>
          <w:bCs/>
          <w:sz w:val="20"/>
          <w:lang w:val="de-DE"/>
        </w:rPr>
      </w:pPr>
    </w:p>
    <w:p w14:paraId="418727C6" w14:textId="7E1379BE" w:rsidR="00365FFA" w:rsidRPr="0020306E" w:rsidRDefault="006F5981" w:rsidP="00F5794E">
      <w:pPr>
        <w:spacing w:after="0" w:line="240" w:lineRule="atLeast"/>
        <w:ind w:right="566"/>
        <w:jc w:val="both"/>
        <w:rPr>
          <w:bCs/>
          <w:sz w:val="20"/>
          <w:lang w:val="de-DE"/>
        </w:rPr>
      </w:pPr>
      <w:r w:rsidRPr="0020306E">
        <w:rPr>
          <w:bCs/>
          <w:sz w:val="20"/>
          <w:lang w:val="de-DE"/>
        </w:rPr>
        <w:lastRenderedPageBreak/>
        <w:t>31.</w:t>
      </w:r>
      <w:r w:rsidRPr="0020306E">
        <w:rPr>
          <w:bCs/>
          <w:sz w:val="20"/>
          <w:lang w:val="de-DE"/>
        </w:rPr>
        <w:tab/>
      </w:r>
      <w:r w:rsidR="00365FFA" w:rsidRPr="0020306E">
        <w:rPr>
          <w:bCs/>
          <w:sz w:val="20"/>
          <w:lang w:val="de-DE"/>
        </w:rPr>
        <w:t xml:space="preserve">Eine mögliche </w:t>
      </w:r>
      <w:r w:rsidR="00802DE6" w:rsidRPr="0020306E">
        <w:rPr>
          <w:bCs/>
          <w:sz w:val="20"/>
          <w:lang w:val="de-DE"/>
        </w:rPr>
        <w:t>Betriebsvorschrift</w:t>
      </w:r>
      <w:r w:rsidR="00365FFA" w:rsidRPr="0020306E">
        <w:rPr>
          <w:bCs/>
          <w:sz w:val="20"/>
          <w:lang w:val="de-DE"/>
        </w:rPr>
        <w:t xml:space="preserve"> könnte wie folgt lauten:</w:t>
      </w:r>
    </w:p>
    <w:p w14:paraId="790DB76F" w14:textId="77777777" w:rsidR="00365FFA" w:rsidRPr="0020306E" w:rsidRDefault="00365FFA" w:rsidP="00F5794E">
      <w:pPr>
        <w:spacing w:after="0" w:line="240" w:lineRule="atLeast"/>
        <w:ind w:right="566"/>
        <w:jc w:val="both"/>
        <w:rPr>
          <w:bCs/>
          <w:sz w:val="20"/>
          <w:highlight w:val="yellow"/>
          <w:lang w:val="de-DE"/>
        </w:rPr>
      </w:pPr>
    </w:p>
    <w:p w14:paraId="1E431BBB" w14:textId="77777777" w:rsidR="00A96CFA" w:rsidRPr="00E56F4D" w:rsidRDefault="00365FFA" w:rsidP="00E56F4D">
      <w:pPr>
        <w:spacing w:after="0" w:line="240" w:lineRule="atLeast"/>
        <w:ind w:left="567" w:right="566"/>
        <w:jc w:val="both"/>
        <w:rPr>
          <w:bCs/>
          <w:iCs/>
          <w:sz w:val="20"/>
          <w:lang w:val="de-DE"/>
        </w:rPr>
      </w:pPr>
      <w:r w:rsidRPr="00E56F4D">
        <w:rPr>
          <w:bCs/>
          <w:iCs/>
          <w:sz w:val="20"/>
          <w:lang w:val="de-DE"/>
        </w:rPr>
        <w:t>„</w:t>
      </w:r>
      <w:r w:rsidR="001240B9" w:rsidRPr="00E56F4D">
        <w:rPr>
          <w:bCs/>
          <w:iCs/>
          <w:sz w:val="20"/>
          <w:lang w:val="de-DE"/>
        </w:rPr>
        <w:t>Für das Waschen der Ladetanks darf ausschließlich die hierfür am Ladetank angebrachte</w:t>
      </w:r>
      <w:r w:rsidR="00670472" w:rsidRPr="00E56F4D">
        <w:rPr>
          <w:bCs/>
          <w:iCs/>
          <w:sz w:val="20"/>
          <w:lang w:val="de-DE"/>
        </w:rPr>
        <w:t xml:space="preserve"> besondere</w:t>
      </w:r>
      <w:r w:rsidR="001240B9" w:rsidRPr="00E56F4D">
        <w:rPr>
          <w:bCs/>
          <w:iCs/>
          <w:sz w:val="20"/>
          <w:lang w:val="de-DE"/>
        </w:rPr>
        <w:t xml:space="preserve"> Öffnung zum Anschluss der Tankwaschmaschinen verwendet werden.</w:t>
      </w:r>
      <w:r w:rsidR="00670472" w:rsidRPr="00E56F4D">
        <w:rPr>
          <w:bCs/>
          <w:iCs/>
          <w:sz w:val="20"/>
          <w:lang w:val="de-DE"/>
        </w:rPr>
        <w:t>“</w:t>
      </w:r>
    </w:p>
    <w:p w14:paraId="0F8B98E6" w14:textId="77777777" w:rsidR="00A96CFA" w:rsidRPr="00E56F4D" w:rsidRDefault="00A96CFA" w:rsidP="00E56F4D">
      <w:pPr>
        <w:spacing w:after="0" w:line="240" w:lineRule="atLeast"/>
        <w:ind w:left="567" w:right="566"/>
        <w:rPr>
          <w:bCs/>
          <w:iCs/>
          <w:sz w:val="20"/>
          <w:lang w:val="de-DE"/>
        </w:rPr>
      </w:pPr>
    </w:p>
    <w:p w14:paraId="7975595D" w14:textId="034C6EE9" w:rsidR="001F5D91" w:rsidRPr="0020306E" w:rsidRDefault="006F5981" w:rsidP="00F5794E">
      <w:pPr>
        <w:spacing w:after="0" w:line="240" w:lineRule="atLeast"/>
        <w:ind w:right="566"/>
        <w:jc w:val="both"/>
        <w:rPr>
          <w:bCs/>
          <w:sz w:val="20"/>
          <w:lang w:val="de-DE"/>
        </w:rPr>
      </w:pPr>
      <w:r w:rsidRPr="0020306E">
        <w:rPr>
          <w:bCs/>
          <w:sz w:val="20"/>
          <w:lang w:val="de-DE"/>
        </w:rPr>
        <w:t>32.</w:t>
      </w:r>
      <w:r w:rsidRPr="0020306E">
        <w:rPr>
          <w:bCs/>
          <w:sz w:val="20"/>
          <w:lang w:val="de-DE"/>
        </w:rPr>
        <w:tab/>
      </w:r>
      <w:r w:rsidR="001F5D91" w:rsidRPr="0020306E">
        <w:rPr>
          <w:bCs/>
          <w:sz w:val="20"/>
          <w:lang w:val="de-DE"/>
        </w:rPr>
        <w:t>Deutschland bittet EBU/ESO darum</w:t>
      </w:r>
      <w:r w:rsidR="00C0027F" w:rsidRPr="0020306E">
        <w:rPr>
          <w:bCs/>
          <w:sz w:val="20"/>
          <w:lang w:val="de-DE"/>
        </w:rPr>
        <w:t>, für darüber hinaus</w:t>
      </w:r>
      <w:r w:rsidR="008B716A" w:rsidRPr="0020306E">
        <w:rPr>
          <w:bCs/>
          <w:sz w:val="20"/>
          <w:lang w:val="de-DE"/>
        </w:rPr>
        <w:t xml:space="preserve"> </w:t>
      </w:r>
      <w:r w:rsidR="00C0027F" w:rsidRPr="0020306E">
        <w:rPr>
          <w:bCs/>
          <w:sz w:val="20"/>
          <w:lang w:val="de-DE"/>
        </w:rPr>
        <w:t>gehende Aspekte</w:t>
      </w:r>
      <w:r w:rsidR="001F5D91" w:rsidRPr="0020306E">
        <w:rPr>
          <w:bCs/>
          <w:sz w:val="20"/>
          <w:lang w:val="de-DE"/>
        </w:rPr>
        <w:t xml:space="preserve"> dem Sicherheits</w:t>
      </w:r>
      <w:r w:rsidR="00363155" w:rsidRPr="0020306E">
        <w:rPr>
          <w:bCs/>
          <w:sz w:val="20"/>
          <w:lang w:val="de-DE"/>
        </w:rPr>
        <w:t>-</w:t>
      </w:r>
      <w:r w:rsidR="001F5D91" w:rsidRPr="0020306E">
        <w:rPr>
          <w:bCs/>
          <w:sz w:val="20"/>
          <w:lang w:val="de-DE"/>
        </w:rPr>
        <w:t>ausschuss eine eigene Vorlage zu präsentieren. Die hier möglicherweise zu</w:t>
      </w:r>
      <w:r w:rsidR="00C0027F" w:rsidRPr="0020306E">
        <w:rPr>
          <w:bCs/>
          <w:sz w:val="20"/>
          <w:lang w:val="de-DE"/>
        </w:rPr>
        <w:t xml:space="preserve"> </w:t>
      </w:r>
      <w:r w:rsidR="00C24949" w:rsidRPr="0020306E">
        <w:rPr>
          <w:bCs/>
          <w:sz w:val="20"/>
          <w:lang w:val="de-DE"/>
        </w:rPr>
        <w:t>berücksichtigenden</w:t>
      </w:r>
      <w:r w:rsidR="001F5D91" w:rsidRPr="0020306E">
        <w:rPr>
          <w:bCs/>
          <w:sz w:val="20"/>
          <w:lang w:val="de-DE"/>
        </w:rPr>
        <w:t xml:space="preserve"> Probleme </w:t>
      </w:r>
      <w:r w:rsidR="00C0027F" w:rsidRPr="0020306E">
        <w:rPr>
          <w:bCs/>
          <w:sz w:val="20"/>
          <w:lang w:val="de-DE"/>
        </w:rPr>
        <w:t>scheinen</w:t>
      </w:r>
      <w:r w:rsidR="001F5D91" w:rsidRPr="0020306E">
        <w:rPr>
          <w:bCs/>
          <w:sz w:val="20"/>
          <w:lang w:val="de-DE"/>
        </w:rPr>
        <w:t xml:space="preserve"> sehr komplex</w:t>
      </w:r>
      <w:r w:rsidR="00C0027F" w:rsidRPr="0020306E">
        <w:rPr>
          <w:bCs/>
          <w:sz w:val="20"/>
          <w:lang w:val="de-DE"/>
        </w:rPr>
        <w:t xml:space="preserve"> zu sein</w:t>
      </w:r>
      <w:r w:rsidR="001F5D91" w:rsidRPr="0020306E">
        <w:rPr>
          <w:bCs/>
          <w:sz w:val="20"/>
          <w:lang w:val="de-DE"/>
        </w:rPr>
        <w:t xml:space="preserve"> und gehen vermutlich weit über das Öffnen der Ladetanks hinaus.</w:t>
      </w:r>
    </w:p>
    <w:p w14:paraId="2B6C3F99" w14:textId="77777777" w:rsidR="006D2550" w:rsidRPr="0020306E" w:rsidRDefault="006D2550" w:rsidP="00514A38">
      <w:pPr>
        <w:spacing w:after="0" w:line="240" w:lineRule="atLeast"/>
        <w:ind w:right="566"/>
        <w:rPr>
          <w:bCs/>
          <w:sz w:val="20"/>
          <w:lang w:val="de-DE"/>
        </w:rPr>
      </w:pPr>
    </w:p>
    <w:p w14:paraId="46808CF0" w14:textId="77777777" w:rsidR="006D2550" w:rsidRPr="0020306E" w:rsidRDefault="006D2550" w:rsidP="00514A38">
      <w:pPr>
        <w:spacing w:after="0" w:line="240" w:lineRule="atLeast"/>
        <w:ind w:right="566"/>
        <w:rPr>
          <w:bCs/>
          <w:sz w:val="20"/>
          <w:lang w:val="de-DE"/>
        </w:rPr>
      </w:pPr>
    </w:p>
    <w:p w14:paraId="40FCE078" w14:textId="285FB99A" w:rsidR="007C1EB8" w:rsidRPr="0020306E" w:rsidRDefault="006F5981" w:rsidP="00514A38">
      <w:pPr>
        <w:spacing w:after="0" w:line="240" w:lineRule="atLeast"/>
        <w:ind w:right="566"/>
        <w:rPr>
          <w:b/>
          <w:bCs/>
          <w:szCs w:val="24"/>
          <w:lang w:val="de-DE"/>
        </w:rPr>
      </w:pPr>
      <w:r w:rsidRPr="0020306E">
        <w:rPr>
          <w:b/>
          <w:bCs/>
          <w:szCs w:val="24"/>
          <w:lang w:val="de-DE"/>
        </w:rPr>
        <w:t>N</w:t>
      </w:r>
      <w:r w:rsidR="007C1EB8" w:rsidRPr="0020306E">
        <w:rPr>
          <w:b/>
          <w:bCs/>
          <w:szCs w:val="24"/>
          <w:lang w:val="de-DE"/>
        </w:rPr>
        <w:t>.</w:t>
      </w:r>
      <w:r w:rsidR="007C1EB8" w:rsidRPr="0020306E">
        <w:rPr>
          <w:b/>
          <w:bCs/>
          <w:szCs w:val="24"/>
          <w:lang w:val="de-DE"/>
        </w:rPr>
        <w:tab/>
      </w:r>
      <w:r w:rsidR="005610CD" w:rsidRPr="0020306E">
        <w:rPr>
          <w:b/>
          <w:bCs/>
          <w:szCs w:val="24"/>
          <w:lang w:val="de-DE"/>
        </w:rPr>
        <w:t>Neuer</w:t>
      </w:r>
      <w:r w:rsidR="007C1EB8" w:rsidRPr="0020306E">
        <w:rPr>
          <w:b/>
          <w:bCs/>
          <w:szCs w:val="24"/>
          <w:lang w:val="de-DE"/>
        </w:rPr>
        <w:t xml:space="preserve"> Vorschlag für alle Maßnahmen</w:t>
      </w:r>
    </w:p>
    <w:p w14:paraId="403C4385" w14:textId="77777777" w:rsidR="007C1EB8" w:rsidRPr="0020306E" w:rsidRDefault="007C1EB8" w:rsidP="00514A38">
      <w:pPr>
        <w:spacing w:after="0" w:line="240" w:lineRule="atLeast"/>
        <w:ind w:right="566"/>
        <w:rPr>
          <w:bCs/>
          <w:sz w:val="20"/>
          <w:lang w:val="de-DE"/>
        </w:rPr>
      </w:pPr>
    </w:p>
    <w:p w14:paraId="62F71CAE" w14:textId="49CA3DB1" w:rsidR="007C1EB8" w:rsidRPr="0020306E" w:rsidRDefault="006F5981" w:rsidP="00F5794E">
      <w:pPr>
        <w:spacing w:after="0" w:line="240" w:lineRule="atLeast"/>
        <w:ind w:right="566"/>
        <w:jc w:val="both"/>
        <w:rPr>
          <w:bCs/>
          <w:sz w:val="20"/>
          <w:lang w:val="de-DE"/>
        </w:rPr>
      </w:pPr>
      <w:r w:rsidRPr="0020306E">
        <w:rPr>
          <w:bCs/>
          <w:sz w:val="20"/>
          <w:lang w:val="de-DE"/>
        </w:rPr>
        <w:t>33.</w:t>
      </w:r>
      <w:r w:rsidRPr="0020306E">
        <w:rPr>
          <w:bCs/>
          <w:sz w:val="20"/>
          <w:lang w:val="de-DE"/>
        </w:rPr>
        <w:tab/>
      </w:r>
      <w:r w:rsidR="00BD1C3E" w:rsidRPr="0020306E">
        <w:rPr>
          <w:bCs/>
          <w:sz w:val="20"/>
          <w:lang w:val="de-DE"/>
        </w:rPr>
        <w:t>F</w:t>
      </w:r>
      <w:r w:rsidR="000525D1" w:rsidRPr="0020306E">
        <w:rPr>
          <w:bCs/>
          <w:sz w:val="20"/>
          <w:lang w:val="de-DE"/>
        </w:rPr>
        <w:t xml:space="preserve">olgende </w:t>
      </w:r>
      <w:r w:rsidR="007C1EB8" w:rsidRPr="0020306E">
        <w:rPr>
          <w:bCs/>
          <w:sz w:val="20"/>
          <w:lang w:val="de-DE"/>
        </w:rPr>
        <w:t xml:space="preserve">Anforderung </w:t>
      </w:r>
      <w:r w:rsidR="000525D1" w:rsidRPr="0020306E">
        <w:rPr>
          <w:bCs/>
          <w:sz w:val="20"/>
          <w:lang w:val="de-DE"/>
        </w:rPr>
        <w:t xml:space="preserve">sollte </w:t>
      </w:r>
      <w:r w:rsidR="005610CD" w:rsidRPr="0020306E">
        <w:rPr>
          <w:bCs/>
          <w:sz w:val="20"/>
          <w:lang w:val="de-DE"/>
        </w:rPr>
        <w:t>i</w:t>
      </w:r>
      <w:r w:rsidR="000525D1" w:rsidRPr="0020306E">
        <w:rPr>
          <w:bCs/>
          <w:sz w:val="20"/>
          <w:lang w:val="de-DE"/>
        </w:rPr>
        <w:t xml:space="preserve">n den Allgemeinen Teil der Vorschriften über das Öffnen von Öffnungen </w:t>
      </w:r>
      <w:r w:rsidR="005610CD" w:rsidRPr="0020306E">
        <w:rPr>
          <w:bCs/>
          <w:sz w:val="20"/>
          <w:lang w:val="de-DE"/>
        </w:rPr>
        <w:t xml:space="preserve">(jetziger Vorschlag Unterabschnitt 7.2.4.22.) </w:t>
      </w:r>
      <w:r w:rsidR="007C1EB8" w:rsidRPr="0020306E">
        <w:rPr>
          <w:bCs/>
          <w:sz w:val="20"/>
          <w:lang w:val="de-DE"/>
        </w:rPr>
        <w:t>aufgenommen werden:</w:t>
      </w:r>
    </w:p>
    <w:p w14:paraId="3D143779" w14:textId="77777777" w:rsidR="00CE35C1" w:rsidRPr="0020306E" w:rsidRDefault="00CE35C1" w:rsidP="00F5794E">
      <w:pPr>
        <w:spacing w:after="0" w:line="240" w:lineRule="atLeast"/>
        <w:ind w:right="566"/>
        <w:jc w:val="both"/>
        <w:rPr>
          <w:bCs/>
          <w:sz w:val="20"/>
          <w:lang w:val="de-DE"/>
        </w:rPr>
      </w:pPr>
    </w:p>
    <w:p w14:paraId="4BA0E4E3" w14:textId="77777777" w:rsidR="003E27BC" w:rsidRPr="0020306E" w:rsidRDefault="005610CD" w:rsidP="00E56F4D">
      <w:pPr>
        <w:spacing w:after="0" w:line="240" w:lineRule="atLeast"/>
        <w:ind w:left="567" w:right="566"/>
        <w:jc w:val="both"/>
        <w:rPr>
          <w:bCs/>
          <w:sz w:val="20"/>
          <w:lang w:val="de-DE"/>
        </w:rPr>
      </w:pPr>
      <w:r w:rsidRPr="0020306E">
        <w:rPr>
          <w:bCs/>
          <w:sz w:val="20"/>
          <w:lang w:val="de-DE"/>
        </w:rPr>
        <w:t>„</w:t>
      </w:r>
      <w:r w:rsidR="003E27BC" w:rsidRPr="0020306E">
        <w:rPr>
          <w:bCs/>
          <w:sz w:val="20"/>
          <w:lang w:val="de-DE"/>
        </w:rPr>
        <w:t>Das Öffnen von Ladetanks darf durchgeführt werden, wenn das Schiff nicht an die Landanlage angeschlossen ist oder die Absperrarmaturen auf dem Schiff und an der Landanlage geschlossen sind.</w:t>
      </w:r>
      <w:r w:rsidRPr="0020306E">
        <w:rPr>
          <w:bCs/>
          <w:sz w:val="20"/>
          <w:lang w:val="de-DE"/>
        </w:rPr>
        <w:t>“</w:t>
      </w:r>
    </w:p>
    <w:p w14:paraId="7679C0B0" w14:textId="77777777" w:rsidR="00C12D32" w:rsidRPr="0020306E" w:rsidRDefault="00C12D32" w:rsidP="00F5794E">
      <w:pPr>
        <w:spacing w:after="0" w:line="240" w:lineRule="atLeast"/>
        <w:ind w:right="566"/>
        <w:jc w:val="both"/>
        <w:rPr>
          <w:bCs/>
          <w:sz w:val="20"/>
          <w:lang w:val="de-DE"/>
        </w:rPr>
      </w:pPr>
    </w:p>
    <w:p w14:paraId="37E2132E" w14:textId="65EEC396" w:rsidR="003E27BC" w:rsidRPr="0020306E" w:rsidRDefault="006F5981" w:rsidP="00F5794E">
      <w:pPr>
        <w:spacing w:after="0" w:line="240" w:lineRule="atLeast"/>
        <w:ind w:right="566"/>
        <w:jc w:val="both"/>
        <w:rPr>
          <w:bCs/>
          <w:sz w:val="20"/>
          <w:lang w:val="de-DE"/>
        </w:rPr>
      </w:pPr>
      <w:r w:rsidRPr="0020306E">
        <w:rPr>
          <w:bCs/>
          <w:sz w:val="20"/>
          <w:lang w:val="de-DE"/>
        </w:rPr>
        <w:t>34.</w:t>
      </w:r>
      <w:r w:rsidRPr="0020306E">
        <w:rPr>
          <w:bCs/>
          <w:sz w:val="20"/>
          <w:lang w:val="de-DE"/>
        </w:rPr>
        <w:tab/>
      </w:r>
      <w:r w:rsidR="00C72965" w:rsidRPr="0020306E">
        <w:rPr>
          <w:bCs/>
          <w:sz w:val="20"/>
          <w:lang w:val="de-DE"/>
        </w:rPr>
        <w:t xml:space="preserve">Im ursprünglichen Antrag ist bisher nur </w:t>
      </w:r>
      <w:r w:rsidR="003E27BC" w:rsidRPr="0020306E">
        <w:rPr>
          <w:bCs/>
          <w:sz w:val="20"/>
          <w:lang w:val="de-DE"/>
        </w:rPr>
        <w:t xml:space="preserve">für die </w:t>
      </w:r>
      <w:r w:rsidR="00984F21" w:rsidRPr="0020306E">
        <w:rPr>
          <w:bCs/>
          <w:sz w:val="20"/>
          <w:lang w:val="de-DE"/>
        </w:rPr>
        <w:t xml:space="preserve">Sichtkontrolle (jetziger Vorschlag Absatz 7.2.4.23.1.1) </w:t>
      </w:r>
      <w:r w:rsidR="00C72965" w:rsidRPr="0020306E">
        <w:rPr>
          <w:bCs/>
          <w:sz w:val="20"/>
          <w:lang w:val="de-DE"/>
        </w:rPr>
        <w:t>geregelt, dass diese nur durchgeführt werden darf, wenn das Schiff nicht an die Landanlage angeschlossen ist. D</w:t>
      </w:r>
      <w:r w:rsidR="00984F21" w:rsidRPr="0020306E">
        <w:rPr>
          <w:bCs/>
          <w:sz w:val="20"/>
          <w:lang w:val="de-DE"/>
        </w:rPr>
        <w:t>ie</w:t>
      </w:r>
      <w:r w:rsidR="00984F21" w:rsidRPr="0020306E">
        <w:rPr>
          <w:snapToGrid w:val="0"/>
          <w:sz w:val="20"/>
          <w:lang w:val="de-DE"/>
        </w:rPr>
        <w:t xml:space="preserve"> </w:t>
      </w:r>
      <w:r w:rsidR="000525D1" w:rsidRPr="0020306E">
        <w:rPr>
          <w:bCs/>
          <w:sz w:val="20"/>
          <w:lang w:val="de-DE"/>
        </w:rPr>
        <w:t xml:space="preserve">sogenannten „Fußproben“ </w:t>
      </w:r>
      <w:r w:rsidR="00C72965" w:rsidRPr="0020306E">
        <w:rPr>
          <w:bCs/>
          <w:sz w:val="20"/>
          <w:lang w:val="de-DE"/>
        </w:rPr>
        <w:t>hingegen sollen auch vorgenommen werden dürfen, wenn das Schiff von der Landanlage nicht abgekoppelt ist</w:t>
      </w:r>
      <w:r w:rsidR="000525D1" w:rsidRPr="0020306E">
        <w:rPr>
          <w:bCs/>
          <w:sz w:val="20"/>
          <w:lang w:val="de-DE"/>
        </w:rPr>
        <w:t xml:space="preserve"> (jetziger Vorschlag Absatz 7.2.4.23.2.4)</w:t>
      </w:r>
      <w:r w:rsidR="00984F21" w:rsidRPr="0020306E">
        <w:rPr>
          <w:bCs/>
          <w:sz w:val="20"/>
          <w:lang w:val="de-DE"/>
        </w:rPr>
        <w:t>.</w:t>
      </w:r>
    </w:p>
    <w:p w14:paraId="77068D45" w14:textId="77777777" w:rsidR="003E27BC" w:rsidRPr="0020306E" w:rsidRDefault="003E27BC" w:rsidP="00F5794E">
      <w:pPr>
        <w:spacing w:after="0" w:line="240" w:lineRule="atLeast"/>
        <w:ind w:right="566"/>
        <w:jc w:val="both"/>
        <w:rPr>
          <w:bCs/>
          <w:sz w:val="20"/>
          <w:lang w:val="de-DE"/>
        </w:rPr>
      </w:pPr>
    </w:p>
    <w:p w14:paraId="665A9D27" w14:textId="481AE5A9" w:rsidR="007C1EB8" w:rsidRPr="0020306E" w:rsidRDefault="006F5981" w:rsidP="00F5794E">
      <w:pPr>
        <w:spacing w:after="0" w:line="240" w:lineRule="atLeast"/>
        <w:ind w:right="566"/>
        <w:jc w:val="both"/>
        <w:rPr>
          <w:bCs/>
          <w:sz w:val="20"/>
          <w:lang w:val="de-DE"/>
        </w:rPr>
      </w:pPr>
      <w:r w:rsidRPr="0020306E">
        <w:rPr>
          <w:bCs/>
          <w:sz w:val="20"/>
          <w:lang w:val="de-DE"/>
        </w:rPr>
        <w:t>35.</w:t>
      </w:r>
      <w:r w:rsidRPr="0020306E">
        <w:rPr>
          <w:bCs/>
          <w:sz w:val="20"/>
          <w:lang w:val="de-DE"/>
        </w:rPr>
        <w:tab/>
      </w:r>
      <w:r w:rsidR="005217C6" w:rsidRPr="0020306E">
        <w:rPr>
          <w:bCs/>
          <w:sz w:val="20"/>
          <w:lang w:val="de-DE"/>
        </w:rPr>
        <w:t xml:space="preserve">Es gibt jedoch keinen Grund, eine Regelung nur explizit für die Sichtkontrolle und Fußprobe einzuführen. Vielmehr muss die oben formulierte Sicherheitsvorschrift für jede Maßnahme, die mit einem Öffnen von Ladetanks verbunden ist, gelten. </w:t>
      </w:r>
    </w:p>
    <w:p w14:paraId="0CE28BBC" w14:textId="1D021F42" w:rsidR="00433B20" w:rsidRPr="0020306E" w:rsidRDefault="00433B20" w:rsidP="00F5794E">
      <w:pPr>
        <w:spacing w:after="0" w:line="240" w:lineRule="atLeast"/>
        <w:ind w:right="566"/>
        <w:jc w:val="both"/>
        <w:rPr>
          <w:sz w:val="20"/>
          <w:lang w:val="de-DE"/>
        </w:rPr>
      </w:pPr>
    </w:p>
    <w:p w14:paraId="7575E11E" w14:textId="140EFC3E" w:rsidR="00433B20" w:rsidRPr="0020306E" w:rsidRDefault="006F5981" w:rsidP="00F5794E">
      <w:pPr>
        <w:spacing w:after="0" w:line="240" w:lineRule="atLeast"/>
        <w:ind w:right="566"/>
        <w:jc w:val="both"/>
        <w:rPr>
          <w:bCs/>
          <w:sz w:val="20"/>
          <w:lang w:val="de-DE"/>
        </w:rPr>
      </w:pPr>
      <w:r w:rsidRPr="0020306E">
        <w:rPr>
          <w:sz w:val="20"/>
          <w:lang w:val="de-DE"/>
        </w:rPr>
        <w:t>36.</w:t>
      </w:r>
      <w:r w:rsidRPr="0020306E">
        <w:rPr>
          <w:sz w:val="20"/>
          <w:lang w:val="de-DE"/>
        </w:rPr>
        <w:tab/>
      </w:r>
      <w:r w:rsidR="005217C6" w:rsidRPr="0020306E">
        <w:rPr>
          <w:sz w:val="20"/>
          <w:lang w:val="de-DE"/>
        </w:rPr>
        <w:t xml:space="preserve">Begründung: Wenn das Schiff nicht an die Landanlage angeschlossen ist, wird bei einem Zwischenfall wie zu Beispiel im Falle eines Brandes verhindert, dass </w:t>
      </w:r>
      <w:r w:rsidR="00433B20" w:rsidRPr="0020306E">
        <w:rPr>
          <w:sz w:val="20"/>
          <w:lang w:val="de-DE"/>
        </w:rPr>
        <w:t>dieser vom Schiff auf die Landanlage und umgekehrt übergreifen kann</w:t>
      </w:r>
      <w:r w:rsidR="005217C6" w:rsidRPr="0020306E">
        <w:rPr>
          <w:sz w:val="20"/>
          <w:lang w:val="de-DE"/>
        </w:rPr>
        <w:t>.</w:t>
      </w:r>
      <w:r w:rsidR="00433B20" w:rsidRPr="0020306E">
        <w:rPr>
          <w:sz w:val="20"/>
          <w:lang w:val="de-DE"/>
        </w:rPr>
        <w:t xml:space="preserve"> Sollte das Schiff an die Landanlage angeschlossen sein, müssen die Absperrarmaturen auf dem Schiff und an der Landanlage, also die Absperrarmaturen der Lade-/Löschleitung und Gasabfuhrleitung geschlossen sein. Damit ist dieselbe Sicherheit gewährleistet, wie in dem Fall, dass das Schiff nicht an die Landanlage angeschlossen ist</w:t>
      </w:r>
      <w:r w:rsidR="00C72965" w:rsidRPr="0020306E">
        <w:rPr>
          <w:sz w:val="20"/>
          <w:lang w:val="de-DE"/>
        </w:rPr>
        <w:t xml:space="preserve">. </w:t>
      </w:r>
      <w:r w:rsidR="005217C6" w:rsidRPr="0020306E">
        <w:rPr>
          <w:sz w:val="20"/>
          <w:lang w:val="de-DE"/>
        </w:rPr>
        <w:t xml:space="preserve">Die </w:t>
      </w:r>
      <w:r w:rsidR="00C72965" w:rsidRPr="0020306E">
        <w:rPr>
          <w:sz w:val="20"/>
          <w:lang w:val="de-DE"/>
        </w:rPr>
        <w:t xml:space="preserve">Vorgaben für Absperrarmaturen finden sich </w:t>
      </w:r>
      <w:r w:rsidR="005217C6" w:rsidRPr="0020306E">
        <w:rPr>
          <w:sz w:val="20"/>
          <w:lang w:val="de-DE"/>
        </w:rPr>
        <w:t xml:space="preserve">ausführlich beschrieben </w:t>
      </w:r>
      <w:r w:rsidR="00C72965" w:rsidRPr="0020306E">
        <w:rPr>
          <w:sz w:val="20"/>
          <w:lang w:val="de-DE"/>
        </w:rPr>
        <w:t xml:space="preserve">im </w:t>
      </w:r>
      <w:r w:rsidR="005217C6" w:rsidRPr="0020306E">
        <w:rPr>
          <w:sz w:val="20"/>
          <w:lang w:val="de-DE"/>
        </w:rPr>
        <w:t>Teil</w:t>
      </w:r>
      <w:r w:rsidR="00C72965" w:rsidRPr="0020306E">
        <w:rPr>
          <w:sz w:val="20"/>
          <w:lang w:val="de-DE"/>
        </w:rPr>
        <w:t xml:space="preserve"> 9</w:t>
      </w:r>
      <w:r w:rsidR="005217C6" w:rsidRPr="0020306E">
        <w:rPr>
          <w:sz w:val="20"/>
          <w:lang w:val="de-DE"/>
        </w:rPr>
        <w:t xml:space="preserve"> - Bauvorschriften</w:t>
      </w:r>
      <w:r w:rsidR="00C72965" w:rsidRPr="0020306E">
        <w:rPr>
          <w:sz w:val="20"/>
          <w:lang w:val="de-DE"/>
        </w:rPr>
        <w:t xml:space="preserve"> des ADN.</w:t>
      </w:r>
    </w:p>
    <w:p w14:paraId="3D4BDD66" w14:textId="7BA087F6" w:rsidR="007C1EB8" w:rsidRPr="0020306E" w:rsidRDefault="007C1EB8" w:rsidP="00514A38">
      <w:pPr>
        <w:spacing w:after="0" w:line="240" w:lineRule="atLeast"/>
        <w:ind w:right="566"/>
        <w:rPr>
          <w:bCs/>
          <w:sz w:val="20"/>
          <w:lang w:val="de-DE"/>
        </w:rPr>
      </w:pPr>
    </w:p>
    <w:p w14:paraId="588CD41D" w14:textId="77777777" w:rsidR="00560C55" w:rsidRPr="0020306E" w:rsidRDefault="00560C55" w:rsidP="00514A38">
      <w:pPr>
        <w:spacing w:after="0" w:line="240" w:lineRule="atLeast"/>
        <w:ind w:right="566"/>
        <w:rPr>
          <w:bCs/>
          <w:sz w:val="20"/>
          <w:lang w:val="de-DE"/>
        </w:rPr>
      </w:pPr>
    </w:p>
    <w:p w14:paraId="2279720A" w14:textId="77777777" w:rsidR="00C24949" w:rsidRPr="0020306E" w:rsidRDefault="000479FD" w:rsidP="00F5794E">
      <w:pPr>
        <w:pStyle w:val="Paragraphedeliste"/>
        <w:numPr>
          <w:ilvl w:val="0"/>
          <w:numId w:val="39"/>
        </w:numPr>
        <w:spacing w:after="120" w:line="240" w:lineRule="atLeast"/>
        <w:ind w:left="567" w:right="566" w:hanging="578"/>
        <w:jc w:val="both"/>
        <w:rPr>
          <w:b/>
          <w:sz w:val="28"/>
          <w:szCs w:val="28"/>
          <w:lang w:val="de-DE"/>
        </w:rPr>
      </w:pPr>
      <w:r w:rsidRPr="0020306E">
        <w:rPr>
          <w:b/>
          <w:sz w:val="28"/>
          <w:szCs w:val="28"/>
          <w:lang w:val="de-DE"/>
        </w:rPr>
        <w:t>Weiteres Vorgehen</w:t>
      </w:r>
    </w:p>
    <w:p w14:paraId="2818B743" w14:textId="77777777" w:rsidR="00C24949" w:rsidRPr="0020306E" w:rsidRDefault="00C24949" w:rsidP="00514A38">
      <w:pPr>
        <w:spacing w:after="0" w:line="240" w:lineRule="atLeast"/>
        <w:ind w:right="566"/>
        <w:rPr>
          <w:bCs/>
          <w:sz w:val="20"/>
          <w:lang w:val="de-DE"/>
        </w:rPr>
      </w:pPr>
    </w:p>
    <w:p w14:paraId="573B3FB5" w14:textId="074A0037" w:rsidR="00796D39" w:rsidRPr="0020306E" w:rsidRDefault="006F5981" w:rsidP="00F5794E">
      <w:pPr>
        <w:spacing w:after="0" w:line="240" w:lineRule="atLeast"/>
        <w:ind w:right="566"/>
        <w:jc w:val="both"/>
        <w:rPr>
          <w:bCs/>
          <w:sz w:val="20"/>
          <w:lang w:val="de-DE"/>
        </w:rPr>
      </w:pPr>
      <w:r w:rsidRPr="0020306E">
        <w:rPr>
          <w:bCs/>
          <w:sz w:val="20"/>
          <w:lang w:val="de-DE"/>
        </w:rPr>
        <w:t>37</w:t>
      </w:r>
      <w:r w:rsidR="00AC6F22" w:rsidRPr="0020306E">
        <w:rPr>
          <w:bCs/>
          <w:sz w:val="20"/>
          <w:lang w:val="de-DE"/>
        </w:rPr>
        <w:t>.</w:t>
      </w:r>
      <w:r w:rsidR="00AC6F22" w:rsidRPr="0020306E">
        <w:rPr>
          <w:bCs/>
          <w:sz w:val="20"/>
          <w:lang w:val="de-DE"/>
        </w:rPr>
        <w:tab/>
      </w:r>
      <w:r w:rsidR="00796D39" w:rsidRPr="0020306E">
        <w:rPr>
          <w:bCs/>
          <w:sz w:val="20"/>
          <w:lang w:val="de-DE"/>
        </w:rPr>
        <w:t xml:space="preserve">Deutschland bittet den Sicherheitsausschuss, den ursprünglichen Änderungsvorschlag, wie der in Dokument </w:t>
      </w:r>
      <w:r w:rsidR="00F5794E" w:rsidRPr="0020306E">
        <w:rPr>
          <w:sz w:val="20"/>
          <w:lang w:val="de-DE"/>
        </w:rPr>
        <w:t>ECE/TRANS/WP.15/AC.2/</w:t>
      </w:r>
      <w:r w:rsidR="00796D39" w:rsidRPr="0020306E">
        <w:rPr>
          <w:bCs/>
          <w:sz w:val="20"/>
          <w:lang w:val="de-DE"/>
        </w:rPr>
        <w:t xml:space="preserve">2022/43 präsentiert wurde, im Licht dieser Ergänzungen </w:t>
      </w:r>
      <w:r w:rsidR="001F5D91" w:rsidRPr="0020306E">
        <w:rPr>
          <w:bCs/>
          <w:sz w:val="20"/>
          <w:lang w:val="de-DE"/>
        </w:rPr>
        <w:t>neu</w:t>
      </w:r>
      <w:r w:rsidR="00796D39" w:rsidRPr="0020306E">
        <w:rPr>
          <w:bCs/>
          <w:sz w:val="20"/>
          <w:lang w:val="de-DE"/>
        </w:rPr>
        <w:t xml:space="preserve"> zu </w:t>
      </w:r>
      <w:r w:rsidR="00A94ACE" w:rsidRPr="0020306E">
        <w:rPr>
          <w:bCs/>
          <w:sz w:val="20"/>
          <w:lang w:val="de-DE"/>
        </w:rPr>
        <w:t>bewerten</w:t>
      </w:r>
      <w:r w:rsidR="00796D39" w:rsidRPr="0020306E">
        <w:rPr>
          <w:bCs/>
          <w:sz w:val="20"/>
          <w:lang w:val="de-DE"/>
        </w:rPr>
        <w:t xml:space="preserve">. </w:t>
      </w:r>
      <w:r w:rsidR="00A94ACE" w:rsidRPr="0020306E">
        <w:rPr>
          <w:bCs/>
          <w:sz w:val="20"/>
          <w:lang w:val="de-DE"/>
        </w:rPr>
        <w:t>In der 42. Sitzung soll eine überarbeitetes Änderungspaket vorgestellt werden.</w:t>
      </w:r>
    </w:p>
    <w:p w14:paraId="1707EFB4" w14:textId="77777777" w:rsidR="00A94ACE" w:rsidRPr="0020306E" w:rsidRDefault="00A94ACE" w:rsidP="00F161C1">
      <w:pPr>
        <w:spacing w:after="0" w:line="360" w:lineRule="auto"/>
        <w:ind w:right="566"/>
        <w:rPr>
          <w:bCs/>
          <w:sz w:val="20"/>
          <w:lang w:val="de-DE"/>
        </w:rPr>
      </w:pPr>
    </w:p>
    <w:p w14:paraId="268383EA" w14:textId="77777777" w:rsidR="00D81755" w:rsidRPr="0020306E" w:rsidRDefault="0071130B" w:rsidP="00643488">
      <w:pPr>
        <w:spacing w:after="0"/>
        <w:ind w:left="567" w:right="566" w:hanging="567"/>
        <w:jc w:val="center"/>
        <w:rPr>
          <w:sz w:val="20"/>
          <w:lang w:val="de-DE"/>
        </w:rPr>
      </w:pPr>
      <w:r w:rsidRPr="0020306E">
        <w:rPr>
          <w:sz w:val="20"/>
          <w:lang w:val="de-DE"/>
        </w:rPr>
        <w:t>***</w:t>
      </w:r>
    </w:p>
    <w:sectPr w:rsidR="00D81755" w:rsidRPr="0020306E" w:rsidSect="00B22B19">
      <w:headerReference w:type="even" r:id="rId9"/>
      <w:headerReference w:type="default" r:id="rId10"/>
      <w:footerReference w:type="even" r:id="rId11"/>
      <w:footerReference w:type="default" r:id="rId12"/>
      <w:endnotePr>
        <w:numFmt w:val="decimal"/>
      </w:endnotePr>
      <w:pgSz w:w="11907" w:h="16840" w:code="9"/>
      <w:pgMar w:top="1418" w:right="1418" w:bottom="1418" w:left="1560"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CEA3" w14:textId="77777777" w:rsidR="00BD6AA8" w:rsidRDefault="00BD6AA8">
      <w:pPr>
        <w:pStyle w:val="Pieddepage"/>
      </w:pPr>
    </w:p>
  </w:endnote>
  <w:endnote w:type="continuationSeparator" w:id="0">
    <w:p w14:paraId="13C86870" w14:textId="77777777" w:rsidR="00BD6AA8" w:rsidRDefault="00BD6AA8">
      <w:pPr>
        <w:spacing w:after="0"/>
      </w:pPr>
    </w:p>
  </w:endnote>
  <w:endnote w:type="continuationNotice" w:id="1">
    <w:p w14:paraId="6A55B0CC" w14:textId="77777777" w:rsidR="00BD6AA8" w:rsidRDefault="00BD6A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EC96" w14:textId="190A134D" w:rsidR="00B76C99" w:rsidRPr="00B76C99" w:rsidRDefault="00B76C99" w:rsidP="00B76C99">
    <w:pPr>
      <w:widowControl w:val="0"/>
      <w:suppressAutoHyphens/>
      <w:overflowPunct w:val="0"/>
      <w:autoSpaceDE w:val="0"/>
      <w:autoSpaceDN w:val="0"/>
      <w:adjustRightInd w:val="0"/>
      <w:spacing w:after="0"/>
      <w:ind w:left="1134" w:hanging="1134"/>
      <w:jc w:val="right"/>
      <w:textAlignment w:val="baseline"/>
      <w:rPr>
        <w:lang w:val="fr-FR"/>
      </w:rPr>
    </w:pPr>
    <w:r w:rsidRPr="00B76C99">
      <w:rPr>
        <w:rFonts w:ascii="Arial" w:hAnsi="Arial" w:cs="Arial"/>
        <w:noProof/>
        <w:snapToGrid w:val="0"/>
        <w:sz w:val="12"/>
        <w:lang w:val="fr-FR" w:eastAsia="fr-FR"/>
      </w:rPr>
      <w:t>mm/adn_wp15_ac2_</w:t>
    </w:r>
    <w:r>
      <w:rPr>
        <w:rFonts w:ascii="Arial" w:hAnsi="Arial" w:cs="Arial"/>
        <w:noProof/>
        <w:snapToGrid w:val="0"/>
        <w:sz w:val="12"/>
        <w:lang w:val="fr-FR" w:eastAsia="fr-FR"/>
      </w:rPr>
      <w:t>41_INF6</w:t>
    </w:r>
    <w:r w:rsidRPr="00B76C99">
      <w:rPr>
        <w:rFonts w:ascii="Arial" w:hAnsi="Arial" w:cs="Arial"/>
        <w:noProof/>
        <w:snapToGrid w:val="0"/>
        <w:sz w:val="12"/>
        <w:lang w:val="fr-FR"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EF97" w14:textId="77777777" w:rsidR="007563A8" w:rsidRPr="00B76C99" w:rsidRDefault="007563A8" w:rsidP="007563A8">
    <w:pPr>
      <w:widowControl w:val="0"/>
      <w:suppressAutoHyphens/>
      <w:overflowPunct w:val="0"/>
      <w:autoSpaceDE w:val="0"/>
      <w:autoSpaceDN w:val="0"/>
      <w:adjustRightInd w:val="0"/>
      <w:spacing w:after="0"/>
      <w:ind w:left="1134" w:hanging="1134"/>
      <w:jc w:val="right"/>
      <w:textAlignment w:val="baseline"/>
      <w:rPr>
        <w:lang w:val="fr-FR"/>
      </w:rPr>
    </w:pPr>
    <w:r w:rsidRPr="00B76C99">
      <w:rPr>
        <w:rFonts w:ascii="Arial" w:hAnsi="Arial" w:cs="Arial"/>
        <w:noProof/>
        <w:snapToGrid w:val="0"/>
        <w:sz w:val="12"/>
        <w:lang w:val="fr-FR" w:eastAsia="fr-FR"/>
      </w:rPr>
      <w:t>mm/adn_wp15_ac2_</w:t>
    </w:r>
    <w:r>
      <w:rPr>
        <w:rFonts w:ascii="Arial" w:hAnsi="Arial" w:cs="Arial"/>
        <w:noProof/>
        <w:snapToGrid w:val="0"/>
        <w:sz w:val="12"/>
        <w:lang w:val="fr-FR" w:eastAsia="fr-FR"/>
      </w:rPr>
      <w:t>41_INF6</w:t>
    </w:r>
    <w:r w:rsidRPr="00B76C99">
      <w:rPr>
        <w:rFonts w:ascii="Arial" w:hAnsi="Arial" w:cs="Arial"/>
        <w:noProof/>
        <w:snapToGrid w:val="0"/>
        <w:sz w:val="12"/>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A57F" w14:textId="77777777" w:rsidR="00BD6AA8" w:rsidRDefault="00BD6AA8">
      <w:pPr>
        <w:spacing w:after="0"/>
      </w:pPr>
      <w:r>
        <w:separator/>
      </w:r>
    </w:p>
  </w:footnote>
  <w:footnote w:type="continuationSeparator" w:id="0">
    <w:p w14:paraId="4510CB66" w14:textId="77777777" w:rsidR="00BD6AA8" w:rsidRDefault="00BD6AA8">
      <w:pPr>
        <w:spacing w:after="0"/>
        <w:rPr>
          <w:u w:val="single"/>
        </w:rPr>
      </w:pPr>
      <w:r>
        <w:rPr>
          <w:u w:val="single"/>
        </w:rPr>
        <w:tab/>
      </w:r>
      <w:r>
        <w:rPr>
          <w:u w:val="single"/>
        </w:rPr>
        <w:tab/>
      </w:r>
      <w:r>
        <w:rPr>
          <w:u w:val="single"/>
        </w:rPr>
        <w:tab/>
      </w:r>
      <w:r>
        <w:rPr>
          <w:u w:val="single"/>
        </w:rPr>
        <w:tab/>
      </w:r>
    </w:p>
  </w:footnote>
  <w:footnote w:type="continuationNotice" w:id="1">
    <w:p w14:paraId="33EF9D7B" w14:textId="77777777" w:rsidR="00BD6AA8" w:rsidRDefault="00BD6A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2CBD" w14:textId="62092E0C" w:rsidR="00B76C99" w:rsidRPr="00B76C99" w:rsidRDefault="00B76C99" w:rsidP="00B76C99">
    <w:pPr>
      <w:suppressAutoHyphens/>
      <w:spacing w:after="0"/>
      <w:rPr>
        <w:rFonts w:ascii="Arial" w:hAnsi="Arial"/>
        <w:snapToGrid w:val="0"/>
        <w:sz w:val="16"/>
        <w:szCs w:val="16"/>
        <w:lang w:val="en-US" w:eastAsia="fr-FR"/>
      </w:rPr>
    </w:pPr>
    <w:r w:rsidRPr="00B76C99">
      <w:rPr>
        <w:rFonts w:ascii="Arial" w:hAnsi="Arial"/>
        <w:snapToGrid w:val="0"/>
        <w:sz w:val="16"/>
        <w:szCs w:val="16"/>
        <w:lang w:val="en-US" w:eastAsia="fr-FR"/>
      </w:rPr>
      <w:t>CCNR-ZKR/ADN/WP.15/AC.2/</w:t>
    </w:r>
    <w:r w:rsidRPr="00B76C99">
      <w:rPr>
        <w:rFonts w:ascii="Arial" w:hAnsi="Arial"/>
        <w:snapToGrid w:val="0"/>
        <w:sz w:val="16"/>
        <w:szCs w:val="16"/>
        <w:lang w:val="en-US" w:eastAsia="fr-FR"/>
      </w:rPr>
      <w:t>41/I</w:t>
    </w:r>
    <w:r>
      <w:rPr>
        <w:rFonts w:ascii="Arial" w:hAnsi="Arial"/>
        <w:snapToGrid w:val="0"/>
        <w:sz w:val="16"/>
        <w:szCs w:val="16"/>
        <w:lang w:val="en-US" w:eastAsia="fr-FR"/>
      </w:rPr>
      <w:t>NF.6</w:t>
    </w:r>
  </w:p>
  <w:p w14:paraId="39384549" w14:textId="1538614C" w:rsidR="00B76C99" w:rsidRDefault="00B76C99" w:rsidP="00B76C99">
    <w:pPr>
      <w:suppressAutoHyphens/>
      <w:spacing w:after="0"/>
    </w:pPr>
    <w:r w:rsidRPr="00B76C99">
      <w:rPr>
        <w:rFonts w:ascii="Arial" w:hAnsi="Arial"/>
        <w:snapToGrid w:val="0"/>
        <w:sz w:val="16"/>
        <w:szCs w:val="16"/>
        <w:lang w:val="de-DE" w:eastAsia="fr-FR"/>
      </w:rPr>
      <w:t xml:space="preserve">Seite </w:t>
    </w:r>
    <w:r w:rsidRPr="00B76C99">
      <w:rPr>
        <w:rFonts w:ascii="Arial" w:hAnsi="Arial"/>
        <w:snapToGrid w:val="0"/>
        <w:sz w:val="16"/>
        <w:szCs w:val="16"/>
        <w:lang w:val="de-DE" w:eastAsia="fr-FR"/>
      </w:rPr>
      <w:fldChar w:fldCharType="begin"/>
    </w:r>
    <w:r w:rsidRPr="00B76C99">
      <w:rPr>
        <w:rFonts w:ascii="Arial" w:hAnsi="Arial"/>
        <w:snapToGrid w:val="0"/>
        <w:sz w:val="16"/>
        <w:szCs w:val="16"/>
        <w:lang w:val="de-DE" w:eastAsia="fr-FR"/>
      </w:rPr>
      <w:instrText xml:space="preserve"> PAGE  \* MERGEFORMAT </w:instrText>
    </w:r>
    <w:r w:rsidRPr="00B76C99">
      <w:rPr>
        <w:rFonts w:ascii="Arial" w:hAnsi="Arial"/>
        <w:snapToGrid w:val="0"/>
        <w:sz w:val="16"/>
        <w:szCs w:val="16"/>
        <w:lang w:val="de-DE" w:eastAsia="fr-FR"/>
      </w:rPr>
      <w:fldChar w:fldCharType="separate"/>
    </w:r>
    <w:r w:rsidRPr="00B76C99">
      <w:rPr>
        <w:rFonts w:ascii="Arial" w:hAnsi="Arial"/>
        <w:snapToGrid w:val="0"/>
        <w:sz w:val="16"/>
        <w:szCs w:val="16"/>
        <w:lang w:val="de-DE" w:eastAsia="fr-FR"/>
      </w:rPr>
      <w:t>2</w:t>
    </w:r>
    <w:r w:rsidRPr="00B76C99">
      <w:rPr>
        <w:rFonts w:ascii="Arial" w:hAnsi="Arial"/>
        <w:snapToGrid w:val="0"/>
        <w:sz w:val="16"/>
        <w:szCs w:val="16"/>
        <w:lang w:val="de-DE"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89DC" w14:textId="77777777" w:rsidR="00B76C99" w:rsidRPr="00B76C99" w:rsidRDefault="00B76C99" w:rsidP="00B76C99">
    <w:pPr>
      <w:suppressAutoHyphens/>
      <w:spacing w:after="0"/>
      <w:jc w:val="right"/>
      <w:rPr>
        <w:rFonts w:ascii="Arial" w:hAnsi="Arial"/>
        <w:snapToGrid w:val="0"/>
        <w:sz w:val="16"/>
        <w:szCs w:val="16"/>
        <w:lang w:val="en-US" w:eastAsia="fr-FR"/>
      </w:rPr>
    </w:pPr>
    <w:r w:rsidRPr="00B76C99">
      <w:rPr>
        <w:rFonts w:ascii="Arial" w:hAnsi="Arial"/>
        <w:snapToGrid w:val="0"/>
        <w:sz w:val="16"/>
        <w:szCs w:val="16"/>
        <w:lang w:val="en-US" w:eastAsia="fr-FR"/>
      </w:rPr>
      <w:t>CCNR-ZKR/ADN/WP.15/AC.2/41/I</w:t>
    </w:r>
    <w:r>
      <w:rPr>
        <w:rFonts w:ascii="Arial" w:hAnsi="Arial"/>
        <w:snapToGrid w:val="0"/>
        <w:sz w:val="16"/>
        <w:szCs w:val="16"/>
        <w:lang w:val="en-US" w:eastAsia="fr-FR"/>
      </w:rPr>
      <w:t>NF.6</w:t>
    </w:r>
  </w:p>
  <w:p w14:paraId="6E4D24EB" w14:textId="30AD695D" w:rsidR="00B76C99" w:rsidRDefault="00B76C99" w:rsidP="00B76C99">
    <w:pPr>
      <w:suppressAutoHyphens/>
      <w:spacing w:after="0"/>
      <w:jc w:val="right"/>
    </w:pPr>
    <w:r w:rsidRPr="00B76C99">
      <w:rPr>
        <w:rFonts w:ascii="Arial" w:hAnsi="Arial"/>
        <w:snapToGrid w:val="0"/>
        <w:sz w:val="16"/>
        <w:szCs w:val="16"/>
        <w:lang w:val="de-DE" w:eastAsia="fr-FR"/>
      </w:rPr>
      <w:t xml:space="preserve">Seite </w:t>
    </w:r>
    <w:r w:rsidRPr="00B76C99">
      <w:rPr>
        <w:rFonts w:ascii="Arial" w:hAnsi="Arial"/>
        <w:snapToGrid w:val="0"/>
        <w:sz w:val="16"/>
        <w:szCs w:val="16"/>
        <w:lang w:val="de-DE" w:eastAsia="fr-FR"/>
      </w:rPr>
      <w:fldChar w:fldCharType="begin"/>
    </w:r>
    <w:r w:rsidRPr="00B76C99">
      <w:rPr>
        <w:rFonts w:ascii="Arial" w:hAnsi="Arial"/>
        <w:snapToGrid w:val="0"/>
        <w:sz w:val="16"/>
        <w:szCs w:val="16"/>
        <w:lang w:val="de-DE" w:eastAsia="fr-FR"/>
      </w:rPr>
      <w:instrText xml:space="preserve"> PAGE  \* MERGEFORMAT </w:instrText>
    </w:r>
    <w:r w:rsidRPr="00B76C99">
      <w:rPr>
        <w:rFonts w:ascii="Arial" w:hAnsi="Arial"/>
        <w:snapToGrid w:val="0"/>
        <w:sz w:val="16"/>
        <w:szCs w:val="16"/>
        <w:lang w:val="de-DE" w:eastAsia="fr-FR"/>
      </w:rPr>
      <w:fldChar w:fldCharType="separate"/>
    </w:r>
    <w:r>
      <w:rPr>
        <w:rFonts w:ascii="Arial" w:hAnsi="Arial"/>
        <w:snapToGrid w:val="0"/>
        <w:sz w:val="16"/>
        <w:szCs w:val="16"/>
      </w:rPr>
      <w:t>8</w:t>
    </w:r>
    <w:r w:rsidRPr="00B76C99">
      <w:rPr>
        <w:rFonts w:ascii="Arial" w:hAnsi="Arial"/>
        <w:snapToGrid w:val="0"/>
        <w:sz w:val="16"/>
        <w:szCs w:val="16"/>
        <w:lang w:val="de-DE"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61394"/>
    <w:multiLevelType w:val="hybridMultilevel"/>
    <w:tmpl w:val="A89AA990"/>
    <w:lvl w:ilvl="0" w:tplc="04070015">
      <w:start w:val="1"/>
      <w:numFmt w:val="decimal"/>
      <w:lvlText w:val="(%1)"/>
      <w:lvlJc w:val="left"/>
      <w:pPr>
        <w:ind w:left="720" w:hanging="360"/>
      </w:pPr>
    </w:lvl>
    <w:lvl w:ilvl="1" w:tplc="6A1054E0">
      <w:start w:val="1"/>
      <w:numFmt w:val="lowerRoman"/>
      <w:lvlText w:val="(%2)"/>
      <w:lvlJc w:val="right"/>
      <w:pPr>
        <w:ind w:left="2769"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5737FD"/>
    <w:multiLevelType w:val="hybridMultilevel"/>
    <w:tmpl w:val="21A059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497937"/>
    <w:multiLevelType w:val="hybridMultilevel"/>
    <w:tmpl w:val="49943A3E"/>
    <w:lvl w:ilvl="0" w:tplc="E71C9C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58349B0"/>
    <w:multiLevelType w:val="hybridMultilevel"/>
    <w:tmpl w:val="1B9A58F2"/>
    <w:lvl w:ilvl="0" w:tplc="4732D8A0">
      <w:start w:val="7"/>
      <w:numFmt w:val="bullet"/>
      <w:lvlText w:val="-"/>
      <w:lvlJc w:val="left"/>
      <w:pPr>
        <w:ind w:left="1500" w:hanging="360"/>
      </w:pPr>
      <w:rPr>
        <w:rFonts w:ascii="Times New Roman" w:eastAsia="Times New Roman" w:hAnsi="Times New Roman" w:cs="Times New Roman"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6" w15:restartNumberingAfterBreak="0">
    <w:nsid w:val="2C130E13"/>
    <w:multiLevelType w:val="hybridMultilevel"/>
    <w:tmpl w:val="62889486"/>
    <w:lvl w:ilvl="0" w:tplc="70AA87D8">
      <w:start w:val="1"/>
      <w:numFmt w:val="decimal"/>
      <w:lvlText w:val="%1."/>
      <w:lvlJc w:val="left"/>
      <w:pPr>
        <w:ind w:left="562" w:hanging="420"/>
      </w:pPr>
      <w:rPr>
        <w:rFonts w:hint="default"/>
        <w:color w:val="auto"/>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DA05C10"/>
    <w:multiLevelType w:val="hybridMultilevel"/>
    <w:tmpl w:val="3294DA88"/>
    <w:lvl w:ilvl="0" w:tplc="8B5A83FE">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2"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15:restartNumberingAfterBreak="0">
    <w:nsid w:val="3FED29B4"/>
    <w:multiLevelType w:val="hybridMultilevel"/>
    <w:tmpl w:val="7CD43336"/>
    <w:lvl w:ilvl="0" w:tplc="9F0AED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8" w15:restartNumberingAfterBreak="0">
    <w:nsid w:val="58034126"/>
    <w:multiLevelType w:val="hybridMultilevel"/>
    <w:tmpl w:val="C6C8A06A"/>
    <w:lvl w:ilvl="0" w:tplc="43744C7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EE07CF"/>
    <w:multiLevelType w:val="hybridMultilevel"/>
    <w:tmpl w:val="321A7C72"/>
    <w:lvl w:ilvl="0" w:tplc="FF2494AA">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1"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2"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632308"/>
    <w:multiLevelType w:val="hybridMultilevel"/>
    <w:tmpl w:val="818443E6"/>
    <w:lvl w:ilvl="0" w:tplc="9730B656">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4"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6" w15:restartNumberingAfterBreak="0">
    <w:nsid w:val="75687265"/>
    <w:multiLevelType w:val="hybridMultilevel"/>
    <w:tmpl w:val="3D344CF4"/>
    <w:lvl w:ilvl="0" w:tplc="D842EF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BDF68FD"/>
    <w:multiLevelType w:val="singleLevel"/>
    <w:tmpl w:val="E4121F8E"/>
    <w:lvl w:ilvl="0">
      <w:start w:val="1"/>
      <w:numFmt w:val="decimal"/>
      <w:lvlText w:val="%1. "/>
      <w:legacy w:legacy="1" w:legacySpace="0" w:legacyIndent="283"/>
      <w:lvlJc w:val="left"/>
      <w:pPr>
        <w:ind w:left="2835" w:hanging="283"/>
      </w:pPr>
      <w:rPr>
        <w:sz w:val="20"/>
      </w:rPr>
    </w:lvl>
  </w:abstractNum>
  <w:num w:numId="1" w16cid:durableId="889150023">
    <w:abstractNumId w:val="20"/>
  </w:num>
  <w:num w:numId="2" w16cid:durableId="76826428">
    <w:abstractNumId w:val="15"/>
  </w:num>
  <w:num w:numId="3" w16cid:durableId="654183186">
    <w:abstractNumId w:val="8"/>
  </w:num>
  <w:num w:numId="4" w16cid:durableId="383795612">
    <w:abstractNumId w:val="18"/>
  </w:num>
  <w:num w:numId="5" w16cid:durableId="564341343">
    <w:abstractNumId w:val="0"/>
  </w:num>
  <w:num w:numId="6" w16cid:durableId="1146124444">
    <w:abstractNumId w:val="37"/>
  </w:num>
  <w:num w:numId="7" w16cid:durableId="484857604">
    <w:abstractNumId w:val="25"/>
  </w:num>
  <w:num w:numId="8" w16cid:durableId="1006903642">
    <w:abstractNumId w:val="10"/>
  </w:num>
  <w:num w:numId="9" w16cid:durableId="2029676422">
    <w:abstractNumId w:val="11"/>
  </w:num>
  <w:num w:numId="10" w16cid:durableId="1779254037">
    <w:abstractNumId w:val="14"/>
  </w:num>
  <w:num w:numId="11" w16cid:durableId="863057452">
    <w:abstractNumId w:val="19"/>
  </w:num>
  <w:num w:numId="12" w16cid:durableId="271086510">
    <w:abstractNumId w:val="32"/>
  </w:num>
  <w:num w:numId="13" w16cid:durableId="1617329993">
    <w:abstractNumId w:val="1"/>
  </w:num>
  <w:num w:numId="14" w16cid:durableId="722290174">
    <w:abstractNumId w:val="13"/>
  </w:num>
  <w:num w:numId="15" w16cid:durableId="2069258283">
    <w:abstractNumId w:val="23"/>
  </w:num>
  <w:num w:numId="16" w16cid:durableId="191193810">
    <w:abstractNumId w:val="22"/>
  </w:num>
  <w:num w:numId="17" w16cid:durableId="245265562">
    <w:abstractNumId w:val="3"/>
  </w:num>
  <w:num w:numId="18" w16cid:durableId="1313750863">
    <w:abstractNumId w:val="34"/>
  </w:num>
  <w:num w:numId="19" w16cid:durableId="954943557">
    <w:abstractNumId w:val="26"/>
  </w:num>
  <w:num w:numId="20" w16cid:durableId="155346411">
    <w:abstractNumId w:val="17"/>
  </w:num>
  <w:num w:numId="21" w16cid:durableId="135922841">
    <w:abstractNumId w:val="31"/>
  </w:num>
  <w:num w:numId="22" w16cid:durableId="309139035">
    <w:abstractNumId w:val="30"/>
  </w:num>
  <w:num w:numId="23" w16cid:durableId="2059742418">
    <w:abstractNumId w:val="6"/>
  </w:num>
  <w:num w:numId="24" w16cid:durableId="1817799332">
    <w:abstractNumId w:val="27"/>
  </w:num>
  <w:num w:numId="25" w16cid:durableId="966544229">
    <w:abstractNumId w:val="29"/>
  </w:num>
  <w:num w:numId="26" w16cid:durableId="853614567">
    <w:abstractNumId w:val="5"/>
  </w:num>
  <w:num w:numId="27" w16cid:durableId="1581867174">
    <w:abstractNumId w:val="12"/>
  </w:num>
  <w:num w:numId="28" w16cid:durableId="1428623525">
    <w:abstractNumId w:val="38"/>
    <w:lvlOverride w:ilvl="0">
      <w:lvl w:ilvl="0">
        <w:start w:val="3"/>
        <w:numFmt w:val="decimal"/>
        <w:lvlText w:val="%1. "/>
        <w:legacy w:legacy="1" w:legacySpace="0" w:legacyIndent="283"/>
        <w:lvlJc w:val="left"/>
        <w:pPr>
          <w:ind w:left="2835" w:hanging="283"/>
        </w:pPr>
        <w:rPr>
          <w:sz w:val="20"/>
        </w:rPr>
      </w:lvl>
    </w:lvlOverride>
  </w:num>
  <w:num w:numId="29" w16cid:durableId="329866179">
    <w:abstractNumId w:val="33"/>
  </w:num>
  <w:num w:numId="30" w16cid:durableId="660160020">
    <w:abstractNumId w:val="21"/>
  </w:num>
  <w:num w:numId="31" w16cid:durableId="1328435705">
    <w:abstractNumId w:val="16"/>
  </w:num>
  <w:num w:numId="32" w16cid:durableId="851187127">
    <w:abstractNumId w:val="28"/>
  </w:num>
  <w:num w:numId="33" w16cid:durableId="1678918892">
    <w:abstractNumId w:val="36"/>
  </w:num>
  <w:num w:numId="34" w16cid:durableId="1578131025">
    <w:abstractNumId w:val="35"/>
  </w:num>
  <w:num w:numId="35" w16cid:durableId="1887253709">
    <w:abstractNumId w:val="9"/>
  </w:num>
  <w:num w:numId="36" w16cid:durableId="854880183">
    <w:abstractNumId w:val="2"/>
  </w:num>
  <w:num w:numId="37" w16cid:durableId="2104301371">
    <w:abstractNumId w:val="7"/>
  </w:num>
  <w:num w:numId="38" w16cid:durableId="996230635">
    <w:abstractNumId w:val="4"/>
  </w:num>
  <w:num w:numId="39" w16cid:durableId="150543351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22"/>
    <w:rsid w:val="00001E90"/>
    <w:rsid w:val="00002146"/>
    <w:rsid w:val="00002586"/>
    <w:rsid w:val="0000299C"/>
    <w:rsid w:val="00002DD7"/>
    <w:rsid w:val="000038C0"/>
    <w:rsid w:val="00003B30"/>
    <w:rsid w:val="0000657B"/>
    <w:rsid w:val="00007F6A"/>
    <w:rsid w:val="000151E1"/>
    <w:rsid w:val="00016ACC"/>
    <w:rsid w:val="000206CD"/>
    <w:rsid w:val="000217BA"/>
    <w:rsid w:val="00022EDF"/>
    <w:rsid w:val="0002640B"/>
    <w:rsid w:val="0002700B"/>
    <w:rsid w:val="0002723B"/>
    <w:rsid w:val="00034366"/>
    <w:rsid w:val="000366B7"/>
    <w:rsid w:val="00037033"/>
    <w:rsid w:val="000400C4"/>
    <w:rsid w:val="00041312"/>
    <w:rsid w:val="0004300F"/>
    <w:rsid w:val="00044BFC"/>
    <w:rsid w:val="000479FD"/>
    <w:rsid w:val="000500BF"/>
    <w:rsid w:val="00050114"/>
    <w:rsid w:val="000516AA"/>
    <w:rsid w:val="0005197F"/>
    <w:rsid w:val="000525D1"/>
    <w:rsid w:val="00054A90"/>
    <w:rsid w:val="000558EB"/>
    <w:rsid w:val="0005681A"/>
    <w:rsid w:val="0005758B"/>
    <w:rsid w:val="00057A93"/>
    <w:rsid w:val="00060CCD"/>
    <w:rsid w:val="000610FB"/>
    <w:rsid w:val="00061329"/>
    <w:rsid w:val="00061AD3"/>
    <w:rsid w:val="00063A5D"/>
    <w:rsid w:val="00064AC7"/>
    <w:rsid w:val="000667CE"/>
    <w:rsid w:val="00067498"/>
    <w:rsid w:val="00067BD0"/>
    <w:rsid w:val="00070E56"/>
    <w:rsid w:val="00071B40"/>
    <w:rsid w:val="00072140"/>
    <w:rsid w:val="00072B5C"/>
    <w:rsid w:val="00073EA8"/>
    <w:rsid w:val="00073FB6"/>
    <w:rsid w:val="0007426C"/>
    <w:rsid w:val="00076781"/>
    <w:rsid w:val="00077405"/>
    <w:rsid w:val="0008020B"/>
    <w:rsid w:val="00082E74"/>
    <w:rsid w:val="00083259"/>
    <w:rsid w:val="00091974"/>
    <w:rsid w:val="00093086"/>
    <w:rsid w:val="00095DAD"/>
    <w:rsid w:val="00096154"/>
    <w:rsid w:val="00096A67"/>
    <w:rsid w:val="000A3277"/>
    <w:rsid w:val="000A4413"/>
    <w:rsid w:val="000A5B14"/>
    <w:rsid w:val="000A6F97"/>
    <w:rsid w:val="000B1DCB"/>
    <w:rsid w:val="000B25D0"/>
    <w:rsid w:val="000B2FCE"/>
    <w:rsid w:val="000B360C"/>
    <w:rsid w:val="000B3F5E"/>
    <w:rsid w:val="000B697D"/>
    <w:rsid w:val="000C0C0D"/>
    <w:rsid w:val="000C0E49"/>
    <w:rsid w:val="000C100E"/>
    <w:rsid w:val="000C120B"/>
    <w:rsid w:val="000C22E0"/>
    <w:rsid w:val="000C3B82"/>
    <w:rsid w:val="000C3D08"/>
    <w:rsid w:val="000C3FA7"/>
    <w:rsid w:val="000C5749"/>
    <w:rsid w:val="000C618B"/>
    <w:rsid w:val="000C6FB2"/>
    <w:rsid w:val="000C7403"/>
    <w:rsid w:val="000D03DD"/>
    <w:rsid w:val="000D3032"/>
    <w:rsid w:val="000D4774"/>
    <w:rsid w:val="000D561F"/>
    <w:rsid w:val="000E06E4"/>
    <w:rsid w:val="000E5406"/>
    <w:rsid w:val="000E71CC"/>
    <w:rsid w:val="000F3523"/>
    <w:rsid w:val="000F3B3B"/>
    <w:rsid w:val="000F4F0E"/>
    <w:rsid w:val="000F574C"/>
    <w:rsid w:val="000F6EC7"/>
    <w:rsid w:val="00106C1B"/>
    <w:rsid w:val="0010723F"/>
    <w:rsid w:val="00107DFC"/>
    <w:rsid w:val="00111B8A"/>
    <w:rsid w:val="00112234"/>
    <w:rsid w:val="0011225D"/>
    <w:rsid w:val="001139FF"/>
    <w:rsid w:val="00114C05"/>
    <w:rsid w:val="00115689"/>
    <w:rsid w:val="001162B6"/>
    <w:rsid w:val="001168E3"/>
    <w:rsid w:val="0012049D"/>
    <w:rsid w:val="00122163"/>
    <w:rsid w:val="001240B9"/>
    <w:rsid w:val="0012596F"/>
    <w:rsid w:val="001309F5"/>
    <w:rsid w:val="00131898"/>
    <w:rsid w:val="00131BD6"/>
    <w:rsid w:val="001321C7"/>
    <w:rsid w:val="0013308C"/>
    <w:rsid w:val="0013415E"/>
    <w:rsid w:val="001366D6"/>
    <w:rsid w:val="00137616"/>
    <w:rsid w:val="00137758"/>
    <w:rsid w:val="00141BE2"/>
    <w:rsid w:val="00143FA2"/>
    <w:rsid w:val="0014423E"/>
    <w:rsid w:val="00144311"/>
    <w:rsid w:val="00147198"/>
    <w:rsid w:val="00150824"/>
    <w:rsid w:val="00152AD7"/>
    <w:rsid w:val="00152E73"/>
    <w:rsid w:val="00153261"/>
    <w:rsid w:val="0015395A"/>
    <w:rsid w:val="001554F0"/>
    <w:rsid w:val="0015581D"/>
    <w:rsid w:val="00160FD5"/>
    <w:rsid w:val="001616A0"/>
    <w:rsid w:val="0016201E"/>
    <w:rsid w:val="00163706"/>
    <w:rsid w:val="001645F4"/>
    <w:rsid w:val="00164C45"/>
    <w:rsid w:val="001665F2"/>
    <w:rsid w:val="001675D0"/>
    <w:rsid w:val="00171BE7"/>
    <w:rsid w:val="00171E75"/>
    <w:rsid w:val="00172107"/>
    <w:rsid w:val="00172BDF"/>
    <w:rsid w:val="00174FF1"/>
    <w:rsid w:val="001770A9"/>
    <w:rsid w:val="001811D0"/>
    <w:rsid w:val="001817AF"/>
    <w:rsid w:val="00181E0A"/>
    <w:rsid w:val="00181ECA"/>
    <w:rsid w:val="001824E1"/>
    <w:rsid w:val="001828CA"/>
    <w:rsid w:val="001853A3"/>
    <w:rsid w:val="001855A0"/>
    <w:rsid w:val="00186A6D"/>
    <w:rsid w:val="00186BF8"/>
    <w:rsid w:val="00186CCD"/>
    <w:rsid w:val="00187038"/>
    <w:rsid w:val="001872F6"/>
    <w:rsid w:val="001902EF"/>
    <w:rsid w:val="001906C5"/>
    <w:rsid w:val="001919B1"/>
    <w:rsid w:val="00192025"/>
    <w:rsid w:val="00192271"/>
    <w:rsid w:val="00192DC1"/>
    <w:rsid w:val="001951EB"/>
    <w:rsid w:val="001959AD"/>
    <w:rsid w:val="001A04FA"/>
    <w:rsid w:val="001A1361"/>
    <w:rsid w:val="001A6F70"/>
    <w:rsid w:val="001A705C"/>
    <w:rsid w:val="001A727C"/>
    <w:rsid w:val="001B3EE7"/>
    <w:rsid w:val="001B478E"/>
    <w:rsid w:val="001B5295"/>
    <w:rsid w:val="001B57CF"/>
    <w:rsid w:val="001B61FD"/>
    <w:rsid w:val="001B6241"/>
    <w:rsid w:val="001B669B"/>
    <w:rsid w:val="001B731A"/>
    <w:rsid w:val="001C024F"/>
    <w:rsid w:val="001C43FA"/>
    <w:rsid w:val="001C6029"/>
    <w:rsid w:val="001D22CC"/>
    <w:rsid w:val="001D2B18"/>
    <w:rsid w:val="001D4FA8"/>
    <w:rsid w:val="001D7E9F"/>
    <w:rsid w:val="001E3F60"/>
    <w:rsid w:val="001E55C3"/>
    <w:rsid w:val="001F09CC"/>
    <w:rsid w:val="001F1079"/>
    <w:rsid w:val="001F1F05"/>
    <w:rsid w:val="001F209B"/>
    <w:rsid w:val="001F220F"/>
    <w:rsid w:val="001F2475"/>
    <w:rsid w:val="001F42B0"/>
    <w:rsid w:val="001F4AD7"/>
    <w:rsid w:val="001F4F8A"/>
    <w:rsid w:val="001F52BC"/>
    <w:rsid w:val="001F5D91"/>
    <w:rsid w:val="001F7B38"/>
    <w:rsid w:val="00201C24"/>
    <w:rsid w:val="0020301B"/>
    <w:rsid w:val="0020306E"/>
    <w:rsid w:val="00204AEC"/>
    <w:rsid w:val="00207C16"/>
    <w:rsid w:val="00211B4E"/>
    <w:rsid w:val="00211CEC"/>
    <w:rsid w:val="002169C7"/>
    <w:rsid w:val="00216D73"/>
    <w:rsid w:val="00217CBA"/>
    <w:rsid w:val="00222E79"/>
    <w:rsid w:val="00222E83"/>
    <w:rsid w:val="00225237"/>
    <w:rsid w:val="00226EA3"/>
    <w:rsid w:val="00230BAD"/>
    <w:rsid w:val="00232F8C"/>
    <w:rsid w:val="002339F6"/>
    <w:rsid w:val="00234CC7"/>
    <w:rsid w:val="0023500A"/>
    <w:rsid w:val="0023654A"/>
    <w:rsid w:val="00240393"/>
    <w:rsid w:val="00240A17"/>
    <w:rsid w:val="00241778"/>
    <w:rsid w:val="0024315A"/>
    <w:rsid w:val="00243860"/>
    <w:rsid w:val="00245760"/>
    <w:rsid w:val="00245CD7"/>
    <w:rsid w:val="002471F5"/>
    <w:rsid w:val="00252C35"/>
    <w:rsid w:val="00254237"/>
    <w:rsid w:val="00256038"/>
    <w:rsid w:val="00256BE9"/>
    <w:rsid w:val="00257278"/>
    <w:rsid w:val="00260B23"/>
    <w:rsid w:val="002613AC"/>
    <w:rsid w:val="00261997"/>
    <w:rsid w:val="00262A49"/>
    <w:rsid w:val="00264705"/>
    <w:rsid w:val="002648A8"/>
    <w:rsid w:val="00264CB8"/>
    <w:rsid w:val="0026533C"/>
    <w:rsid w:val="002725E1"/>
    <w:rsid w:val="00272E0F"/>
    <w:rsid w:val="00273048"/>
    <w:rsid w:val="00273ECF"/>
    <w:rsid w:val="0028124B"/>
    <w:rsid w:val="00283027"/>
    <w:rsid w:val="002850A9"/>
    <w:rsid w:val="002852DB"/>
    <w:rsid w:val="002925CC"/>
    <w:rsid w:val="00292B45"/>
    <w:rsid w:val="00293062"/>
    <w:rsid w:val="00293A26"/>
    <w:rsid w:val="00293D48"/>
    <w:rsid w:val="00294E58"/>
    <w:rsid w:val="002953F1"/>
    <w:rsid w:val="002959A3"/>
    <w:rsid w:val="00297B40"/>
    <w:rsid w:val="00297C02"/>
    <w:rsid w:val="002A00FC"/>
    <w:rsid w:val="002A26E5"/>
    <w:rsid w:val="002A2E50"/>
    <w:rsid w:val="002A5AC5"/>
    <w:rsid w:val="002A7DF0"/>
    <w:rsid w:val="002B1104"/>
    <w:rsid w:val="002B2620"/>
    <w:rsid w:val="002B335D"/>
    <w:rsid w:val="002B5575"/>
    <w:rsid w:val="002B642A"/>
    <w:rsid w:val="002B75F4"/>
    <w:rsid w:val="002B7B77"/>
    <w:rsid w:val="002B7E6F"/>
    <w:rsid w:val="002C1493"/>
    <w:rsid w:val="002C34CD"/>
    <w:rsid w:val="002C3E9C"/>
    <w:rsid w:val="002C5D21"/>
    <w:rsid w:val="002C6003"/>
    <w:rsid w:val="002C63BE"/>
    <w:rsid w:val="002C7555"/>
    <w:rsid w:val="002C758C"/>
    <w:rsid w:val="002D134D"/>
    <w:rsid w:val="002D13CC"/>
    <w:rsid w:val="002D4BDB"/>
    <w:rsid w:val="002D533B"/>
    <w:rsid w:val="002D5ADB"/>
    <w:rsid w:val="002E12C4"/>
    <w:rsid w:val="002E1922"/>
    <w:rsid w:val="002E1B9C"/>
    <w:rsid w:val="002E26AB"/>
    <w:rsid w:val="002E274C"/>
    <w:rsid w:val="002E3B97"/>
    <w:rsid w:val="002E4C45"/>
    <w:rsid w:val="002E4E6B"/>
    <w:rsid w:val="002E5219"/>
    <w:rsid w:val="002E5FDC"/>
    <w:rsid w:val="002E62E4"/>
    <w:rsid w:val="002F0DAB"/>
    <w:rsid w:val="002F1015"/>
    <w:rsid w:val="002F2DBA"/>
    <w:rsid w:val="002F4582"/>
    <w:rsid w:val="002F46DA"/>
    <w:rsid w:val="002F5330"/>
    <w:rsid w:val="002F7342"/>
    <w:rsid w:val="002F7ACA"/>
    <w:rsid w:val="00300DC1"/>
    <w:rsid w:val="00301089"/>
    <w:rsid w:val="00301CFC"/>
    <w:rsid w:val="00301EB1"/>
    <w:rsid w:val="00302FCA"/>
    <w:rsid w:val="00303F98"/>
    <w:rsid w:val="00306640"/>
    <w:rsid w:val="00311520"/>
    <w:rsid w:val="003119F2"/>
    <w:rsid w:val="00311C72"/>
    <w:rsid w:val="0031243B"/>
    <w:rsid w:val="0031257D"/>
    <w:rsid w:val="0031273A"/>
    <w:rsid w:val="003146BA"/>
    <w:rsid w:val="003148C5"/>
    <w:rsid w:val="00315C33"/>
    <w:rsid w:val="0031672F"/>
    <w:rsid w:val="0031701F"/>
    <w:rsid w:val="00321463"/>
    <w:rsid w:val="00321655"/>
    <w:rsid w:val="00322661"/>
    <w:rsid w:val="003240A1"/>
    <w:rsid w:val="003241E3"/>
    <w:rsid w:val="00325611"/>
    <w:rsid w:val="0033076D"/>
    <w:rsid w:val="00333327"/>
    <w:rsid w:val="0033405A"/>
    <w:rsid w:val="003371B3"/>
    <w:rsid w:val="003378C4"/>
    <w:rsid w:val="0034431A"/>
    <w:rsid w:val="0035078B"/>
    <w:rsid w:val="00350951"/>
    <w:rsid w:val="003525B6"/>
    <w:rsid w:val="00352C95"/>
    <w:rsid w:val="00352F30"/>
    <w:rsid w:val="0035388D"/>
    <w:rsid w:val="00354FB0"/>
    <w:rsid w:val="00356BA4"/>
    <w:rsid w:val="00357395"/>
    <w:rsid w:val="00357533"/>
    <w:rsid w:val="00357FB2"/>
    <w:rsid w:val="00360661"/>
    <w:rsid w:val="00360945"/>
    <w:rsid w:val="00360A29"/>
    <w:rsid w:val="00361D58"/>
    <w:rsid w:val="00363155"/>
    <w:rsid w:val="00363A91"/>
    <w:rsid w:val="00365FFA"/>
    <w:rsid w:val="0037285C"/>
    <w:rsid w:val="00372C33"/>
    <w:rsid w:val="00375625"/>
    <w:rsid w:val="00375E4E"/>
    <w:rsid w:val="00376F44"/>
    <w:rsid w:val="003775F5"/>
    <w:rsid w:val="00377B53"/>
    <w:rsid w:val="00377BD2"/>
    <w:rsid w:val="00380FFA"/>
    <w:rsid w:val="00381341"/>
    <w:rsid w:val="00381EBE"/>
    <w:rsid w:val="00385969"/>
    <w:rsid w:val="00385C45"/>
    <w:rsid w:val="00385FB2"/>
    <w:rsid w:val="00387BB6"/>
    <w:rsid w:val="00387E5C"/>
    <w:rsid w:val="00390BB7"/>
    <w:rsid w:val="003913D5"/>
    <w:rsid w:val="003913F8"/>
    <w:rsid w:val="003927D1"/>
    <w:rsid w:val="00392D80"/>
    <w:rsid w:val="0039615E"/>
    <w:rsid w:val="00396747"/>
    <w:rsid w:val="00396812"/>
    <w:rsid w:val="003968A0"/>
    <w:rsid w:val="00396BD5"/>
    <w:rsid w:val="00396E3E"/>
    <w:rsid w:val="003A103A"/>
    <w:rsid w:val="003A142E"/>
    <w:rsid w:val="003A2C42"/>
    <w:rsid w:val="003A3965"/>
    <w:rsid w:val="003A410E"/>
    <w:rsid w:val="003A4137"/>
    <w:rsid w:val="003A59E7"/>
    <w:rsid w:val="003A5CB0"/>
    <w:rsid w:val="003A6B3B"/>
    <w:rsid w:val="003B2AD6"/>
    <w:rsid w:val="003B4AED"/>
    <w:rsid w:val="003B51D5"/>
    <w:rsid w:val="003B565E"/>
    <w:rsid w:val="003B5C47"/>
    <w:rsid w:val="003C1B4B"/>
    <w:rsid w:val="003C242B"/>
    <w:rsid w:val="003C2B9A"/>
    <w:rsid w:val="003D07DF"/>
    <w:rsid w:val="003D0C6D"/>
    <w:rsid w:val="003D1551"/>
    <w:rsid w:val="003D182F"/>
    <w:rsid w:val="003D1A3C"/>
    <w:rsid w:val="003D2C72"/>
    <w:rsid w:val="003D3C1B"/>
    <w:rsid w:val="003D3D3B"/>
    <w:rsid w:val="003D55E0"/>
    <w:rsid w:val="003D605F"/>
    <w:rsid w:val="003D6093"/>
    <w:rsid w:val="003D6928"/>
    <w:rsid w:val="003D6959"/>
    <w:rsid w:val="003D76BC"/>
    <w:rsid w:val="003E200E"/>
    <w:rsid w:val="003E27BC"/>
    <w:rsid w:val="003E2A6D"/>
    <w:rsid w:val="003E3EF1"/>
    <w:rsid w:val="003E4185"/>
    <w:rsid w:val="003E45A3"/>
    <w:rsid w:val="003E47C8"/>
    <w:rsid w:val="003E4BEE"/>
    <w:rsid w:val="003E4D2B"/>
    <w:rsid w:val="003E5C85"/>
    <w:rsid w:val="003F1078"/>
    <w:rsid w:val="003F343E"/>
    <w:rsid w:val="003F42D3"/>
    <w:rsid w:val="003F50EF"/>
    <w:rsid w:val="00400C64"/>
    <w:rsid w:val="00401556"/>
    <w:rsid w:val="004017B5"/>
    <w:rsid w:val="00403245"/>
    <w:rsid w:val="004047B2"/>
    <w:rsid w:val="00405582"/>
    <w:rsid w:val="004070B3"/>
    <w:rsid w:val="00413D2B"/>
    <w:rsid w:val="0041466E"/>
    <w:rsid w:val="0041550B"/>
    <w:rsid w:val="0041579A"/>
    <w:rsid w:val="00415FF4"/>
    <w:rsid w:val="0041778F"/>
    <w:rsid w:val="00424CC3"/>
    <w:rsid w:val="0042684E"/>
    <w:rsid w:val="004277C7"/>
    <w:rsid w:val="00431FD0"/>
    <w:rsid w:val="004320DB"/>
    <w:rsid w:val="0043254E"/>
    <w:rsid w:val="00433B20"/>
    <w:rsid w:val="00434780"/>
    <w:rsid w:val="00435FBA"/>
    <w:rsid w:val="004438AF"/>
    <w:rsid w:val="00444CFD"/>
    <w:rsid w:val="0045111A"/>
    <w:rsid w:val="0045185F"/>
    <w:rsid w:val="00451F3B"/>
    <w:rsid w:val="00452288"/>
    <w:rsid w:val="004525D6"/>
    <w:rsid w:val="00453FF2"/>
    <w:rsid w:val="00460297"/>
    <w:rsid w:val="00462445"/>
    <w:rsid w:val="00462785"/>
    <w:rsid w:val="00462A62"/>
    <w:rsid w:val="00464E2F"/>
    <w:rsid w:val="004669B8"/>
    <w:rsid w:val="00467EB8"/>
    <w:rsid w:val="0047033C"/>
    <w:rsid w:val="00470602"/>
    <w:rsid w:val="00470EAF"/>
    <w:rsid w:val="004721EA"/>
    <w:rsid w:val="00473011"/>
    <w:rsid w:val="0047312D"/>
    <w:rsid w:val="004739A8"/>
    <w:rsid w:val="00475CAE"/>
    <w:rsid w:val="0048017F"/>
    <w:rsid w:val="00482795"/>
    <w:rsid w:val="00482CBF"/>
    <w:rsid w:val="0048327E"/>
    <w:rsid w:val="00483AB8"/>
    <w:rsid w:val="00484D3D"/>
    <w:rsid w:val="00485603"/>
    <w:rsid w:val="004867AC"/>
    <w:rsid w:val="0048680A"/>
    <w:rsid w:val="00487FF0"/>
    <w:rsid w:val="00491BBA"/>
    <w:rsid w:val="00491E01"/>
    <w:rsid w:val="004931BA"/>
    <w:rsid w:val="0049346B"/>
    <w:rsid w:val="00493F3A"/>
    <w:rsid w:val="00497080"/>
    <w:rsid w:val="004A5A4A"/>
    <w:rsid w:val="004A62A6"/>
    <w:rsid w:val="004A6F0A"/>
    <w:rsid w:val="004A70B5"/>
    <w:rsid w:val="004B0D9A"/>
    <w:rsid w:val="004B12C7"/>
    <w:rsid w:val="004B1341"/>
    <w:rsid w:val="004B14EA"/>
    <w:rsid w:val="004B71E1"/>
    <w:rsid w:val="004C1A89"/>
    <w:rsid w:val="004C22C8"/>
    <w:rsid w:val="004C2BF5"/>
    <w:rsid w:val="004C6E8E"/>
    <w:rsid w:val="004C730B"/>
    <w:rsid w:val="004C7D3E"/>
    <w:rsid w:val="004C7D6F"/>
    <w:rsid w:val="004D0ECF"/>
    <w:rsid w:val="004D17C6"/>
    <w:rsid w:val="004D290A"/>
    <w:rsid w:val="004D2EAD"/>
    <w:rsid w:val="004D345F"/>
    <w:rsid w:val="004D573E"/>
    <w:rsid w:val="004D682A"/>
    <w:rsid w:val="004D6CE9"/>
    <w:rsid w:val="004D74A8"/>
    <w:rsid w:val="004E0C85"/>
    <w:rsid w:val="004E1CB7"/>
    <w:rsid w:val="004E33F4"/>
    <w:rsid w:val="004E3467"/>
    <w:rsid w:val="004E3918"/>
    <w:rsid w:val="004E39CD"/>
    <w:rsid w:val="004E54DB"/>
    <w:rsid w:val="004E5AE9"/>
    <w:rsid w:val="004E609B"/>
    <w:rsid w:val="004F08D0"/>
    <w:rsid w:val="004F17AC"/>
    <w:rsid w:val="004F21B6"/>
    <w:rsid w:val="004F255D"/>
    <w:rsid w:val="004F3218"/>
    <w:rsid w:val="004F44F6"/>
    <w:rsid w:val="004F669F"/>
    <w:rsid w:val="004F6F62"/>
    <w:rsid w:val="00501044"/>
    <w:rsid w:val="005012B6"/>
    <w:rsid w:val="005028C1"/>
    <w:rsid w:val="0050420B"/>
    <w:rsid w:val="00504561"/>
    <w:rsid w:val="00504FE6"/>
    <w:rsid w:val="00506EDE"/>
    <w:rsid w:val="00510DAE"/>
    <w:rsid w:val="0051237C"/>
    <w:rsid w:val="00512DE0"/>
    <w:rsid w:val="00514A38"/>
    <w:rsid w:val="0051579D"/>
    <w:rsid w:val="00520195"/>
    <w:rsid w:val="0052062B"/>
    <w:rsid w:val="005206AB"/>
    <w:rsid w:val="005217C6"/>
    <w:rsid w:val="00521D94"/>
    <w:rsid w:val="00521F18"/>
    <w:rsid w:val="0052247E"/>
    <w:rsid w:val="005232E3"/>
    <w:rsid w:val="0052333E"/>
    <w:rsid w:val="005241F0"/>
    <w:rsid w:val="00524311"/>
    <w:rsid w:val="00525173"/>
    <w:rsid w:val="00526388"/>
    <w:rsid w:val="005275C4"/>
    <w:rsid w:val="005302AD"/>
    <w:rsid w:val="0053272D"/>
    <w:rsid w:val="00532AFB"/>
    <w:rsid w:val="00532CD7"/>
    <w:rsid w:val="00534113"/>
    <w:rsid w:val="00534523"/>
    <w:rsid w:val="00534C16"/>
    <w:rsid w:val="00535D51"/>
    <w:rsid w:val="005379ED"/>
    <w:rsid w:val="00540E4C"/>
    <w:rsid w:val="00544B46"/>
    <w:rsid w:val="00545E66"/>
    <w:rsid w:val="00547F23"/>
    <w:rsid w:val="00550ADC"/>
    <w:rsid w:val="00550D9B"/>
    <w:rsid w:val="005525CA"/>
    <w:rsid w:val="00552F76"/>
    <w:rsid w:val="0055568E"/>
    <w:rsid w:val="00555E3D"/>
    <w:rsid w:val="0055635A"/>
    <w:rsid w:val="00556D9C"/>
    <w:rsid w:val="00557099"/>
    <w:rsid w:val="00557DAC"/>
    <w:rsid w:val="0056070B"/>
    <w:rsid w:val="00560C55"/>
    <w:rsid w:val="00560E04"/>
    <w:rsid w:val="005610CD"/>
    <w:rsid w:val="00561CA6"/>
    <w:rsid w:val="00562BC7"/>
    <w:rsid w:val="0056334B"/>
    <w:rsid w:val="00564D7E"/>
    <w:rsid w:val="005664D7"/>
    <w:rsid w:val="005664DA"/>
    <w:rsid w:val="00570BAD"/>
    <w:rsid w:val="00570F0C"/>
    <w:rsid w:val="00571CD2"/>
    <w:rsid w:val="00574037"/>
    <w:rsid w:val="00574306"/>
    <w:rsid w:val="00574335"/>
    <w:rsid w:val="00574F1F"/>
    <w:rsid w:val="00576A92"/>
    <w:rsid w:val="00580650"/>
    <w:rsid w:val="0058091D"/>
    <w:rsid w:val="005841E7"/>
    <w:rsid w:val="00584634"/>
    <w:rsid w:val="00584873"/>
    <w:rsid w:val="0058574D"/>
    <w:rsid w:val="00593BD5"/>
    <w:rsid w:val="005948EF"/>
    <w:rsid w:val="005962CC"/>
    <w:rsid w:val="005A02C4"/>
    <w:rsid w:val="005A0A89"/>
    <w:rsid w:val="005A1286"/>
    <w:rsid w:val="005A1DA4"/>
    <w:rsid w:val="005A1ED0"/>
    <w:rsid w:val="005A24F3"/>
    <w:rsid w:val="005A5A3E"/>
    <w:rsid w:val="005A6A70"/>
    <w:rsid w:val="005A7D30"/>
    <w:rsid w:val="005A7E96"/>
    <w:rsid w:val="005B1DF1"/>
    <w:rsid w:val="005B7895"/>
    <w:rsid w:val="005B7ABF"/>
    <w:rsid w:val="005C042B"/>
    <w:rsid w:val="005C14F8"/>
    <w:rsid w:val="005C16F4"/>
    <w:rsid w:val="005C1C48"/>
    <w:rsid w:val="005C4896"/>
    <w:rsid w:val="005C4D8A"/>
    <w:rsid w:val="005C742B"/>
    <w:rsid w:val="005D10B8"/>
    <w:rsid w:val="005D1B6E"/>
    <w:rsid w:val="005D23C3"/>
    <w:rsid w:val="005D462C"/>
    <w:rsid w:val="005D5010"/>
    <w:rsid w:val="005D6AB2"/>
    <w:rsid w:val="005D7A3F"/>
    <w:rsid w:val="005E0542"/>
    <w:rsid w:val="005E0960"/>
    <w:rsid w:val="005E0ABD"/>
    <w:rsid w:val="005E235E"/>
    <w:rsid w:val="005E450E"/>
    <w:rsid w:val="005E4558"/>
    <w:rsid w:val="005E5DDB"/>
    <w:rsid w:val="005E77A9"/>
    <w:rsid w:val="005F4324"/>
    <w:rsid w:val="005F49E4"/>
    <w:rsid w:val="005F4F17"/>
    <w:rsid w:val="005F5194"/>
    <w:rsid w:val="005F5A66"/>
    <w:rsid w:val="005F6C6E"/>
    <w:rsid w:val="005F7AFA"/>
    <w:rsid w:val="005F7BA6"/>
    <w:rsid w:val="006010D9"/>
    <w:rsid w:val="00603538"/>
    <w:rsid w:val="006035A9"/>
    <w:rsid w:val="00604DE4"/>
    <w:rsid w:val="006063E6"/>
    <w:rsid w:val="006071ED"/>
    <w:rsid w:val="00607392"/>
    <w:rsid w:val="006079AF"/>
    <w:rsid w:val="0061282B"/>
    <w:rsid w:val="00612BEB"/>
    <w:rsid w:val="0061482A"/>
    <w:rsid w:val="00615BE1"/>
    <w:rsid w:val="006161D5"/>
    <w:rsid w:val="00616DFD"/>
    <w:rsid w:val="006177D0"/>
    <w:rsid w:val="00617821"/>
    <w:rsid w:val="006215A8"/>
    <w:rsid w:val="00623737"/>
    <w:rsid w:val="006237A3"/>
    <w:rsid w:val="00624AF3"/>
    <w:rsid w:val="006254A7"/>
    <w:rsid w:val="0062597F"/>
    <w:rsid w:val="00632B6A"/>
    <w:rsid w:val="006346A6"/>
    <w:rsid w:val="0063521C"/>
    <w:rsid w:val="00636D08"/>
    <w:rsid w:val="006403C8"/>
    <w:rsid w:val="006415D0"/>
    <w:rsid w:val="006427B4"/>
    <w:rsid w:val="00642D96"/>
    <w:rsid w:val="00642EC1"/>
    <w:rsid w:val="00642FC8"/>
    <w:rsid w:val="00643488"/>
    <w:rsid w:val="0064348A"/>
    <w:rsid w:val="0064425A"/>
    <w:rsid w:val="006450F3"/>
    <w:rsid w:val="00645F99"/>
    <w:rsid w:val="006464D1"/>
    <w:rsid w:val="0064737B"/>
    <w:rsid w:val="00647AEE"/>
    <w:rsid w:val="00651653"/>
    <w:rsid w:val="00652372"/>
    <w:rsid w:val="00652D14"/>
    <w:rsid w:val="00654595"/>
    <w:rsid w:val="006550C1"/>
    <w:rsid w:val="00656F5A"/>
    <w:rsid w:val="00657928"/>
    <w:rsid w:val="00657A71"/>
    <w:rsid w:val="00660D06"/>
    <w:rsid w:val="006615BF"/>
    <w:rsid w:val="00661D83"/>
    <w:rsid w:val="006621F0"/>
    <w:rsid w:val="006622AD"/>
    <w:rsid w:val="00662DED"/>
    <w:rsid w:val="00664166"/>
    <w:rsid w:val="00665F81"/>
    <w:rsid w:val="00666408"/>
    <w:rsid w:val="00667B13"/>
    <w:rsid w:val="00667E99"/>
    <w:rsid w:val="00670009"/>
    <w:rsid w:val="00670472"/>
    <w:rsid w:val="00670847"/>
    <w:rsid w:val="006710C1"/>
    <w:rsid w:val="00673E42"/>
    <w:rsid w:val="00676230"/>
    <w:rsid w:val="00681326"/>
    <w:rsid w:val="00681DBD"/>
    <w:rsid w:val="0068283F"/>
    <w:rsid w:val="00683FE8"/>
    <w:rsid w:val="00687361"/>
    <w:rsid w:val="00690ADA"/>
    <w:rsid w:val="00690BDD"/>
    <w:rsid w:val="00691F40"/>
    <w:rsid w:val="006922DD"/>
    <w:rsid w:val="006929E3"/>
    <w:rsid w:val="00693F66"/>
    <w:rsid w:val="00694D08"/>
    <w:rsid w:val="00695570"/>
    <w:rsid w:val="00697B20"/>
    <w:rsid w:val="00697D8B"/>
    <w:rsid w:val="006A3505"/>
    <w:rsid w:val="006A37D9"/>
    <w:rsid w:val="006A4DD6"/>
    <w:rsid w:val="006A583B"/>
    <w:rsid w:val="006A73B5"/>
    <w:rsid w:val="006A7803"/>
    <w:rsid w:val="006B01BE"/>
    <w:rsid w:val="006B1A99"/>
    <w:rsid w:val="006B3A28"/>
    <w:rsid w:val="006B409D"/>
    <w:rsid w:val="006B4387"/>
    <w:rsid w:val="006B439E"/>
    <w:rsid w:val="006B6152"/>
    <w:rsid w:val="006B6840"/>
    <w:rsid w:val="006B74E9"/>
    <w:rsid w:val="006B7CD6"/>
    <w:rsid w:val="006C0F50"/>
    <w:rsid w:val="006C16FA"/>
    <w:rsid w:val="006C47D4"/>
    <w:rsid w:val="006C5741"/>
    <w:rsid w:val="006C6CDE"/>
    <w:rsid w:val="006C78BD"/>
    <w:rsid w:val="006C7BD1"/>
    <w:rsid w:val="006D04FB"/>
    <w:rsid w:val="006D07E9"/>
    <w:rsid w:val="006D1C95"/>
    <w:rsid w:val="006D2550"/>
    <w:rsid w:val="006D375F"/>
    <w:rsid w:val="006D4D40"/>
    <w:rsid w:val="006D6CC3"/>
    <w:rsid w:val="006E0282"/>
    <w:rsid w:val="006E2B98"/>
    <w:rsid w:val="006E469F"/>
    <w:rsid w:val="006E4FB2"/>
    <w:rsid w:val="006E503C"/>
    <w:rsid w:val="006E5E0A"/>
    <w:rsid w:val="006E628C"/>
    <w:rsid w:val="006E6951"/>
    <w:rsid w:val="006E6D0B"/>
    <w:rsid w:val="006E7F4E"/>
    <w:rsid w:val="006F5981"/>
    <w:rsid w:val="006F6522"/>
    <w:rsid w:val="006F6722"/>
    <w:rsid w:val="006F78EB"/>
    <w:rsid w:val="00703983"/>
    <w:rsid w:val="007046D6"/>
    <w:rsid w:val="00705FBA"/>
    <w:rsid w:val="00707151"/>
    <w:rsid w:val="0071130B"/>
    <w:rsid w:val="00711C96"/>
    <w:rsid w:val="007124FA"/>
    <w:rsid w:val="00712D66"/>
    <w:rsid w:val="00713E8C"/>
    <w:rsid w:val="00714E16"/>
    <w:rsid w:val="00717656"/>
    <w:rsid w:val="007209DF"/>
    <w:rsid w:val="00720BC0"/>
    <w:rsid w:val="00720F7C"/>
    <w:rsid w:val="00721643"/>
    <w:rsid w:val="00722970"/>
    <w:rsid w:val="00722B67"/>
    <w:rsid w:val="00723EB5"/>
    <w:rsid w:val="00723EE6"/>
    <w:rsid w:val="007242FE"/>
    <w:rsid w:val="007244CD"/>
    <w:rsid w:val="007249A6"/>
    <w:rsid w:val="0072642F"/>
    <w:rsid w:val="0073098B"/>
    <w:rsid w:val="00730EC5"/>
    <w:rsid w:val="00732C7A"/>
    <w:rsid w:val="00733AFF"/>
    <w:rsid w:val="00736396"/>
    <w:rsid w:val="0073656A"/>
    <w:rsid w:val="00737F74"/>
    <w:rsid w:val="00740672"/>
    <w:rsid w:val="00743D2D"/>
    <w:rsid w:val="0075157E"/>
    <w:rsid w:val="00755AD5"/>
    <w:rsid w:val="007563A8"/>
    <w:rsid w:val="00756996"/>
    <w:rsid w:val="00756D24"/>
    <w:rsid w:val="00764BA8"/>
    <w:rsid w:val="00765C89"/>
    <w:rsid w:val="0076685B"/>
    <w:rsid w:val="00766C3D"/>
    <w:rsid w:val="00767778"/>
    <w:rsid w:val="00767A33"/>
    <w:rsid w:val="007741AF"/>
    <w:rsid w:val="0077531E"/>
    <w:rsid w:val="007771AD"/>
    <w:rsid w:val="0077743D"/>
    <w:rsid w:val="00777B5A"/>
    <w:rsid w:val="00777C84"/>
    <w:rsid w:val="00780B64"/>
    <w:rsid w:val="00781537"/>
    <w:rsid w:val="00781553"/>
    <w:rsid w:val="007825C1"/>
    <w:rsid w:val="007840AA"/>
    <w:rsid w:val="00785F5E"/>
    <w:rsid w:val="00787A9B"/>
    <w:rsid w:val="00787CC8"/>
    <w:rsid w:val="00787D80"/>
    <w:rsid w:val="0079054B"/>
    <w:rsid w:val="0079303F"/>
    <w:rsid w:val="00793B03"/>
    <w:rsid w:val="00795A5A"/>
    <w:rsid w:val="00796034"/>
    <w:rsid w:val="00796688"/>
    <w:rsid w:val="00796D39"/>
    <w:rsid w:val="007A35AF"/>
    <w:rsid w:val="007B1970"/>
    <w:rsid w:val="007B4161"/>
    <w:rsid w:val="007B42F6"/>
    <w:rsid w:val="007B4310"/>
    <w:rsid w:val="007B5F64"/>
    <w:rsid w:val="007B6660"/>
    <w:rsid w:val="007C1EB8"/>
    <w:rsid w:val="007C5820"/>
    <w:rsid w:val="007C68C9"/>
    <w:rsid w:val="007C76BD"/>
    <w:rsid w:val="007D10EE"/>
    <w:rsid w:val="007D13C6"/>
    <w:rsid w:val="007D479C"/>
    <w:rsid w:val="007D5C9D"/>
    <w:rsid w:val="007D6762"/>
    <w:rsid w:val="007D6A34"/>
    <w:rsid w:val="007D75CB"/>
    <w:rsid w:val="007D7CCC"/>
    <w:rsid w:val="007E08CC"/>
    <w:rsid w:val="007E3149"/>
    <w:rsid w:val="007E4200"/>
    <w:rsid w:val="007E5972"/>
    <w:rsid w:val="007E68D0"/>
    <w:rsid w:val="007E7672"/>
    <w:rsid w:val="007F06F8"/>
    <w:rsid w:val="007F45B9"/>
    <w:rsid w:val="007F6403"/>
    <w:rsid w:val="00801740"/>
    <w:rsid w:val="0080210F"/>
    <w:rsid w:val="00802DE6"/>
    <w:rsid w:val="00805BE6"/>
    <w:rsid w:val="0080629F"/>
    <w:rsid w:val="008103AD"/>
    <w:rsid w:val="00810A73"/>
    <w:rsid w:val="008118F2"/>
    <w:rsid w:val="008135B4"/>
    <w:rsid w:val="008138F1"/>
    <w:rsid w:val="00813997"/>
    <w:rsid w:val="00815183"/>
    <w:rsid w:val="00816983"/>
    <w:rsid w:val="00816D36"/>
    <w:rsid w:val="0081737D"/>
    <w:rsid w:val="0082034F"/>
    <w:rsid w:val="008210C8"/>
    <w:rsid w:val="0082185B"/>
    <w:rsid w:val="0082209E"/>
    <w:rsid w:val="00822FA5"/>
    <w:rsid w:val="0082770C"/>
    <w:rsid w:val="00827857"/>
    <w:rsid w:val="00830E22"/>
    <w:rsid w:val="00830F53"/>
    <w:rsid w:val="00834E6B"/>
    <w:rsid w:val="0083563D"/>
    <w:rsid w:val="00835CE3"/>
    <w:rsid w:val="0083704F"/>
    <w:rsid w:val="00841182"/>
    <w:rsid w:val="00843972"/>
    <w:rsid w:val="008456C7"/>
    <w:rsid w:val="008457DC"/>
    <w:rsid w:val="00845810"/>
    <w:rsid w:val="00845A5E"/>
    <w:rsid w:val="00845B47"/>
    <w:rsid w:val="00847985"/>
    <w:rsid w:val="00850CEE"/>
    <w:rsid w:val="008532FF"/>
    <w:rsid w:val="008533E1"/>
    <w:rsid w:val="008540C5"/>
    <w:rsid w:val="008548F1"/>
    <w:rsid w:val="00854A1E"/>
    <w:rsid w:val="00854C16"/>
    <w:rsid w:val="008567CB"/>
    <w:rsid w:val="00860245"/>
    <w:rsid w:val="00861149"/>
    <w:rsid w:val="0086128F"/>
    <w:rsid w:val="008620F0"/>
    <w:rsid w:val="008621C5"/>
    <w:rsid w:val="00862626"/>
    <w:rsid w:val="00863DE4"/>
    <w:rsid w:val="00867AA7"/>
    <w:rsid w:val="00871AE4"/>
    <w:rsid w:val="00871DCE"/>
    <w:rsid w:val="0087499F"/>
    <w:rsid w:val="008757CE"/>
    <w:rsid w:val="0087630F"/>
    <w:rsid w:val="00876E72"/>
    <w:rsid w:val="0087790A"/>
    <w:rsid w:val="008804A8"/>
    <w:rsid w:val="00881A3D"/>
    <w:rsid w:val="00881C7E"/>
    <w:rsid w:val="00881DBA"/>
    <w:rsid w:val="008827F5"/>
    <w:rsid w:val="008874BE"/>
    <w:rsid w:val="00892BBE"/>
    <w:rsid w:val="00893829"/>
    <w:rsid w:val="00896461"/>
    <w:rsid w:val="008966F8"/>
    <w:rsid w:val="00896B34"/>
    <w:rsid w:val="00897EC0"/>
    <w:rsid w:val="008A04B5"/>
    <w:rsid w:val="008A0557"/>
    <w:rsid w:val="008A05F6"/>
    <w:rsid w:val="008A1E11"/>
    <w:rsid w:val="008A25B5"/>
    <w:rsid w:val="008A2AC3"/>
    <w:rsid w:val="008A2F33"/>
    <w:rsid w:val="008A67F3"/>
    <w:rsid w:val="008A7ECC"/>
    <w:rsid w:val="008B0707"/>
    <w:rsid w:val="008B1A8E"/>
    <w:rsid w:val="008B2183"/>
    <w:rsid w:val="008B22A0"/>
    <w:rsid w:val="008B36BE"/>
    <w:rsid w:val="008B4377"/>
    <w:rsid w:val="008B5108"/>
    <w:rsid w:val="008B548D"/>
    <w:rsid w:val="008B6991"/>
    <w:rsid w:val="008B716A"/>
    <w:rsid w:val="008B793E"/>
    <w:rsid w:val="008C0126"/>
    <w:rsid w:val="008C07C6"/>
    <w:rsid w:val="008C1BEE"/>
    <w:rsid w:val="008C2DDB"/>
    <w:rsid w:val="008C36B5"/>
    <w:rsid w:val="008C3AD4"/>
    <w:rsid w:val="008C3CFF"/>
    <w:rsid w:val="008C4717"/>
    <w:rsid w:val="008C659B"/>
    <w:rsid w:val="008D0F23"/>
    <w:rsid w:val="008D472C"/>
    <w:rsid w:val="008D659E"/>
    <w:rsid w:val="008E0593"/>
    <w:rsid w:val="008E133C"/>
    <w:rsid w:val="008E23E2"/>
    <w:rsid w:val="008E4E36"/>
    <w:rsid w:val="008F0210"/>
    <w:rsid w:val="008F3F20"/>
    <w:rsid w:val="008F3FEB"/>
    <w:rsid w:val="008F55B1"/>
    <w:rsid w:val="008F5D38"/>
    <w:rsid w:val="008F5EB6"/>
    <w:rsid w:val="008F602B"/>
    <w:rsid w:val="008F60C8"/>
    <w:rsid w:val="008F7A9D"/>
    <w:rsid w:val="008F7EF3"/>
    <w:rsid w:val="00903327"/>
    <w:rsid w:val="00905493"/>
    <w:rsid w:val="00907569"/>
    <w:rsid w:val="00907B4B"/>
    <w:rsid w:val="00907BC9"/>
    <w:rsid w:val="0091058F"/>
    <w:rsid w:val="00911407"/>
    <w:rsid w:val="0091229C"/>
    <w:rsid w:val="00912349"/>
    <w:rsid w:val="00912F36"/>
    <w:rsid w:val="009154DE"/>
    <w:rsid w:val="00916F16"/>
    <w:rsid w:val="00917269"/>
    <w:rsid w:val="0092087D"/>
    <w:rsid w:val="009247F8"/>
    <w:rsid w:val="00924B83"/>
    <w:rsid w:val="009253F7"/>
    <w:rsid w:val="00926D80"/>
    <w:rsid w:val="00927375"/>
    <w:rsid w:val="009345A9"/>
    <w:rsid w:val="00934FDB"/>
    <w:rsid w:val="00937007"/>
    <w:rsid w:val="00937E71"/>
    <w:rsid w:val="00941577"/>
    <w:rsid w:val="009427D5"/>
    <w:rsid w:val="00942BC4"/>
    <w:rsid w:val="00944D0C"/>
    <w:rsid w:val="009468B6"/>
    <w:rsid w:val="0095070F"/>
    <w:rsid w:val="009523A3"/>
    <w:rsid w:val="00954489"/>
    <w:rsid w:val="00956CE2"/>
    <w:rsid w:val="00957008"/>
    <w:rsid w:val="0095798D"/>
    <w:rsid w:val="00960A3C"/>
    <w:rsid w:val="00963140"/>
    <w:rsid w:val="00963BAE"/>
    <w:rsid w:val="00964AF5"/>
    <w:rsid w:val="00964E49"/>
    <w:rsid w:val="00967133"/>
    <w:rsid w:val="00972D99"/>
    <w:rsid w:val="00973972"/>
    <w:rsid w:val="00976A3A"/>
    <w:rsid w:val="00977D9C"/>
    <w:rsid w:val="00980439"/>
    <w:rsid w:val="0098160C"/>
    <w:rsid w:val="009818D4"/>
    <w:rsid w:val="00981A3C"/>
    <w:rsid w:val="00983491"/>
    <w:rsid w:val="00984F21"/>
    <w:rsid w:val="00985482"/>
    <w:rsid w:val="00985EF4"/>
    <w:rsid w:val="00986F59"/>
    <w:rsid w:val="009875BF"/>
    <w:rsid w:val="00990F1C"/>
    <w:rsid w:val="0099210F"/>
    <w:rsid w:val="00992861"/>
    <w:rsid w:val="00992DC4"/>
    <w:rsid w:val="00997398"/>
    <w:rsid w:val="009A0039"/>
    <w:rsid w:val="009A1515"/>
    <w:rsid w:val="009A42C3"/>
    <w:rsid w:val="009A5195"/>
    <w:rsid w:val="009A5469"/>
    <w:rsid w:val="009A65C7"/>
    <w:rsid w:val="009A6923"/>
    <w:rsid w:val="009A72CF"/>
    <w:rsid w:val="009A7511"/>
    <w:rsid w:val="009B000B"/>
    <w:rsid w:val="009B12E9"/>
    <w:rsid w:val="009B4B28"/>
    <w:rsid w:val="009B6193"/>
    <w:rsid w:val="009C4843"/>
    <w:rsid w:val="009C6A78"/>
    <w:rsid w:val="009C72E9"/>
    <w:rsid w:val="009D26E5"/>
    <w:rsid w:val="009D383D"/>
    <w:rsid w:val="009D5B89"/>
    <w:rsid w:val="009D6C0E"/>
    <w:rsid w:val="009E05E7"/>
    <w:rsid w:val="009E0D70"/>
    <w:rsid w:val="009E50A6"/>
    <w:rsid w:val="009E6A63"/>
    <w:rsid w:val="009F0F05"/>
    <w:rsid w:val="009F1136"/>
    <w:rsid w:val="009F5181"/>
    <w:rsid w:val="009F6412"/>
    <w:rsid w:val="009F65A2"/>
    <w:rsid w:val="009F7F4B"/>
    <w:rsid w:val="00A032DA"/>
    <w:rsid w:val="00A058AA"/>
    <w:rsid w:val="00A06582"/>
    <w:rsid w:val="00A0702A"/>
    <w:rsid w:val="00A115CD"/>
    <w:rsid w:val="00A12385"/>
    <w:rsid w:val="00A131F7"/>
    <w:rsid w:val="00A16343"/>
    <w:rsid w:val="00A20B30"/>
    <w:rsid w:val="00A211D6"/>
    <w:rsid w:val="00A22B64"/>
    <w:rsid w:val="00A22E71"/>
    <w:rsid w:val="00A23953"/>
    <w:rsid w:val="00A24DD5"/>
    <w:rsid w:val="00A254F2"/>
    <w:rsid w:val="00A25F3A"/>
    <w:rsid w:val="00A2761C"/>
    <w:rsid w:val="00A30366"/>
    <w:rsid w:val="00A306F8"/>
    <w:rsid w:val="00A30A34"/>
    <w:rsid w:val="00A31158"/>
    <w:rsid w:val="00A407F3"/>
    <w:rsid w:val="00A41065"/>
    <w:rsid w:val="00A41E5E"/>
    <w:rsid w:val="00A426F2"/>
    <w:rsid w:val="00A42797"/>
    <w:rsid w:val="00A4714E"/>
    <w:rsid w:val="00A472DE"/>
    <w:rsid w:val="00A52144"/>
    <w:rsid w:val="00A5282A"/>
    <w:rsid w:val="00A531D6"/>
    <w:rsid w:val="00A538C4"/>
    <w:rsid w:val="00A540B2"/>
    <w:rsid w:val="00A57B14"/>
    <w:rsid w:val="00A65A4D"/>
    <w:rsid w:val="00A70B19"/>
    <w:rsid w:val="00A71EE3"/>
    <w:rsid w:val="00A72BED"/>
    <w:rsid w:val="00A735A7"/>
    <w:rsid w:val="00A73820"/>
    <w:rsid w:val="00A765DD"/>
    <w:rsid w:val="00A77CB5"/>
    <w:rsid w:val="00A77FE4"/>
    <w:rsid w:val="00A805E3"/>
    <w:rsid w:val="00A832D0"/>
    <w:rsid w:val="00A835A9"/>
    <w:rsid w:val="00A836B9"/>
    <w:rsid w:val="00A83CAE"/>
    <w:rsid w:val="00A84AB9"/>
    <w:rsid w:val="00A86012"/>
    <w:rsid w:val="00A861EE"/>
    <w:rsid w:val="00A87795"/>
    <w:rsid w:val="00A90196"/>
    <w:rsid w:val="00A909D8"/>
    <w:rsid w:val="00A91E45"/>
    <w:rsid w:val="00A94AB7"/>
    <w:rsid w:val="00A94ACE"/>
    <w:rsid w:val="00A96CFA"/>
    <w:rsid w:val="00AA01E2"/>
    <w:rsid w:val="00AA0218"/>
    <w:rsid w:val="00AA0AAA"/>
    <w:rsid w:val="00AA2ACD"/>
    <w:rsid w:val="00AA3F46"/>
    <w:rsid w:val="00AA4AA8"/>
    <w:rsid w:val="00AA4B49"/>
    <w:rsid w:val="00AA6FEE"/>
    <w:rsid w:val="00AA7938"/>
    <w:rsid w:val="00AA7B60"/>
    <w:rsid w:val="00AB11CA"/>
    <w:rsid w:val="00AB4F31"/>
    <w:rsid w:val="00AB5FD1"/>
    <w:rsid w:val="00AB7E1A"/>
    <w:rsid w:val="00AC1192"/>
    <w:rsid w:val="00AC131D"/>
    <w:rsid w:val="00AC1BD0"/>
    <w:rsid w:val="00AC1DC6"/>
    <w:rsid w:val="00AC38B2"/>
    <w:rsid w:val="00AC3915"/>
    <w:rsid w:val="00AC3C04"/>
    <w:rsid w:val="00AC3EE2"/>
    <w:rsid w:val="00AC47E9"/>
    <w:rsid w:val="00AC4E86"/>
    <w:rsid w:val="00AC5DB1"/>
    <w:rsid w:val="00AC61D1"/>
    <w:rsid w:val="00AC6E0C"/>
    <w:rsid w:val="00AC6F22"/>
    <w:rsid w:val="00AD34EE"/>
    <w:rsid w:val="00AD41D1"/>
    <w:rsid w:val="00AD4555"/>
    <w:rsid w:val="00AD726C"/>
    <w:rsid w:val="00AD78EA"/>
    <w:rsid w:val="00AD798E"/>
    <w:rsid w:val="00AE3FD6"/>
    <w:rsid w:val="00AE4E31"/>
    <w:rsid w:val="00AE626B"/>
    <w:rsid w:val="00AE68D9"/>
    <w:rsid w:val="00AE7588"/>
    <w:rsid w:val="00AF04CB"/>
    <w:rsid w:val="00AF06D0"/>
    <w:rsid w:val="00AF1133"/>
    <w:rsid w:val="00AF1323"/>
    <w:rsid w:val="00AF1672"/>
    <w:rsid w:val="00AF182B"/>
    <w:rsid w:val="00AF2133"/>
    <w:rsid w:val="00AF2DFF"/>
    <w:rsid w:val="00AF3D8B"/>
    <w:rsid w:val="00AF42C7"/>
    <w:rsid w:val="00AF5664"/>
    <w:rsid w:val="00AF5CEB"/>
    <w:rsid w:val="00AF7C6A"/>
    <w:rsid w:val="00AF7CA0"/>
    <w:rsid w:val="00B0003E"/>
    <w:rsid w:val="00B02BF9"/>
    <w:rsid w:val="00B034B3"/>
    <w:rsid w:val="00B03750"/>
    <w:rsid w:val="00B044AC"/>
    <w:rsid w:val="00B056AD"/>
    <w:rsid w:val="00B06A1E"/>
    <w:rsid w:val="00B0749E"/>
    <w:rsid w:val="00B079D9"/>
    <w:rsid w:val="00B10764"/>
    <w:rsid w:val="00B1098C"/>
    <w:rsid w:val="00B12678"/>
    <w:rsid w:val="00B13568"/>
    <w:rsid w:val="00B13AEA"/>
    <w:rsid w:val="00B1574C"/>
    <w:rsid w:val="00B16AF5"/>
    <w:rsid w:val="00B170AC"/>
    <w:rsid w:val="00B174EA"/>
    <w:rsid w:val="00B2103A"/>
    <w:rsid w:val="00B220CB"/>
    <w:rsid w:val="00B22B19"/>
    <w:rsid w:val="00B23143"/>
    <w:rsid w:val="00B2344D"/>
    <w:rsid w:val="00B25831"/>
    <w:rsid w:val="00B30735"/>
    <w:rsid w:val="00B30B75"/>
    <w:rsid w:val="00B33376"/>
    <w:rsid w:val="00B342FC"/>
    <w:rsid w:val="00B34BCD"/>
    <w:rsid w:val="00B3645E"/>
    <w:rsid w:val="00B378C7"/>
    <w:rsid w:val="00B378D2"/>
    <w:rsid w:val="00B37EBC"/>
    <w:rsid w:val="00B4014B"/>
    <w:rsid w:val="00B417DF"/>
    <w:rsid w:val="00B43A18"/>
    <w:rsid w:val="00B44E07"/>
    <w:rsid w:val="00B45DC6"/>
    <w:rsid w:val="00B46E1F"/>
    <w:rsid w:val="00B46EDF"/>
    <w:rsid w:val="00B47455"/>
    <w:rsid w:val="00B47900"/>
    <w:rsid w:val="00B47EFD"/>
    <w:rsid w:val="00B5116B"/>
    <w:rsid w:val="00B526B0"/>
    <w:rsid w:val="00B543CF"/>
    <w:rsid w:val="00B54556"/>
    <w:rsid w:val="00B55404"/>
    <w:rsid w:val="00B557B5"/>
    <w:rsid w:val="00B558A8"/>
    <w:rsid w:val="00B60E0C"/>
    <w:rsid w:val="00B612F5"/>
    <w:rsid w:val="00B619ED"/>
    <w:rsid w:val="00B61DDD"/>
    <w:rsid w:val="00B62EFF"/>
    <w:rsid w:val="00B63545"/>
    <w:rsid w:val="00B64AF3"/>
    <w:rsid w:val="00B6534B"/>
    <w:rsid w:val="00B655EF"/>
    <w:rsid w:val="00B656F6"/>
    <w:rsid w:val="00B65E73"/>
    <w:rsid w:val="00B67C7E"/>
    <w:rsid w:val="00B71577"/>
    <w:rsid w:val="00B746F2"/>
    <w:rsid w:val="00B7519D"/>
    <w:rsid w:val="00B76C99"/>
    <w:rsid w:val="00B80C0A"/>
    <w:rsid w:val="00B8177F"/>
    <w:rsid w:val="00B82146"/>
    <w:rsid w:val="00B83142"/>
    <w:rsid w:val="00B851A1"/>
    <w:rsid w:val="00B85278"/>
    <w:rsid w:val="00B875C8"/>
    <w:rsid w:val="00B908B0"/>
    <w:rsid w:val="00B91921"/>
    <w:rsid w:val="00B928D3"/>
    <w:rsid w:val="00B929D2"/>
    <w:rsid w:val="00B93E3D"/>
    <w:rsid w:val="00B946CB"/>
    <w:rsid w:val="00B94A4E"/>
    <w:rsid w:val="00B94D10"/>
    <w:rsid w:val="00B95A46"/>
    <w:rsid w:val="00B96FDC"/>
    <w:rsid w:val="00BA5BE3"/>
    <w:rsid w:val="00BA772E"/>
    <w:rsid w:val="00BB2117"/>
    <w:rsid w:val="00BB27CA"/>
    <w:rsid w:val="00BB2C30"/>
    <w:rsid w:val="00BB36D3"/>
    <w:rsid w:val="00BB3BBC"/>
    <w:rsid w:val="00BB3D14"/>
    <w:rsid w:val="00BB473A"/>
    <w:rsid w:val="00BB4FB3"/>
    <w:rsid w:val="00BB58FA"/>
    <w:rsid w:val="00BB5F6D"/>
    <w:rsid w:val="00BB6375"/>
    <w:rsid w:val="00BB6AED"/>
    <w:rsid w:val="00BB6AFD"/>
    <w:rsid w:val="00BC09EB"/>
    <w:rsid w:val="00BC4CA8"/>
    <w:rsid w:val="00BC51C3"/>
    <w:rsid w:val="00BC6787"/>
    <w:rsid w:val="00BD02CA"/>
    <w:rsid w:val="00BD16FE"/>
    <w:rsid w:val="00BD1C3E"/>
    <w:rsid w:val="00BD59DC"/>
    <w:rsid w:val="00BD6395"/>
    <w:rsid w:val="00BD6AA8"/>
    <w:rsid w:val="00BD6DAE"/>
    <w:rsid w:val="00BD7858"/>
    <w:rsid w:val="00BD7D42"/>
    <w:rsid w:val="00BE2CDA"/>
    <w:rsid w:val="00BE349B"/>
    <w:rsid w:val="00BE4452"/>
    <w:rsid w:val="00BE4E88"/>
    <w:rsid w:val="00BE55FA"/>
    <w:rsid w:val="00BE5AE5"/>
    <w:rsid w:val="00BE70A3"/>
    <w:rsid w:val="00BF5117"/>
    <w:rsid w:val="00BF7271"/>
    <w:rsid w:val="00C00102"/>
    <w:rsid w:val="00C0027F"/>
    <w:rsid w:val="00C00600"/>
    <w:rsid w:val="00C00BF4"/>
    <w:rsid w:val="00C01430"/>
    <w:rsid w:val="00C03CFF"/>
    <w:rsid w:val="00C04D00"/>
    <w:rsid w:val="00C05571"/>
    <w:rsid w:val="00C06322"/>
    <w:rsid w:val="00C10EE6"/>
    <w:rsid w:val="00C11DFD"/>
    <w:rsid w:val="00C12D32"/>
    <w:rsid w:val="00C13509"/>
    <w:rsid w:val="00C1503F"/>
    <w:rsid w:val="00C20976"/>
    <w:rsid w:val="00C21497"/>
    <w:rsid w:val="00C223CA"/>
    <w:rsid w:val="00C23A29"/>
    <w:rsid w:val="00C24949"/>
    <w:rsid w:val="00C24C14"/>
    <w:rsid w:val="00C274BF"/>
    <w:rsid w:val="00C317E6"/>
    <w:rsid w:val="00C32B69"/>
    <w:rsid w:val="00C33785"/>
    <w:rsid w:val="00C35588"/>
    <w:rsid w:val="00C36298"/>
    <w:rsid w:val="00C377DC"/>
    <w:rsid w:val="00C4318F"/>
    <w:rsid w:val="00C43892"/>
    <w:rsid w:val="00C466F1"/>
    <w:rsid w:val="00C470CF"/>
    <w:rsid w:val="00C4778A"/>
    <w:rsid w:val="00C50CBF"/>
    <w:rsid w:val="00C51080"/>
    <w:rsid w:val="00C537A3"/>
    <w:rsid w:val="00C54F79"/>
    <w:rsid w:val="00C5550E"/>
    <w:rsid w:val="00C55EBD"/>
    <w:rsid w:val="00C5649B"/>
    <w:rsid w:val="00C56BCF"/>
    <w:rsid w:val="00C57D9A"/>
    <w:rsid w:val="00C61221"/>
    <w:rsid w:val="00C62ECE"/>
    <w:rsid w:val="00C63EA0"/>
    <w:rsid w:val="00C640EF"/>
    <w:rsid w:val="00C653F5"/>
    <w:rsid w:val="00C6711E"/>
    <w:rsid w:val="00C720F6"/>
    <w:rsid w:val="00C72965"/>
    <w:rsid w:val="00C735E5"/>
    <w:rsid w:val="00C7413C"/>
    <w:rsid w:val="00C74650"/>
    <w:rsid w:val="00C7477E"/>
    <w:rsid w:val="00C7481E"/>
    <w:rsid w:val="00C74837"/>
    <w:rsid w:val="00C75947"/>
    <w:rsid w:val="00C80727"/>
    <w:rsid w:val="00C80B66"/>
    <w:rsid w:val="00C82157"/>
    <w:rsid w:val="00C82A6D"/>
    <w:rsid w:val="00C82CB0"/>
    <w:rsid w:val="00C8428C"/>
    <w:rsid w:val="00C84395"/>
    <w:rsid w:val="00C84EC6"/>
    <w:rsid w:val="00C852A7"/>
    <w:rsid w:val="00C867FC"/>
    <w:rsid w:val="00C90459"/>
    <w:rsid w:val="00C91506"/>
    <w:rsid w:val="00C95417"/>
    <w:rsid w:val="00CA1C7A"/>
    <w:rsid w:val="00CA1DEE"/>
    <w:rsid w:val="00CA2D24"/>
    <w:rsid w:val="00CA47C6"/>
    <w:rsid w:val="00CA600E"/>
    <w:rsid w:val="00CA69C4"/>
    <w:rsid w:val="00CA7D70"/>
    <w:rsid w:val="00CB0799"/>
    <w:rsid w:val="00CB3E88"/>
    <w:rsid w:val="00CB427F"/>
    <w:rsid w:val="00CB4DBE"/>
    <w:rsid w:val="00CB5BD4"/>
    <w:rsid w:val="00CB6E45"/>
    <w:rsid w:val="00CC2861"/>
    <w:rsid w:val="00CC29FA"/>
    <w:rsid w:val="00CC32D6"/>
    <w:rsid w:val="00CC32DC"/>
    <w:rsid w:val="00CC4250"/>
    <w:rsid w:val="00CC43C2"/>
    <w:rsid w:val="00CC4550"/>
    <w:rsid w:val="00CD238D"/>
    <w:rsid w:val="00CD2420"/>
    <w:rsid w:val="00CD3889"/>
    <w:rsid w:val="00CD3B29"/>
    <w:rsid w:val="00CD4390"/>
    <w:rsid w:val="00CD4E5C"/>
    <w:rsid w:val="00CD5F6E"/>
    <w:rsid w:val="00CD63E6"/>
    <w:rsid w:val="00CD655A"/>
    <w:rsid w:val="00CD7D14"/>
    <w:rsid w:val="00CD7FEC"/>
    <w:rsid w:val="00CE118C"/>
    <w:rsid w:val="00CE2F6E"/>
    <w:rsid w:val="00CE35C1"/>
    <w:rsid w:val="00CE3D68"/>
    <w:rsid w:val="00CE4118"/>
    <w:rsid w:val="00CE632A"/>
    <w:rsid w:val="00CF05ED"/>
    <w:rsid w:val="00CF15A4"/>
    <w:rsid w:val="00CF229F"/>
    <w:rsid w:val="00CF3484"/>
    <w:rsid w:val="00CF34F4"/>
    <w:rsid w:val="00CF7145"/>
    <w:rsid w:val="00CF7E6C"/>
    <w:rsid w:val="00D01A89"/>
    <w:rsid w:val="00D02986"/>
    <w:rsid w:val="00D046E6"/>
    <w:rsid w:val="00D05A59"/>
    <w:rsid w:val="00D060FF"/>
    <w:rsid w:val="00D06DFE"/>
    <w:rsid w:val="00D1071A"/>
    <w:rsid w:val="00D16F47"/>
    <w:rsid w:val="00D17900"/>
    <w:rsid w:val="00D20A88"/>
    <w:rsid w:val="00D23132"/>
    <w:rsid w:val="00D23770"/>
    <w:rsid w:val="00D25741"/>
    <w:rsid w:val="00D27EF4"/>
    <w:rsid w:val="00D30E38"/>
    <w:rsid w:val="00D31121"/>
    <w:rsid w:val="00D31EF3"/>
    <w:rsid w:val="00D32E7D"/>
    <w:rsid w:val="00D33E2C"/>
    <w:rsid w:val="00D34DCA"/>
    <w:rsid w:val="00D3628A"/>
    <w:rsid w:val="00D3688C"/>
    <w:rsid w:val="00D36AF5"/>
    <w:rsid w:val="00D37349"/>
    <w:rsid w:val="00D376AF"/>
    <w:rsid w:val="00D40213"/>
    <w:rsid w:val="00D41287"/>
    <w:rsid w:val="00D41B8A"/>
    <w:rsid w:val="00D4210E"/>
    <w:rsid w:val="00D421B0"/>
    <w:rsid w:val="00D43EA3"/>
    <w:rsid w:val="00D504FE"/>
    <w:rsid w:val="00D50501"/>
    <w:rsid w:val="00D50E3E"/>
    <w:rsid w:val="00D510E4"/>
    <w:rsid w:val="00D518FB"/>
    <w:rsid w:val="00D529B9"/>
    <w:rsid w:val="00D52E86"/>
    <w:rsid w:val="00D539C7"/>
    <w:rsid w:val="00D53F87"/>
    <w:rsid w:val="00D5492C"/>
    <w:rsid w:val="00D602C6"/>
    <w:rsid w:val="00D67709"/>
    <w:rsid w:val="00D70ABD"/>
    <w:rsid w:val="00D7203E"/>
    <w:rsid w:val="00D72B62"/>
    <w:rsid w:val="00D72D39"/>
    <w:rsid w:val="00D7392E"/>
    <w:rsid w:val="00D73AA1"/>
    <w:rsid w:val="00D73CA6"/>
    <w:rsid w:val="00D742DF"/>
    <w:rsid w:val="00D77325"/>
    <w:rsid w:val="00D77430"/>
    <w:rsid w:val="00D77E63"/>
    <w:rsid w:val="00D81755"/>
    <w:rsid w:val="00D82A95"/>
    <w:rsid w:val="00D832FF"/>
    <w:rsid w:val="00D83CD2"/>
    <w:rsid w:val="00D84809"/>
    <w:rsid w:val="00D853F3"/>
    <w:rsid w:val="00D86602"/>
    <w:rsid w:val="00D90476"/>
    <w:rsid w:val="00D91086"/>
    <w:rsid w:val="00D91F4B"/>
    <w:rsid w:val="00D924D1"/>
    <w:rsid w:val="00D94137"/>
    <w:rsid w:val="00D943B2"/>
    <w:rsid w:val="00D95313"/>
    <w:rsid w:val="00D978F3"/>
    <w:rsid w:val="00D97B6C"/>
    <w:rsid w:val="00DA1AE5"/>
    <w:rsid w:val="00DA2184"/>
    <w:rsid w:val="00DA2481"/>
    <w:rsid w:val="00DA4AA5"/>
    <w:rsid w:val="00DA54D4"/>
    <w:rsid w:val="00DA62CB"/>
    <w:rsid w:val="00DA7296"/>
    <w:rsid w:val="00DA7D19"/>
    <w:rsid w:val="00DB1BB5"/>
    <w:rsid w:val="00DB3A90"/>
    <w:rsid w:val="00DB3E85"/>
    <w:rsid w:val="00DB4B74"/>
    <w:rsid w:val="00DB620A"/>
    <w:rsid w:val="00DB7546"/>
    <w:rsid w:val="00DC10C6"/>
    <w:rsid w:val="00DC627D"/>
    <w:rsid w:val="00DC7574"/>
    <w:rsid w:val="00DD1306"/>
    <w:rsid w:val="00DD3640"/>
    <w:rsid w:val="00DD3D52"/>
    <w:rsid w:val="00DD4465"/>
    <w:rsid w:val="00DD609C"/>
    <w:rsid w:val="00DE018E"/>
    <w:rsid w:val="00DE025E"/>
    <w:rsid w:val="00DE1210"/>
    <w:rsid w:val="00DE1851"/>
    <w:rsid w:val="00DF07B9"/>
    <w:rsid w:val="00DF0892"/>
    <w:rsid w:val="00DF0CAD"/>
    <w:rsid w:val="00DF1938"/>
    <w:rsid w:val="00E00440"/>
    <w:rsid w:val="00E03205"/>
    <w:rsid w:val="00E03D0D"/>
    <w:rsid w:val="00E05D42"/>
    <w:rsid w:val="00E12A13"/>
    <w:rsid w:val="00E150A6"/>
    <w:rsid w:val="00E158B0"/>
    <w:rsid w:val="00E15EAD"/>
    <w:rsid w:val="00E17CF1"/>
    <w:rsid w:val="00E221A8"/>
    <w:rsid w:val="00E22751"/>
    <w:rsid w:val="00E22CB6"/>
    <w:rsid w:val="00E23447"/>
    <w:rsid w:val="00E24726"/>
    <w:rsid w:val="00E24D42"/>
    <w:rsid w:val="00E255D2"/>
    <w:rsid w:val="00E25FA3"/>
    <w:rsid w:val="00E279C8"/>
    <w:rsid w:val="00E27F28"/>
    <w:rsid w:val="00E3020C"/>
    <w:rsid w:val="00E30756"/>
    <w:rsid w:val="00E31861"/>
    <w:rsid w:val="00E33FE4"/>
    <w:rsid w:val="00E35A72"/>
    <w:rsid w:val="00E37C6A"/>
    <w:rsid w:val="00E41D5D"/>
    <w:rsid w:val="00E43362"/>
    <w:rsid w:val="00E4489A"/>
    <w:rsid w:val="00E46234"/>
    <w:rsid w:val="00E46E69"/>
    <w:rsid w:val="00E510CC"/>
    <w:rsid w:val="00E53749"/>
    <w:rsid w:val="00E55206"/>
    <w:rsid w:val="00E55680"/>
    <w:rsid w:val="00E56F4D"/>
    <w:rsid w:val="00E5797E"/>
    <w:rsid w:val="00E609B3"/>
    <w:rsid w:val="00E61C68"/>
    <w:rsid w:val="00E625A0"/>
    <w:rsid w:val="00E63287"/>
    <w:rsid w:val="00E64159"/>
    <w:rsid w:val="00E65269"/>
    <w:rsid w:val="00E65E9D"/>
    <w:rsid w:val="00E67B39"/>
    <w:rsid w:val="00E71080"/>
    <w:rsid w:val="00E7118C"/>
    <w:rsid w:val="00E73729"/>
    <w:rsid w:val="00E75272"/>
    <w:rsid w:val="00E75491"/>
    <w:rsid w:val="00E75599"/>
    <w:rsid w:val="00E80430"/>
    <w:rsid w:val="00E84B69"/>
    <w:rsid w:val="00E869E9"/>
    <w:rsid w:val="00E86A34"/>
    <w:rsid w:val="00E91A2A"/>
    <w:rsid w:val="00E93570"/>
    <w:rsid w:val="00E93623"/>
    <w:rsid w:val="00E9539D"/>
    <w:rsid w:val="00E95B30"/>
    <w:rsid w:val="00E96CE0"/>
    <w:rsid w:val="00EA0EFB"/>
    <w:rsid w:val="00EA298E"/>
    <w:rsid w:val="00EA4020"/>
    <w:rsid w:val="00EA4562"/>
    <w:rsid w:val="00EA45A5"/>
    <w:rsid w:val="00EA47D9"/>
    <w:rsid w:val="00EA6E57"/>
    <w:rsid w:val="00EA701B"/>
    <w:rsid w:val="00EB17CF"/>
    <w:rsid w:val="00EB4B80"/>
    <w:rsid w:val="00EB6CDE"/>
    <w:rsid w:val="00EC05C0"/>
    <w:rsid w:val="00EC0969"/>
    <w:rsid w:val="00EC1EDA"/>
    <w:rsid w:val="00EC296E"/>
    <w:rsid w:val="00ED1641"/>
    <w:rsid w:val="00ED1805"/>
    <w:rsid w:val="00ED2E91"/>
    <w:rsid w:val="00ED6C65"/>
    <w:rsid w:val="00ED6D59"/>
    <w:rsid w:val="00ED722E"/>
    <w:rsid w:val="00EE00C6"/>
    <w:rsid w:val="00EE09FE"/>
    <w:rsid w:val="00EE0F4F"/>
    <w:rsid w:val="00EE351C"/>
    <w:rsid w:val="00EE4F32"/>
    <w:rsid w:val="00EE5898"/>
    <w:rsid w:val="00EF027A"/>
    <w:rsid w:val="00EF12AF"/>
    <w:rsid w:val="00EF5115"/>
    <w:rsid w:val="00EF747E"/>
    <w:rsid w:val="00EF771E"/>
    <w:rsid w:val="00EF7C62"/>
    <w:rsid w:val="00F0149D"/>
    <w:rsid w:val="00F02045"/>
    <w:rsid w:val="00F03806"/>
    <w:rsid w:val="00F0659D"/>
    <w:rsid w:val="00F07C1A"/>
    <w:rsid w:val="00F1213F"/>
    <w:rsid w:val="00F122E2"/>
    <w:rsid w:val="00F13346"/>
    <w:rsid w:val="00F14F53"/>
    <w:rsid w:val="00F161C1"/>
    <w:rsid w:val="00F17D52"/>
    <w:rsid w:val="00F20225"/>
    <w:rsid w:val="00F2127E"/>
    <w:rsid w:val="00F2181B"/>
    <w:rsid w:val="00F2387B"/>
    <w:rsid w:val="00F253B3"/>
    <w:rsid w:val="00F256DB"/>
    <w:rsid w:val="00F26645"/>
    <w:rsid w:val="00F26AD9"/>
    <w:rsid w:val="00F31F3A"/>
    <w:rsid w:val="00F32B2A"/>
    <w:rsid w:val="00F332CA"/>
    <w:rsid w:val="00F33B57"/>
    <w:rsid w:val="00F34976"/>
    <w:rsid w:val="00F35183"/>
    <w:rsid w:val="00F35D05"/>
    <w:rsid w:val="00F35DFD"/>
    <w:rsid w:val="00F3604E"/>
    <w:rsid w:val="00F379E8"/>
    <w:rsid w:val="00F42A30"/>
    <w:rsid w:val="00F42F12"/>
    <w:rsid w:val="00F4711A"/>
    <w:rsid w:val="00F526DE"/>
    <w:rsid w:val="00F532FA"/>
    <w:rsid w:val="00F53B0F"/>
    <w:rsid w:val="00F53F96"/>
    <w:rsid w:val="00F54000"/>
    <w:rsid w:val="00F554C7"/>
    <w:rsid w:val="00F56AB8"/>
    <w:rsid w:val="00F5794E"/>
    <w:rsid w:val="00F6259B"/>
    <w:rsid w:val="00F62CF1"/>
    <w:rsid w:val="00F63F69"/>
    <w:rsid w:val="00F64728"/>
    <w:rsid w:val="00F64AFA"/>
    <w:rsid w:val="00F64D78"/>
    <w:rsid w:val="00F67677"/>
    <w:rsid w:val="00F72932"/>
    <w:rsid w:val="00F73DFC"/>
    <w:rsid w:val="00F74EF6"/>
    <w:rsid w:val="00F773D1"/>
    <w:rsid w:val="00F80BF4"/>
    <w:rsid w:val="00F822DF"/>
    <w:rsid w:val="00F82426"/>
    <w:rsid w:val="00F82632"/>
    <w:rsid w:val="00F82EE4"/>
    <w:rsid w:val="00F834FB"/>
    <w:rsid w:val="00F84947"/>
    <w:rsid w:val="00F85974"/>
    <w:rsid w:val="00F86C97"/>
    <w:rsid w:val="00F9170C"/>
    <w:rsid w:val="00F91B5E"/>
    <w:rsid w:val="00F925E6"/>
    <w:rsid w:val="00F92A7A"/>
    <w:rsid w:val="00F92B25"/>
    <w:rsid w:val="00F94568"/>
    <w:rsid w:val="00F94D1A"/>
    <w:rsid w:val="00F95C6C"/>
    <w:rsid w:val="00F9708F"/>
    <w:rsid w:val="00F97358"/>
    <w:rsid w:val="00FA01C5"/>
    <w:rsid w:val="00FA1C99"/>
    <w:rsid w:val="00FA380B"/>
    <w:rsid w:val="00FA39DC"/>
    <w:rsid w:val="00FA3E8C"/>
    <w:rsid w:val="00FA3F1E"/>
    <w:rsid w:val="00FA519A"/>
    <w:rsid w:val="00FA5836"/>
    <w:rsid w:val="00FA6C64"/>
    <w:rsid w:val="00FA73EC"/>
    <w:rsid w:val="00FA7CA2"/>
    <w:rsid w:val="00FB0638"/>
    <w:rsid w:val="00FB0680"/>
    <w:rsid w:val="00FB1EA2"/>
    <w:rsid w:val="00FB4215"/>
    <w:rsid w:val="00FB6593"/>
    <w:rsid w:val="00FB65A3"/>
    <w:rsid w:val="00FC104A"/>
    <w:rsid w:val="00FC1F9D"/>
    <w:rsid w:val="00FC3FE4"/>
    <w:rsid w:val="00FC4613"/>
    <w:rsid w:val="00FC4CB0"/>
    <w:rsid w:val="00FC59C3"/>
    <w:rsid w:val="00FC60ED"/>
    <w:rsid w:val="00FC6E22"/>
    <w:rsid w:val="00FC7353"/>
    <w:rsid w:val="00FD0600"/>
    <w:rsid w:val="00FD1312"/>
    <w:rsid w:val="00FE15B7"/>
    <w:rsid w:val="00FE2519"/>
    <w:rsid w:val="00FE3B3E"/>
    <w:rsid w:val="00FE4C3C"/>
    <w:rsid w:val="00FE54C8"/>
    <w:rsid w:val="00FE727C"/>
    <w:rsid w:val="00FF03DD"/>
    <w:rsid w:val="00FF1129"/>
    <w:rsid w:val="00FF20BF"/>
    <w:rsid w:val="00FF639F"/>
    <w:rsid w:val="00FF64AF"/>
    <w:rsid w:val="00FF6AA4"/>
    <w:rsid w:val="00FF7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79F3E"/>
  <w15:docId w15:val="{802F4335-4695-4C36-AC59-0D5A0C0F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F6"/>
    <w:pPr>
      <w:spacing w:after="240"/>
    </w:pPr>
    <w:rPr>
      <w:sz w:val="24"/>
      <w:lang w:val="en-GB" w:eastAsia="en-US"/>
    </w:rPr>
  </w:style>
  <w:style w:type="paragraph" w:styleId="Titre1">
    <w:name w:val="heading 1"/>
    <w:basedOn w:val="Normal"/>
    <w:next w:val="Normal"/>
    <w:qFormat/>
    <w:pPr>
      <w:keepNext/>
      <w:jc w:val="center"/>
      <w:outlineLvl w:val="0"/>
    </w:pPr>
    <w:rPr>
      <w:b/>
      <w:caps/>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link w:val="Titre5Car"/>
    <w:qFormat/>
    <w:pPr>
      <w:keepNext/>
      <w:outlineLvl w:val="4"/>
    </w:pPr>
    <w:rPr>
      <w:b/>
      <w:i/>
    </w:rPr>
  </w:style>
  <w:style w:type="paragraph" w:styleId="Titre6">
    <w:name w:val="heading 6"/>
    <w:basedOn w:val="Normal"/>
    <w:next w:val="Normal"/>
    <w:qFormat/>
    <w:pPr>
      <w:keepNext/>
      <w:outlineLvl w:val="5"/>
    </w:pPr>
    <w:rPr>
      <w:b/>
      <w:caps/>
    </w:rPr>
  </w:style>
  <w:style w:type="paragraph" w:styleId="Titre7">
    <w:name w:val="heading 7"/>
    <w:basedOn w:val="Normal"/>
    <w:next w:val="Normal"/>
    <w:qFormat/>
    <w:pPr>
      <w:jc w:val="center"/>
      <w:outlineLvl w:val="6"/>
    </w:pPr>
    <w:rPr>
      <w:caps/>
    </w:rPr>
  </w:style>
  <w:style w:type="paragraph" w:styleId="Titre8">
    <w:name w:val="heading 8"/>
    <w:basedOn w:val="Normal"/>
    <w:next w:val="Normal"/>
    <w:qFormat/>
    <w:pPr>
      <w:keepNext/>
      <w:outlineLvl w:val="7"/>
    </w:pPr>
  </w:style>
  <w:style w:type="paragraph" w:styleId="Titre9">
    <w:name w:val="heading 9"/>
    <w:basedOn w:val="Normal"/>
    <w:next w:val="Normal"/>
    <w:qFormat/>
    <w:pPr>
      <w:keepNext/>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sid w:val="00A909D8"/>
    <w:rPr>
      <w:b/>
      <w:i/>
      <w:sz w:val="24"/>
      <w:lang w:val="en-GB" w:eastAsia="en-US"/>
    </w:rPr>
  </w:style>
  <w:style w:type="paragraph" w:styleId="En-tte">
    <w:name w:val="header"/>
    <w:basedOn w:val="Normal"/>
    <w:link w:val="En-tteCar"/>
    <w:pPr>
      <w:tabs>
        <w:tab w:val="center" w:pos="4320"/>
        <w:tab w:val="right" w:pos="8640"/>
      </w:tabs>
    </w:pPr>
  </w:style>
  <w:style w:type="character" w:customStyle="1" w:styleId="En-tteCar">
    <w:name w:val="En-tête Car"/>
    <w:link w:val="En-tte"/>
    <w:rsid w:val="00A909D8"/>
    <w:rPr>
      <w:sz w:val="24"/>
      <w:lang w:val="en-GB" w:eastAsia="en-US"/>
    </w:rPr>
  </w:style>
  <w:style w:type="paragraph" w:styleId="Pieddepage">
    <w:name w:val="footer"/>
    <w:aliases w:val="3_G"/>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Appelnotedebasdep">
    <w:name w:val="footnote reference"/>
    <w:aliases w:val="Footnote Reference/"/>
    <w:rPr>
      <w:b/>
      <w:sz w:val="24"/>
      <w:vertAlign w:val="superscript"/>
    </w:rPr>
  </w:style>
  <w:style w:type="paragraph" w:styleId="Notedebasdepage">
    <w:name w:val="footnote text"/>
    <w:basedOn w:val="Normal"/>
    <w:link w:val="NotedebasdepageCar"/>
  </w:style>
  <w:style w:type="character" w:customStyle="1" w:styleId="NotedebasdepageCar">
    <w:name w:val="Note de bas de page Car"/>
    <w:link w:val="Notedebasdepage"/>
    <w:rsid w:val="00A909D8"/>
    <w:rPr>
      <w:sz w:val="24"/>
      <w:lang w:val="en-GB" w:eastAsia="en-US"/>
    </w:rPr>
  </w:style>
  <w:style w:type="character" w:styleId="Numrodepage">
    <w:name w:val="page number"/>
    <w:basedOn w:val="Policepardfaut"/>
  </w:style>
  <w:style w:type="paragraph" w:styleId="Retraitcorpsdetexte">
    <w:name w:val="Body Text Indent"/>
    <w:basedOn w:val="Normal"/>
    <w:next w:val="Normal"/>
    <w:rsid w:val="003A103A"/>
    <w:pPr>
      <w:ind w:left="567"/>
    </w:pPr>
  </w:style>
  <w:style w:type="paragraph" w:styleId="Notedefin">
    <w:name w:val="endnote text"/>
    <w:basedOn w:val="Normal"/>
  </w:style>
  <w:style w:type="character" w:styleId="Appeldenotedefin">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Retraitcorpsdetexte2">
    <w:name w:val="Body Text Indent 2"/>
    <w:basedOn w:val="Normal"/>
    <w:rsid w:val="00615BE1"/>
    <w:pPr>
      <w:spacing w:after="120" w:line="480" w:lineRule="auto"/>
      <w:ind w:left="283"/>
    </w:pPr>
  </w:style>
  <w:style w:type="paragraph" w:styleId="Corpsdetexte">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Textedebulles">
    <w:name w:val="Balloon Text"/>
    <w:basedOn w:val="Normal"/>
    <w:semiHidden/>
    <w:rsid w:val="00D504FE"/>
    <w:rPr>
      <w:rFonts w:ascii="Tahoma" w:hAnsi="Tahoma" w:cs="Tahoma"/>
      <w:sz w:val="16"/>
      <w:szCs w:val="16"/>
    </w:rPr>
  </w:style>
  <w:style w:type="table" w:styleId="Grilledutableau">
    <w:name w:val="Table Grid"/>
    <w:basedOn w:val="TableauNormal"/>
    <w:uiPriority w:val="59"/>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aireCar">
    <w:name w:val="Commentaire Car"/>
    <w:link w:val="Commentaire"/>
    <w:rsid w:val="00070E56"/>
    <w:rPr>
      <w:rFonts w:ascii="Arial" w:hAnsi="Arial"/>
      <w:color w:val="000000"/>
      <w:lang w:val="de-DE" w:eastAsia="de-DE"/>
    </w:rPr>
  </w:style>
  <w:style w:type="character" w:styleId="Marquedecommentair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Objetducommentaire">
    <w:name w:val="annotation subject"/>
    <w:basedOn w:val="Commentaire"/>
    <w:next w:val="Commentaire"/>
    <w:link w:val="ObjetducommentaireCar"/>
    <w:rsid w:val="00070E56"/>
    <w:rPr>
      <w:b/>
      <w:bCs/>
    </w:rPr>
  </w:style>
  <w:style w:type="character" w:customStyle="1" w:styleId="ObjetducommentaireCar">
    <w:name w:val="Objet du commentaire Car"/>
    <w:link w:val="Objetducommentaire"/>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Corpsdetexte2">
    <w:name w:val="Body Text 2"/>
    <w:basedOn w:val="Normal"/>
    <w:link w:val="Corpsdetexte2C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Corpsdetexte2Car">
    <w:name w:val="Corps de texte 2 Car"/>
    <w:link w:val="Corpsdetexte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Corpsdetexte3">
    <w:name w:val="Body Text 3"/>
    <w:basedOn w:val="Normal"/>
    <w:link w:val="Corpsdetexte3Car"/>
    <w:rsid w:val="00070E56"/>
    <w:pPr>
      <w:spacing w:after="120"/>
    </w:pPr>
    <w:rPr>
      <w:sz w:val="16"/>
      <w:szCs w:val="16"/>
    </w:rPr>
  </w:style>
  <w:style w:type="character" w:customStyle="1" w:styleId="Corpsdetexte3Car">
    <w:name w:val="Corps de texte 3 Car"/>
    <w:link w:val="Corpsdetexte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Retraitcorpsdetexte3">
    <w:name w:val="Body Text Indent 3"/>
    <w:basedOn w:val="Normal"/>
    <w:link w:val="Retraitcorpsdetexte3Car"/>
    <w:rsid w:val="00525173"/>
    <w:pPr>
      <w:spacing w:after="120"/>
      <w:ind w:left="283"/>
    </w:pPr>
    <w:rPr>
      <w:sz w:val="16"/>
      <w:szCs w:val="16"/>
    </w:rPr>
  </w:style>
  <w:style w:type="character" w:customStyle="1" w:styleId="Retraitcorpsdetexte3Car">
    <w:name w:val="Retrait corps de texte 3 Car"/>
    <w:link w:val="Retraitcorpsdetexte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Paragraphedeliste">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 w:type="paragraph" w:customStyle="1" w:styleId="SingleTxtG">
    <w:name w:val="_ Single Txt_G"/>
    <w:basedOn w:val="Normal"/>
    <w:qFormat/>
    <w:rsid w:val="00F67677"/>
    <w:pPr>
      <w:suppressAutoHyphens/>
      <w:spacing w:after="120" w:line="240" w:lineRule="atLeast"/>
      <w:ind w:left="1134" w:right="1134"/>
      <w:jc w:val="both"/>
    </w:pPr>
    <w:rPr>
      <w:sz w:val="20"/>
    </w:rPr>
  </w:style>
  <w:style w:type="table" w:customStyle="1" w:styleId="Tabellenraster1">
    <w:name w:val="Tabellenraster1"/>
    <w:basedOn w:val="TableauNormal"/>
    <w:next w:val="Grilledutableau"/>
    <w:rsid w:val="00F67677"/>
    <w:pPr>
      <w:spacing w:line="260" w:lineRule="atLeast"/>
    </w:pPr>
    <w:rPr>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CE3D68"/>
    <w:pPr>
      <w:spacing w:after="0"/>
    </w:pPr>
    <w:rPr>
      <w:rFonts w:ascii="Calibri" w:eastAsiaTheme="minorHAnsi" w:hAnsi="Calibri" w:cstheme="minorBidi"/>
      <w:sz w:val="22"/>
      <w:szCs w:val="21"/>
      <w:lang w:val="de-DE"/>
    </w:rPr>
  </w:style>
  <w:style w:type="character" w:customStyle="1" w:styleId="TextebrutCar">
    <w:name w:val="Texte brut Car"/>
    <w:basedOn w:val="Policepardfaut"/>
    <w:link w:val="Textebrut"/>
    <w:uiPriority w:val="99"/>
    <w:rsid w:val="00CE3D68"/>
    <w:rPr>
      <w:rFonts w:ascii="Calibri" w:eastAsiaTheme="minorHAnsi" w:hAnsi="Calibri" w:cstheme="minorBidi"/>
      <w:sz w:val="22"/>
      <w:szCs w:val="21"/>
      <w:lang w:eastAsia="en-US"/>
    </w:rPr>
  </w:style>
  <w:style w:type="paragraph" w:customStyle="1" w:styleId="ADN11">
    <w:name w:val="ADN_1_1"/>
    <w:basedOn w:val="Normal"/>
    <w:rsid w:val="001D7E9F"/>
    <w:pPr>
      <w:widowControl w:val="0"/>
      <w:overflowPunct w:val="0"/>
      <w:autoSpaceDE w:val="0"/>
      <w:autoSpaceDN w:val="0"/>
      <w:adjustRightInd w:val="0"/>
      <w:spacing w:after="0" w:line="240" w:lineRule="atLeast"/>
      <w:ind w:left="1134" w:hanging="1134"/>
      <w:jc w:val="both"/>
      <w:textAlignment w:val="baseline"/>
    </w:pPr>
    <w:rPr>
      <w:rFonts w:ascii="Arial" w:hAnsi="Arial"/>
      <w:b/>
      <w:sz w:val="18"/>
      <w:szCs w:val="18"/>
      <w:lang w:val="de-DE" w:eastAsia="fr-FR"/>
    </w:rPr>
  </w:style>
  <w:style w:type="character" w:styleId="Lienhypertexte">
    <w:name w:val="Hyperlink"/>
    <w:basedOn w:val="Policepardfaut"/>
    <w:uiPriority w:val="99"/>
    <w:unhideWhenUsed/>
    <w:rsid w:val="001616A0"/>
    <w:rPr>
      <w:color w:val="0000FF" w:themeColor="hyperlink"/>
      <w:u w:val="single"/>
    </w:rPr>
  </w:style>
  <w:style w:type="character" w:styleId="Mentionnonrsolue">
    <w:name w:val="Unresolved Mention"/>
    <w:basedOn w:val="Policepardfaut"/>
    <w:uiPriority w:val="99"/>
    <w:semiHidden/>
    <w:unhideWhenUsed/>
    <w:rsid w:val="000C5749"/>
    <w:rPr>
      <w:color w:val="605E5C"/>
      <w:shd w:val="clear" w:color="auto" w:fill="E1DFDD"/>
    </w:rPr>
  </w:style>
  <w:style w:type="character" w:styleId="Lienhypertextesuivivisit">
    <w:name w:val="FollowedHyperlink"/>
    <w:basedOn w:val="Policepardfaut"/>
    <w:uiPriority w:val="99"/>
    <w:semiHidden/>
    <w:unhideWhenUsed/>
    <w:rsid w:val="00EC1EDA"/>
    <w:rPr>
      <w:color w:val="800080" w:themeColor="followedHyperlink"/>
      <w:u w:val="single"/>
    </w:rPr>
  </w:style>
  <w:style w:type="paragraph" w:styleId="Sansinterligne">
    <w:name w:val="No Spacing"/>
    <w:uiPriority w:val="1"/>
    <w:qFormat/>
    <w:rsid w:val="00225237"/>
    <w:rPr>
      <w:rFonts w:asciiTheme="minorHAnsi" w:eastAsiaTheme="minorHAnsi" w:hAnsiTheme="minorHAnsi" w:cstheme="minorBidi"/>
      <w:sz w:val="22"/>
      <w:szCs w:val="22"/>
      <w:lang w:val="en-GB" w:eastAsia="en-US"/>
    </w:rPr>
  </w:style>
  <w:style w:type="paragraph" w:styleId="Rvision">
    <w:name w:val="Revision"/>
    <w:hidden/>
    <w:uiPriority w:val="99"/>
    <w:semiHidden/>
    <w:rsid w:val="001906C5"/>
    <w:rPr>
      <w:sz w:val="24"/>
      <w:lang w:val="en-GB" w:eastAsia="en-US"/>
    </w:rPr>
  </w:style>
  <w:style w:type="table" w:customStyle="1" w:styleId="Grilledutableau1">
    <w:name w:val="Grille du tableau1"/>
    <w:basedOn w:val="TableauNormal"/>
    <w:next w:val="Grilledutableau"/>
    <w:rsid w:val="00570BAD"/>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00107487">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46878870">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857692398">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332178164">
      <w:bodyDiv w:val="1"/>
      <w:marLeft w:val="0"/>
      <w:marRight w:val="0"/>
      <w:marTop w:val="0"/>
      <w:marBottom w:val="0"/>
      <w:divBdr>
        <w:top w:val="none" w:sz="0" w:space="0" w:color="auto"/>
        <w:left w:val="none" w:sz="0" w:space="0" w:color="auto"/>
        <w:bottom w:val="none" w:sz="0" w:space="0" w:color="auto"/>
        <w:right w:val="none" w:sz="0" w:space="0" w:color="auto"/>
      </w:divBdr>
    </w:div>
    <w:div w:id="1340042421">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75547485">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71B9D64-C47D-4618-969F-86AF6E59A99D}">
  <ds:schemaRefs>
    <ds:schemaRef ds:uri="http://schemas.openxmlformats.org/officeDocument/2006/bibliography"/>
  </ds:schemaRefs>
</ds:datastoreItem>
</file>

<file path=customXml/itemProps2.xml><?xml version="1.0" encoding="utf-8"?>
<ds:datastoreItem xmlns:ds="http://schemas.openxmlformats.org/officeDocument/2006/customXml" ds:itemID="{EEF5DA62-87E2-48C5-A66F-0C93F11BE76F}"/>
</file>

<file path=customXml/itemProps3.xml><?xml version="1.0" encoding="utf-8"?>
<ds:datastoreItem xmlns:ds="http://schemas.openxmlformats.org/officeDocument/2006/customXml" ds:itemID="{A57C7F6A-D495-4946-9FF1-D53306740290}"/>
</file>

<file path=customXml/itemProps4.xml><?xml version="1.0" encoding="utf-8"?>
<ds:datastoreItem xmlns:ds="http://schemas.openxmlformats.org/officeDocument/2006/customXml" ds:itemID="{6B87CF54-93F6-42FC-8CA2-9F78E17FB0F0}"/>
</file>

<file path=docProps/app.xml><?xml version="1.0" encoding="utf-8"?>
<Properties xmlns="http://schemas.openxmlformats.org/officeDocument/2006/extended-properties" xmlns:vt="http://schemas.openxmlformats.org/officeDocument/2006/docPropsVTypes">
  <Template>Normal</Template>
  <TotalTime>11</TotalTime>
  <Pages>8</Pages>
  <Words>3068</Words>
  <Characters>16875</Characters>
  <Application>Microsoft Office Word</Application>
  <DocSecurity>0</DocSecurity>
  <Lines>140</Lines>
  <Paragraphs>39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Bericht über die 4. Sitzung der Informellen Arbeitsgruppe „Stoffe“ am 13. Oktober 2011 in Braunschweig</vt:lpstr>
      <vt:lpstr>Bericht über die 4. Sitzung der Informellen Arbeitsgruppe „Stoffe“ am 13. Oktober 2011 in Braunschweig</vt:lpstr>
      <vt:lpstr>Bericht über die 4. Sitzung der Informellen Arbeitsgruppe „Stoffe“ am 13. Oktober 2011 in Braunschweig</vt:lpstr>
    </vt:vector>
  </TitlesOfParts>
  <Company>ECE-ISU</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4. Sitzung der Informellen Arbeitsgruppe „Stoffe“ am 13. Oktober 2011 in Braunschweig</dc:title>
  <dc:creator>D</dc:creator>
  <cp:lastModifiedBy>Martine Moench</cp:lastModifiedBy>
  <cp:revision>7</cp:revision>
  <cp:lastPrinted>2019-05-22T10:25:00Z</cp:lastPrinted>
  <dcterms:created xsi:type="dcterms:W3CDTF">2022-12-15T14:06:00Z</dcterms:created>
  <dcterms:modified xsi:type="dcterms:W3CDTF">2022-12-15T14:18:00Z</dcterms:modified>
  <cp:category>20-4(b)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