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1720B63E" w:rsidR="00B60659" w:rsidRPr="00DE103A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DE103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3A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B60659">
        <w:rPr>
          <w:rFonts w:ascii="Arial" w:eastAsia="Arial" w:hAnsi="Arial" w:cs="Arial"/>
          <w:bCs/>
          <w:szCs w:val="24"/>
        </w:rPr>
        <w:t>3</w:t>
      </w:r>
      <w:r w:rsidRPr="00DE103A">
        <w:rPr>
          <w:rFonts w:ascii="Arial" w:eastAsia="Arial" w:hAnsi="Arial" w:cs="Arial"/>
          <w:bCs/>
          <w:szCs w:val="24"/>
          <w:lang w:eastAsia="de-DE"/>
        </w:rPr>
        <w:t>/</w:t>
      </w:r>
      <w:r w:rsidR="0060632C">
        <w:rPr>
          <w:rFonts w:ascii="Arial" w:eastAsia="Arial" w:hAnsi="Arial" w:cs="Arial"/>
          <w:bCs/>
          <w:szCs w:val="24"/>
          <w:lang w:eastAsia="de-DE"/>
        </w:rPr>
        <w:t>8</w:t>
      </w:r>
    </w:p>
    <w:p w14:paraId="7C27E3DD" w14:textId="77777777" w:rsidR="00B60659" w:rsidRPr="00DE103A" w:rsidRDefault="00B60659" w:rsidP="006A415F">
      <w:pPr>
        <w:widowControl/>
        <w:tabs>
          <w:tab w:val="left" w:pos="5670"/>
        </w:tabs>
        <w:overflowPunct/>
        <w:autoSpaceDE/>
        <w:autoSpaceDN/>
        <w:adjustRightInd/>
        <w:snapToGrid w:val="0"/>
        <w:spacing w:after="6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DE103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4DB70A16" w:rsidR="00B60659" w:rsidRPr="00DE103A" w:rsidRDefault="00E844D1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</w:t>
      </w:r>
      <w:r w:rsidR="0060632C">
        <w:rPr>
          <w:rFonts w:ascii="Arial" w:eastAsia="Arial" w:hAnsi="Arial" w:cs="Arial"/>
          <w:szCs w:val="24"/>
          <w:lang w:eastAsia="de-DE"/>
        </w:rPr>
        <w:t>1</w:t>
      </w:r>
      <w:r w:rsidR="00B60659" w:rsidRPr="00DE103A">
        <w:rPr>
          <w:rFonts w:ascii="Arial" w:eastAsia="Arial" w:hAnsi="Arial" w:cs="Arial"/>
          <w:szCs w:val="24"/>
          <w:lang w:eastAsia="de-DE"/>
        </w:rPr>
        <w:t xml:space="preserve">. </w:t>
      </w:r>
      <w:r w:rsidR="00055D7B">
        <w:rPr>
          <w:rFonts w:ascii="Arial" w:eastAsia="Arial" w:hAnsi="Arial" w:cs="Arial"/>
          <w:szCs w:val="24"/>
          <w:lang w:eastAsia="de-DE"/>
        </w:rPr>
        <w:t>November</w:t>
      </w:r>
      <w:r w:rsidR="00B60659" w:rsidRPr="00DE103A">
        <w:rPr>
          <w:rFonts w:ascii="Arial" w:eastAsia="Arial" w:hAnsi="Arial" w:cs="Arial"/>
          <w:szCs w:val="24"/>
          <w:lang w:eastAsia="de-DE"/>
        </w:rPr>
        <w:t xml:space="preserve"> 2022</w:t>
      </w:r>
    </w:p>
    <w:p w14:paraId="1BCCEA4C" w14:textId="798DA0A7" w:rsidR="00B60659" w:rsidRPr="00DE103A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DE103A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DE103A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4D1C78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DE103A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DE103A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DE103A">
        <w:rPr>
          <w:rFonts w:ascii="Arial" w:eastAsia="Calibri" w:hAnsi="Arial"/>
          <w:sz w:val="16"/>
        </w:rPr>
        <w:t xml:space="preserve">BINNENWASSERSTRAẞEN (ADN) </w:t>
      </w:r>
      <w:r w:rsidRPr="00DE103A">
        <w:rPr>
          <w:rFonts w:ascii="Arial" w:hAnsi="Arial"/>
          <w:sz w:val="16"/>
        </w:rPr>
        <w:t>BEIGEFÜGTE VERORDNUNG (SICHERHEITSAUSSCHUSS)</w:t>
      </w:r>
    </w:p>
    <w:p w14:paraId="1342B616" w14:textId="77777777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E103A">
        <w:rPr>
          <w:rFonts w:ascii="Arial" w:hAnsi="Arial"/>
          <w:sz w:val="16"/>
          <w:szCs w:val="24"/>
        </w:rPr>
        <w:t>(4</w:t>
      </w:r>
      <w:r w:rsidRPr="00B60659">
        <w:rPr>
          <w:rFonts w:ascii="Arial" w:hAnsi="Arial"/>
          <w:sz w:val="16"/>
          <w:szCs w:val="24"/>
        </w:rPr>
        <w:t>1</w:t>
      </w:r>
      <w:r w:rsidRPr="00DE103A">
        <w:rPr>
          <w:rFonts w:ascii="Arial" w:hAnsi="Arial"/>
          <w:sz w:val="16"/>
          <w:szCs w:val="24"/>
        </w:rPr>
        <w:t>. Tagung, Genf, 2</w:t>
      </w:r>
      <w:r w:rsidRPr="00B60659">
        <w:rPr>
          <w:rFonts w:ascii="Arial" w:hAnsi="Arial"/>
          <w:sz w:val="16"/>
          <w:szCs w:val="24"/>
        </w:rPr>
        <w:t>3</w:t>
      </w:r>
      <w:r w:rsidRPr="00DE103A">
        <w:rPr>
          <w:rFonts w:ascii="Arial" w:hAnsi="Arial"/>
          <w:sz w:val="16"/>
          <w:szCs w:val="24"/>
        </w:rPr>
        <w:t xml:space="preserve">. – </w:t>
      </w:r>
      <w:r w:rsidRPr="00B60659">
        <w:rPr>
          <w:rFonts w:ascii="Arial" w:hAnsi="Arial"/>
          <w:sz w:val="16"/>
          <w:szCs w:val="24"/>
        </w:rPr>
        <w:t>27</w:t>
      </w:r>
      <w:r w:rsidRPr="00DE103A">
        <w:rPr>
          <w:rFonts w:ascii="Arial" w:hAnsi="Arial"/>
          <w:sz w:val="16"/>
          <w:szCs w:val="24"/>
        </w:rPr>
        <w:t>.</w:t>
      </w:r>
      <w:r w:rsidRPr="00B60659">
        <w:rPr>
          <w:rFonts w:ascii="Arial" w:hAnsi="Arial"/>
          <w:sz w:val="16"/>
          <w:szCs w:val="24"/>
        </w:rPr>
        <w:t>Januar</w:t>
      </w:r>
      <w:r w:rsidRPr="00DE103A">
        <w:rPr>
          <w:rFonts w:ascii="Arial" w:hAnsi="Arial"/>
          <w:sz w:val="16"/>
          <w:szCs w:val="24"/>
        </w:rPr>
        <w:t xml:space="preserve"> 202</w:t>
      </w:r>
      <w:r w:rsidRPr="00B60659">
        <w:rPr>
          <w:rFonts w:ascii="Arial" w:hAnsi="Arial"/>
          <w:sz w:val="16"/>
          <w:szCs w:val="24"/>
        </w:rPr>
        <w:t>3</w:t>
      </w:r>
      <w:r w:rsidRPr="00DE103A">
        <w:rPr>
          <w:rFonts w:ascii="Arial" w:hAnsi="Arial"/>
          <w:sz w:val="16"/>
          <w:szCs w:val="24"/>
        </w:rPr>
        <w:t>)</w:t>
      </w:r>
    </w:p>
    <w:p w14:paraId="01501DC6" w14:textId="46F32772" w:rsidR="00B60659" w:rsidRPr="00DE103A" w:rsidRDefault="00B60659" w:rsidP="006A415F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DE103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55D7B">
        <w:rPr>
          <w:rFonts w:ascii="Arial" w:hAnsi="Arial" w:cs="Arial"/>
          <w:sz w:val="16"/>
          <w:szCs w:val="16"/>
          <w:lang w:eastAsia="en-US"/>
        </w:rPr>
        <w:t>5 b)</w:t>
      </w:r>
      <w:r w:rsidRPr="00DE103A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DE103A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DE103A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DE103A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2C0D51D4" w14:textId="607F80A9" w:rsidR="0060632C" w:rsidRPr="004D1C78" w:rsidRDefault="0060632C" w:rsidP="00727BB2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/>
        </w:rPr>
      </w:pPr>
      <w:r w:rsidRPr="00AA4285">
        <w:rPr>
          <w:b/>
          <w:sz w:val="28"/>
        </w:rPr>
        <w:tab/>
      </w:r>
      <w:r w:rsidRPr="00AA4285">
        <w:rPr>
          <w:b/>
          <w:sz w:val="28"/>
        </w:rPr>
        <w:tab/>
      </w:r>
      <w:r w:rsidR="00D174F2" w:rsidRPr="004D1C78">
        <w:rPr>
          <w:b/>
          <w:sz w:val="28"/>
        </w:rPr>
        <w:t>Vorschlag für ein</w:t>
      </w:r>
      <w:r w:rsidR="00667BC4" w:rsidRPr="004D1C78">
        <w:rPr>
          <w:b/>
          <w:sz w:val="28"/>
        </w:rPr>
        <w:t>en</w:t>
      </w:r>
      <w:r w:rsidR="00D174F2" w:rsidRPr="004D1C78">
        <w:rPr>
          <w:b/>
          <w:sz w:val="28"/>
        </w:rPr>
        <w:t xml:space="preserve"> neue</w:t>
      </w:r>
      <w:r w:rsidR="00667BC4" w:rsidRPr="004D1C78">
        <w:rPr>
          <w:b/>
          <w:sz w:val="28"/>
        </w:rPr>
        <w:t>n</w:t>
      </w:r>
      <w:r w:rsidR="00D174F2" w:rsidRPr="004D1C78">
        <w:rPr>
          <w:b/>
          <w:sz w:val="28"/>
        </w:rPr>
        <w:t xml:space="preserve"> Eintrag in Tabelle C für UN-Nr. 1977, STICKSTOFF, </w:t>
      </w:r>
      <w:r w:rsidR="00B516FD" w:rsidRPr="004D1C78">
        <w:rPr>
          <w:b/>
          <w:sz w:val="28"/>
        </w:rPr>
        <w:t>TIEF</w:t>
      </w:r>
      <w:r w:rsidR="00D174F2" w:rsidRPr="004D1C78">
        <w:rPr>
          <w:b/>
          <w:sz w:val="28"/>
        </w:rPr>
        <w:t>GEKÜHLT, FLÜSSIG</w:t>
      </w:r>
    </w:p>
    <w:p w14:paraId="16090F74" w14:textId="3EFE9761" w:rsidR="0060632C" w:rsidRPr="004D1C78" w:rsidRDefault="0060632C" w:rsidP="0060632C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</w:rPr>
      </w:pPr>
      <w:r w:rsidRPr="004D1C78">
        <w:rPr>
          <w:b/>
          <w:sz w:val="24"/>
          <w:lang w:val="en-GB"/>
        </w:rPr>
        <w:tab/>
      </w:r>
      <w:r w:rsidRPr="004D1C78">
        <w:rPr>
          <w:b/>
          <w:sz w:val="24"/>
          <w:lang w:val="en-GB"/>
        </w:rPr>
        <w:tab/>
      </w:r>
      <w:r w:rsidRPr="004D1C78">
        <w:rPr>
          <w:b/>
          <w:sz w:val="24"/>
        </w:rPr>
        <w:t>Eingereicht von Belgien und den Niederlanden</w:t>
      </w:r>
      <w:r w:rsidR="00FA22DE" w:rsidRPr="004D1C78">
        <w:rPr>
          <w:b/>
          <w:sz w:val="24"/>
        </w:rPr>
        <w:footnoteReference w:customMarkFollows="1" w:id="1"/>
        <w:t xml:space="preserve">*, </w:t>
      </w:r>
      <w:r w:rsidR="00FA22DE" w:rsidRPr="004D1C78">
        <w:rPr>
          <w:b/>
          <w:sz w:val="24"/>
        </w:rPr>
        <w:footnoteReference w:customMarkFollows="1" w:id="2"/>
        <w:t>**</w:t>
      </w:r>
    </w:p>
    <w:p w14:paraId="74A29C05" w14:textId="29BC5897" w:rsidR="0060632C" w:rsidRPr="004D1C78" w:rsidRDefault="0060632C" w:rsidP="0060632C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D1C78">
        <w:rPr>
          <w:b/>
          <w:sz w:val="28"/>
        </w:rPr>
        <w:tab/>
      </w:r>
      <w:r w:rsidRPr="004D1C78">
        <w:rPr>
          <w:b/>
          <w:sz w:val="28"/>
        </w:rPr>
        <w:tab/>
        <w:t>Einleitung</w:t>
      </w:r>
    </w:p>
    <w:p w14:paraId="1D486594" w14:textId="12481073" w:rsidR="0060632C" w:rsidRPr="004D1C78" w:rsidRDefault="0060632C" w:rsidP="0005709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bookmarkStart w:id="0" w:name="_Hlk87882230"/>
      <w:r w:rsidRPr="004D1C78">
        <w:t>1.</w:t>
      </w:r>
      <w:r w:rsidRPr="004D1C78">
        <w:tab/>
      </w:r>
      <w:r w:rsidR="0005709A" w:rsidRPr="004D1C78">
        <w:t xml:space="preserve">Belgien hat auf der vierzigsten Sitzung des ADN-Sicherheitsausschusses eine Ausnahmegenehmigung für die Beförderung von UN-Nr. 1977, STICKSTOFF, </w:t>
      </w:r>
      <w:r w:rsidR="00B516FD" w:rsidRPr="004D1C78">
        <w:t>TIEF</w:t>
      </w:r>
      <w:r w:rsidR="0005709A" w:rsidRPr="004D1C78">
        <w:t>GEKÜHLT, FLÜSSIG in Tankschiffen vorgelegt.</w:t>
      </w:r>
      <w:r w:rsidRPr="004D1C78">
        <w:rPr>
          <w:lang w:val="en-GB"/>
        </w:rPr>
        <w:t xml:space="preserve"> </w:t>
      </w:r>
      <w:r w:rsidR="0005709A" w:rsidRPr="004D1C78">
        <w:t>Die Ausnahmegenehmigung wurde vom Verwaltungsausschuss auf seiner achtundzwanzigsten Sitzung gebilligt.</w:t>
      </w:r>
    </w:p>
    <w:p w14:paraId="7D6D98AF" w14:textId="31E2D23B" w:rsidR="0060632C" w:rsidRPr="004D1C78" w:rsidRDefault="0060632C" w:rsidP="005E79B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/>
        </w:rPr>
      </w:pPr>
      <w:r w:rsidRPr="004D1C78">
        <w:t>2.</w:t>
      </w:r>
      <w:r w:rsidRPr="004D1C78">
        <w:tab/>
      </w:r>
      <w:r w:rsidR="0005709A" w:rsidRPr="004D1C78">
        <w:t xml:space="preserve">Nach Absatz 1.5.2.1.2 der dem ADN beigefügten Verordnung hat die </w:t>
      </w:r>
      <w:r w:rsidR="007E41E2" w:rsidRPr="004D1C78">
        <w:t>Au</w:t>
      </w:r>
      <w:r w:rsidR="00BD0656" w:rsidRPr="004D1C78">
        <w:t>s</w:t>
      </w:r>
      <w:r w:rsidR="007E41E2" w:rsidRPr="004D1C78">
        <w:t>nahme</w:t>
      </w:r>
      <w:r w:rsidR="0005709A" w:rsidRPr="004D1C78">
        <w:t>genehmigung eine Geltungsdauer von höchstens zwei Jahren und kann mit Zustimmung der zuständigen Behörden um höchstens ein Jahr verlängert werden.</w:t>
      </w:r>
      <w:r w:rsidRPr="004D1C78">
        <w:t xml:space="preserve"> </w:t>
      </w:r>
      <w:r w:rsidR="005E79B2" w:rsidRPr="004D1C78">
        <w:t>Daher sollte</w:t>
      </w:r>
      <w:r w:rsidR="00BD0656" w:rsidRPr="004D1C78">
        <w:t xml:space="preserve"> in der dem ADN beigefügten Verordnung, die </w:t>
      </w:r>
      <w:r w:rsidR="005E79B2" w:rsidRPr="004D1C78">
        <w:t>zum</w:t>
      </w:r>
      <w:r w:rsidR="00BD0656" w:rsidRPr="004D1C78">
        <w:t xml:space="preserve"> 1. Januar 2025 in Kraft </w:t>
      </w:r>
      <w:r w:rsidR="005E79B2" w:rsidRPr="004D1C78">
        <w:t>tritt</w:t>
      </w:r>
      <w:r w:rsidR="00BD0656" w:rsidRPr="004D1C78">
        <w:t>, in Kapitel 3.2 der Tabelle C ein Eintrag für den Stoff UN-Nr. 1977, STICKSTOFF, TIEFGEKÜHLT, FLÜSSIG, hinzugefügt werden.</w:t>
      </w:r>
    </w:p>
    <w:p w14:paraId="70875B12" w14:textId="291834DA" w:rsidR="0060632C" w:rsidRPr="004D1C78" w:rsidRDefault="0060632C" w:rsidP="008C79D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>3.</w:t>
      </w:r>
      <w:r w:rsidRPr="004D1C78">
        <w:tab/>
      </w:r>
      <w:r w:rsidR="005E79B2" w:rsidRPr="004D1C78">
        <w:t xml:space="preserve">Die belgische und die niederländische Delegation haben die auf der Sitzung des ADN-Sicherheitsausschusses vorgebrachten und im </w:t>
      </w:r>
      <w:r w:rsidR="00667BC4" w:rsidRPr="004D1C78">
        <w:t>Protokoll</w:t>
      </w:r>
      <w:r w:rsidR="005E79B2" w:rsidRPr="004D1C78">
        <w:t xml:space="preserve"> wiedergegeben Bemerkungen berücksichtigt.</w:t>
      </w:r>
      <w:r w:rsidRPr="004D1C78">
        <w:t xml:space="preserve"> </w:t>
      </w:r>
      <w:r w:rsidR="003445CE" w:rsidRPr="004D1C78">
        <w:t>Nach</w:t>
      </w:r>
      <w:r w:rsidR="00B05ECA" w:rsidRPr="004D1C78">
        <w:t xml:space="preserve"> der vierzigsten Sitzung hat ein informeller Meinungsaustausch zwischen der niederländischen, der deutschen und der belgischen Delegation stattgefunden.</w:t>
      </w:r>
      <w:r w:rsidRPr="004D1C78">
        <w:t xml:space="preserve"> </w:t>
      </w:r>
      <w:r w:rsidR="003445CE" w:rsidRPr="004D1C78">
        <w:t>Die niederländische und die belgische Delegation kamen schließlich zu dem Schluss, dass mögliche Ergänzungen zu Kapitel 7.2 bereits durch andere Vorschriften (z.</w:t>
      </w:r>
      <w:r w:rsidR="0052003E" w:rsidRPr="004D1C78">
        <w:t> </w:t>
      </w:r>
      <w:r w:rsidR="003445CE" w:rsidRPr="004D1C78">
        <w:t xml:space="preserve">B. Stabilität und Verwendung von Werkstoffen beim Bau des Schiffes) im Rahmen der dem ADN beigefügten </w:t>
      </w:r>
      <w:r w:rsidR="008C79D3" w:rsidRPr="004D1C78">
        <w:t>Verordnung</w:t>
      </w:r>
      <w:r w:rsidR="003445CE" w:rsidRPr="004D1C78">
        <w:t xml:space="preserve"> abgedeckt sind.</w:t>
      </w:r>
    </w:p>
    <w:bookmarkEnd w:id="0"/>
    <w:p w14:paraId="13BDB827" w14:textId="28FCC3FD" w:rsidR="0060632C" w:rsidRPr="004D1C78" w:rsidRDefault="0060632C" w:rsidP="008C79D3">
      <w:pPr>
        <w:keepNext/>
        <w:keepLines/>
        <w:pageBreakBefore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D1C78">
        <w:rPr>
          <w:b/>
          <w:sz w:val="28"/>
        </w:rPr>
        <w:lastRenderedPageBreak/>
        <w:tab/>
      </w:r>
      <w:r w:rsidR="008C79D3" w:rsidRPr="004D1C78">
        <w:rPr>
          <w:b/>
          <w:sz w:val="28"/>
        </w:rPr>
        <w:t>I.</w:t>
      </w:r>
      <w:r w:rsidRPr="004D1C78">
        <w:rPr>
          <w:b/>
          <w:sz w:val="28"/>
        </w:rPr>
        <w:tab/>
        <w:t>Vorschlag</w:t>
      </w:r>
    </w:p>
    <w:p w14:paraId="704E7852" w14:textId="44DA47DA" w:rsidR="0060632C" w:rsidRPr="004D1C78" w:rsidRDefault="0060632C" w:rsidP="000E19B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>4.</w:t>
      </w:r>
      <w:r w:rsidRPr="004D1C78">
        <w:tab/>
      </w:r>
      <w:r w:rsidR="000E19BE" w:rsidRPr="004D1C78">
        <w:t>Die belgische und die niederländische Regierung schlagen vor, den Eintrag für die UN-Nr. 1977 in Kapitel 3.2 Tabelle A zu ändern, einen Eintrag in Kapitel 3.2 Tabelle C hinzuzufügen und die Unterabschnitte 3.2.3.1, 3.2.3.3 und 3.2.4.3 wie folgt zu ändern (neuer Text in Fettdruck und unterstrichen, gestrichener Text in durchgestrichenem Text):</w:t>
      </w:r>
    </w:p>
    <w:p w14:paraId="0D6ADEEC" w14:textId="77777777" w:rsidR="0060632C" w:rsidRPr="004D1C78" w:rsidRDefault="0060632C" w:rsidP="0060632C">
      <w:pPr>
        <w:widowControl/>
        <w:suppressAutoHyphens/>
        <w:overflowPunct/>
        <w:autoSpaceDE/>
        <w:autoSpaceDN/>
        <w:adjustRightInd/>
        <w:spacing w:before="120" w:line="240" w:lineRule="atLeast"/>
        <w:ind w:left="0" w:firstLine="0"/>
        <w:jc w:val="left"/>
        <w:textAlignment w:val="auto"/>
        <w:rPr>
          <w:b/>
          <w:sz w:val="28"/>
          <w:szCs w:val="28"/>
        </w:rPr>
        <w:sectPr w:rsidR="0060632C" w:rsidRPr="004D1C78" w:rsidSect="00C3168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7F6C465" w14:textId="7FDFDF2A" w:rsidR="0060632C" w:rsidRPr="004D1C78" w:rsidRDefault="0060632C" w:rsidP="0060632C">
      <w:pPr>
        <w:widowControl/>
        <w:suppressAutoHyphens/>
        <w:overflowPunct/>
        <w:autoSpaceDE/>
        <w:autoSpaceDN/>
        <w:adjustRightInd/>
        <w:spacing w:before="120" w:after="120" w:line="276" w:lineRule="auto"/>
        <w:ind w:left="1843" w:right="1134" w:hanging="709"/>
        <w:textAlignment w:val="auto"/>
        <w:rPr>
          <w:lang w:val="en-GB"/>
        </w:rPr>
      </w:pPr>
      <w:r w:rsidRPr="004D1C78">
        <w:rPr>
          <w:lang w:val="en-GB"/>
        </w:rPr>
        <w:lastRenderedPageBreak/>
        <w:t>3.2.1</w:t>
      </w:r>
      <w:r w:rsidRPr="004D1C78">
        <w:rPr>
          <w:lang w:val="en-GB"/>
        </w:rPr>
        <w:tab/>
      </w:r>
      <w:proofErr w:type="spellStart"/>
      <w:r w:rsidRPr="004D1C78">
        <w:rPr>
          <w:lang w:val="en-GB"/>
        </w:rPr>
        <w:t>Tabelle</w:t>
      </w:r>
      <w:proofErr w:type="spellEnd"/>
      <w:r w:rsidRPr="004D1C78">
        <w:rPr>
          <w:lang w:val="en-GB"/>
        </w:rPr>
        <w:t xml:space="preserve"> A:</w:t>
      </w:r>
    </w:p>
    <w:p w14:paraId="4B4D95F9" w14:textId="77777777" w:rsidR="007C007E" w:rsidRPr="004D1C78" w:rsidRDefault="007C007E" w:rsidP="0060632C">
      <w:pPr>
        <w:widowControl/>
        <w:suppressAutoHyphens/>
        <w:overflowPunct/>
        <w:autoSpaceDE/>
        <w:autoSpaceDN/>
        <w:adjustRightInd/>
        <w:spacing w:before="120" w:after="120" w:line="276" w:lineRule="auto"/>
        <w:ind w:left="1843" w:right="1134" w:hanging="709"/>
        <w:textAlignment w:val="auto"/>
        <w:rPr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84"/>
        <w:gridCol w:w="677"/>
        <w:gridCol w:w="657"/>
        <w:gridCol w:w="691"/>
        <w:gridCol w:w="688"/>
        <w:gridCol w:w="637"/>
        <w:gridCol w:w="648"/>
        <w:gridCol w:w="657"/>
        <w:gridCol w:w="789"/>
        <w:gridCol w:w="883"/>
        <w:gridCol w:w="572"/>
        <w:gridCol w:w="940"/>
        <w:gridCol w:w="424"/>
        <w:gridCol w:w="366"/>
        <w:gridCol w:w="695"/>
        <w:gridCol w:w="1403"/>
      </w:tblGrid>
      <w:tr w:rsidR="00F32A58" w:rsidRPr="004D1C78" w14:paraId="77276ECA" w14:textId="77777777" w:rsidTr="00F32A58">
        <w:trPr>
          <w:cantSplit/>
          <w:trHeight w:val="153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0D94D87" w14:textId="465BC9E9" w:rsidR="007C007E" w:rsidRPr="004D1C78" w:rsidRDefault="007C007E" w:rsidP="007C007E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6"/>
                <w:szCs w:val="16"/>
                <w:lang w:val="es-ES" w:eastAsia="nl-BE"/>
              </w:rPr>
            </w:pPr>
            <w:proofErr w:type="spellStart"/>
            <w:r w:rsidRPr="004D1C78">
              <w:rPr>
                <w:sz w:val="16"/>
                <w:szCs w:val="16"/>
                <w:lang w:val="fr-FR"/>
              </w:rPr>
              <w:t>Stoffnummer</w:t>
            </w:r>
            <w:proofErr w:type="spellEnd"/>
            <w:r w:rsidRPr="004D1C78">
              <w:rPr>
                <w:sz w:val="16"/>
                <w:szCs w:val="16"/>
                <w:lang w:val="fr-FR"/>
              </w:rPr>
              <w:t>/</w:t>
            </w:r>
            <w:r w:rsidRPr="004D1C78">
              <w:rPr>
                <w:sz w:val="16"/>
                <w:szCs w:val="16"/>
                <w:lang w:val="fr-FR"/>
              </w:rPr>
              <w:br/>
              <w:t>UN-</w:t>
            </w:r>
            <w:proofErr w:type="spellStart"/>
            <w:r w:rsidRPr="004D1C78">
              <w:rPr>
                <w:sz w:val="16"/>
                <w:szCs w:val="16"/>
                <w:lang w:val="fr-FR"/>
              </w:rPr>
              <w:t>Nummer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108" w14:textId="2D56F328" w:rsidR="007C007E" w:rsidRPr="004D1C78" w:rsidRDefault="007C007E" w:rsidP="007C007E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Benennung</w:t>
            </w:r>
            <w:proofErr w:type="spellEnd"/>
            <w:r w:rsidRPr="004D1C78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und</w:t>
            </w:r>
            <w:proofErr w:type="spellEnd"/>
            <w:r w:rsidRPr="004D1C78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Beschreibung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B1A2358" w14:textId="7683E7A5" w:rsidR="007C007E" w:rsidRPr="004D1C78" w:rsidRDefault="007C007E" w:rsidP="00F32A58">
            <w:pPr>
              <w:widowControl/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fr-FR"/>
              </w:rPr>
              <w:t>Klasse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4CAACBA" w14:textId="17803D19" w:rsidR="007C007E" w:rsidRPr="004D1C78" w:rsidRDefault="007C007E" w:rsidP="00F32A58">
            <w:pPr>
              <w:widowControl/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fr-FR"/>
              </w:rPr>
              <w:t>Klassifizierungs</w:t>
            </w:r>
            <w:proofErr w:type="spellEnd"/>
            <w:r w:rsidR="00F32A58" w:rsidRPr="004D1C78">
              <w:rPr>
                <w:sz w:val="16"/>
                <w:szCs w:val="16"/>
                <w:lang w:val="fr-FR"/>
              </w:rPr>
              <w:t>-</w:t>
            </w:r>
            <w:r w:rsidRPr="004D1C78">
              <w:rPr>
                <w:sz w:val="16"/>
                <w:szCs w:val="16"/>
                <w:lang w:val="fr-FR"/>
              </w:rPr>
              <w:t>code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E513987" w14:textId="22041960" w:rsidR="007C007E" w:rsidRPr="004D1C78" w:rsidRDefault="007C007E" w:rsidP="00F32A58">
            <w:pPr>
              <w:widowControl/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fr-FR"/>
              </w:rPr>
              <w:t>Verpackungs</w:t>
            </w:r>
            <w:proofErr w:type="spellEnd"/>
            <w:r w:rsidRPr="004D1C78">
              <w:rPr>
                <w:sz w:val="16"/>
                <w:szCs w:val="16"/>
                <w:lang w:val="fr-FR"/>
              </w:rPr>
              <w:t>-</w:t>
            </w:r>
            <w:r w:rsidRPr="004D1C78">
              <w:rPr>
                <w:sz w:val="16"/>
                <w:szCs w:val="16"/>
                <w:lang w:val="fr-FR"/>
              </w:rPr>
              <w:br/>
            </w:r>
            <w:proofErr w:type="spellStart"/>
            <w:r w:rsidRPr="004D1C78">
              <w:rPr>
                <w:sz w:val="16"/>
                <w:szCs w:val="16"/>
                <w:lang w:val="fr-FR"/>
              </w:rPr>
              <w:t>gruppe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D18E7B5" w14:textId="583FA2C6" w:rsidR="007C007E" w:rsidRPr="004D1C78" w:rsidRDefault="007C007E" w:rsidP="00F32A58">
            <w:pPr>
              <w:widowControl/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Gefahrzettel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F7DC161" w14:textId="3E8FFA34" w:rsidR="007C007E" w:rsidRPr="004D1C78" w:rsidRDefault="00F32A58" w:rsidP="00F32A58">
            <w:pPr>
              <w:widowControl/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Sondervorschriften</w:t>
            </w:r>
            <w:proofErr w:type="spellEnd"/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69AC" w14:textId="05E8B70A" w:rsidR="007C007E" w:rsidRPr="004D1C78" w:rsidRDefault="00F32A58" w:rsidP="00F32A58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Begrenzte</w:t>
            </w:r>
            <w:proofErr w:type="spellEnd"/>
            <w:r w:rsidRPr="004D1C78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und</w:t>
            </w:r>
            <w:proofErr w:type="spellEnd"/>
            <w:r w:rsidRPr="004D1C78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freigestelle</w:t>
            </w:r>
            <w:proofErr w:type="spellEnd"/>
            <w:r w:rsidRPr="004D1C78">
              <w:rPr>
                <w:sz w:val="16"/>
                <w:szCs w:val="16"/>
                <w:lang w:val="nl-BE" w:eastAsia="nl-BE"/>
              </w:rPr>
              <w:t xml:space="preserve"> Mengen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192D79C" w14:textId="0605E0B4" w:rsidR="007C007E" w:rsidRPr="004D1C78" w:rsidRDefault="00F32A58" w:rsidP="00F32A58">
            <w:pPr>
              <w:widowControl/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Beförderung</w:t>
            </w:r>
            <w:proofErr w:type="spellEnd"/>
            <w:r w:rsidRPr="004D1C78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zugelassen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9663344" w14:textId="29BC1C7A" w:rsidR="007C007E" w:rsidRPr="004D1C78" w:rsidRDefault="00F32A58" w:rsidP="00F32A58">
            <w:pPr>
              <w:widowControl/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Ausrüstung</w:t>
            </w:r>
            <w:proofErr w:type="spellEnd"/>
            <w:r w:rsidRPr="004D1C78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erforderlich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0C9AF5D" w14:textId="710C7947" w:rsidR="007C007E" w:rsidRPr="004D1C78" w:rsidRDefault="00F32A58" w:rsidP="00F32A58">
            <w:pPr>
              <w:widowControl/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Lüftung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3B23" w14:textId="6E4FDAE2" w:rsidR="00F32A58" w:rsidRPr="004D1C78" w:rsidRDefault="00F32A58" w:rsidP="00F32A58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6"/>
                <w:szCs w:val="16"/>
                <w:lang w:eastAsia="nl-BE"/>
              </w:rPr>
            </w:pPr>
            <w:r w:rsidRPr="004D1C78">
              <w:rPr>
                <w:sz w:val="16"/>
                <w:szCs w:val="16"/>
                <w:lang w:eastAsia="nl-BE"/>
              </w:rPr>
              <w:t xml:space="preserve">Maßnahmen während des Ladens / </w:t>
            </w:r>
          </w:p>
          <w:p w14:paraId="34596B50" w14:textId="4E869172" w:rsidR="007C007E" w:rsidRPr="004D1C78" w:rsidRDefault="00F32A58" w:rsidP="00F32A58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6"/>
                <w:szCs w:val="16"/>
                <w:lang w:eastAsia="nl-BE"/>
              </w:rPr>
            </w:pPr>
            <w:r w:rsidRPr="004D1C78">
              <w:rPr>
                <w:sz w:val="16"/>
                <w:szCs w:val="16"/>
                <w:lang w:eastAsia="nl-BE"/>
              </w:rPr>
              <w:t>Löschens / Beförderns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9E72" w14:textId="088D00CC" w:rsidR="007C007E" w:rsidRPr="004D1C78" w:rsidRDefault="007C007E" w:rsidP="007C007E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 w:val="16"/>
                <w:szCs w:val="16"/>
                <w:lang w:eastAsia="nl-BE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912" w14:textId="77777777" w:rsidR="007C007E" w:rsidRPr="004D1C78" w:rsidRDefault="007C007E" w:rsidP="007C007E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 w:val="16"/>
                <w:szCs w:val="16"/>
                <w:lang w:eastAsia="nl-BE"/>
              </w:rPr>
            </w:pPr>
            <w:r w:rsidRPr="004D1C78">
              <w:rPr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14:paraId="0A967279" w14:textId="2340A327" w:rsidR="007C007E" w:rsidRPr="004D1C78" w:rsidRDefault="00F32A58" w:rsidP="00F32A58">
            <w:pPr>
              <w:widowControl/>
              <w:overflowPunct/>
              <w:autoSpaceDE/>
              <w:autoSpaceDN/>
              <w:adjustRightInd/>
              <w:ind w:left="113" w:right="113" w:firstLine="0"/>
              <w:jc w:val="center"/>
              <w:textAlignment w:val="auto"/>
              <w:rPr>
                <w:sz w:val="16"/>
                <w:szCs w:val="16"/>
                <w:lang w:val="fr-FR"/>
              </w:rPr>
            </w:pPr>
            <w:proofErr w:type="spellStart"/>
            <w:r w:rsidRPr="004D1C78">
              <w:rPr>
                <w:sz w:val="16"/>
                <w:szCs w:val="16"/>
                <w:lang w:val="fr-FR"/>
              </w:rPr>
              <w:t>Anzahl</w:t>
            </w:r>
            <w:proofErr w:type="spellEnd"/>
            <w:r w:rsidRPr="004D1C78">
              <w:rPr>
                <w:sz w:val="16"/>
                <w:szCs w:val="16"/>
                <w:lang w:val="fr-FR"/>
              </w:rPr>
              <w:t xml:space="preserve"> der </w:t>
            </w:r>
            <w:proofErr w:type="spellStart"/>
            <w:r w:rsidRPr="004D1C78">
              <w:rPr>
                <w:sz w:val="16"/>
                <w:szCs w:val="16"/>
                <w:lang w:val="fr-FR"/>
              </w:rPr>
              <w:t>Kegel</w:t>
            </w:r>
            <w:proofErr w:type="spellEnd"/>
            <w:r w:rsidRPr="004D1C78">
              <w:rPr>
                <w:sz w:val="16"/>
                <w:szCs w:val="16"/>
                <w:lang w:val="fr-FR"/>
              </w:rPr>
              <w:t>/</w:t>
            </w:r>
            <w:proofErr w:type="spellStart"/>
            <w:r w:rsidRPr="004D1C78">
              <w:rPr>
                <w:sz w:val="16"/>
                <w:szCs w:val="16"/>
                <w:lang w:val="fr-FR"/>
              </w:rPr>
              <w:t>Lichter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1A5" w14:textId="2F3A167D" w:rsidR="007C007E" w:rsidRPr="004D1C78" w:rsidRDefault="00F32A58" w:rsidP="007C007E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6"/>
                <w:szCs w:val="16"/>
                <w:lang w:val="nl-BE" w:eastAsia="nl-BE"/>
              </w:rPr>
            </w:pPr>
            <w:proofErr w:type="spellStart"/>
            <w:r w:rsidRPr="004D1C78">
              <w:rPr>
                <w:sz w:val="16"/>
                <w:szCs w:val="16"/>
                <w:lang w:val="nl-BE" w:eastAsia="nl-BE"/>
              </w:rPr>
              <w:t>Bemerkungen</w:t>
            </w:r>
            <w:proofErr w:type="spellEnd"/>
          </w:p>
        </w:tc>
      </w:tr>
      <w:tr w:rsidR="00F32A58" w:rsidRPr="004D1C78" w14:paraId="787274EA" w14:textId="77777777" w:rsidTr="007C007E">
        <w:trPr>
          <w:trHeight w:val="2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3225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8B89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3.1.2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D54B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2,2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5DF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2,2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DF2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2.1.1.3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0FE6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5.2.2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D33B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3,3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4EC2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3.4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3788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3.5.1.2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01B9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3.2.1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DB38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8.1.5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B1FB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7.1.6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E4B2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7.1.6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338A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1BC9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C22B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7.1.5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9E6C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3.2.1</w:t>
            </w:r>
          </w:p>
        </w:tc>
      </w:tr>
      <w:tr w:rsidR="00F32A58" w:rsidRPr="004D1C78" w14:paraId="73E1E382" w14:textId="77777777" w:rsidTr="007C007E">
        <w:trPr>
          <w:trHeight w:val="21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337C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(1)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0D44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(2)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AECA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(3a)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40FE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(3b)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204C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(4)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DD26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(5)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D6F7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(6)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AB9B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(7a)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261D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(7b)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E0FA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(8)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CABC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(9)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E6810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(10)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AF885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Arial" w:hAnsi="Arial" w:cs="Arial"/>
                <w:sz w:val="17"/>
                <w:szCs w:val="17"/>
                <w:lang w:val="nl-BE" w:eastAsia="nl-BE"/>
              </w:rPr>
            </w:pPr>
            <w:r w:rsidRPr="004D1C78">
              <w:rPr>
                <w:rFonts w:ascii="Arial" w:hAnsi="Arial" w:cs="Arial"/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CBD77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(11)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4C15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Arial" w:hAnsi="Arial" w:cs="Arial"/>
                <w:sz w:val="17"/>
                <w:szCs w:val="17"/>
                <w:lang w:val="nl-BE" w:eastAsia="nl-BE"/>
              </w:rPr>
            </w:pPr>
            <w:r w:rsidRPr="004D1C78">
              <w:rPr>
                <w:rFonts w:ascii="Arial" w:hAnsi="Arial" w:cs="Arial"/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C90E8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(12)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CE80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(13)</w:t>
            </w:r>
          </w:p>
        </w:tc>
      </w:tr>
      <w:tr w:rsidR="00F32A58" w:rsidRPr="004D1C78" w14:paraId="6F94DBA4" w14:textId="77777777" w:rsidTr="007C007E">
        <w:trPr>
          <w:trHeight w:val="21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1D85B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1977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E4B6" w14:textId="0C79EE60" w:rsidR="0060632C" w:rsidRPr="004D1C78" w:rsidRDefault="00F32A58" w:rsidP="004D1C78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STICKSTOFF, TIEFGEKÜHLT, FLÜSSIG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0929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4B13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3A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084C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10C6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2225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345</w:t>
            </w:r>
            <w:r w:rsidRPr="004D1C78">
              <w:rPr>
                <w:sz w:val="17"/>
                <w:szCs w:val="17"/>
                <w:lang w:val="nl-BE" w:eastAsia="nl-BE"/>
              </w:rPr>
              <w:br/>
              <w:t>346</w:t>
            </w:r>
            <w:r w:rsidRPr="004D1C78">
              <w:rPr>
                <w:sz w:val="17"/>
                <w:szCs w:val="17"/>
                <w:lang w:val="nl-BE" w:eastAsia="nl-BE"/>
              </w:rPr>
              <w:br/>
              <w:t>593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158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120 ml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56E3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E1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F4BE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b/>
                <w:bCs/>
                <w:sz w:val="17"/>
                <w:szCs w:val="17"/>
                <w:u w:val="single"/>
                <w:lang w:val="nl-BE" w:eastAsia="nl-BE"/>
              </w:rPr>
            </w:pPr>
            <w:r w:rsidRPr="004D1C78">
              <w:rPr>
                <w:b/>
                <w:bCs/>
                <w:sz w:val="17"/>
                <w:szCs w:val="17"/>
                <w:u w:val="single"/>
                <w:lang w:val="nl-BE" w:eastAsia="nl-BE"/>
              </w:rPr>
              <w:t>T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F24B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PP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80CDA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1C65C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Arial" w:hAnsi="Arial" w:cs="Arial"/>
                <w:sz w:val="17"/>
                <w:szCs w:val="17"/>
                <w:lang w:val="nl-BE" w:eastAsia="nl-BE"/>
              </w:rPr>
            </w:pPr>
            <w:r w:rsidRPr="004D1C78">
              <w:rPr>
                <w:rFonts w:ascii="Arial" w:hAnsi="Arial" w:cs="Arial"/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395FB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A0DE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Arial" w:hAnsi="Arial" w:cs="Arial"/>
                <w:sz w:val="17"/>
                <w:szCs w:val="17"/>
                <w:lang w:val="nl-BE" w:eastAsia="nl-BE"/>
              </w:rPr>
            </w:pPr>
            <w:r w:rsidRPr="004D1C78">
              <w:rPr>
                <w:rFonts w:ascii="Arial" w:hAnsi="Arial" w:cs="Arial"/>
                <w:sz w:val="17"/>
                <w:szCs w:val="17"/>
                <w:lang w:val="nl-BE" w:eastAsia="nl-BE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12098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26AF" w14:textId="77777777" w:rsidR="0060632C" w:rsidRPr="004D1C78" w:rsidRDefault="0060632C" w:rsidP="0060632C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17"/>
                <w:szCs w:val="17"/>
                <w:lang w:val="nl-BE" w:eastAsia="nl-BE"/>
              </w:rPr>
            </w:pPr>
            <w:r w:rsidRPr="004D1C78">
              <w:rPr>
                <w:sz w:val="17"/>
                <w:szCs w:val="17"/>
                <w:lang w:val="nl-BE" w:eastAsia="nl-BE"/>
              </w:rPr>
              <w:t> </w:t>
            </w:r>
          </w:p>
        </w:tc>
      </w:tr>
    </w:tbl>
    <w:p w14:paraId="3CBB1B23" w14:textId="77777777" w:rsidR="0060632C" w:rsidRPr="004D1C78" w:rsidRDefault="0060632C" w:rsidP="0060632C">
      <w:pPr>
        <w:widowControl/>
        <w:suppressAutoHyphens/>
        <w:overflowPunct/>
        <w:autoSpaceDE/>
        <w:autoSpaceDN/>
        <w:adjustRightInd/>
        <w:spacing w:before="120" w:after="120" w:line="276" w:lineRule="auto"/>
        <w:ind w:right="1134" w:firstLine="0"/>
        <w:textAlignment w:val="auto"/>
        <w:rPr>
          <w:lang w:val="en-GB"/>
        </w:rPr>
      </w:pPr>
    </w:p>
    <w:p w14:paraId="710CF197" w14:textId="2D432E48" w:rsidR="0060632C" w:rsidRPr="004D1C78" w:rsidRDefault="0060632C" w:rsidP="0060632C">
      <w:pPr>
        <w:widowControl/>
        <w:suppressAutoHyphens/>
        <w:overflowPunct/>
        <w:autoSpaceDE/>
        <w:autoSpaceDN/>
        <w:adjustRightInd/>
        <w:spacing w:before="120" w:after="120" w:line="276" w:lineRule="auto"/>
        <w:ind w:left="1843" w:right="1134" w:hanging="709"/>
        <w:textAlignment w:val="auto"/>
        <w:rPr>
          <w:lang w:val="en-GB"/>
        </w:rPr>
      </w:pPr>
      <w:r w:rsidRPr="004D1C78">
        <w:rPr>
          <w:lang w:val="en-GB"/>
        </w:rPr>
        <w:t>3.2.3.2</w:t>
      </w:r>
      <w:r w:rsidRPr="004D1C78">
        <w:rPr>
          <w:lang w:val="en-GB"/>
        </w:rPr>
        <w:tab/>
      </w:r>
      <w:proofErr w:type="spellStart"/>
      <w:r w:rsidRPr="004D1C78">
        <w:rPr>
          <w:lang w:val="en-GB"/>
        </w:rPr>
        <w:t>Tabelle</w:t>
      </w:r>
      <w:proofErr w:type="spellEnd"/>
      <w:r w:rsidRPr="004D1C78">
        <w:rPr>
          <w:lang w:val="en-GB"/>
        </w:rPr>
        <w:t xml:space="preserve"> C:</w:t>
      </w:r>
    </w:p>
    <w:p w14:paraId="05535880" w14:textId="6976DFE5" w:rsidR="002468C9" w:rsidRPr="004D1C78" w:rsidRDefault="002468C9" w:rsidP="0060632C">
      <w:pPr>
        <w:widowControl/>
        <w:suppressAutoHyphens/>
        <w:overflowPunct/>
        <w:autoSpaceDE/>
        <w:autoSpaceDN/>
        <w:adjustRightInd/>
        <w:spacing w:before="120" w:after="120" w:line="276" w:lineRule="auto"/>
        <w:ind w:left="1843" w:right="1134" w:hanging="709"/>
        <w:textAlignment w:val="auto"/>
        <w:rPr>
          <w:lang w:val="en-GB"/>
        </w:rPr>
      </w:pP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2468C9" w:rsidRPr="004D1C78" w14:paraId="0535B6C7" w14:textId="77777777" w:rsidTr="002468C9">
        <w:trPr>
          <w:cantSplit/>
          <w:trHeight w:val="2050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A520170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r w:rsidRPr="004D1C78">
              <w:rPr>
                <w:color w:val="000000"/>
                <w:sz w:val="16"/>
                <w:szCs w:val="16"/>
                <w:lang w:val="en-GB" w:bidi="th-TH"/>
              </w:rPr>
              <w:t>UN-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Nummer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</w:t>
            </w:r>
            <w:r w:rsidRPr="004D1C78">
              <w:rPr>
                <w:color w:val="000000"/>
                <w:sz w:val="16"/>
                <w:szCs w:val="16"/>
                <w:lang w:val="en-GB" w:bidi="th-TH"/>
              </w:rPr>
              <w:br/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oder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Stoffnummer</w:t>
            </w:r>
            <w:proofErr w:type="spellEnd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E0DD6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Benennung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und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Beschreibung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135B704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Klasse</w:t>
            </w:r>
            <w:proofErr w:type="spellEnd"/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4BAD9FD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Klassifizierungscode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F4987F7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Verpackungsgruppe</w:t>
            </w:r>
            <w:proofErr w:type="spellEnd"/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</w:tcPr>
          <w:p w14:paraId="32F1EC64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Gefahren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606941F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Tankschiffstyp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456D09EE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Ladetankzustand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322D0CC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Ladetanktyp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9B0D3B6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Ladetankausrüstung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FB6D066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bidi="th-TH"/>
              </w:rPr>
            </w:pPr>
            <w:r w:rsidRPr="004D1C78">
              <w:rPr>
                <w:color w:val="000000"/>
                <w:sz w:val="16"/>
                <w:szCs w:val="16"/>
                <w:lang w:bidi="th-TH"/>
              </w:rPr>
              <w:t>Öffnungsdruck des Überdruck-/Hochgeschwindigkeitsventils in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365BD62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max.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zul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.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Tankfüllungsgrad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511F3AC2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relative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Dichte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bei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20 ºC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61DFC5E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r w:rsidRPr="004D1C78">
              <w:rPr>
                <w:color w:val="000000"/>
                <w:sz w:val="16"/>
                <w:szCs w:val="16"/>
                <w:lang w:val="en-GB" w:bidi="th-TH"/>
              </w:rPr>
              <w:t>Art der</w:t>
            </w:r>
            <w:r w:rsidRPr="004D1C78">
              <w:rPr>
                <w:color w:val="000000"/>
                <w:sz w:val="16"/>
                <w:szCs w:val="16"/>
                <w:lang w:val="en-GB" w:bidi="th-TH"/>
              </w:rPr>
              <w:br/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Probeentnahmeeinrichtung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7677E76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Pumpenraum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unter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Deck</w:t>
            </w:r>
            <w:r w:rsidRPr="004D1C78">
              <w:rPr>
                <w:color w:val="000000"/>
                <w:sz w:val="16"/>
                <w:szCs w:val="16"/>
                <w:lang w:val="en-GB" w:bidi="th-TH"/>
              </w:rPr>
              <w:br/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erlaubt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86B4651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Temperaturklasse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67555E9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Explosionsgruppe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E6DA63C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Explosionsschutz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br/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erforderlich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F8F166E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Ausrüstung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br/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erforderlich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F5C2A23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Anzahl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der Kegel/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Lichter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DC9790E" w14:textId="77777777" w:rsidR="002468C9" w:rsidRPr="004D1C78" w:rsidRDefault="002468C9" w:rsidP="002468C9">
            <w:pPr>
              <w:widowControl/>
              <w:suppressAutoHyphens/>
              <w:overflowPunct/>
              <w:spacing w:before="10" w:after="10"/>
              <w:ind w:left="0" w:firstLine="0"/>
              <w:jc w:val="center"/>
              <w:textAlignment w:val="auto"/>
              <w:rPr>
                <w:color w:val="000000"/>
                <w:sz w:val="16"/>
                <w:szCs w:val="16"/>
                <w:lang w:val="en-GB" w:bidi="th-TH"/>
              </w:rPr>
            </w:pP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zusätzliche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Anforderungen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br/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oder</w:t>
            </w:r>
            <w:proofErr w:type="spellEnd"/>
            <w:r w:rsidRPr="004D1C78">
              <w:rPr>
                <w:color w:val="000000"/>
                <w:sz w:val="16"/>
                <w:szCs w:val="16"/>
                <w:lang w:val="en-GB" w:bidi="th-TH"/>
              </w:rPr>
              <w:t xml:space="preserve"> </w:t>
            </w:r>
            <w:proofErr w:type="spellStart"/>
            <w:r w:rsidRPr="004D1C78">
              <w:rPr>
                <w:color w:val="000000"/>
                <w:sz w:val="16"/>
                <w:szCs w:val="16"/>
                <w:lang w:val="en-GB" w:bidi="th-TH"/>
              </w:rPr>
              <w:t>Bemerkungen</w:t>
            </w:r>
            <w:proofErr w:type="spellEnd"/>
          </w:p>
        </w:tc>
      </w:tr>
      <w:tr w:rsidR="0060632C" w:rsidRPr="004D1C78" w14:paraId="3F7E9D60" w14:textId="77777777" w:rsidTr="00F77EDB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4197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0D34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66B71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4A8F0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E5B1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C57D5C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05E5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E301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7BC7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2FAD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C408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4BFD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DA9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7170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B5BF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34FC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5DCB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2211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C09E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2A16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323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6"/>
                <w:szCs w:val="16"/>
                <w:lang w:val="en-GB" w:bidi="th-TH"/>
              </w:rPr>
            </w:pPr>
            <w:r w:rsidRPr="004D1C78">
              <w:rPr>
                <w:sz w:val="16"/>
                <w:szCs w:val="16"/>
                <w:lang w:val="en-GB" w:bidi="th-TH"/>
              </w:rPr>
              <w:t>(20)</w:t>
            </w:r>
          </w:p>
        </w:tc>
      </w:tr>
      <w:tr w:rsidR="0060632C" w:rsidRPr="004D1C78" w14:paraId="39A27452" w14:textId="77777777" w:rsidTr="00F77EDB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48DC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09B8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1C3F7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7B8C4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0F78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4864763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5DCE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948E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FAEE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5327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DF14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C8ED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EA97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690F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6C37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7F48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A607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2F37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0E32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7D5C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3386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sz w:val="13"/>
                <w:szCs w:val="13"/>
                <w:lang w:val="en-GB" w:bidi="th-TH"/>
              </w:rPr>
            </w:pPr>
            <w:r w:rsidRPr="004D1C78">
              <w:rPr>
                <w:b/>
                <w:bCs/>
                <w:sz w:val="13"/>
                <w:szCs w:val="13"/>
                <w:lang w:val="en-GB" w:bidi="th-TH"/>
              </w:rPr>
              <w:t>3.2.3.1</w:t>
            </w:r>
          </w:p>
        </w:tc>
      </w:tr>
      <w:tr w:rsidR="0060632C" w:rsidRPr="004D1C78" w14:paraId="301EF223" w14:textId="77777777" w:rsidTr="00F77EDB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5430F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1977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A650C" w14:textId="334198BC" w:rsidR="0060632C" w:rsidRPr="004D1C78" w:rsidRDefault="00F32A58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left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STICKSTOFF, TIEFGEKÜHLT, FLÜSSIG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036BF4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14D61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3A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23EA2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4F98FC4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2.2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D0D8D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D884E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2E702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52D4B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74980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B7045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EC674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0439C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E67A1" w14:textId="221E67F6" w:rsidR="0060632C" w:rsidRPr="004D1C78" w:rsidRDefault="00F32A58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proofErr w:type="spellStart"/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Nein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A488F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E4ADA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A49D1" w14:textId="529D54F5" w:rsidR="0060632C" w:rsidRPr="004D1C78" w:rsidRDefault="00F32A58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proofErr w:type="spellStart"/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Nein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8861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fr-BE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fr-BE" w:bidi="th-TH"/>
              </w:rPr>
              <w:t xml:space="preserve">PP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C695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center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917B3" w14:textId="77777777" w:rsidR="0060632C" w:rsidRPr="004D1C78" w:rsidRDefault="0060632C" w:rsidP="0060632C">
            <w:pPr>
              <w:widowControl/>
              <w:suppressAutoHyphens/>
              <w:overflowPunct/>
              <w:spacing w:before="10" w:after="10" w:line="240" w:lineRule="atLeast"/>
              <w:ind w:left="0" w:firstLine="0"/>
              <w:jc w:val="left"/>
              <w:textAlignment w:val="auto"/>
              <w:rPr>
                <w:b/>
                <w:bCs/>
                <w:sz w:val="16"/>
                <w:szCs w:val="16"/>
                <w:u w:val="single"/>
                <w:lang w:val="en-GB" w:bidi="th-TH"/>
              </w:rPr>
            </w:pPr>
            <w:r w:rsidRPr="004D1C78">
              <w:rPr>
                <w:b/>
                <w:bCs/>
                <w:sz w:val="16"/>
                <w:szCs w:val="16"/>
                <w:u w:val="single"/>
                <w:lang w:val="en-GB" w:bidi="th-TH"/>
              </w:rPr>
              <w:t>31, 39, 42, xx</w:t>
            </w:r>
          </w:p>
        </w:tc>
      </w:tr>
    </w:tbl>
    <w:p w14:paraId="2E3C06D4" w14:textId="77777777" w:rsidR="0060632C" w:rsidRPr="004D1C78" w:rsidRDefault="0060632C" w:rsidP="0060632C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szCs w:val="28"/>
          <w:lang w:val="en-GB"/>
        </w:rPr>
        <w:sectPr w:rsidR="0060632C" w:rsidRPr="004D1C78" w:rsidSect="00830CCA">
          <w:headerReference w:type="even" r:id="rId18"/>
          <w:headerReference w:type="default" r:id="rId19"/>
          <w:footerReference w:type="even" r:id="rId20"/>
          <w:footerReference w:type="default" r:id="rId21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FDEABE3" w14:textId="53007131" w:rsidR="0060632C" w:rsidRPr="004D1C78" w:rsidRDefault="000E19BE" w:rsidP="000E19BE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lastRenderedPageBreak/>
        <w:t>In Unterabschnitt 3.2.3.1 Erläuterungen zu Tabelle C, Spalte (20) „Zusätzliche Anforderungen/Bemerkungen“, erhält die Bemerkung 39 folgenden Wortlaut:</w:t>
      </w:r>
    </w:p>
    <w:p w14:paraId="721D9B6C" w14:textId="16C5546D" w:rsidR="00420224" w:rsidRPr="004D1C78" w:rsidRDefault="0065696E" w:rsidP="0065696E">
      <w:pPr>
        <w:tabs>
          <w:tab w:val="left" w:pos="1560"/>
          <w:tab w:val="left" w:pos="2694"/>
        </w:tabs>
        <w:spacing w:before="60" w:line="240" w:lineRule="atLeast"/>
        <w:ind w:left="1843" w:right="1132" w:hanging="709"/>
        <w:rPr>
          <w:lang w:eastAsia="nl-NL"/>
        </w:rPr>
      </w:pPr>
      <w:r w:rsidRPr="004D1C78">
        <w:rPr>
          <w:rFonts w:ascii="Arial" w:hAnsi="Arial"/>
          <w:sz w:val="18"/>
          <w:szCs w:val="18"/>
          <w:lang w:eastAsia="nl-NL"/>
        </w:rPr>
        <w:t>„</w:t>
      </w:r>
      <w:r w:rsidR="00420224" w:rsidRPr="004D1C78">
        <w:rPr>
          <w:lang w:eastAsia="nl-NL"/>
        </w:rPr>
        <w:t>39.</w:t>
      </w:r>
      <w:r w:rsidR="00420224" w:rsidRPr="004D1C78">
        <w:rPr>
          <w:lang w:eastAsia="nl-NL"/>
        </w:rPr>
        <w:tab/>
        <w:t>a)</w:t>
      </w:r>
      <w:r w:rsidR="00420224" w:rsidRPr="004D1C78">
        <w:rPr>
          <w:lang w:eastAsia="nl-NL"/>
        </w:rPr>
        <w:tab/>
        <w:t xml:space="preserve">Die Abdichtungen, Ablassöffnungen, Verschließvorrichtungen und andere technische Einrichtungen müssen so ausgeführt sein, dass </w:t>
      </w:r>
      <w:proofErr w:type="gramStart"/>
      <w:r w:rsidR="00420224" w:rsidRPr="004D1C78">
        <w:rPr>
          <w:lang w:eastAsia="nl-NL"/>
        </w:rPr>
        <w:t>unter normalen Beförderungsbedingungen</w:t>
      </w:r>
      <w:proofErr w:type="gramEnd"/>
      <w:r w:rsidR="00420224" w:rsidRPr="004D1C78">
        <w:rPr>
          <w:lang w:eastAsia="nl-NL"/>
        </w:rPr>
        <w:t xml:space="preserve"> kein</w:t>
      </w:r>
      <w:r w:rsidR="000E19BE" w:rsidRPr="004D1C78">
        <w:rPr>
          <w:b/>
          <w:bCs/>
          <w:u w:val="single"/>
          <w:lang w:eastAsia="nl-NL"/>
        </w:rPr>
        <w:t>e</w:t>
      </w:r>
      <w:r w:rsidR="00420224" w:rsidRPr="004D1C78">
        <w:rPr>
          <w:b/>
          <w:bCs/>
          <w:u w:val="single"/>
          <w:lang w:eastAsia="nl-NL"/>
        </w:rPr>
        <w:t xml:space="preserve"> </w:t>
      </w:r>
      <w:r w:rsidR="000E19BE" w:rsidRPr="004D1C78">
        <w:rPr>
          <w:b/>
          <w:bCs/>
          <w:u w:val="single"/>
          <w:lang w:eastAsia="nl-NL"/>
        </w:rPr>
        <w:t>tiefgekühlten</w:t>
      </w:r>
      <w:r w:rsidRPr="004D1C78">
        <w:rPr>
          <w:b/>
          <w:bCs/>
          <w:u w:val="single"/>
          <w:lang w:eastAsia="nl-NL"/>
        </w:rPr>
        <w:t xml:space="preserve"> </w:t>
      </w:r>
      <w:r w:rsidR="000E19BE" w:rsidRPr="004D1C78">
        <w:rPr>
          <w:b/>
          <w:bCs/>
          <w:u w:val="single"/>
          <w:lang w:eastAsia="nl-NL"/>
        </w:rPr>
        <w:t>flüssigen</w:t>
      </w:r>
      <w:r w:rsidRPr="004D1C78">
        <w:rPr>
          <w:b/>
          <w:bCs/>
          <w:u w:val="single"/>
          <w:lang w:eastAsia="nl-NL"/>
        </w:rPr>
        <w:t xml:space="preserve"> </w:t>
      </w:r>
      <w:r w:rsidR="000E19BE" w:rsidRPr="004D1C78">
        <w:rPr>
          <w:b/>
          <w:bCs/>
          <w:u w:val="single"/>
          <w:lang w:eastAsia="nl-NL"/>
        </w:rPr>
        <w:t>G</w:t>
      </w:r>
      <w:r w:rsidRPr="004D1C78">
        <w:rPr>
          <w:b/>
          <w:bCs/>
          <w:u w:val="single"/>
          <w:lang w:eastAsia="nl-NL"/>
        </w:rPr>
        <w:t>ase</w:t>
      </w:r>
      <w:r w:rsidRPr="004D1C78">
        <w:rPr>
          <w:lang w:eastAsia="nl-NL"/>
        </w:rPr>
        <w:t xml:space="preserve"> </w:t>
      </w:r>
      <w:r w:rsidR="00420224" w:rsidRPr="004D1C78">
        <w:rPr>
          <w:strike/>
          <w:lang w:eastAsia="nl-NL"/>
        </w:rPr>
        <w:t>Kohlendioxid</w:t>
      </w:r>
      <w:r w:rsidR="00420224" w:rsidRPr="004D1C78">
        <w:rPr>
          <w:lang w:eastAsia="nl-NL"/>
        </w:rPr>
        <w:t xml:space="preserve"> austreten </w:t>
      </w:r>
      <w:r w:rsidR="00420224" w:rsidRPr="004D1C78">
        <w:rPr>
          <w:strike/>
          <w:lang w:eastAsia="nl-NL"/>
        </w:rPr>
        <w:t>kann</w:t>
      </w:r>
      <w:r w:rsidR="00420224" w:rsidRPr="004D1C78">
        <w:rPr>
          <w:lang w:eastAsia="nl-NL"/>
        </w:rPr>
        <w:t xml:space="preserve"> </w:t>
      </w:r>
      <w:r w:rsidR="000E19BE" w:rsidRPr="004D1C78">
        <w:rPr>
          <w:b/>
          <w:bCs/>
          <w:u w:val="single"/>
          <w:lang w:eastAsia="nl-NL"/>
        </w:rPr>
        <w:t>können</w:t>
      </w:r>
      <w:r w:rsidR="000E19BE" w:rsidRPr="004D1C78">
        <w:rPr>
          <w:lang w:eastAsia="nl-NL"/>
        </w:rPr>
        <w:t xml:space="preserve"> </w:t>
      </w:r>
      <w:r w:rsidR="00420224" w:rsidRPr="004D1C78">
        <w:rPr>
          <w:lang w:eastAsia="nl-NL"/>
        </w:rPr>
        <w:t xml:space="preserve">(Kälte, Brüchigkeit von Materialien, gefrorene Verkleidungen, </w:t>
      </w:r>
      <w:proofErr w:type="spellStart"/>
      <w:r w:rsidR="00420224" w:rsidRPr="004D1C78">
        <w:rPr>
          <w:lang w:eastAsia="nl-NL"/>
        </w:rPr>
        <w:t>Ausströmöffnungen</w:t>
      </w:r>
      <w:proofErr w:type="spellEnd"/>
      <w:r w:rsidR="00420224" w:rsidRPr="004D1C78">
        <w:rPr>
          <w:lang w:eastAsia="nl-NL"/>
        </w:rPr>
        <w:t xml:space="preserve"> </w:t>
      </w:r>
      <w:proofErr w:type="spellStart"/>
      <w:r w:rsidR="00420224" w:rsidRPr="004D1C78">
        <w:rPr>
          <w:lang w:eastAsia="nl-NL"/>
        </w:rPr>
        <w:t>usw</w:t>
      </w:r>
      <w:proofErr w:type="spellEnd"/>
      <w:r w:rsidR="00420224" w:rsidRPr="004D1C78">
        <w:rPr>
          <w:lang w:eastAsia="nl-NL"/>
        </w:rPr>
        <w:t>).</w:t>
      </w:r>
    </w:p>
    <w:p w14:paraId="74E069FA" w14:textId="77777777" w:rsidR="00420224" w:rsidRPr="004D1C78" w:rsidRDefault="00420224" w:rsidP="0065696E">
      <w:pPr>
        <w:tabs>
          <w:tab w:val="left" w:pos="1560"/>
        </w:tabs>
        <w:spacing w:before="60" w:line="240" w:lineRule="atLeast"/>
        <w:ind w:left="1843" w:right="1132" w:hanging="283"/>
        <w:rPr>
          <w:lang w:eastAsia="nl-NL"/>
        </w:rPr>
      </w:pPr>
      <w:r w:rsidRPr="004D1C78">
        <w:rPr>
          <w:lang w:eastAsia="nl-NL"/>
        </w:rPr>
        <w:t>b)</w:t>
      </w:r>
      <w:r w:rsidRPr="004D1C78">
        <w:rPr>
          <w:lang w:eastAsia="nl-NL"/>
        </w:rPr>
        <w:tab/>
        <w:t xml:space="preserve">Im Beförderungspapier ist die Ladetemperatur (am </w:t>
      </w:r>
      <w:proofErr w:type="spellStart"/>
      <w:r w:rsidRPr="004D1C78">
        <w:rPr>
          <w:lang w:eastAsia="nl-NL"/>
        </w:rPr>
        <w:t>Ladeort</w:t>
      </w:r>
      <w:proofErr w:type="spellEnd"/>
      <w:r w:rsidRPr="004D1C78">
        <w:rPr>
          <w:lang w:eastAsia="nl-NL"/>
        </w:rPr>
        <w:t>) anzugeben.</w:t>
      </w:r>
    </w:p>
    <w:p w14:paraId="604EA3D0" w14:textId="77777777" w:rsidR="00420224" w:rsidRPr="004D1C78" w:rsidRDefault="00420224" w:rsidP="0065696E">
      <w:pPr>
        <w:tabs>
          <w:tab w:val="left" w:pos="1560"/>
        </w:tabs>
        <w:spacing w:before="60" w:line="240" w:lineRule="atLeast"/>
        <w:ind w:left="1843" w:right="1132" w:hanging="283"/>
        <w:rPr>
          <w:lang w:eastAsia="nl-NL"/>
        </w:rPr>
      </w:pPr>
      <w:r w:rsidRPr="004D1C78">
        <w:rPr>
          <w:lang w:eastAsia="nl-NL"/>
        </w:rPr>
        <w:t>c)</w:t>
      </w:r>
      <w:r w:rsidRPr="004D1C78">
        <w:rPr>
          <w:lang w:eastAsia="nl-NL"/>
        </w:rPr>
        <w:tab/>
        <w:t>Ein Sauerstoffmessgerät</w:t>
      </w:r>
      <w:r w:rsidRPr="004D1C78" w:rsidDel="00A0288D">
        <w:rPr>
          <w:lang w:eastAsia="nl-NL"/>
        </w:rPr>
        <w:t xml:space="preserve"> </w:t>
      </w:r>
      <w:r w:rsidRPr="004D1C78">
        <w:rPr>
          <w:lang w:eastAsia="nl-NL"/>
        </w:rPr>
        <w:t>mit einer Bedienungsanweisung, die von jedem an Bord gelesen werden kann, muss sich an Bord des Schiffes befinden. Das Sauerstoffmessgerät</w:t>
      </w:r>
      <w:r w:rsidRPr="004D1C78" w:rsidDel="00A0288D">
        <w:rPr>
          <w:lang w:eastAsia="nl-NL"/>
        </w:rPr>
        <w:t xml:space="preserve"> </w:t>
      </w:r>
      <w:r w:rsidRPr="004D1C78">
        <w:rPr>
          <w:lang w:eastAsia="nl-NL"/>
        </w:rPr>
        <w:t>muss beim Betreten von Laderäumen, Pumpenräumen, tief gelegenen Räumen und beim Verrichten von Arbeiten an Bord als Beweismittel gebraucht werden.</w:t>
      </w:r>
    </w:p>
    <w:p w14:paraId="43EF567A" w14:textId="77777777" w:rsidR="00420224" w:rsidRPr="004D1C78" w:rsidRDefault="00420224" w:rsidP="0065696E">
      <w:pPr>
        <w:tabs>
          <w:tab w:val="left" w:pos="1560"/>
        </w:tabs>
        <w:spacing w:before="60" w:line="240" w:lineRule="atLeast"/>
        <w:ind w:left="1843" w:right="1132" w:hanging="283"/>
        <w:rPr>
          <w:lang w:eastAsia="nl-NL"/>
        </w:rPr>
      </w:pPr>
      <w:r w:rsidRPr="004D1C78">
        <w:rPr>
          <w:lang w:eastAsia="nl-NL"/>
        </w:rPr>
        <w:t>d)</w:t>
      </w:r>
      <w:r w:rsidRPr="004D1C78">
        <w:rPr>
          <w:lang w:eastAsia="nl-NL"/>
        </w:rPr>
        <w:tab/>
        <w:t xml:space="preserve">Vor der Wohnung und anderen Räumen, in denen sich die Besatzung aufhält, muss ein geeignetes Messgerät angebracht sein, das bei einem zu niedrigen Sauerstoffgehalt </w:t>
      </w:r>
      <w:r w:rsidRPr="004D1C78">
        <w:rPr>
          <w:strike/>
          <w:lang w:eastAsia="nl-NL"/>
        </w:rPr>
        <w:t>oder zu hohem CO</w:t>
      </w:r>
      <w:r w:rsidRPr="004D1C78">
        <w:rPr>
          <w:strike/>
          <w:vertAlign w:val="subscript"/>
          <w:lang w:eastAsia="nl-NL"/>
        </w:rPr>
        <w:t>2</w:t>
      </w:r>
      <w:r w:rsidRPr="004D1C78">
        <w:rPr>
          <w:strike/>
          <w:lang w:eastAsia="nl-NL"/>
        </w:rPr>
        <w:t>-Gehalt einen Alarm auslöst</w:t>
      </w:r>
      <w:r w:rsidRPr="004D1C78">
        <w:rPr>
          <w:lang w:eastAsia="nl-NL"/>
        </w:rPr>
        <w:t>.</w:t>
      </w:r>
    </w:p>
    <w:p w14:paraId="4FD56015" w14:textId="756A8E03" w:rsidR="00420224" w:rsidRPr="004D1C78" w:rsidRDefault="00420224" w:rsidP="0065696E">
      <w:pPr>
        <w:tabs>
          <w:tab w:val="left" w:pos="1560"/>
        </w:tabs>
        <w:spacing w:before="60" w:line="240" w:lineRule="atLeast"/>
        <w:ind w:left="1843" w:right="1132" w:hanging="426"/>
        <w:rPr>
          <w:lang w:eastAsia="nl-NL"/>
        </w:rPr>
      </w:pPr>
      <w:r w:rsidRPr="004D1C78">
        <w:rPr>
          <w:lang w:eastAsia="nl-NL"/>
        </w:rPr>
        <w:t>e)</w:t>
      </w:r>
      <w:r w:rsidRPr="004D1C78">
        <w:rPr>
          <w:lang w:eastAsia="nl-NL"/>
        </w:rPr>
        <w:tab/>
        <w:t>Im Beförderungspapier sind die (nach dem Laden gemessene) Ladetemperatur und die maximale Beförderungsdauer anzugeben.</w:t>
      </w:r>
      <w:r w:rsidR="0065696E" w:rsidRPr="004D1C78">
        <w:rPr>
          <w:lang w:eastAsia="nl-NL"/>
        </w:rPr>
        <w:t>“</w:t>
      </w:r>
    </w:p>
    <w:p w14:paraId="7F078F3E" w14:textId="600F3CFA" w:rsidR="00420224" w:rsidRPr="004D1C78" w:rsidRDefault="00420224" w:rsidP="0060632C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6523B5AB" w14:textId="3E3684BA" w:rsidR="0060632C" w:rsidRPr="004D1C78" w:rsidRDefault="000311BB" w:rsidP="007872C5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 xml:space="preserve">In Unterabschnitt 3.2.3.1 Erläuterungen zu Tabelle C, Spalte (20) „Zusätzliche Anforderungen/Bemerkungen“, </w:t>
      </w:r>
      <w:r w:rsidR="002C607F" w:rsidRPr="004D1C78">
        <w:t>wird</w:t>
      </w:r>
      <w:r w:rsidRPr="004D1C78">
        <w:t xml:space="preserve"> </w:t>
      </w:r>
      <w:r w:rsidR="002C607F" w:rsidRPr="004D1C78">
        <w:t>eine neue</w:t>
      </w:r>
      <w:r w:rsidRPr="004D1C78">
        <w:t xml:space="preserve"> Bemerkung </w:t>
      </w:r>
      <w:r w:rsidR="002C607F" w:rsidRPr="004D1C78">
        <w:t>xx</w:t>
      </w:r>
      <w:r w:rsidRPr="004D1C78">
        <w:t xml:space="preserve"> </w:t>
      </w:r>
      <w:r w:rsidR="002C607F" w:rsidRPr="004D1C78">
        <w:t xml:space="preserve">mit </w:t>
      </w:r>
      <w:r w:rsidRPr="004D1C78">
        <w:t>folgende</w:t>
      </w:r>
      <w:r w:rsidR="002C607F" w:rsidRPr="004D1C78">
        <w:t>m</w:t>
      </w:r>
      <w:r w:rsidRPr="004D1C78">
        <w:t xml:space="preserve"> Wortlaut</w:t>
      </w:r>
      <w:r w:rsidR="002C607F" w:rsidRPr="004D1C78">
        <w:t xml:space="preserve"> hinzugefügt</w:t>
      </w:r>
      <w:r w:rsidRPr="004D1C78">
        <w:t>:</w:t>
      </w:r>
    </w:p>
    <w:p w14:paraId="25FD5A35" w14:textId="3D476A54" w:rsidR="0060632C" w:rsidRPr="004D1C78" w:rsidRDefault="007872C5" w:rsidP="00993565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b/>
          <w:bCs/>
          <w:u w:val="single"/>
        </w:rPr>
      </w:pPr>
      <w:r w:rsidRPr="004D1C78">
        <w:rPr>
          <w:rFonts w:ascii="Arial" w:hAnsi="Arial" w:cs="Arial"/>
          <w:b/>
          <w:bCs/>
          <w:u w:val="single"/>
        </w:rPr>
        <w:t>„</w:t>
      </w:r>
      <w:r w:rsidR="0060632C" w:rsidRPr="004D1C78">
        <w:rPr>
          <w:b/>
          <w:bCs/>
          <w:u w:val="single"/>
        </w:rPr>
        <w:t>xx.</w:t>
      </w:r>
      <w:r w:rsidR="0060632C" w:rsidRPr="004D1C78">
        <w:rPr>
          <w:b/>
          <w:bCs/>
          <w:u w:val="single"/>
        </w:rPr>
        <w:tab/>
      </w:r>
      <w:r w:rsidR="00B41BF5" w:rsidRPr="004D1C78">
        <w:rPr>
          <w:b/>
          <w:bCs/>
          <w:u w:val="single"/>
        </w:rPr>
        <w:t>Bauwerkstoffe und Zubehörteile wie z. B. Isolierungen müssen gegen die Einflüsse hoher Sauerstoffkonzentrationen beständig sein, die durch Kondensation und Anreicherung bei den im Ladungssystem teilweise herrschenden niedrigen Temperaturen entstehen.</w:t>
      </w:r>
      <w:r w:rsidR="0060632C" w:rsidRPr="004D1C78">
        <w:rPr>
          <w:b/>
          <w:bCs/>
          <w:u w:val="single"/>
        </w:rPr>
        <w:t xml:space="preserve"> </w:t>
      </w:r>
      <w:r w:rsidR="00993565" w:rsidRPr="004D1C78">
        <w:rPr>
          <w:b/>
          <w:bCs/>
          <w:u w:val="single"/>
        </w:rPr>
        <w:t>In Bereichen, in denen Kondensation auftreten könnte, ist für ausreichende Belüftung zu sorgen, um eine Schichtung der mit Sauerstoff angereicherten Atmosphäre zu vermeiden.“</w:t>
      </w:r>
    </w:p>
    <w:p w14:paraId="037A6B1D" w14:textId="247D938E" w:rsidR="0060632C" w:rsidRPr="004D1C78" w:rsidRDefault="00993565" w:rsidP="009C7F30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 xml:space="preserve">In Unterabschnitt 3.2.3.3, Spalte (20): </w:t>
      </w:r>
      <w:r w:rsidR="00805395" w:rsidRPr="004D1C78">
        <w:t>B</w:t>
      </w:r>
      <w:r w:rsidRPr="004D1C78">
        <w:t>est</w:t>
      </w:r>
      <w:r w:rsidR="00805395" w:rsidRPr="004D1C78">
        <w:t>imm</w:t>
      </w:r>
      <w:r w:rsidRPr="004D1C78">
        <w:t xml:space="preserve">ung der </w:t>
      </w:r>
      <w:r w:rsidR="00805395" w:rsidRPr="004D1C78">
        <w:t xml:space="preserve">Eintragungen der </w:t>
      </w:r>
      <w:r w:rsidRPr="004D1C78">
        <w:t>zusätzlichen Anforderungen und Bemerkungen, erhält die Bemerkung 39 folgenden Wortlaut:</w:t>
      </w:r>
    </w:p>
    <w:p w14:paraId="22957003" w14:textId="29052005" w:rsidR="00A174AC" w:rsidRPr="004D1C78" w:rsidRDefault="00A174AC" w:rsidP="0060632C">
      <w:pPr>
        <w:widowControl/>
        <w:suppressAutoHyphens/>
        <w:overflowPunct/>
        <w:autoSpaceDE/>
        <w:autoSpaceDN/>
        <w:adjustRightInd/>
        <w:spacing w:after="120" w:line="240" w:lineRule="atLeast"/>
        <w:ind w:left="2693" w:right="1134" w:hanging="1559"/>
        <w:textAlignment w:val="auto"/>
      </w:pPr>
      <w:bookmarkStart w:id="1" w:name="_Hlk119410526"/>
      <w:r w:rsidRPr="004D1C78">
        <w:rPr>
          <w:b/>
          <w:bCs/>
          <w:i/>
          <w:iCs/>
        </w:rPr>
        <w:t xml:space="preserve">„Bemerkung 39: </w:t>
      </w:r>
      <w:r w:rsidRPr="004D1C78">
        <w:rPr>
          <w:b/>
          <w:bCs/>
          <w:i/>
          <w:iCs/>
        </w:rPr>
        <w:tab/>
      </w:r>
      <w:r w:rsidRPr="004D1C78">
        <w:t xml:space="preserve">Bemerkung 39 ist in Spalte (20) einzutragen </w:t>
      </w:r>
      <w:r w:rsidRPr="004D1C78">
        <w:rPr>
          <w:b/>
          <w:bCs/>
          <w:u w:val="single"/>
        </w:rPr>
        <w:t>bei UN</w:t>
      </w:r>
      <w:r w:rsidRPr="004D1C78">
        <w:t xml:space="preserve"> </w:t>
      </w:r>
      <w:r w:rsidRPr="004D1C78">
        <w:rPr>
          <w:b/>
          <w:bCs/>
          <w:u w:val="single"/>
        </w:rPr>
        <w:t xml:space="preserve">1977 STICKSTOFF, TIEFGEKÜHLT, FLÜSSIG und </w:t>
      </w:r>
      <w:r w:rsidRPr="004D1C78">
        <w:t>bei UN 2187 KOHLENDIOXID, TIEFGEKÜHLT, FLÜSSIG, der Klasse 2.“</w:t>
      </w:r>
    </w:p>
    <w:bookmarkEnd w:id="1"/>
    <w:p w14:paraId="6A4036F5" w14:textId="3941BF7A" w:rsidR="0060632C" w:rsidRPr="004D1C78" w:rsidRDefault="009C7F30" w:rsidP="001A522C">
      <w:pPr>
        <w:widowControl/>
        <w:suppressAutoHyphens/>
        <w:overflowPunct/>
        <w:autoSpaceDE/>
        <w:autoSpaceDN/>
        <w:adjustRightInd/>
        <w:spacing w:after="120" w:line="240" w:lineRule="atLeast"/>
        <w:ind w:left="2693" w:right="1134" w:hanging="1559"/>
        <w:textAlignment w:val="auto"/>
      </w:pPr>
      <w:r w:rsidRPr="004D1C78">
        <w:t xml:space="preserve">Zudem wird eine neue Bemerkung xx mit folgendem Wortlaut </w:t>
      </w:r>
      <w:r w:rsidR="00584BD4" w:rsidRPr="004D1C78">
        <w:t>hinzu</w:t>
      </w:r>
      <w:r w:rsidRPr="004D1C78">
        <w:t>gefügt:</w:t>
      </w:r>
    </w:p>
    <w:p w14:paraId="3C893C68" w14:textId="30F0C288" w:rsidR="0060632C" w:rsidRPr="004D1C78" w:rsidRDefault="001A522C" w:rsidP="00750DBA">
      <w:pPr>
        <w:widowControl/>
        <w:suppressAutoHyphens/>
        <w:overflowPunct/>
        <w:autoSpaceDE/>
        <w:autoSpaceDN/>
        <w:adjustRightInd/>
        <w:spacing w:after="120" w:line="240" w:lineRule="atLeast"/>
        <w:ind w:left="2693" w:right="1134" w:hanging="1559"/>
        <w:textAlignment w:val="auto"/>
        <w:rPr>
          <w:b/>
          <w:bCs/>
          <w:u w:val="single"/>
        </w:rPr>
      </w:pPr>
      <w:r w:rsidRPr="004D1C78">
        <w:rPr>
          <w:b/>
          <w:bCs/>
          <w:i/>
          <w:iCs/>
          <w:u w:val="single"/>
        </w:rPr>
        <w:t>„Bemerkung xx:</w:t>
      </w:r>
      <w:r w:rsidR="0060632C" w:rsidRPr="004D1C78">
        <w:rPr>
          <w:b/>
          <w:bCs/>
          <w:i/>
          <w:iCs/>
          <w:u w:val="single"/>
        </w:rPr>
        <w:t xml:space="preserve"> </w:t>
      </w:r>
      <w:r w:rsidR="0060632C" w:rsidRPr="004D1C78">
        <w:rPr>
          <w:b/>
          <w:bCs/>
          <w:i/>
          <w:iCs/>
          <w:u w:val="single"/>
        </w:rPr>
        <w:tab/>
      </w:r>
      <w:r w:rsidRPr="004D1C78">
        <w:rPr>
          <w:b/>
          <w:bCs/>
          <w:u w:val="single"/>
        </w:rPr>
        <w:t>Bemerkung xx ist in Spalte (20) einzutragen bei UN 1977 STICKSTOFF, TIEFGEKÜHLT, FLÜSSIG</w:t>
      </w:r>
      <w:r w:rsidR="00491F69" w:rsidRPr="004D1C78">
        <w:rPr>
          <w:b/>
          <w:bCs/>
          <w:u w:val="single"/>
        </w:rPr>
        <w:t>, der</w:t>
      </w:r>
      <w:r w:rsidRPr="004D1C78">
        <w:rPr>
          <w:b/>
          <w:bCs/>
          <w:u w:val="single"/>
        </w:rPr>
        <w:t xml:space="preserve"> Klasse 2.“</w:t>
      </w:r>
    </w:p>
    <w:p w14:paraId="77DF2EBB" w14:textId="4E9A6A27" w:rsidR="0060632C" w:rsidRPr="004D1C78" w:rsidRDefault="00750DBA" w:rsidP="00491F69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>In Unterabschnitt 3.2.4.3, Spalte (20): Bestimmung der Eintragungen der zusätzlichen Anforderungen und Bemerkungen, erhält die Bemerkung 39 folgenden Wortlaut:</w:t>
      </w:r>
    </w:p>
    <w:p w14:paraId="071BEBC9" w14:textId="77777777" w:rsidR="00A174AC" w:rsidRPr="004D1C78" w:rsidRDefault="00A174AC" w:rsidP="00A174AC">
      <w:pPr>
        <w:widowControl/>
        <w:suppressAutoHyphens/>
        <w:overflowPunct/>
        <w:autoSpaceDE/>
        <w:autoSpaceDN/>
        <w:adjustRightInd/>
        <w:spacing w:after="120" w:line="240" w:lineRule="atLeast"/>
        <w:ind w:left="2693" w:right="1134" w:hanging="1559"/>
        <w:textAlignment w:val="auto"/>
      </w:pPr>
      <w:r w:rsidRPr="004D1C78">
        <w:rPr>
          <w:b/>
          <w:bCs/>
          <w:i/>
          <w:iCs/>
        </w:rPr>
        <w:t xml:space="preserve">„Bemerkung 39: </w:t>
      </w:r>
      <w:r w:rsidRPr="004D1C78">
        <w:rPr>
          <w:b/>
          <w:bCs/>
          <w:i/>
          <w:iCs/>
        </w:rPr>
        <w:tab/>
      </w:r>
      <w:r w:rsidRPr="004D1C78">
        <w:t xml:space="preserve">Bemerkung 39 ist in Spalte (20) einzutragen </w:t>
      </w:r>
      <w:r w:rsidRPr="004D1C78">
        <w:rPr>
          <w:b/>
          <w:bCs/>
          <w:u w:val="single"/>
        </w:rPr>
        <w:t>bei UN</w:t>
      </w:r>
      <w:r w:rsidRPr="004D1C78">
        <w:t xml:space="preserve"> </w:t>
      </w:r>
      <w:r w:rsidRPr="004D1C78">
        <w:rPr>
          <w:b/>
          <w:bCs/>
          <w:u w:val="single"/>
        </w:rPr>
        <w:t xml:space="preserve">1977 STICKSTOFF, TIEFGEKÜHLT, FLÜSSIG und </w:t>
      </w:r>
      <w:r w:rsidRPr="004D1C78">
        <w:t>bei UN 2187 KOHLENDIOXID, TIEFGEKÜHLT, FLÜSSIG, der Klasse 2.“</w:t>
      </w:r>
    </w:p>
    <w:p w14:paraId="42709AAB" w14:textId="3BFCB850" w:rsidR="0060632C" w:rsidRPr="004D1C78" w:rsidRDefault="00491F69" w:rsidP="00491F69">
      <w:pPr>
        <w:widowControl/>
        <w:suppressAutoHyphens/>
        <w:overflowPunct/>
        <w:autoSpaceDE/>
        <w:autoSpaceDN/>
        <w:adjustRightInd/>
        <w:spacing w:after="120" w:line="240" w:lineRule="atLeast"/>
        <w:ind w:left="2693" w:right="1134" w:hanging="1559"/>
        <w:textAlignment w:val="auto"/>
      </w:pPr>
      <w:r w:rsidRPr="004D1C78">
        <w:t>Zudem wird eine neue Bemerkung xx mit folgendem Wortlaut hinzugefügt:</w:t>
      </w:r>
    </w:p>
    <w:p w14:paraId="74EA7A91" w14:textId="50968031" w:rsidR="0060632C" w:rsidRPr="004D1C78" w:rsidRDefault="00491F69" w:rsidP="00491F69">
      <w:pPr>
        <w:widowControl/>
        <w:suppressAutoHyphens/>
        <w:overflowPunct/>
        <w:autoSpaceDE/>
        <w:autoSpaceDN/>
        <w:adjustRightInd/>
        <w:spacing w:after="120" w:line="240" w:lineRule="atLeast"/>
        <w:ind w:left="2693" w:right="1134" w:hanging="1559"/>
        <w:textAlignment w:val="auto"/>
        <w:rPr>
          <w:b/>
          <w:bCs/>
          <w:u w:val="single"/>
        </w:rPr>
      </w:pPr>
      <w:r w:rsidRPr="004D1C78">
        <w:rPr>
          <w:b/>
          <w:bCs/>
          <w:i/>
          <w:iCs/>
          <w:u w:val="single"/>
        </w:rPr>
        <w:t>„Bemerkung xx:</w:t>
      </w:r>
      <w:r w:rsidR="0060632C" w:rsidRPr="004D1C78">
        <w:rPr>
          <w:b/>
          <w:bCs/>
          <w:i/>
          <w:iCs/>
          <w:u w:val="single"/>
        </w:rPr>
        <w:t xml:space="preserve"> </w:t>
      </w:r>
      <w:r w:rsidR="0060632C" w:rsidRPr="004D1C78">
        <w:rPr>
          <w:b/>
          <w:bCs/>
          <w:i/>
          <w:iCs/>
          <w:u w:val="single"/>
        </w:rPr>
        <w:tab/>
      </w:r>
      <w:r w:rsidRPr="004D1C78">
        <w:rPr>
          <w:b/>
          <w:bCs/>
          <w:u w:val="single"/>
        </w:rPr>
        <w:t>Bemerkung xx ist in Spalte (20) einzutragen bei UN 1977 STICKSTOFF, TIEFGEKÜHLT, FLÜSSIG, der Klasse 2.“</w:t>
      </w:r>
    </w:p>
    <w:p w14:paraId="626D14D2" w14:textId="4DF59E20" w:rsidR="0060632C" w:rsidRPr="004D1C78" w:rsidRDefault="0060632C" w:rsidP="00491F69">
      <w:pPr>
        <w:keepNext/>
        <w:keepLines/>
        <w:pageBreakBefore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D1C78">
        <w:rPr>
          <w:b/>
          <w:sz w:val="28"/>
        </w:rPr>
        <w:lastRenderedPageBreak/>
        <w:tab/>
        <w:t>II.</w:t>
      </w:r>
      <w:r w:rsidRPr="004D1C78">
        <w:rPr>
          <w:b/>
          <w:sz w:val="28"/>
        </w:rPr>
        <w:tab/>
      </w:r>
      <w:r w:rsidR="00491F69" w:rsidRPr="004D1C78">
        <w:rPr>
          <w:b/>
          <w:sz w:val="28"/>
        </w:rPr>
        <w:t>Anmerkung</w:t>
      </w:r>
    </w:p>
    <w:p w14:paraId="0DC497C8" w14:textId="7C11AB12" w:rsidR="0060632C" w:rsidRPr="004D1C78" w:rsidRDefault="0060632C" w:rsidP="00226C9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>5.</w:t>
      </w:r>
      <w:r w:rsidRPr="004D1C78">
        <w:tab/>
      </w:r>
      <w:r w:rsidR="005111CB" w:rsidRPr="004D1C78">
        <w:t>B</w:t>
      </w:r>
      <w:r w:rsidR="00A1096A" w:rsidRPr="004D1C78">
        <w:t>elgie</w:t>
      </w:r>
      <w:r w:rsidR="005111CB" w:rsidRPr="004D1C78">
        <w:t>n</w:t>
      </w:r>
      <w:r w:rsidR="00A1096A" w:rsidRPr="004D1C78">
        <w:t xml:space="preserve"> und die </w:t>
      </w:r>
      <w:r w:rsidR="005111CB" w:rsidRPr="004D1C78">
        <w:t>N</w:t>
      </w:r>
      <w:r w:rsidR="00A1096A" w:rsidRPr="004D1C78">
        <w:t>iederl</w:t>
      </w:r>
      <w:r w:rsidR="005111CB" w:rsidRPr="004D1C78">
        <w:t>a</w:t>
      </w:r>
      <w:r w:rsidR="00A1096A" w:rsidRPr="004D1C78">
        <w:t>nde stell</w:t>
      </w:r>
      <w:r w:rsidR="001D1365" w:rsidRPr="004D1C78">
        <w:t>t</w:t>
      </w:r>
      <w:r w:rsidR="00A1096A" w:rsidRPr="004D1C78">
        <w:t>en fest, dass in den Unterabschnitten 3.2.3.3 und 3.2.4.3 die Bemerkungen 44 und 45 möglicherweise fehlen.</w:t>
      </w:r>
    </w:p>
    <w:p w14:paraId="49FF7ED1" w14:textId="6AC620E4" w:rsidR="0060632C" w:rsidRPr="004D1C78" w:rsidRDefault="0060632C" w:rsidP="00996303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D1C78">
        <w:rPr>
          <w:b/>
          <w:sz w:val="28"/>
        </w:rPr>
        <w:tab/>
      </w:r>
      <w:r w:rsidR="00226C92" w:rsidRPr="004D1C78">
        <w:rPr>
          <w:b/>
          <w:sz w:val="28"/>
        </w:rPr>
        <w:t>III.</w:t>
      </w:r>
      <w:r w:rsidRPr="004D1C78">
        <w:rPr>
          <w:b/>
          <w:sz w:val="28"/>
        </w:rPr>
        <w:tab/>
      </w:r>
      <w:r w:rsidR="00FD5A53" w:rsidRPr="004D1C78">
        <w:rPr>
          <w:b/>
          <w:sz w:val="28"/>
        </w:rPr>
        <w:t>Begründung und Bezug zu den Zielen der nachhaltigen Entwicklung</w:t>
      </w:r>
    </w:p>
    <w:p w14:paraId="69B0E360" w14:textId="0E6ED058" w:rsidR="0060632C" w:rsidRPr="004D1C78" w:rsidRDefault="0060632C" w:rsidP="00AE0C4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>6.</w:t>
      </w:r>
      <w:r w:rsidRPr="004D1C78">
        <w:tab/>
      </w:r>
      <w:r w:rsidR="00201C64" w:rsidRPr="004D1C78">
        <w:t xml:space="preserve">Die Beförderung von flüssigem Stickstoff mit Binnenschiffen kann im Zusammenhang mit der Bekämpfung des Klimawandels als </w:t>
      </w:r>
      <w:r w:rsidR="00AE0C41" w:rsidRPr="004D1C78">
        <w:t>ökologische Maßnahme</w:t>
      </w:r>
      <w:r w:rsidR="00201C64" w:rsidRPr="004D1C78">
        <w:t xml:space="preserve"> betrachtet werden</w:t>
      </w:r>
      <w:r w:rsidR="00E8621B" w:rsidRPr="004D1C78">
        <w:t>.</w:t>
      </w:r>
      <w:r w:rsidRPr="004D1C78">
        <w:t xml:space="preserve"> </w:t>
      </w:r>
      <w:r w:rsidR="00AE0C41" w:rsidRPr="004D1C78">
        <w:t>Daher verweisen wir auf das Ziel für nachhaltige Entwicklung 13: Umgehend Maßnahmen zur Bekämpfung des Klimawandels und seiner Auswirkungen ergreifen.</w:t>
      </w:r>
    </w:p>
    <w:p w14:paraId="420FD6B5" w14:textId="1EAEFAC3" w:rsidR="0060632C" w:rsidRPr="004D1C78" w:rsidRDefault="00AE0C41" w:rsidP="0008548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 xml:space="preserve">Weitere </w:t>
      </w:r>
      <w:r w:rsidR="0070575C" w:rsidRPr="004D1C78">
        <w:t>i</w:t>
      </w:r>
      <w:r w:rsidRPr="004D1C78">
        <w:t xml:space="preserve">n diesem Zusammenhang </w:t>
      </w:r>
      <w:r w:rsidR="0070575C" w:rsidRPr="004D1C78">
        <w:t xml:space="preserve">relevante Ziele </w:t>
      </w:r>
      <w:r w:rsidRPr="004D1C78">
        <w:t xml:space="preserve">sind Ziel 7 (Zugang zu </w:t>
      </w:r>
      <w:r w:rsidR="0060598E" w:rsidRPr="004D1C78">
        <w:t>bezahlbarer</w:t>
      </w:r>
      <w:r w:rsidRPr="004D1C78">
        <w:t xml:space="preserve">, </w:t>
      </w:r>
      <w:r w:rsidR="0060598E" w:rsidRPr="004D1C78">
        <w:t>verlässlicher</w:t>
      </w:r>
      <w:r w:rsidRPr="004D1C78">
        <w:t>, nachhaltiger und moderner Energie</w:t>
      </w:r>
      <w:r w:rsidR="0060598E" w:rsidRPr="004D1C78">
        <w:t xml:space="preserve"> sichern</w:t>
      </w:r>
      <w:r w:rsidRPr="004D1C78">
        <w:t>) und Ziel 9 (</w:t>
      </w:r>
      <w:r w:rsidR="0060598E" w:rsidRPr="004D1C78">
        <w:t>E</w:t>
      </w:r>
      <w:r w:rsidRPr="004D1C78">
        <w:t>ine widerstandsfähige Infrastruktur</w:t>
      </w:r>
      <w:r w:rsidR="0060598E" w:rsidRPr="004D1C78">
        <w:t xml:space="preserve"> aufbauen</w:t>
      </w:r>
      <w:r w:rsidRPr="004D1C78">
        <w:t xml:space="preserve">, </w:t>
      </w:r>
      <w:r w:rsidR="0060598E" w:rsidRPr="004D1C78">
        <w:t>breitenwirksame und</w:t>
      </w:r>
      <w:r w:rsidRPr="004D1C78">
        <w:t xml:space="preserve"> nachhaltige Industrialisierung </w:t>
      </w:r>
      <w:r w:rsidR="0060598E" w:rsidRPr="004D1C78">
        <w:t xml:space="preserve">fördern </w:t>
      </w:r>
      <w:r w:rsidRPr="004D1C78">
        <w:t>und Innovationen</w:t>
      </w:r>
      <w:r w:rsidR="0060598E" w:rsidRPr="004D1C78">
        <w:t xml:space="preserve"> unterstützen</w:t>
      </w:r>
      <w:r w:rsidRPr="004D1C78">
        <w:t>).</w:t>
      </w:r>
    </w:p>
    <w:p w14:paraId="74ACA8C1" w14:textId="1FB66ABF" w:rsidR="0060632C" w:rsidRPr="004D1C78" w:rsidRDefault="0060632C" w:rsidP="0008548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D1C78">
        <w:rPr>
          <w:b/>
          <w:sz w:val="28"/>
        </w:rPr>
        <w:tab/>
      </w:r>
      <w:r w:rsidR="0008548D" w:rsidRPr="004D1C78">
        <w:rPr>
          <w:b/>
          <w:sz w:val="28"/>
        </w:rPr>
        <w:t>IV.</w:t>
      </w:r>
      <w:r w:rsidRPr="004D1C78">
        <w:rPr>
          <w:b/>
          <w:sz w:val="28"/>
        </w:rPr>
        <w:tab/>
      </w:r>
      <w:r w:rsidR="0008548D" w:rsidRPr="004D1C78">
        <w:rPr>
          <w:b/>
          <w:sz w:val="28"/>
        </w:rPr>
        <w:t>Zu ergreifende Maßnahmen</w:t>
      </w:r>
    </w:p>
    <w:p w14:paraId="1ED2ED80" w14:textId="45228516" w:rsidR="0060632C" w:rsidRPr="004D1C78" w:rsidRDefault="0060632C" w:rsidP="00D912F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>7.</w:t>
      </w:r>
      <w:r w:rsidRPr="004D1C78">
        <w:tab/>
      </w:r>
      <w:r w:rsidR="0008548D" w:rsidRPr="004D1C78">
        <w:t>Der Sicherheitsausschuss wird gebeten, die in Abs</w:t>
      </w:r>
      <w:r w:rsidR="00D912F9" w:rsidRPr="004D1C78">
        <w:t>a</w:t>
      </w:r>
      <w:r w:rsidR="0008548D" w:rsidRPr="004D1C78">
        <w:t>tz 4 vorgeschlagenen Änderungen zu prüfen und die aus seiner Sicht notwendigen Maßnahmen zu ergreifen.</w:t>
      </w:r>
    </w:p>
    <w:p w14:paraId="1CEE04DE" w14:textId="52BA133C" w:rsidR="0060632C" w:rsidRPr="004D1C78" w:rsidRDefault="0060632C" w:rsidP="00F56C7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D1C78">
        <w:t>8.</w:t>
      </w:r>
      <w:r w:rsidRPr="004D1C78">
        <w:tab/>
      </w:r>
      <w:r w:rsidR="00D912F9" w:rsidRPr="004D1C78">
        <w:t xml:space="preserve">Die informelle Arbeitsgruppe „Stoffe“ wird ersucht, die Bemerkung in Absatz 5 zu prüfen und die </w:t>
      </w:r>
      <w:r w:rsidR="00D165F7" w:rsidRPr="004D1C78">
        <w:t>aus ihrer Sicht</w:t>
      </w:r>
      <w:r w:rsidR="00D912F9" w:rsidRPr="004D1C78">
        <w:t xml:space="preserve"> </w:t>
      </w:r>
      <w:r w:rsidR="00D165F7" w:rsidRPr="004D1C78">
        <w:t>notwe</w:t>
      </w:r>
      <w:r w:rsidR="00D912F9" w:rsidRPr="004D1C78">
        <w:t>nd</w:t>
      </w:r>
      <w:r w:rsidR="00D165F7" w:rsidRPr="004D1C78">
        <w:t>ig</w:t>
      </w:r>
      <w:r w:rsidR="00D912F9" w:rsidRPr="004D1C78">
        <w:t>en Maßnahmen zu ergreifen.</w:t>
      </w:r>
    </w:p>
    <w:p w14:paraId="35D88F19" w14:textId="77777777" w:rsidR="00B60659" w:rsidRPr="004D1C7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58CF0B9" w14:textId="10083631" w:rsidR="00751575" w:rsidRPr="00B60659" w:rsidRDefault="00B60659" w:rsidP="00B6065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4D1C78">
        <w:t>***</w:t>
      </w:r>
    </w:p>
    <w:sectPr w:rsidR="00751575" w:rsidRPr="00B60659" w:rsidSect="005969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59ED" w14:textId="77777777" w:rsidR="00C231B2" w:rsidRDefault="00C231B2" w:rsidP="0011702A">
      <w:r>
        <w:separator/>
      </w:r>
    </w:p>
  </w:endnote>
  <w:endnote w:type="continuationSeparator" w:id="0">
    <w:p w14:paraId="4BC0421F" w14:textId="77777777" w:rsidR="00C231B2" w:rsidRDefault="00C231B2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EE32" w14:textId="77777777" w:rsidR="00AA4285" w:rsidRPr="00B60659" w:rsidRDefault="00AA4285" w:rsidP="00AA4285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08</w:t>
    </w:r>
    <w:r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1077" w14:textId="77777777" w:rsidR="0060632C" w:rsidRPr="00C31681" w:rsidRDefault="0060632C" w:rsidP="00C31681">
    <w:pPr>
      <w:pStyle w:val="Footer"/>
      <w:tabs>
        <w:tab w:val="right" w:pos="9638"/>
      </w:tabs>
      <w:rPr>
        <w:b/>
        <w:sz w:val="18"/>
      </w:rPr>
    </w:pPr>
    <w:r>
      <w:tab/>
    </w:r>
    <w:r w:rsidRPr="00C31681">
      <w:rPr>
        <w:b/>
        <w:sz w:val="18"/>
      </w:rPr>
      <w:fldChar w:fldCharType="begin"/>
    </w:r>
    <w:r w:rsidRPr="00C31681">
      <w:rPr>
        <w:b/>
        <w:sz w:val="18"/>
      </w:rPr>
      <w:instrText xml:space="preserve"> PAGE  \* MERGEFORMAT </w:instrText>
    </w:r>
    <w:r w:rsidRPr="00C31681">
      <w:rPr>
        <w:b/>
        <w:sz w:val="18"/>
      </w:rPr>
      <w:fldChar w:fldCharType="separate"/>
    </w:r>
    <w:r w:rsidRPr="00C31681">
      <w:rPr>
        <w:b/>
        <w:noProof/>
        <w:sz w:val="18"/>
      </w:rPr>
      <w:t>3</w:t>
    </w:r>
    <w:r w:rsidRPr="00C316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1595" w14:textId="5209B563" w:rsidR="00AA4285" w:rsidRPr="00AA4285" w:rsidRDefault="00AA4285" w:rsidP="00AA4285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08</w:t>
    </w:r>
    <w:r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E597" w14:textId="77777777" w:rsidR="0060632C" w:rsidRPr="00830CCA" w:rsidRDefault="0060632C" w:rsidP="00830C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8B22D6" wp14:editId="13C427B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9BD64DF" w14:textId="77777777" w:rsidR="0060632C" w:rsidRPr="00C31681" w:rsidRDefault="0060632C" w:rsidP="00830CC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C3168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3168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3168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C3168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01D39542" w14:textId="77777777" w:rsidR="0060632C" w:rsidRDefault="0060632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B8B22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" fillcolor="#4f81bd" stroked="f" strokeweight=".5pt">
              <v:fill opacity="0"/>
              <v:stroke joinstyle="round"/>
              <v:textbox style="layout-flow:vertical" inset="0,0,0,0">
                <w:txbxContent>
                  <w:p w14:paraId="49BD64DF" w14:textId="77777777" w:rsidR="0060632C" w:rsidRPr="00C31681" w:rsidRDefault="0060632C" w:rsidP="00830CCA">
                    <w:pPr>
                      <w:pStyle w:val="Pieddepage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C31681">
                      <w:rPr>
                        <w:b/>
                        <w:sz w:val="18"/>
                      </w:rPr>
                      <w:fldChar w:fldCharType="begin"/>
                    </w:r>
                    <w:r w:rsidRPr="00C3168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3168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C3168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01D39542" w14:textId="77777777" w:rsidR="0060632C" w:rsidRDefault="0060632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6856" w14:textId="77777777" w:rsidR="00AA4285" w:rsidRPr="00B60659" w:rsidRDefault="00AA4285" w:rsidP="00AA4285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08</w:t>
    </w:r>
    <w:r w:rsidRPr="00B60659">
      <w:rPr>
        <w:rFonts w:ascii="Arial" w:hAnsi="Arial" w:cs="Arial"/>
        <w:noProof/>
        <w:snapToGrid w:val="0"/>
        <w:sz w:val="12"/>
        <w:lang w:val="fr-FR"/>
      </w:rPr>
      <w:t>de</w:t>
    </w:r>
  </w:p>
  <w:p w14:paraId="56156569" w14:textId="77777777" w:rsidR="0060632C" w:rsidRPr="00830CCA" w:rsidRDefault="0060632C" w:rsidP="00830C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34A66" wp14:editId="35BA257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C42A74A" w14:textId="77777777" w:rsidR="0060632C" w:rsidRPr="00C31681" w:rsidRDefault="0060632C" w:rsidP="00830CC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C3168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3168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3168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C3168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4189521" w14:textId="77777777" w:rsidR="0060632C" w:rsidRDefault="0060632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7334A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" fillcolor="#4f81bd" stroked="f" strokeweight=".5pt">
              <v:fill opacity="0"/>
              <v:stroke joinstyle="round"/>
              <v:textbox style="layout-flow:vertical" inset="0,0,0,0">
                <w:txbxContent>
                  <w:p w14:paraId="1C42A74A" w14:textId="77777777" w:rsidR="0060632C" w:rsidRPr="00C31681" w:rsidRDefault="0060632C" w:rsidP="00830CCA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C31681">
                      <w:rPr>
                        <w:b/>
                        <w:sz w:val="18"/>
                      </w:rPr>
                      <w:fldChar w:fldCharType="begin"/>
                    </w:r>
                    <w:r w:rsidRPr="00C3168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3168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C3168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4189521" w14:textId="77777777" w:rsidR="0060632C" w:rsidRDefault="0060632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5040" w14:textId="30CB4865" w:rsidR="00055D7B" w:rsidRPr="00B60659" w:rsidRDefault="00E844D1" w:rsidP="00055D7B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055D7B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055D7B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 w:rsidR="00055D7B">
      <w:rPr>
        <w:rFonts w:ascii="Arial" w:hAnsi="Arial" w:cs="Arial"/>
        <w:noProof/>
        <w:snapToGrid w:val="0"/>
        <w:sz w:val="12"/>
        <w:lang w:val="fr-FR"/>
      </w:rPr>
      <w:t>0</w:t>
    </w:r>
    <w:r w:rsidR="007053D6">
      <w:rPr>
        <w:rFonts w:ascii="Arial" w:hAnsi="Arial" w:cs="Arial"/>
        <w:noProof/>
        <w:snapToGrid w:val="0"/>
        <w:sz w:val="12"/>
        <w:lang w:val="fr-FR"/>
      </w:rPr>
      <w:t>9</w:t>
    </w:r>
    <w:r w:rsidR="00055D7B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35171E0B" w:rsidR="00455E11" w:rsidRPr="00B60659" w:rsidRDefault="00AA4285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bookmarkStart w:id="4" w:name="_Hlk119409851"/>
    <w:bookmarkStart w:id="5" w:name="_Hlk119409852"/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 w:rsidR="00055D7B">
      <w:rPr>
        <w:rFonts w:ascii="Arial" w:hAnsi="Arial" w:cs="Arial"/>
        <w:noProof/>
        <w:snapToGrid w:val="0"/>
        <w:sz w:val="12"/>
        <w:lang w:val="fr-FR"/>
      </w:rPr>
      <w:t>0</w:t>
    </w:r>
    <w:r w:rsidR="009F10B9">
      <w:rPr>
        <w:rFonts w:ascii="Arial" w:hAnsi="Arial" w:cs="Arial"/>
        <w:noProof/>
        <w:snapToGrid w:val="0"/>
        <w:sz w:val="12"/>
        <w:lang w:val="fr-FR"/>
      </w:rPr>
      <w:t>8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de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5BD6" w14:textId="77777777" w:rsidR="00C231B2" w:rsidRDefault="00C231B2" w:rsidP="0011702A">
      <w:r>
        <w:separator/>
      </w:r>
    </w:p>
  </w:footnote>
  <w:footnote w:type="continuationSeparator" w:id="0">
    <w:p w14:paraId="4079593C" w14:textId="77777777" w:rsidR="00C231B2" w:rsidRDefault="00C231B2" w:rsidP="0011702A">
      <w:r>
        <w:continuationSeparator/>
      </w:r>
    </w:p>
  </w:footnote>
  <w:footnote w:id="1">
    <w:p w14:paraId="36B37BB6" w14:textId="619F7536" w:rsidR="00FA22DE" w:rsidRPr="00B60659" w:rsidRDefault="00FA22DE" w:rsidP="00FA22DE">
      <w:pPr>
        <w:pStyle w:val="FootnoteText"/>
        <w:rPr>
          <w:sz w:val="16"/>
          <w:szCs w:val="16"/>
        </w:rPr>
      </w:pPr>
      <w:r w:rsidRPr="00B60659">
        <w:rPr>
          <w:rStyle w:val="FootnoteReference"/>
        </w:rPr>
        <w:tab/>
        <w:t>*</w:t>
      </w:r>
      <w:r w:rsidRPr="00B60659">
        <w:rPr>
          <w:rStyle w:val="FootnoteReference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>
        <w:rPr>
          <w:sz w:val="16"/>
          <w:szCs w:val="16"/>
        </w:rPr>
        <w:t>8</w:t>
      </w:r>
      <w:r w:rsidRPr="00B60659">
        <w:rPr>
          <w:sz w:val="16"/>
          <w:szCs w:val="16"/>
        </w:rPr>
        <w:t>.</w:t>
      </w:r>
    </w:p>
  </w:footnote>
  <w:footnote w:id="2">
    <w:p w14:paraId="1E9DB3E9" w14:textId="77777777" w:rsidR="00FA22DE" w:rsidRPr="00B60659" w:rsidRDefault="00FA22DE" w:rsidP="00FA22DE">
      <w:pPr>
        <w:pStyle w:val="FootnoteText"/>
        <w:rPr>
          <w:sz w:val="16"/>
          <w:szCs w:val="16"/>
        </w:rPr>
      </w:pPr>
      <w:r w:rsidRPr="00B60659">
        <w:rPr>
          <w:rStyle w:val="FootnoteReference"/>
        </w:rPr>
        <w:tab/>
        <w:t>**</w:t>
      </w:r>
      <w:r w:rsidRPr="00B60659">
        <w:rPr>
          <w:rStyle w:val="FootnoteReference"/>
        </w:rPr>
        <w:tab/>
      </w:r>
      <w:r w:rsidRPr="00B60659">
        <w:rPr>
          <w:sz w:val="16"/>
          <w:szCs w:val="16"/>
        </w:rPr>
        <w:t>(A/76/6 (Kap. 20) Abs.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A052" w14:textId="77777777" w:rsidR="009F10B9" w:rsidRPr="00B60659" w:rsidRDefault="009F10B9" w:rsidP="009F10B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CCNR-ZKR/ADN/WP.15/AC.2/2023/</w:t>
    </w:r>
    <w:r>
      <w:rPr>
        <w:rFonts w:ascii="Arial" w:hAnsi="Arial"/>
        <w:snapToGrid w:val="0"/>
        <w:sz w:val="16"/>
        <w:szCs w:val="16"/>
        <w:lang w:val="fr-FR"/>
      </w:rPr>
      <w:t>8</w:t>
    </w:r>
  </w:p>
  <w:p w14:paraId="09143FE3" w14:textId="77777777" w:rsidR="009F10B9" w:rsidRPr="00B60659" w:rsidRDefault="009F10B9" w:rsidP="009F10B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5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B723" w14:textId="7C03716A" w:rsidR="0060632C" w:rsidRPr="00C31681" w:rsidRDefault="005811BB" w:rsidP="00C3168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285F" w14:textId="77777777" w:rsidR="00FA6AB8" w:rsidRDefault="00FA6A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6B51" w14:textId="77777777" w:rsidR="0060632C" w:rsidRPr="00830CCA" w:rsidRDefault="0060632C" w:rsidP="00830CC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9A4AC3" wp14:editId="3C33007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4F81BD">
                          <a:alpha val="0"/>
                        </a:srgb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CAB761" w14:textId="2B22E12D" w:rsidR="0060632C" w:rsidRPr="00C31681" w:rsidRDefault="005811BB" w:rsidP="00830CCA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end"/>
                          </w:r>
                        </w:p>
                        <w:p w14:paraId="3CE9CFFE" w14:textId="77777777" w:rsidR="0060632C" w:rsidRDefault="0060632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A4A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" fillcolor="#4f81bd" stroked="f" strokeweight=".5pt">
              <v:fill opacity="0"/>
              <v:path arrowok="t"/>
              <v:textbox style="layout-flow:vertical" inset="0,0,0,0">
                <w:txbxContent>
                  <w:p w14:paraId="35CAB761" w14:textId="2B22E12D" w:rsidR="0060632C" w:rsidRPr="00C31681" w:rsidRDefault="005811BB" w:rsidP="00830CCA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end"/>
                    </w:r>
                  </w:p>
                  <w:p w14:paraId="3CE9CFFE" w14:textId="77777777" w:rsidR="0060632C" w:rsidRDefault="0060632C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5F84" w14:textId="77777777" w:rsidR="009F10B9" w:rsidRPr="00B60659" w:rsidRDefault="009F10B9" w:rsidP="009F10B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CCNR-ZKR/ADN/WP.15/AC.2/2023/</w:t>
    </w:r>
    <w:r>
      <w:rPr>
        <w:rFonts w:ascii="Arial" w:hAnsi="Arial"/>
        <w:snapToGrid w:val="0"/>
        <w:sz w:val="16"/>
        <w:szCs w:val="16"/>
        <w:lang w:val="fr-FR"/>
      </w:rPr>
      <w:t>8</w:t>
    </w:r>
  </w:p>
  <w:p w14:paraId="4BF84E61" w14:textId="77777777" w:rsidR="009F10B9" w:rsidRPr="00B60659" w:rsidRDefault="009F10B9" w:rsidP="009F10B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5</w:t>
    </w:r>
    <w:r w:rsidRPr="00B60659">
      <w:rPr>
        <w:rFonts w:ascii="Arial" w:hAnsi="Arial"/>
        <w:snapToGrid w:val="0"/>
        <w:sz w:val="16"/>
        <w:szCs w:val="16"/>
      </w:rPr>
      <w:fldChar w:fldCharType="end"/>
    </w:r>
  </w:p>
  <w:p w14:paraId="46C28387" w14:textId="719276F8" w:rsidR="0060632C" w:rsidRPr="00830CCA" w:rsidRDefault="0060632C" w:rsidP="00830CC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36DEEDEF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7053D6">
      <w:rPr>
        <w:rFonts w:ascii="Arial" w:hAnsi="Arial"/>
        <w:snapToGrid w:val="0"/>
        <w:sz w:val="16"/>
        <w:szCs w:val="16"/>
        <w:lang w:val="fr-FR"/>
      </w:rPr>
      <w:t>9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4F73E9E4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bookmarkStart w:id="2" w:name="_Hlk119406510"/>
    <w:bookmarkStart w:id="3" w:name="_Hlk119406511"/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9F10B9">
      <w:rPr>
        <w:rFonts w:ascii="Arial" w:hAnsi="Arial"/>
        <w:snapToGrid w:val="0"/>
        <w:sz w:val="16"/>
        <w:szCs w:val="16"/>
        <w:lang w:val="fr-FR"/>
      </w:rPr>
      <w:t>8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  <w:bookmarkEnd w:id="2"/>
    <w:bookmarkEnd w:id="3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69B6" w14:textId="77777777" w:rsidR="00AA4285" w:rsidRPr="00B60659" w:rsidRDefault="00AA4285" w:rsidP="00AA4285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CCNR-ZKR/ADN/WP.15/AC.2/2023/</w:t>
    </w:r>
    <w:r>
      <w:rPr>
        <w:rFonts w:ascii="Arial" w:hAnsi="Arial"/>
        <w:snapToGrid w:val="0"/>
        <w:sz w:val="16"/>
        <w:szCs w:val="16"/>
        <w:lang w:val="fr-FR"/>
      </w:rPr>
      <w:t>8</w:t>
    </w:r>
  </w:p>
  <w:p w14:paraId="0908EF83" w14:textId="57924934" w:rsidR="00AA4285" w:rsidRDefault="00AA4285" w:rsidP="00AA4285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1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11BB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5D7B"/>
    <w:rsid w:val="000563D5"/>
    <w:rsid w:val="00056B10"/>
    <w:rsid w:val="0005709A"/>
    <w:rsid w:val="00057DC8"/>
    <w:rsid w:val="0006299C"/>
    <w:rsid w:val="0007311B"/>
    <w:rsid w:val="00076F9A"/>
    <w:rsid w:val="00080275"/>
    <w:rsid w:val="00080F60"/>
    <w:rsid w:val="00084B40"/>
    <w:rsid w:val="0008548D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4A0E"/>
    <w:rsid w:val="000D5D27"/>
    <w:rsid w:val="000D7FD6"/>
    <w:rsid w:val="000E19BE"/>
    <w:rsid w:val="000E4620"/>
    <w:rsid w:val="000E6786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440E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522C"/>
    <w:rsid w:val="001A791F"/>
    <w:rsid w:val="001B4F22"/>
    <w:rsid w:val="001B7B3E"/>
    <w:rsid w:val="001C0E5C"/>
    <w:rsid w:val="001C1D1B"/>
    <w:rsid w:val="001C303B"/>
    <w:rsid w:val="001C4ED8"/>
    <w:rsid w:val="001D1365"/>
    <w:rsid w:val="001D1B0A"/>
    <w:rsid w:val="001D34F6"/>
    <w:rsid w:val="001E4D07"/>
    <w:rsid w:val="001E515F"/>
    <w:rsid w:val="00201C64"/>
    <w:rsid w:val="0020240A"/>
    <w:rsid w:val="00202E6D"/>
    <w:rsid w:val="0020337F"/>
    <w:rsid w:val="00205465"/>
    <w:rsid w:val="002132D2"/>
    <w:rsid w:val="00221D05"/>
    <w:rsid w:val="00223DF9"/>
    <w:rsid w:val="00226C92"/>
    <w:rsid w:val="00231D22"/>
    <w:rsid w:val="00235B56"/>
    <w:rsid w:val="00240203"/>
    <w:rsid w:val="002406C8"/>
    <w:rsid w:val="002421A1"/>
    <w:rsid w:val="002431F2"/>
    <w:rsid w:val="002460C4"/>
    <w:rsid w:val="002468C9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45CA"/>
    <w:rsid w:val="002952DB"/>
    <w:rsid w:val="002A337E"/>
    <w:rsid w:val="002A53A6"/>
    <w:rsid w:val="002B0567"/>
    <w:rsid w:val="002B0630"/>
    <w:rsid w:val="002B3FEF"/>
    <w:rsid w:val="002B4C67"/>
    <w:rsid w:val="002B5AED"/>
    <w:rsid w:val="002C0469"/>
    <w:rsid w:val="002C382E"/>
    <w:rsid w:val="002C607F"/>
    <w:rsid w:val="002C742A"/>
    <w:rsid w:val="002D1BFB"/>
    <w:rsid w:val="002D4720"/>
    <w:rsid w:val="002D7C7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5CE"/>
    <w:rsid w:val="00344C19"/>
    <w:rsid w:val="00351F70"/>
    <w:rsid w:val="00357412"/>
    <w:rsid w:val="0036082D"/>
    <w:rsid w:val="00361725"/>
    <w:rsid w:val="00363525"/>
    <w:rsid w:val="0036362E"/>
    <w:rsid w:val="00364E68"/>
    <w:rsid w:val="003702C7"/>
    <w:rsid w:val="0037328B"/>
    <w:rsid w:val="0038428F"/>
    <w:rsid w:val="003866B8"/>
    <w:rsid w:val="00386A42"/>
    <w:rsid w:val="00387545"/>
    <w:rsid w:val="00394763"/>
    <w:rsid w:val="00395742"/>
    <w:rsid w:val="00396CC7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0224"/>
    <w:rsid w:val="00427609"/>
    <w:rsid w:val="00427804"/>
    <w:rsid w:val="00430CD0"/>
    <w:rsid w:val="00432779"/>
    <w:rsid w:val="00432C11"/>
    <w:rsid w:val="0043787C"/>
    <w:rsid w:val="00442166"/>
    <w:rsid w:val="004440A2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819A4"/>
    <w:rsid w:val="0048292C"/>
    <w:rsid w:val="00483272"/>
    <w:rsid w:val="004847DC"/>
    <w:rsid w:val="00491F69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D1C78"/>
    <w:rsid w:val="004D23FB"/>
    <w:rsid w:val="004D323E"/>
    <w:rsid w:val="004E622A"/>
    <w:rsid w:val="004E6811"/>
    <w:rsid w:val="004F3B7F"/>
    <w:rsid w:val="004F4DE3"/>
    <w:rsid w:val="004F5608"/>
    <w:rsid w:val="004F7A39"/>
    <w:rsid w:val="005030D3"/>
    <w:rsid w:val="0051114B"/>
    <w:rsid w:val="005111CB"/>
    <w:rsid w:val="0051476B"/>
    <w:rsid w:val="00514AB7"/>
    <w:rsid w:val="0051535A"/>
    <w:rsid w:val="0052003E"/>
    <w:rsid w:val="00534340"/>
    <w:rsid w:val="00537CF5"/>
    <w:rsid w:val="00540161"/>
    <w:rsid w:val="00540683"/>
    <w:rsid w:val="005533B4"/>
    <w:rsid w:val="00561447"/>
    <w:rsid w:val="0056152E"/>
    <w:rsid w:val="0056605A"/>
    <w:rsid w:val="00573D3E"/>
    <w:rsid w:val="0057786D"/>
    <w:rsid w:val="0058025F"/>
    <w:rsid w:val="005811BB"/>
    <w:rsid w:val="00582B60"/>
    <w:rsid w:val="00583496"/>
    <w:rsid w:val="00584069"/>
    <w:rsid w:val="00584BD4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E79B2"/>
    <w:rsid w:val="005F26AD"/>
    <w:rsid w:val="005F3476"/>
    <w:rsid w:val="005F58DF"/>
    <w:rsid w:val="0060269E"/>
    <w:rsid w:val="00602860"/>
    <w:rsid w:val="006047AC"/>
    <w:rsid w:val="0060598E"/>
    <w:rsid w:val="0060632C"/>
    <w:rsid w:val="00607B11"/>
    <w:rsid w:val="006105FE"/>
    <w:rsid w:val="00611C20"/>
    <w:rsid w:val="0061561E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1D0E"/>
    <w:rsid w:val="00642215"/>
    <w:rsid w:val="00643AEA"/>
    <w:rsid w:val="00651386"/>
    <w:rsid w:val="00651558"/>
    <w:rsid w:val="0065696E"/>
    <w:rsid w:val="0066312D"/>
    <w:rsid w:val="00663395"/>
    <w:rsid w:val="006639F3"/>
    <w:rsid w:val="00666284"/>
    <w:rsid w:val="00667BC4"/>
    <w:rsid w:val="00670028"/>
    <w:rsid w:val="006739C8"/>
    <w:rsid w:val="00687752"/>
    <w:rsid w:val="0069164E"/>
    <w:rsid w:val="006920A8"/>
    <w:rsid w:val="006924C5"/>
    <w:rsid w:val="006970A1"/>
    <w:rsid w:val="006A0959"/>
    <w:rsid w:val="006A1747"/>
    <w:rsid w:val="006A415F"/>
    <w:rsid w:val="006A507B"/>
    <w:rsid w:val="006A73AD"/>
    <w:rsid w:val="006A7F94"/>
    <w:rsid w:val="006B51FD"/>
    <w:rsid w:val="006B57B7"/>
    <w:rsid w:val="006B5F03"/>
    <w:rsid w:val="006B7C55"/>
    <w:rsid w:val="006C6A7F"/>
    <w:rsid w:val="006D594B"/>
    <w:rsid w:val="006E10F5"/>
    <w:rsid w:val="006E19B4"/>
    <w:rsid w:val="006F3126"/>
    <w:rsid w:val="006F3C42"/>
    <w:rsid w:val="006F4A9E"/>
    <w:rsid w:val="0070287D"/>
    <w:rsid w:val="00702BE6"/>
    <w:rsid w:val="007053D6"/>
    <w:rsid w:val="0070575C"/>
    <w:rsid w:val="00706883"/>
    <w:rsid w:val="007147BF"/>
    <w:rsid w:val="007225A1"/>
    <w:rsid w:val="00727BB2"/>
    <w:rsid w:val="0073134B"/>
    <w:rsid w:val="00741D8D"/>
    <w:rsid w:val="00742BD3"/>
    <w:rsid w:val="00742E01"/>
    <w:rsid w:val="00750DBA"/>
    <w:rsid w:val="00751575"/>
    <w:rsid w:val="00754516"/>
    <w:rsid w:val="00760FB2"/>
    <w:rsid w:val="007705CB"/>
    <w:rsid w:val="00773B7E"/>
    <w:rsid w:val="007872C5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007E"/>
    <w:rsid w:val="007C1775"/>
    <w:rsid w:val="007C1AA7"/>
    <w:rsid w:val="007D1EF9"/>
    <w:rsid w:val="007D2FA0"/>
    <w:rsid w:val="007D6265"/>
    <w:rsid w:val="007E41E2"/>
    <w:rsid w:val="007E4902"/>
    <w:rsid w:val="007E551B"/>
    <w:rsid w:val="007E7F2A"/>
    <w:rsid w:val="00805395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6F50"/>
    <w:rsid w:val="00894221"/>
    <w:rsid w:val="00896081"/>
    <w:rsid w:val="008967B7"/>
    <w:rsid w:val="008A42A5"/>
    <w:rsid w:val="008A6928"/>
    <w:rsid w:val="008A6D40"/>
    <w:rsid w:val="008B3106"/>
    <w:rsid w:val="008B6668"/>
    <w:rsid w:val="008B7C4B"/>
    <w:rsid w:val="008C42D5"/>
    <w:rsid w:val="008C79D3"/>
    <w:rsid w:val="008D3CEC"/>
    <w:rsid w:val="008E3631"/>
    <w:rsid w:val="008F283A"/>
    <w:rsid w:val="008F4B57"/>
    <w:rsid w:val="00901FC4"/>
    <w:rsid w:val="00903D48"/>
    <w:rsid w:val="0090748A"/>
    <w:rsid w:val="00911321"/>
    <w:rsid w:val="00912A46"/>
    <w:rsid w:val="00915307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097A"/>
    <w:rsid w:val="00991BA0"/>
    <w:rsid w:val="00992A56"/>
    <w:rsid w:val="00993565"/>
    <w:rsid w:val="00996303"/>
    <w:rsid w:val="009A4FC8"/>
    <w:rsid w:val="009B3B1B"/>
    <w:rsid w:val="009C228D"/>
    <w:rsid w:val="009C79C4"/>
    <w:rsid w:val="009C7F30"/>
    <w:rsid w:val="009E0ED9"/>
    <w:rsid w:val="009E281C"/>
    <w:rsid w:val="009E3EBD"/>
    <w:rsid w:val="009E795B"/>
    <w:rsid w:val="009F10B9"/>
    <w:rsid w:val="009F2DD9"/>
    <w:rsid w:val="00A0030F"/>
    <w:rsid w:val="00A005D6"/>
    <w:rsid w:val="00A0311E"/>
    <w:rsid w:val="00A05AB3"/>
    <w:rsid w:val="00A05C9B"/>
    <w:rsid w:val="00A0723D"/>
    <w:rsid w:val="00A1096A"/>
    <w:rsid w:val="00A1154E"/>
    <w:rsid w:val="00A12E60"/>
    <w:rsid w:val="00A1389E"/>
    <w:rsid w:val="00A174AC"/>
    <w:rsid w:val="00A20E79"/>
    <w:rsid w:val="00A21A7D"/>
    <w:rsid w:val="00A25483"/>
    <w:rsid w:val="00A2645D"/>
    <w:rsid w:val="00A27409"/>
    <w:rsid w:val="00A3038F"/>
    <w:rsid w:val="00A34A45"/>
    <w:rsid w:val="00A41A3D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A4285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0C41"/>
    <w:rsid w:val="00AE50D2"/>
    <w:rsid w:val="00AE73A7"/>
    <w:rsid w:val="00AE7E9E"/>
    <w:rsid w:val="00AF6E21"/>
    <w:rsid w:val="00B02145"/>
    <w:rsid w:val="00B041A6"/>
    <w:rsid w:val="00B05ECA"/>
    <w:rsid w:val="00B11AE6"/>
    <w:rsid w:val="00B152A7"/>
    <w:rsid w:val="00B17A75"/>
    <w:rsid w:val="00B2269A"/>
    <w:rsid w:val="00B26810"/>
    <w:rsid w:val="00B27A21"/>
    <w:rsid w:val="00B30626"/>
    <w:rsid w:val="00B40836"/>
    <w:rsid w:val="00B41BB5"/>
    <w:rsid w:val="00B41BF5"/>
    <w:rsid w:val="00B45122"/>
    <w:rsid w:val="00B4533C"/>
    <w:rsid w:val="00B47F6F"/>
    <w:rsid w:val="00B516FD"/>
    <w:rsid w:val="00B60659"/>
    <w:rsid w:val="00B71545"/>
    <w:rsid w:val="00B737F6"/>
    <w:rsid w:val="00B7461E"/>
    <w:rsid w:val="00B76631"/>
    <w:rsid w:val="00B80DBC"/>
    <w:rsid w:val="00B81581"/>
    <w:rsid w:val="00B81860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0656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31B2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549B"/>
    <w:rsid w:val="00CE77BC"/>
    <w:rsid w:val="00CF2359"/>
    <w:rsid w:val="00CF3E33"/>
    <w:rsid w:val="00CF645B"/>
    <w:rsid w:val="00D03FC5"/>
    <w:rsid w:val="00D04647"/>
    <w:rsid w:val="00D048ED"/>
    <w:rsid w:val="00D064E0"/>
    <w:rsid w:val="00D1048D"/>
    <w:rsid w:val="00D12EA3"/>
    <w:rsid w:val="00D165F7"/>
    <w:rsid w:val="00D16A29"/>
    <w:rsid w:val="00D174F2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12F9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ED1"/>
    <w:rsid w:val="00DE103A"/>
    <w:rsid w:val="00DE554A"/>
    <w:rsid w:val="00DF283D"/>
    <w:rsid w:val="00DF426C"/>
    <w:rsid w:val="00DF7632"/>
    <w:rsid w:val="00E0097F"/>
    <w:rsid w:val="00E040C4"/>
    <w:rsid w:val="00E1103A"/>
    <w:rsid w:val="00E13946"/>
    <w:rsid w:val="00E14568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44D1"/>
    <w:rsid w:val="00E8621B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14DC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2A58"/>
    <w:rsid w:val="00F330E1"/>
    <w:rsid w:val="00F42DC0"/>
    <w:rsid w:val="00F4792F"/>
    <w:rsid w:val="00F52363"/>
    <w:rsid w:val="00F524CA"/>
    <w:rsid w:val="00F52E19"/>
    <w:rsid w:val="00F54B5E"/>
    <w:rsid w:val="00F55DD3"/>
    <w:rsid w:val="00F56C74"/>
    <w:rsid w:val="00F57A29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22DE"/>
    <w:rsid w:val="00FA5DB6"/>
    <w:rsid w:val="00FA6782"/>
    <w:rsid w:val="00FA6888"/>
    <w:rsid w:val="00FA6AB8"/>
    <w:rsid w:val="00FA712F"/>
    <w:rsid w:val="00FB0778"/>
    <w:rsid w:val="00FB1EAB"/>
    <w:rsid w:val="00FB305A"/>
    <w:rsid w:val="00FB48D2"/>
    <w:rsid w:val="00FC031B"/>
    <w:rsid w:val="00FC032F"/>
    <w:rsid w:val="00FC2D7D"/>
    <w:rsid w:val="00FC5E77"/>
    <w:rsid w:val="00FC7393"/>
    <w:rsid w:val="00FC7DE1"/>
    <w:rsid w:val="00FD17D7"/>
    <w:rsid w:val="00FD4BC8"/>
    <w:rsid w:val="00FD5A53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DefaultParagraphFon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017B2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Heading5Char">
    <w:name w:val="Heading 5 Char"/>
    <w:basedOn w:val="DefaultParagraphFont"/>
    <w:link w:val="Heading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Emphasis">
    <w:name w:val="Emphasis"/>
    <w:basedOn w:val="DefaultParagraphFont"/>
    <w:qFormat/>
    <w:rsid w:val="00ED1827"/>
    <w:rPr>
      <w:i/>
      <w:iCs/>
    </w:rPr>
  </w:style>
  <w:style w:type="paragraph" w:styleId="NoSpacing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evision">
    <w:name w:val="Revision"/>
    <w:hidden/>
    <w:uiPriority w:val="99"/>
    <w:semiHidden/>
    <w:rsid w:val="00C942C1"/>
    <w:rPr>
      <w:lang w:eastAsia="fr-FR"/>
    </w:rPr>
  </w:style>
  <w:style w:type="table" w:styleId="TableGrid">
    <w:name w:val="Table Grid"/>
    <w:basedOn w:val="TableNormal"/>
    <w:rsid w:val="004440A2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79367-3081-4C81-BA74-EF7B78E23CC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85ec44e-1bab-4c0b-9df0-6ba128686fc9"/>
    <ds:schemaRef ds:uri="http://purl.org/dc/terms/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DF42AE-3825-4D77-8761-D07045BD4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65609-558C-4459-B1FB-D39C5223E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1041</Words>
  <Characters>6871</Characters>
  <Application>Microsoft Office Word</Application>
  <DocSecurity>0</DocSecurity>
  <Lines>57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Editorial</cp:lastModifiedBy>
  <cp:revision>3</cp:revision>
  <cp:lastPrinted>2022-12-02T17:11:00Z</cp:lastPrinted>
  <dcterms:created xsi:type="dcterms:W3CDTF">2022-12-02T11:59:00Z</dcterms:created>
  <dcterms:modified xsi:type="dcterms:W3CDTF">2022-12-02T17:12:00Z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