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bottom w:val="single" w:sz="4" w:space="0" w:color="auto"/>
        </w:tblBorders>
        <w:tblLayout w:type="fixed"/>
        <w:tblCellMar>
          <w:left w:w="0" w:type="dxa"/>
          <w:right w:w="0" w:type="dxa"/>
        </w:tblCellMar>
        <w:tblLook w:val="01E0" w:firstRow="1" w:lastRow="1" w:firstColumn="1" w:lastColumn="1" w:noHBand="0" w:noVBand="0"/>
      </w:tblPr>
      <w:tblGrid>
        <w:gridCol w:w="1276"/>
        <w:gridCol w:w="5324"/>
        <w:gridCol w:w="3039"/>
      </w:tblGrid>
      <w:tr w:rsidR="002933D9" w:rsidRPr="00930D32" w14:paraId="79FC1832" w14:textId="77777777" w:rsidTr="007F6EBC">
        <w:trPr>
          <w:cantSplit/>
          <w:trHeight w:hRule="exact" w:val="1135"/>
        </w:trPr>
        <w:tc>
          <w:tcPr>
            <w:tcW w:w="1276" w:type="dxa"/>
            <w:shd w:val="clear" w:color="auto" w:fill="auto"/>
            <w:vAlign w:val="bottom"/>
          </w:tcPr>
          <w:p w14:paraId="0E572CAA" w14:textId="77777777" w:rsidR="005C5501" w:rsidRPr="00930D32" w:rsidRDefault="005C5501" w:rsidP="00CD67C3">
            <w:pPr>
              <w:spacing w:after="80"/>
              <w:rPr>
                <w:color w:val="FF0000"/>
              </w:rPr>
            </w:pPr>
          </w:p>
        </w:tc>
        <w:tc>
          <w:tcPr>
            <w:tcW w:w="5324" w:type="dxa"/>
            <w:shd w:val="clear" w:color="auto" w:fill="auto"/>
            <w:vAlign w:val="bottom"/>
          </w:tcPr>
          <w:p w14:paraId="41592137" w14:textId="77777777" w:rsidR="002933D9" w:rsidRPr="00930D32" w:rsidRDefault="002933D9" w:rsidP="007F6EBC">
            <w:pPr>
              <w:spacing w:after="80" w:line="240" w:lineRule="auto"/>
              <w:rPr>
                <w:b/>
              </w:rPr>
            </w:pPr>
          </w:p>
        </w:tc>
        <w:tc>
          <w:tcPr>
            <w:tcW w:w="3039" w:type="dxa"/>
            <w:shd w:val="clear" w:color="auto" w:fill="auto"/>
            <w:vAlign w:val="bottom"/>
          </w:tcPr>
          <w:p w14:paraId="135C224F" w14:textId="77777777" w:rsidR="002933D9" w:rsidRPr="00930D32" w:rsidRDefault="002933D9" w:rsidP="007F6EBC">
            <w:pPr>
              <w:spacing w:line="240" w:lineRule="exact"/>
              <w:ind w:left="6"/>
            </w:pPr>
            <w:r w:rsidRPr="00930D32">
              <w:t>ECE/MP.EIA/WG.2/20</w:t>
            </w:r>
            <w:r w:rsidR="00FF74EA">
              <w:t>2</w:t>
            </w:r>
            <w:r w:rsidR="00603434">
              <w:t>2/</w:t>
            </w:r>
            <w:r w:rsidRPr="00930D32">
              <w:t>INF.1</w:t>
            </w:r>
          </w:p>
          <w:p w14:paraId="509CF6AE" w14:textId="0E95FB85" w:rsidR="002933D9" w:rsidRPr="00930D32" w:rsidRDefault="002933D9" w:rsidP="007F6EBC">
            <w:pPr>
              <w:spacing w:line="240" w:lineRule="exact"/>
              <w:ind w:left="6"/>
            </w:pPr>
            <w:r w:rsidRPr="00930D32">
              <w:t>English only</w:t>
            </w:r>
            <w:r w:rsidR="005B78DC" w:rsidRPr="00930D32">
              <w:br/>
            </w:r>
            <w:r w:rsidR="008A149F">
              <w:t>15</w:t>
            </w:r>
            <w:r w:rsidR="007D259C">
              <w:t xml:space="preserve"> </w:t>
            </w:r>
            <w:r w:rsidR="00FF74EA">
              <w:t xml:space="preserve">November </w:t>
            </w:r>
            <w:r w:rsidR="00D85688" w:rsidRPr="00930D32">
              <w:t>20</w:t>
            </w:r>
            <w:r w:rsidR="00FF74EA">
              <w:t>2</w:t>
            </w:r>
            <w:r w:rsidR="00603434">
              <w:t>2</w:t>
            </w:r>
          </w:p>
          <w:p w14:paraId="30B06414" w14:textId="77777777" w:rsidR="002933D9" w:rsidRPr="00930D32" w:rsidRDefault="002933D9" w:rsidP="007F6EBC"/>
        </w:tc>
      </w:tr>
    </w:tbl>
    <w:p w14:paraId="57393A90" w14:textId="77777777" w:rsidR="002933D9" w:rsidRPr="00930D32" w:rsidRDefault="002933D9" w:rsidP="002933D9">
      <w:pPr>
        <w:spacing w:before="120"/>
        <w:rPr>
          <w:b/>
          <w:sz w:val="28"/>
          <w:szCs w:val="28"/>
        </w:rPr>
      </w:pPr>
      <w:r w:rsidRPr="00930D32">
        <w:rPr>
          <w:b/>
          <w:sz w:val="28"/>
          <w:szCs w:val="28"/>
        </w:rPr>
        <w:t>Economic Commission for Europe</w:t>
      </w:r>
    </w:p>
    <w:p w14:paraId="49887EA7" w14:textId="77777777" w:rsidR="002933D9" w:rsidRPr="00930D32" w:rsidRDefault="002933D9" w:rsidP="002933D9">
      <w:pPr>
        <w:spacing w:before="120" w:line="240" w:lineRule="auto"/>
        <w:rPr>
          <w:bCs/>
          <w:sz w:val="28"/>
          <w:szCs w:val="28"/>
        </w:rPr>
      </w:pPr>
      <w:r w:rsidRPr="00930D32">
        <w:rPr>
          <w:bCs/>
          <w:sz w:val="28"/>
          <w:szCs w:val="28"/>
        </w:rPr>
        <w:t xml:space="preserve">Meeting of the Parties to the Convention </w:t>
      </w:r>
      <w:r w:rsidRPr="00930D32">
        <w:rPr>
          <w:bCs/>
          <w:sz w:val="28"/>
          <w:szCs w:val="28"/>
        </w:rPr>
        <w:br/>
        <w:t xml:space="preserve">on Environmental Impact Assessment in </w:t>
      </w:r>
      <w:r w:rsidRPr="00930D32">
        <w:rPr>
          <w:bCs/>
          <w:sz w:val="28"/>
          <w:szCs w:val="28"/>
        </w:rPr>
        <w:br/>
        <w:t>a Transboundary Context</w:t>
      </w:r>
    </w:p>
    <w:p w14:paraId="146FAC6E" w14:textId="77777777" w:rsidR="002933D9" w:rsidRPr="00930D32" w:rsidRDefault="002933D9" w:rsidP="002933D9">
      <w:pPr>
        <w:spacing w:before="120" w:line="240" w:lineRule="auto"/>
        <w:rPr>
          <w:bCs/>
          <w:sz w:val="28"/>
          <w:szCs w:val="28"/>
        </w:rPr>
      </w:pPr>
      <w:r w:rsidRPr="00930D32">
        <w:rPr>
          <w:bCs/>
          <w:sz w:val="28"/>
          <w:szCs w:val="28"/>
        </w:rPr>
        <w:t xml:space="preserve">Meeting of the Parties to the Convention </w:t>
      </w:r>
      <w:r w:rsidRPr="00930D32">
        <w:rPr>
          <w:bCs/>
          <w:sz w:val="28"/>
          <w:szCs w:val="28"/>
        </w:rPr>
        <w:br/>
        <w:t xml:space="preserve">serving as the Meeting of the Parties </w:t>
      </w:r>
      <w:r w:rsidRPr="00930D32">
        <w:rPr>
          <w:bCs/>
          <w:sz w:val="28"/>
          <w:szCs w:val="28"/>
        </w:rPr>
        <w:br/>
        <w:t xml:space="preserve">to the Protocol on Strategic </w:t>
      </w:r>
      <w:r w:rsidRPr="00930D32">
        <w:rPr>
          <w:bCs/>
          <w:sz w:val="28"/>
          <w:szCs w:val="28"/>
        </w:rPr>
        <w:br/>
        <w:t>Environmental Assessment</w:t>
      </w:r>
    </w:p>
    <w:p w14:paraId="1B36B0AF" w14:textId="77777777" w:rsidR="002933D9" w:rsidRPr="00930D32" w:rsidRDefault="002933D9" w:rsidP="002933D9">
      <w:pPr>
        <w:spacing w:before="120" w:line="240" w:lineRule="auto"/>
        <w:rPr>
          <w:b/>
          <w:sz w:val="24"/>
          <w:szCs w:val="24"/>
        </w:rPr>
      </w:pPr>
      <w:r w:rsidRPr="00930D32">
        <w:rPr>
          <w:b/>
          <w:sz w:val="24"/>
          <w:szCs w:val="24"/>
        </w:rPr>
        <w:t>Working Group on Environmental Impact Assessment</w:t>
      </w:r>
      <w:r w:rsidRPr="00930D32">
        <w:rPr>
          <w:b/>
          <w:sz w:val="24"/>
          <w:szCs w:val="24"/>
        </w:rPr>
        <w:br/>
        <w:t>and Strategic Environmental Assessment</w:t>
      </w:r>
    </w:p>
    <w:p w14:paraId="1C24F04F" w14:textId="77777777" w:rsidR="00603434" w:rsidRPr="00136A88" w:rsidRDefault="00603434" w:rsidP="00603434">
      <w:pPr>
        <w:spacing w:before="120"/>
        <w:rPr>
          <w:b/>
        </w:rPr>
      </w:pPr>
      <w:r>
        <w:rPr>
          <w:b/>
        </w:rPr>
        <w:t xml:space="preserve">Eleventh </w:t>
      </w:r>
      <w:r w:rsidRPr="00136A88">
        <w:rPr>
          <w:b/>
        </w:rPr>
        <w:t>meeting</w:t>
      </w:r>
    </w:p>
    <w:p w14:paraId="5023CC28" w14:textId="77777777" w:rsidR="00603434" w:rsidRPr="00136A88" w:rsidRDefault="00603434" w:rsidP="00603434">
      <w:r w:rsidRPr="00136A88">
        <w:t xml:space="preserve">Geneva, </w:t>
      </w:r>
      <w:r w:rsidRPr="00E5595D">
        <w:t>1</w:t>
      </w:r>
      <w:r>
        <w:t>9</w:t>
      </w:r>
      <w:r w:rsidRPr="00E5595D">
        <w:t>–</w:t>
      </w:r>
      <w:r>
        <w:t>21</w:t>
      </w:r>
      <w:r w:rsidRPr="00E5595D">
        <w:t xml:space="preserve"> December 202</w:t>
      </w:r>
      <w:r>
        <w:t>2</w:t>
      </w:r>
    </w:p>
    <w:p w14:paraId="085C02FC" w14:textId="77777777" w:rsidR="00603434" w:rsidRDefault="00603434" w:rsidP="00603434">
      <w:r w:rsidRPr="00136A88">
        <w:t xml:space="preserve">Item </w:t>
      </w:r>
      <w:r>
        <w:t xml:space="preserve">1 </w:t>
      </w:r>
      <w:r w:rsidRPr="00136A88">
        <w:t>of the provisional agenda</w:t>
      </w:r>
    </w:p>
    <w:p w14:paraId="4CEB38F7" w14:textId="77777777" w:rsidR="00603434" w:rsidRPr="00595520" w:rsidRDefault="00603434" w:rsidP="00603434">
      <w:r w:rsidRPr="00833C4A">
        <w:rPr>
          <w:b/>
          <w:bCs/>
        </w:rPr>
        <w:t>Adoption of the agenda</w:t>
      </w:r>
    </w:p>
    <w:p w14:paraId="76F53724" w14:textId="77777777" w:rsidR="0048161B" w:rsidRPr="00930D32" w:rsidRDefault="0048161B" w:rsidP="00D4521B">
      <w:pPr>
        <w:pStyle w:val="HChG"/>
      </w:pPr>
      <w:r w:rsidRPr="00930D32">
        <w:tab/>
      </w:r>
      <w:r w:rsidRPr="00930D32">
        <w:tab/>
        <w:t>Informal notes on the agenda</w:t>
      </w:r>
    </w:p>
    <w:p w14:paraId="385150FF" w14:textId="77777777" w:rsidR="0048161B" w:rsidRPr="00930D32" w:rsidRDefault="0048161B" w:rsidP="0048161B">
      <w:pPr>
        <w:pStyle w:val="H1G"/>
      </w:pPr>
      <w:r w:rsidRPr="00930D32">
        <w:tab/>
      </w:r>
      <w:r w:rsidRPr="00930D32">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3A3184" w:rsidRPr="00930D32" w14:paraId="7F6CCB94" w14:textId="77777777" w:rsidTr="006B6B7B">
        <w:trPr>
          <w:jc w:val="center"/>
        </w:trPr>
        <w:tc>
          <w:tcPr>
            <w:tcW w:w="9637" w:type="dxa"/>
            <w:shd w:val="clear" w:color="auto" w:fill="auto"/>
          </w:tcPr>
          <w:p w14:paraId="229D164A" w14:textId="77777777" w:rsidR="003A3184" w:rsidRPr="00930D32" w:rsidRDefault="003A3184" w:rsidP="00CE1869">
            <w:pPr>
              <w:rPr>
                <w:i/>
              </w:rPr>
            </w:pPr>
          </w:p>
        </w:tc>
      </w:tr>
      <w:tr w:rsidR="003A3184" w:rsidRPr="00930D32" w14:paraId="31CF6E83" w14:textId="77777777" w:rsidTr="006B6B7B">
        <w:trPr>
          <w:jc w:val="center"/>
        </w:trPr>
        <w:tc>
          <w:tcPr>
            <w:tcW w:w="9637" w:type="dxa"/>
            <w:shd w:val="clear" w:color="auto" w:fill="auto"/>
          </w:tcPr>
          <w:p w14:paraId="0BCADD89" w14:textId="77777777" w:rsidR="00541BD9" w:rsidRDefault="00EF7251" w:rsidP="005D56AC">
            <w:pPr>
              <w:pStyle w:val="SingleTxtG"/>
            </w:pPr>
            <w:r w:rsidRPr="00930D32">
              <w:tab/>
              <w:t>This paper presents an overview of agenda items</w:t>
            </w:r>
            <w:r w:rsidR="004B35B2" w:rsidRPr="00930D32">
              <w:t xml:space="preserve"> (in chronological order)</w:t>
            </w:r>
            <w:r w:rsidRPr="00930D32">
              <w:t>, associated documentation (official</w:t>
            </w:r>
            <w:r w:rsidR="00B64B01" w:rsidRPr="00930D32">
              <w:t xml:space="preserve">, </w:t>
            </w:r>
            <w:r w:rsidRPr="00930D32">
              <w:t>informal “INF”</w:t>
            </w:r>
            <w:r w:rsidR="00B64B01" w:rsidRPr="00930D32">
              <w:t xml:space="preserve"> and other</w:t>
            </w:r>
            <w:r w:rsidRPr="00930D32">
              <w:t xml:space="preserve">) and </w:t>
            </w:r>
            <w:r w:rsidR="00A5380F" w:rsidRPr="00930D32">
              <w:t xml:space="preserve">actions </w:t>
            </w:r>
            <w:r w:rsidR="002933D9" w:rsidRPr="00930D32">
              <w:t xml:space="preserve">that </w:t>
            </w:r>
            <w:r w:rsidR="00A5380F" w:rsidRPr="00930D32">
              <w:t xml:space="preserve">the delegates </w:t>
            </w:r>
            <w:r w:rsidR="005D56AC" w:rsidRPr="00930D32">
              <w:t xml:space="preserve">are invited to </w:t>
            </w:r>
            <w:r w:rsidR="002933D9" w:rsidRPr="00930D32">
              <w:t>take</w:t>
            </w:r>
            <w:r w:rsidRPr="00930D32">
              <w:t>.</w:t>
            </w:r>
          </w:p>
          <w:p w14:paraId="00A1927C" w14:textId="77777777" w:rsidR="00B71B79" w:rsidRDefault="00B71B79" w:rsidP="00B71B79">
            <w:pPr>
              <w:pStyle w:val="SingleTxtG"/>
            </w:pPr>
            <w:r w:rsidRPr="00930D32">
              <w:t xml:space="preserve">          </w:t>
            </w:r>
            <w:r w:rsidRPr="009418E5">
              <w:t>Timing of the items is indicative and subject to changes depending on the deliberations during the meeting.</w:t>
            </w:r>
          </w:p>
          <w:p w14:paraId="517D5DFC" w14:textId="77777777" w:rsidR="009418E5" w:rsidRPr="009418E5" w:rsidRDefault="009418E5" w:rsidP="00B71B79">
            <w:pPr>
              <w:pStyle w:val="SingleTxtG"/>
            </w:pPr>
            <w:r w:rsidRPr="009418E5">
              <w:t xml:space="preserve">The delegations are invited to send their </w:t>
            </w:r>
            <w:r w:rsidRPr="009418E5">
              <w:rPr>
                <w:b/>
                <w:bCs/>
              </w:rPr>
              <w:t>statements and/ or comments</w:t>
            </w:r>
            <w:r w:rsidRPr="009418E5">
              <w:t xml:space="preserve"> to the documents to the secretariat (eia.conv@un.org; tea.aulavuo@un.org) three weeks in advance of the meeting, i.e. </w:t>
            </w:r>
            <w:r w:rsidRPr="009418E5">
              <w:rPr>
                <w:b/>
                <w:bCs/>
              </w:rPr>
              <w:t>by 28 November 2022</w:t>
            </w:r>
          </w:p>
          <w:p w14:paraId="518B7C91" w14:textId="77777777" w:rsidR="009418E5" w:rsidRDefault="009418E5" w:rsidP="00B71B79">
            <w:pPr>
              <w:pStyle w:val="SingleTxtG"/>
              <w:rPr>
                <w:b/>
                <w:bCs/>
              </w:rPr>
            </w:pPr>
            <w:r>
              <w:t>M</w:t>
            </w:r>
            <w:r w:rsidRPr="009418E5">
              <w:t>eeting documentation is available on a dedicated web page for the meeting</w:t>
            </w:r>
            <w:r>
              <w:rPr>
                <w:b/>
                <w:bCs/>
              </w:rPr>
              <w:t xml:space="preserve">: </w:t>
            </w:r>
            <w:hyperlink r:id="rId11" w:history="1">
              <w:r w:rsidRPr="0009264E">
                <w:rPr>
                  <w:rStyle w:val="Hyperlink"/>
                  <w:color w:val="4472C4"/>
                </w:rPr>
                <w:t>unece.org/environmental-policy/events/working-group-eia-and-sea-espoo-convention-11th-meeting</w:t>
              </w:r>
            </w:hyperlink>
          </w:p>
          <w:p w14:paraId="6F369AD1" w14:textId="77777777" w:rsidR="009418E5" w:rsidRDefault="009418E5" w:rsidP="00150798">
            <w:pPr>
              <w:pStyle w:val="SingleTxtG"/>
            </w:pPr>
            <w:r w:rsidRPr="009418E5">
              <w:t xml:space="preserve">For information on practical matters, please see the </w:t>
            </w:r>
            <w:r w:rsidR="00150798">
              <w:t xml:space="preserve">above </w:t>
            </w:r>
            <w:r w:rsidRPr="009418E5">
              <w:t xml:space="preserve">web page: and </w:t>
            </w:r>
            <w:hyperlink r:id="rId12" w:history="1">
              <w:r w:rsidR="00150798" w:rsidRPr="0009264E">
                <w:rPr>
                  <w:rStyle w:val="Hyperlink"/>
                  <w:color w:val="4472C4"/>
                </w:rPr>
                <w:t>https://unece.org/practical-information-delegates</w:t>
              </w:r>
            </w:hyperlink>
            <w:r w:rsidR="00150798" w:rsidRPr="0009264E">
              <w:rPr>
                <w:color w:val="4472C4"/>
              </w:rPr>
              <w:t xml:space="preserve"> </w:t>
            </w:r>
            <w:r w:rsidRPr="009418E5">
              <w:t>and/or contact the secretariat by email (maricar.delacruz@un.org; eia.conv@un.org) for assistance.</w:t>
            </w:r>
          </w:p>
          <w:p w14:paraId="1CDE4375" w14:textId="77777777" w:rsidR="00634754" w:rsidRDefault="00634754" w:rsidP="00B71B79">
            <w:pPr>
              <w:pStyle w:val="SingleTxtG"/>
              <w:rPr>
                <w:b/>
                <w:bCs/>
              </w:rPr>
            </w:pPr>
          </w:p>
          <w:p w14:paraId="15CE98FA" w14:textId="77777777" w:rsidR="00634754" w:rsidRPr="004814CE" w:rsidRDefault="00634754" w:rsidP="00B71B79">
            <w:pPr>
              <w:pStyle w:val="SingleTxtG"/>
              <w:rPr>
                <w:b/>
                <w:bCs/>
              </w:rPr>
            </w:pPr>
          </w:p>
        </w:tc>
      </w:tr>
      <w:tr w:rsidR="003A3184" w:rsidRPr="00930D32" w14:paraId="16C442BA" w14:textId="77777777" w:rsidTr="006B6B7B">
        <w:trPr>
          <w:jc w:val="center"/>
        </w:trPr>
        <w:tc>
          <w:tcPr>
            <w:tcW w:w="9637" w:type="dxa"/>
            <w:shd w:val="clear" w:color="auto" w:fill="auto"/>
          </w:tcPr>
          <w:p w14:paraId="7DCF5A33" w14:textId="77777777" w:rsidR="003A3184" w:rsidRPr="00930D32" w:rsidRDefault="003A3184" w:rsidP="00CE1869"/>
        </w:tc>
      </w:tr>
    </w:tbl>
    <w:p w14:paraId="02409824" w14:textId="77777777" w:rsidR="003A3184" w:rsidRPr="00930D32" w:rsidRDefault="003A3184" w:rsidP="00F451A3">
      <w:pPr>
        <w:pStyle w:val="SingleTxtG"/>
      </w:pPr>
    </w:p>
    <w:p w14:paraId="031943E5" w14:textId="77777777" w:rsidR="006E0021" w:rsidRPr="00930D32" w:rsidRDefault="006E0021" w:rsidP="004F37E8">
      <w:pPr>
        <w:pStyle w:val="SingleTxtG"/>
        <w:ind w:left="0"/>
        <w:sectPr w:rsidR="006E0021" w:rsidRPr="00930D32" w:rsidSect="0064660C">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pPr>
    </w:p>
    <w:p w14:paraId="7B4E5F1D" w14:textId="77777777" w:rsidR="005C5DDA" w:rsidRPr="00930D32" w:rsidRDefault="005C5DDA" w:rsidP="009F7903">
      <w:pPr>
        <w:spacing w:before="240"/>
        <w:ind w:left="1134" w:right="1134"/>
        <w:jc w:val="center"/>
        <w:rPr>
          <w:u w:val="single"/>
        </w:rPr>
      </w:pPr>
    </w:p>
    <w:tbl>
      <w:tblPr>
        <w:tblW w:w="12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0"/>
        <w:gridCol w:w="921"/>
        <w:gridCol w:w="1845"/>
        <w:gridCol w:w="3831"/>
        <w:gridCol w:w="4656"/>
      </w:tblGrid>
      <w:tr w:rsidR="00385A71" w:rsidRPr="00930D32" w14:paraId="5604FA22" w14:textId="77777777" w:rsidTr="00C669E7">
        <w:trPr>
          <w:tblHeader/>
          <w:jc w:val="center"/>
        </w:trPr>
        <w:tc>
          <w:tcPr>
            <w:tcW w:w="1350" w:type="dxa"/>
            <w:shd w:val="clear" w:color="auto" w:fill="auto"/>
          </w:tcPr>
          <w:p w14:paraId="08A3D1D9" w14:textId="77777777" w:rsidR="00385A71" w:rsidRPr="00930D32" w:rsidRDefault="00385A71" w:rsidP="00E40B25">
            <w:pPr>
              <w:spacing w:before="80" w:after="80" w:line="200" w:lineRule="exact"/>
              <w:ind w:left="143" w:right="113"/>
              <w:rPr>
                <w:bCs/>
                <w:i/>
              </w:rPr>
            </w:pPr>
            <w:r w:rsidRPr="00930D32">
              <w:rPr>
                <w:bCs/>
                <w:i/>
              </w:rPr>
              <w:t>Day</w:t>
            </w:r>
          </w:p>
        </w:tc>
        <w:tc>
          <w:tcPr>
            <w:tcW w:w="921" w:type="dxa"/>
            <w:shd w:val="clear" w:color="auto" w:fill="auto"/>
          </w:tcPr>
          <w:p w14:paraId="0FB6167A" w14:textId="77777777" w:rsidR="00385A71" w:rsidRPr="00930D32" w:rsidRDefault="00385A71" w:rsidP="00E40B25">
            <w:pPr>
              <w:spacing w:before="80" w:after="80" w:line="200" w:lineRule="exact"/>
              <w:ind w:left="170" w:right="113"/>
              <w:rPr>
                <w:bCs/>
                <w:i/>
              </w:rPr>
            </w:pPr>
            <w:r w:rsidRPr="00930D32">
              <w:rPr>
                <w:bCs/>
                <w:i/>
              </w:rPr>
              <w:t>Time</w:t>
            </w:r>
          </w:p>
        </w:tc>
        <w:tc>
          <w:tcPr>
            <w:tcW w:w="1845" w:type="dxa"/>
            <w:shd w:val="clear" w:color="auto" w:fill="auto"/>
          </w:tcPr>
          <w:p w14:paraId="5788F2FA" w14:textId="77777777" w:rsidR="00385A71" w:rsidRPr="00930D32" w:rsidRDefault="00385A71" w:rsidP="00E40B25">
            <w:pPr>
              <w:spacing w:before="80" w:after="80" w:line="200" w:lineRule="exact"/>
              <w:ind w:left="284" w:right="113" w:hanging="142"/>
              <w:rPr>
                <w:bCs/>
                <w:i/>
              </w:rPr>
            </w:pPr>
            <w:r w:rsidRPr="00930D32">
              <w:rPr>
                <w:bCs/>
                <w:i/>
              </w:rPr>
              <w:t>Agenda item</w:t>
            </w:r>
          </w:p>
        </w:tc>
        <w:tc>
          <w:tcPr>
            <w:tcW w:w="3831" w:type="dxa"/>
            <w:shd w:val="clear" w:color="auto" w:fill="auto"/>
          </w:tcPr>
          <w:p w14:paraId="3BDE448D" w14:textId="77777777" w:rsidR="00385A71" w:rsidRPr="00930D32" w:rsidRDefault="00385A71" w:rsidP="00E40B25">
            <w:pPr>
              <w:spacing w:before="80" w:after="80" w:line="200" w:lineRule="exact"/>
              <w:ind w:right="113"/>
              <w:rPr>
                <w:bCs/>
                <w:i/>
              </w:rPr>
            </w:pPr>
            <w:r w:rsidRPr="00930D32">
              <w:rPr>
                <w:bCs/>
                <w:i/>
              </w:rPr>
              <w:t>Documents</w:t>
            </w:r>
          </w:p>
        </w:tc>
        <w:tc>
          <w:tcPr>
            <w:tcW w:w="4656" w:type="dxa"/>
            <w:shd w:val="clear" w:color="auto" w:fill="auto"/>
          </w:tcPr>
          <w:p w14:paraId="58F8A5FF" w14:textId="77777777" w:rsidR="00385A71" w:rsidRPr="00930D32" w:rsidRDefault="00385A71" w:rsidP="00E40B25">
            <w:pPr>
              <w:spacing w:before="80" w:after="80" w:line="200" w:lineRule="exact"/>
              <w:ind w:left="142" w:right="260"/>
              <w:rPr>
                <w:bCs/>
                <w:i/>
              </w:rPr>
            </w:pPr>
            <w:r w:rsidRPr="00930D32">
              <w:rPr>
                <w:bCs/>
                <w:i/>
              </w:rPr>
              <w:t>Actions</w:t>
            </w:r>
          </w:p>
        </w:tc>
      </w:tr>
      <w:tr w:rsidR="00561B33" w:rsidRPr="00930D32" w14:paraId="3AEACC98" w14:textId="77777777" w:rsidTr="006649C0">
        <w:trPr>
          <w:trHeight w:val="96"/>
          <w:jc w:val="center"/>
        </w:trPr>
        <w:tc>
          <w:tcPr>
            <w:tcW w:w="1350" w:type="dxa"/>
            <w:vMerge w:val="restart"/>
            <w:shd w:val="clear" w:color="auto" w:fill="auto"/>
          </w:tcPr>
          <w:p w14:paraId="17FCC3AB" w14:textId="77777777" w:rsidR="00DD73D7" w:rsidRDefault="00543DAA" w:rsidP="00543DAA">
            <w:pPr>
              <w:spacing w:before="40" w:after="120"/>
              <w:ind w:right="113"/>
              <w:rPr>
                <w:b/>
                <w:bCs/>
              </w:rPr>
            </w:pPr>
            <w:bookmarkStart w:id="0" w:name="_Hlk88056775"/>
            <w:r w:rsidRPr="00543DAA">
              <w:rPr>
                <w:b/>
                <w:bCs/>
              </w:rPr>
              <w:t xml:space="preserve">Monday, 19 December </w:t>
            </w:r>
          </w:p>
          <w:p w14:paraId="56EB3E60" w14:textId="77777777" w:rsidR="00DD73D7" w:rsidRDefault="00DD73D7" w:rsidP="00543DAA">
            <w:pPr>
              <w:spacing w:before="40" w:after="120"/>
              <w:ind w:right="113"/>
              <w:rPr>
                <w:b/>
                <w:bCs/>
              </w:rPr>
            </w:pPr>
          </w:p>
          <w:p w14:paraId="19C4DF1D" w14:textId="77777777" w:rsidR="00DD73D7" w:rsidRDefault="00DD73D7" w:rsidP="00543DAA">
            <w:pPr>
              <w:spacing w:before="40" w:after="120"/>
              <w:ind w:right="113"/>
              <w:rPr>
                <w:b/>
                <w:bCs/>
              </w:rPr>
            </w:pPr>
          </w:p>
          <w:p w14:paraId="30B02724" w14:textId="77777777" w:rsidR="00DD73D7" w:rsidRDefault="00DD73D7" w:rsidP="00543DAA">
            <w:pPr>
              <w:spacing w:before="40" w:after="120"/>
              <w:ind w:right="113"/>
              <w:rPr>
                <w:b/>
                <w:bCs/>
              </w:rPr>
            </w:pPr>
          </w:p>
          <w:p w14:paraId="70DA4E1E" w14:textId="77777777" w:rsidR="00DD73D7" w:rsidRDefault="00DD73D7" w:rsidP="00543DAA">
            <w:pPr>
              <w:spacing w:before="40" w:after="120"/>
              <w:ind w:right="113"/>
              <w:rPr>
                <w:b/>
                <w:bCs/>
              </w:rPr>
            </w:pPr>
          </w:p>
          <w:p w14:paraId="01F3BE07" w14:textId="77777777" w:rsidR="00DD73D7" w:rsidRDefault="00DD73D7" w:rsidP="00543DAA">
            <w:pPr>
              <w:spacing w:before="40" w:after="120"/>
              <w:ind w:right="113"/>
              <w:rPr>
                <w:b/>
                <w:bCs/>
              </w:rPr>
            </w:pPr>
          </w:p>
          <w:p w14:paraId="7ECDC005" w14:textId="77777777" w:rsidR="00DD73D7" w:rsidRDefault="00DD73D7" w:rsidP="00543DAA">
            <w:pPr>
              <w:spacing w:before="40" w:after="120"/>
              <w:ind w:right="113"/>
              <w:rPr>
                <w:b/>
                <w:bCs/>
              </w:rPr>
            </w:pPr>
          </w:p>
          <w:p w14:paraId="364C89D6" w14:textId="77777777" w:rsidR="00DD73D7" w:rsidRDefault="00DD73D7" w:rsidP="00543DAA">
            <w:pPr>
              <w:spacing w:before="40" w:after="120"/>
              <w:ind w:right="113"/>
              <w:rPr>
                <w:b/>
                <w:bCs/>
              </w:rPr>
            </w:pPr>
          </w:p>
          <w:p w14:paraId="3150B7A0" w14:textId="77777777" w:rsidR="00DD73D7" w:rsidRDefault="00DD73D7" w:rsidP="00543DAA">
            <w:pPr>
              <w:spacing w:before="40" w:after="120"/>
              <w:ind w:right="113"/>
              <w:rPr>
                <w:b/>
                <w:bCs/>
              </w:rPr>
            </w:pPr>
          </w:p>
          <w:p w14:paraId="00A149A6" w14:textId="77777777" w:rsidR="00DD73D7" w:rsidRDefault="00DD73D7" w:rsidP="00543DAA">
            <w:pPr>
              <w:spacing w:before="40" w:after="120"/>
              <w:ind w:right="113"/>
              <w:rPr>
                <w:b/>
                <w:bCs/>
              </w:rPr>
            </w:pPr>
          </w:p>
          <w:p w14:paraId="46931496" w14:textId="77777777" w:rsidR="00DD73D7" w:rsidRDefault="00DD73D7" w:rsidP="00543DAA">
            <w:pPr>
              <w:spacing w:before="40" w:after="120"/>
              <w:ind w:right="113"/>
              <w:rPr>
                <w:b/>
                <w:bCs/>
              </w:rPr>
            </w:pPr>
          </w:p>
          <w:p w14:paraId="13898993" w14:textId="77777777" w:rsidR="00DD73D7" w:rsidRDefault="00DD73D7" w:rsidP="00543DAA">
            <w:pPr>
              <w:spacing w:before="40" w:after="120"/>
              <w:ind w:right="113"/>
              <w:rPr>
                <w:b/>
                <w:bCs/>
              </w:rPr>
            </w:pPr>
          </w:p>
          <w:p w14:paraId="1E6F8B7F" w14:textId="77777777" w:rsidR="00DD73D7" w:rsidRDefault="00DD73D7" w:rsidP="00543DAA">
            <w:pPr>
              <w:spacing w:before="40" w:after="120"/>
              <w:ind w:right="113"/>
              <w:rPr>
                <w:b/>
                <w:bCs/>
              </w:rPr>
            </w:pPr>
          </w:p>
          <w:p w14:paraId="3847385E" w14:textId="77777777" w:rsidR="00DD73D7" w:rsidRDefault="00DD73D7" w:rsidP="00543DAA">
            <w:pPr>
              <w:spacing w:before="40" w:after="120"/>
              <w:ind w:right="113"/>
              <w:rPr>
                <w:b/>
                <w:bCs/>
              </w:rPr>
            </w:pPr>
          </w:p>
          <w:p w14:paraId="1F4A2E97" w14:textId="77777777" w:rsidR="00DD73D7" w:rsidRDefault="00DD73D7" w:rsidP="00543DAA">
            <w:pPr>
              <w:spacing w:before="40" w:after="120"/>
              <w:ind w:right="113"/>
              <w:rPr>
                <w:b/>
                <w:bCs/>
              </w:rPr>
            </w:pPr>
          </w:p>
          <w:p w14:paraId="7BEA126C" w14:textId="77777777" w:rsidR="00DD73D7" w:rsidRDefault="00DD73D7" w:rsidP="00543DAA">
            <w:pPr>
              <w:spacing w:before="40" w:after="120"/>
              <w:ind w:right="113"/>
              <w:rPr>
                <w:b/>
                <w:bCs/>
              </w:rPr>
            </w:pPr>
          </w:p>
          <w:p w14:paraId="5DD1A295" w14:textId="77777777" w:rsidR="00DD73D7" w:rsidRDefault="00DD73D7" w:rsidP="00543DAA">
            <w:pPr>
              <w:spacing w:before="40" w:after="120"/>
              <w:ind w:right="113"/>
              <w:rPr>
                <w:b/>
                <w:bCs/>
              </w:rPr>
            </w:pPr>
          </w:p>
          <w:p w14:paraId="4E5716F4" w14:textId="77777777" w:rsidR="00DD73D7" w:rsidRDefault="00DD73D7" w:rsidP="00543DAA">
            <w:pPr>
              <w:spacing w:before="40" w:after="120"/>
              <w:ind w:right="113"/>
              <w:rPr>
                <w:b/>
                <w:bCs/>
              </w:rPr>
            </w:pPr>
          </w:p>
          <w:p w14:paraId="7E186CE6" w14:textId="77777777" w:rsidR="00DD73D7" w:rsidRDefault="00DD73D7" w:rsidP="00543DAA">
            <w:pPr>
              <w:spacing w:before="40" w:after="120"/>
              <w:ind w:right="113"/>
              <w:rPr>
                <w:b/>
                <w:bCs/>
              </w:rPr>
            </w:pPr>
          </w:p>
          <w:p w14:paraId="0A16A0BB" w14:textId="77777777" w:rsidR="00DD73D7" w:rsidRDefault="00DD73D7" w:rsidP="00543DAA">
            <w:pPr>
              <w:spacing w:before="40" w:after="120"/>
              <w:ind w:right="113"/>
              <w:rPr>
                <w:b/>
                <w:bCs/>
              </w:rPr>
            </w:pPr>
          </w:p>
          <w:p w14:paraId="2120CC13" w14:textId="77777777" w:rsidR="00DD73D7" w:rsidRDefault="00DD73D7" w:rsidP="00543DAA">
            <w:pPr>
              <w:spacing w:before="40" w:after="120"/>
              <w:ind w:right="113"/>
              <w:rPr>
                <w:b/>
                <w:bCs/>
              </w:rPr>
            </w:pPr>
          </w:p>
          <w:p w14:paraId="0241B9D7" w14:textId="77777777" w:rsidR="00DD73D7" w:rsidRDefault="00DD73D7" w:rsidP="00543DAA">
            <w:pPr>
              <w:spacing w:before="40" w:after="120"/>
              <w:ind w:right="113"/>
              <w:rPr>
                <w:b/>
                <w:bCs/>
              </w:rPr>
            </w:pPr>
          </w:p>
          <w:p w14:paraId="2E8324C7" w14:textId="77777777" w:rsidR="00DD73D7" w:rsidRDefault="00DD73D7" w:rsidP="00543DAA">
            <w:pPr>
              <w:spacing w:before="40" w:after="120"/>
              <w:ind w:right="113"/>
              <w:rPr>
                <w:b/>
                <w:bCs/>
              </w:rPr>
            </w:pPr>
          </w:p>
          <w:p w14:paraId="7826BE8F" w14:textId="77777777" w:rsidR="00DD73D7" w:rsidRDefault="00543DAA" w:rsidP="00543DAA">
            <w:pPr>
              <w:spacing w:before="40" w:after="120"/>
              <w:ind w:right="113"/>
              <w:rPr>
                <w:b/>
                <w:bCs/>
              </w:rPr>
            </w:pPr>
            <w:r w:rsidRPr="00543DAA">
              <w:rPr>
                <w:b/>
                <w:bCs/>
              </w:rPr>
              <w:lastRenderedPageBreak/>
              <w:t xml:space="preserve">Monday, 19 December </w:t>
            </w:r>
          </w:p>
          <w:p w14:paraId="016963BF" w14:textId="77777777" w:rsidR="00DD73D7" w:rsidRDefault="00DD73D7" w:rsidP="00543DAA">
            <w:pPr>
              <w:spacing w:before="40" w:after="120"/>
              <w:ind w:right="113"/>
              <w:rPr>
                <w:b/>
                <w:bCs/>
              </w:rPr>
            </w:pPr>
          </w:p>
          <w:p w14:paraId="43244A2A" w14:textId="77777777" w:rsidR="00DD73D7" w:rsidRDefault="00DD73D7" w:rsidP="00543DAA">
            <w:pPr>
              <w:spacing w:before="40" w:after="120"/>
              <w:ind w:right="113"/>
              <w:rPr>
                <w:b/>
                <w:bCs/>
              </w:rPr>
            </w:pPr>
          </w:p>
          <w:p w14:paraId="623DF470" w14:textId="77777777" w:rsidR="00DD73D7" w:rsidRDefault="00DD73D7" w:rsidP="00543DAA">
            <w:pPr>
              <w:spacing w:before="40" w:after="120"/>
              <w:ind w:right="113"/>
              <w:rPr>
                <w:b/>
                <w:bCs/>
              </w:rPr>
            </w:pPr>
          </w:p>
          <w:p w14:paraId="7DD7676B" w14:textId="77777777" w:rsidR="00DD73D7" w:rsidRDefault="00DD73D7" w:rsidP="00543DAA">
            <w:pPr>
              <w:spacing w:before="40" w:after="120"/>
              <w:ind w:right="113"/>
              <w:rPr>
                <w:b/>
                <w:bCs/>
              </w:rPr>
            </w:pPr>
          </w:p>
          <w:p w14:paraId="4BA761F1" w14:textId="77777777" w:rsidR="00DD73D7" w:rsidRDefault="00DD73D7" w:rsidP="00543DAA">
            <w:pPr>
              <w:spacing w:before="40" w:after="120"/>
              <w:ind w:right="113"/>
              <w:rPr>
                <w:b/>
                <w:bCs/>
              </w:rPr>
            </w:pPr>
          </w:p>
          <w:p w14:paraId="6F652DF2" w14:textId="77777777" w:rsidR="00DD73D7" w:rsidRDefault="00DD73D7" w:rsidP="00543DAA">
            <w:pPr>
              <w:spacing w:before="40" w:after="120"/>
              <w:ind w:right="113"/>
              <w:rPr>
                <w:b/>
                <w:bCs/>
              </w:rPr>
            </w:pPr>
          </w:p>
          <w:p w14:paraId="17A07D20" w14:textId="77777777" w:rsidR="00DD73D7" w:rsidRDefault="00DD73D7" w:rsidP="00543DAA">
            <w:pPr>
              <w:spacing w:before="40" w:after="120"/>
              <w:ind w:right="113"/>
              <w:rPr>
                <w:b/>
                <w:bCs/>
              </w:rPr>
            </w:pPr>
          </w:p>
          <w:p w14:paraId="02ECF0CC" w14:textId="77777777" w:rsidR="00DD73D7" w:rsidRDefault="00DD73D7" w:rsidP="00543DAA">
            <w:pPr>
              <w:spacing w:before="40" w:after="120"/>
              <w:ind w:right="113"/>
              <w:rPr>
                <w:b/>
                <w:bCs/>
              </w:rPr>
            </w:pPr>
          </w:p>
          <w:p w14:paraId="56DE701D" w14:textId="77777777" w:rsidR="00DD73D7" w:rsidRDefault="00DD73D7" w:rsidP="00543DAA">
            <w:pPr>
              <w:spacing w:before="40" w:after="120"/>
              <w:ind w:right="113"/>
              <w:rPr>
                <w:b/>
                <w:bCs/>
              </w:rPr>
            </w:pPr>
          </w:p>
          <w:p w14:paraId="2E7FF69C" w14:textId="77777777" w:rsidR="00DD73D7" w:rsidRDefault="00DD73D7" w:rsidP="00543DAA">
            <w:pPr>
              <w:spacing w:before="40" w:after="120"/>
              <w:ind w:right="113"/>
              <w:rPr>
                <w:b/>
                <w:bCs/>
              </w:rPr>
            </w:pPr>
          </w:p>
          <w:p w14:paraId="7E2482A1" w14:textId="77777777" w:rsidR="00DD73D7" w:rsidRDefault="00DD73D7" w:rsidP="00543DAA">
            <w:pPr>
              <w:spacing w:before="40" w:after="120"/>
              <w:ind w:right="113"/>
              <w:rPr>
                <w:b/>
                <w:bCs/>
              </w:rPr>
            </w:pPr>
          </w:p>
          <w:p w14:paraId="59B45106" w14:textId="77777777" w:rsidR="00DD73D7" w:rsidRDefault="00DD73D7" w:rsidP="00543DAA">
            <w:pPr>
              <w:spacing w:before="40" w:after="120"/>
              <w:ind w:right="113"/>
              <w:rPr>
                <w:b/>
                <w:bCs/>
              </w:rPr>
            </w:pPr>
          </w:p>
          <w:p w14:paraId="75953ACD" w14:textId="77777777" w:rsidR="00DD73D7" w:rsidRDefault="00DD73D7" w:rsidP="00543DAA">
            <w:pPr>
              <w:spacing w:before="40" w:after="120"/>
              <w:ind w:right="113"/>
              <w:rPr>
                <w:b/>
                <w:bCs/>
              </w:rPr>
            </w:pPr>
          </w:p>
          <w:p w14:paraId="78FDD2B0" w14:textId="77777777" w:rsidR="00DD73D7" w:rsidRDefault="00DD73D7" w:rsidP="00543DAA">
            <w:pPr>
              <w:spacing w:before="40" w:after="120"/>
              <w:ind w:right="113"/>
              <w:rPr>
                <w:b/>
                <w:bCs/>
              </w:rPr>
            </w:pPr>
          </w:p>
          <w:p w14:paraId="3C88B2D5" w14:textId="77777777" w:rsidR="00DD73D7" w:rsidRDefault="00DD73D7" w:rsidP="00543DAA">
            <w:pPr>
              <w:spacing w:before="40" w:after="120"/>
              <w:ind w:right="113"/>
              <w:rPr>
                <w:b/>
                <w:bCs/>
              </w:rPr>
            </w:pPr>
          </w:p>
          <w:p w14:paraId="634169D2" w14:textId="77777777" w:rsidR="00DD73D7" w:rsidRDefault="00DD73D7" w:rsidP="00543DAA">
            <w:pPr>
              <w:spacing w:before="40" w:after="120"/>
              <w:ind w:right="113"/>
              <w:rPr>
                <w:b/>
                <w:bCs/>
              </w:rPr>
            </w:pPr>
          </w:p>
          <w:p w14:paraId="5F859253" w14:textId="77777777" w:rsidR="00DD73D7" w:rsidRDefault="00DD73D7" w:rsidP="00543DAA">
            <w:pPr>
              <w:spacing w:before="40" w:after="120"/>
              <w:ind w:right="113"/>
              <w:rPr>
                <w:b/>
                <w:bCs/>
              </w:rPr>
            </w:pPr>
          </w:p>
          <w:p w14:paraId="224B6FB8" w14:textId="77777777" w:rsidR="00DD73D7" w:rsidRDefault="00DD73D7" w:rsidP="00543DAA">
            <w:pPr>
              <w:spacing w:before="40" w:after="120"/>
              <w:ind w:right="113"/>
              <w:rPr>
                <w:b/>
                <w:bCs/>
              </w:rPr>
            </w:pPr>
          </w:p>
          <w:p w14:paraId="43099918" w14:textId="77777777" w:rsidR="00DD73D7" w:rsidRDefault="00DD73D7" w:rsidP="00543DAA">
            <w:pPr>
              <w:spacing w:before="40" w:after="120"/>
              <w:ind w:right="113"/>
              <w:rPr>
                <w:b/>
                <w:bCs/>
              </w:rPr>
            </w:pPr>
          </w:p>
          <w:p w14:paraId="624310D9" w14:textId="77777777" w:rsidR="00DD73D7" w:rsidRDefault="00DD73D7" w:rsidP="00543DAA">
            <w:pPr>
              <w:spacing w:before="40" w:after="120"/>
              <w:ind w:right="113"/>
              <w:rPr>
                <w:b/>
                <w:bCs/>
              </w:rPr>
            </w:pPr>
          </w:p>
          <w:p w14:paraId="41EA3A96" w14:textId="77777777" w:rsidR="00DD73D7" w:rsidRDefault="00DD73D7" w:rsidP="00543DAA">
            <w:pPr>
              <w:spacing w:before="40" w:after="120"/>
              <w:ind w:right="113"/>
              <w:rPr>
                <w:b/>
                <w:bCs/>
              </w:rPr>
            </w:pPr>
          </w:p>
          <w:p w14:paraId="51D65998" w14:textId="77777777" w:rsidR="00DD73D7" w:rsidRDefault="00DD73D7" w:rsidP="00543DAA">
            <w:pPr>
              <w:spacing w:before="40" w:after="120"/>
              <w:ind w:right="113"/>
              <w:rPr>
                <w:b/>
                <w:bCs/>
              </w:rPr>
            </w:pPr>
          </w:p>
          <w:p w14:paraId="2737F28A" w14:textId="77777777" w:rsidR="00DD73D7" w:rsidRDefault="00DD73D7" w:rsidP="00543DAA">
            <w:pPr>
              <w:spacing w:before="40" w:after="120"/>
              <w:ind w:right="113"/>
              <w:rPr>
                <w:b/>
                <w:bCs/>
              </w:rPr>
            </w:pPr>
          </w:p>
          <w:p w14:paraId="28605533" w14:textId="77777777" w:rsidR="00DB0FEB" w:rsidRDefault="00DB0FEB" w:rsidP="00543DAA">
            <w:pPr>
              <w:spacing w:before="40" w:after="120"/>
              <w:ind w:right="113"/>
              <w:rPr>
                <w:b/>
                <w:bCs/>
              </w:rPr>
            </w:pPr>
          </w:p>
          <w:p w14:paraId="12B160CB" w14:textId="77777777" w:rsidR="00DD73D7" w:rsidRDefault="00543DAA" w:rsidP="00DD73D7">
            <w:pPr>
              <w:spacing w:before="40" w:after="120"/>
              <w:ind w:right="113"/>
              <w:rPr>
                <w:b/>
                <w:bCs/>
              </w:rPr>
            </w:pPr>
            <w:r w:rsidRPr="00543DAA">
              <w:rPr>
                <w:b/>
                <w:bCs/>
              </w:rPr>
              <w:t>Monday, 19 December</w:t>
            </w:r>
            <w:r w:rsidR="00DD73D7" w:rsidRPr="00543DAA">
              <w:rPr>
                <w:b/>
                <w:bCs/>
              </w:rPr>
              <w:t xml:space="preserve"> </w:t>
            </w:r>
          </w:p>
          <w:p w14:paraId="39DB085D" w14:textId="77777777" w:rsidR="00DD73D7" w:rsidRDefault="00DD73D7" w:rsidP="00DD73D7">
            <w:pPr>
              <w:spacing w:before="40" w:after="120"/>
              <w:ind w:right="113"/>
              <w:rPr>
                <w:b/>
                <w:bCs/>
              </w:rPr>
            </w:pPr>
          </w:p>
          <w:p w14:paraId="22DCAF9A" w14:textId="77777777" w:rsidR="00DD73D7" w:rsidRDefault="00DD73D7" w:rsidP="00DD73D7">
            <w:pPr>
              <w:spacing w:before="40" w:after="120"/>
              <w:ind w:right="113"/>
              <w:rPr>
                <w:b/>
                <w:bCs/>
              </w:rPr>
            </w:pPr>
          </w:p>
          <w:p w14:paraId="07497C4B" w14:textId="77777777" w:rsidR="00DD73D7" w:rsidRDefault="00DD73D7" w:rsidP="00DD73D7">
            <w:pPr>
              <w:spacing w:before="40" w:after="120"/>
              <w:ind w:right="113"/>
              <w:rPr>
                <w:b/>
                <w:bCs/>
              </w:rPr>
            </w:pPr>
          </w:p>
          <w:p w14:paraId="2931F874" w14:textId="77777777" w:rsidR="00DD73D7" w:rsidRDefault="00DD73D7" w:rsidP="00DD73D7">
            <w:pPr>
              <w:spacing w:before="40" w:after="120"/>
              <w:ind w:right="113"/>
              <w:rPr>
                <w:b/>
                <w:bCs/>
              </w:rPr>
            </w:pPr>
          </w:p>
          <w:p w14:paraId="7D153E3F" w14:textId="77777777" w:rsidR="00DD73D7" w:rsidRDefault="00DD73D7" w:rsidP="00DD73D7">
            <w:pPr>
              <w:spacing w:before="40" w:after="120"/>
              <w:ind w:right="113"/>
              <w:rPr>
                <w:b/>
                <w:bCs/>
              </w:rPr>
            </w:pPr>
          </w:p>
          <w:p w14:paraId="3301FB5C" w14:textId="77777777" w:rsidR="00DD73D7" w:rsidRDefault="00DD73D7" w:rsidP="00DD73D7">
            <w:pPr>
              <w:spacing w:before="40" w:after="120"/>
              <w:ind w:right="113"/>
              <w:rPr>
                <w:b/>
                <w:bCs/>
              </w:rPr>
            </w:pPr>
          </w:p>
          <w:p w14:paraId="6E14D7A7" w14:textId="77777777" w:rsidR="00DD73D7" w:rsidRDefault="00DD73D7" w:rsidP="00DD73D7">
            <w:pPr>
              <w:spacing w:before="40" w:after="120"/>
              <w:ind w:right="113"/>
              <w:rPr>
                <w:b/>
                <w:bCs/>
              </w:rPr>
            </w:pPr>
          </w:p>
          <w:p w14:paraId="30A21CB4" w14:textId="77777777" w:rsidR="00DD73D7" w:rsidRDefault="00DD73D7" w:rsidP="00DD73D7">
            <w:pPr>
              <w:spacing w:before="40" w:after="120"/>
              <w:ind w:right="113"/>
              <w:rPr>
                <w:b/>
                <w:bCs/>
              </w:rPr>
            </w:pPr>
          </w:p>
          <w:p w14:paraId="5633E2C2" w14:textId="77777777" w:rsidR="00DD73D7" w:rsidRDefault="00DD73D7" w:rsidP="00DD73D7">
            <w:pPr>
              <w:spacing w:before="40" w:after="120"/>
              <w:ind w:right="113"/>
              <w:rPr>
                <w:b/>
                <w:bCs/>
              </w:rPr>
            </w:pPr>
          </w:p>
          <w:p w14:paraId="1F8EFD40" w14:textId="77777777" w:rsidR="00DD73D7" w:rsidRDefault="00DD73D7" w:rsidP="00DD73D7">
            <w:pPr>
              <w:spacing w:before="40" w:after="120"/>
              <w:ind w:right="113"/>
              <w:rPr>
                <w:b/>
                <w:bCs/>
              </w:rPr>
            </w:pPr>
          </w:p>
          <w:p w14:paraId="4B9652BF" w14:textId="77777777" w:rsidR="00DD73D7" w:rsidRDefault="00DD73D7" w:rsidP="00DD73D7">
            <w:pPr>
              <w:spacing w:before="40" w:after="120"/>
              <w:ind w:right="113"/>
              <w:rPr>
                <w:b/>
                <w:bCs/>
              </w:rPr>
            </w:pPr>
          </w:p>
          <w:p w14:paraId="60F142B3" w14:textId="77777777" w:rsidR="00DD73D7" w:rsidRDefault="00DD73D7" w:rsidP="00DD73D7">
            <w:pPr>
              <w:spacing w:before="40" w:after="120"/>
              <w:ind w:right="113"/>
              <w:rPr>
                <w:b/>
                <w:bCs/>
              </w:rPr>
            </w:pPr>
          </w:p>
          <w:p w14:paraId="2298BAA6" w14:textId="77777777" w:rsidR="00DD73D7" w:rsidRDefault="00DD73D7" w:rsidP="00DD73D7">
            <w:pPr>
              <w:spacing w:before="40" w:after="120"/>
              <w:ind w:right="113"/>
              <w:rPr>
                <w:b/>
                <w:bCs/>
              </w:rPr>
            </w:pPr>
          </w:p>
          <w:p w14:paraId="583D422D" w14:textId="77777777" w:rsidR="00DD73D7" w:rsidRDefault="00DD73D7" w:rsidP="00DD73D7">
            <w:pPr>
              <w:spacing w:before="40" w:after="120"/>
              <w:ind w:right="113"/>
              <w:rPr>
                <w:b/>
                <w:bCs/>
              </w:rPr>
            </w:pPr>
          </w:p>
          <w:p w14:paraId="4120AA50" w14:textId="77777777" w:rsidR="00DD73D7" w:rsidRDefault="00DD73D7" w:rsidP="00DD73D7">
            <w:pPr>
              <w:spacing w:before="40" w:after="120"/>
              <w:ind w:right="113"/>
              <w:rPr>
                <w:b/>
                <w:bCs/>
              </w:rPr>
            </w:pPr>
          </w:p>
          <w:p w14:paraId="1D32A378" w14:textId="77777777" w:rsidR="00DD73D7" w:rsidRDefault="00DD73D7" w:rsidP="00DD73D7">
            <w:pPr>
              <w:spacing w:before="40" w:after="120"/>
              <w:ind w:right="113"/>
              <w:rPr>
                <w:b/>
                <w:bCs/>
              </w:rPr>
            </w:pPr>
          </w:p>
          <w:p w14:paraId="3AB5F55B" w14:textId="77777777" w:rsidR="00DD73D7" w:rsidRDefault="00DD73D7" w:rsidP="00DD73D7">
            <w:pPr>
              <w:spacing w:before="40" w:after="120"/>
              <w:ind w:right="113"/>
              <w:rPr>
                <w:b/>
                <w:bCs/>
              </w:rPr>
            </w:pPr>
          </w:p>
          <w:p w14:paraId="719277D3" w14:textId="77777777" w:rsidR="00DD73D7" w:rsidRDefault="00DD73D7" w:rsidP="00DD73D7">
            <w:pPr>
              <w:spacing w:before="40" w:after="120"/>
              <w:ind w:right="113"/>
              <w:rPr>
                <w:b/>
                <w:bCs/>
              </w:rPr>
            </w:pPr>
          </w:p>
          <w:p w14:paraId="1B0BDCB4" w14:textId="77777777" w:rsidR="00DD73D7" w:rsidRDefault="00DD73D7" w:rsidP="00DD73D7">
            <w:pPr>
              <w:spacing w:before="40" w:after="120"/>
              <w:ind w:right="113"/>
              <w:rPr>
                <w:b/>
                <w:bCs/>
              </w:rPr>
            </w:pPr>
          </w:p>
          <w:p w14:paraId="311EB364" w14:textId="77777777" w:rsidR="00DD73D7" w:rsidRDefault="00DD73D7" w:rsidP="00DD73D7">
            <w:pPr>
              <w:spacing w:before="40" w:after="120"/>
              <w:ind w:right="113"/>
              <w:rPr>
                <w:b/>
                <w:bCs/>
              </w:rPr>
            </w:pPr>
          </w:p>
          <w:p w14:paraId="01D4E08B" w14:textId="77777777" w:rsidR="00DD73D7" w:rsidRDefault="00DD73D7" w:rsidP="00DD73D7">
            <w:pPr>
              <w:spacing w:before="40" w:after="120"/>
              <w:ind w:right="113"/>
              <w:rPr>
                <w:b/>
                <w:bCs/>
              </w:rPr>
            </w:pPr>
          </w:p>
          <w:p w14:paraId="5EB6E679" w14:textId="77777777" w:rsidR="00DD73D7" w:rsidRDefault="00DD73D7" w:rsidP="00DD73D7">
            <w:pPr>
              <w:spacing w:before="40" w:after="120"/>
              <w:ind w:right="113"/>
              <w:rPr>
                <w:b/>
                <w:bCs/>
              </w:rPr>
            </w:pPr>
          </w:p>
          <w:p w14:paraId="0EFA5592" w14:textId="77777777" w:rsidR="00DD73D7" w:rsidRDefault="00DD73D7" w:rsidP="00DD73D7">
            <w:pPr>
              <w:spacing w:before="40" w:after="120"/>
              <w:ind w:right="113"/>
              <w:rPr>
                <w:b/>
                <w:bCs/>
              </w:rPr>
            </w:pPr>
          </w:p>
          <w:p w14:paraId="34B17FB5" w14:textId="77777777" w:rsidR="00DD73D7" w:rsidRDefault="00DD73D7" w:rsidP="00DD73D7">
            <w:pPr>
              <w:spacing w:before="40" w:after="120"/>
              <w:ind w:right="113"/>
              <w:rPr>
                <w:b/>
                <w:bCs/>
              </w:rPr>
            </w:pPr>
            <w:r w:rsidRPr="00543DAA">
              <w:rPr>
                <w:b/>
                <w:bCs/>
              </w:rPr>
              <w:t xml:space="preserve">Monday, 19 December </w:t>
            </w:r>
          </w:p>
          <w:p w14:paraId="187D090A" w14:textId="77777777" w:rsidR="00DD73D7" w:rsidRDefault="00DD73D7" w:rsidP="00DD73D7">
            <w:pPr>
              <w:spacing w:before="40" w:after="120"/>
              <w:ind w:right="113"/>
              <w:rPr>
                <w:b/>
                <w:bCs/>
              </w:rPr>
            </w:pPr>
          </w:p>
          <w:p w14:paraId="0FD086A6" w14:textId="77777777" w:rsidR="00DD73D7" w:rsidRDefault="00DD73D7" w:rsidP="00DD73D7">
            <w:pPr>
              <w:spacing w:before="40" w:after="120"/>
              <w:ind w:right="113"/>
              <w:rPr>
                <w:b/>
                <w:bCs/>
              </w:rPr>
            </w:pPr>
          </w:p>
          <w:p w14:paraId="4DCA42C1" w14:textId="77777777" w:rsidR="00DD73D7" w:rsidRDefault="00DD73D7" w:rsidP="00DD73D7">
            <w:pPr>
              <w:spacing w:before="40" w:after="120"/>
              <w:ind w:right="113"/>
              <w:rPr>
                <w:b/>
                <w:bCs/>
              </w:rPr>
            </w:pPr>
          </w:p>
          <w:p w14:paraId="636FC5A5" w14:textId="77777777" w:rsidR="00DD73D7" w:rsidRDefault="00DD73D7" w:rsidP="00DD73D7">
            <w:pPr>
              <w:spacing w:before="40" w:after="120"/>
              <w:ind w:right="113"/>
              <w:rPr>
                <w:b/>
                <w:bCs/>
              </w:rPr>
            </w:pPr>
          </w:p>
          <w:p w14:paraId="51FE3B7C" w14:textId="77777777" w:rsidR="00DD73D7" w:rsidRDefault="00DD73D7" w:rsidP="00DD73D7">
            <w:pPr>
              <w:spacing w:before="40" w:after="120"/>
              <w:ind w:right="113"/>
              <w:rPr>
                <w:b/>
                <w:bCs/>
              </w:rPr>
            </w:pPr>
          </w:p>
          <w:p w14:paraId="213CD725" w14:textId="77777777" w:rsidR="00DD73D7" w:rsidRDefault="00DD73D7" w:rsidP="00DD73D7">
            <w:pPr>
              <w:spacing w:before="40" w:after="120"/>
              <w:ind w:right="113"/>
              <w:rPr>
                <w:b/>
                <w:bCs/>
              </w:rPr>
            </w:pPr>
          </w:p>
          <w:p w14:paraId="36166AC7" w14:textId="77777777" w:rsidR="00DD73D7" w:rsidRDefault="00DD73D7" w:rsidP="00DD73D7">
            <w:pPr>
              <w:spacing w:before="40" w:after="120"/>
              <w:ind w:right="113"/>
              <w:rPr>
                <w:b/>
                <w:bCs/>
              </w:rPr>
            </w:pPr>
          </w:p>
          <w:p w14:paraId="150B20F3" w14:textId="77777777" w:rsidR="00DD73D7" w:rsidRDefault="00DD73D7" w:rsidP="00DD73D7">
            <w:pPr>
              <w:spacing w:before="40" w:after="120"/>
              <w:ind w:right="113"/>
              <w:rPr>
                <w:b/>
                <w:bCs/>
              </w:rPr>
            </w:pPr>
          </w:p>
          <w:p w14:paraId="66FBB6C8" w14:textId="77777777" w:rsidR="00DD73D7" w:rsidRDefault="00DD73D7" w:rsidP="00DD73D7">
            <w:pPr>
              <w:spacing w:before="40" w:after="120"/>
              <w:ind w:right="113"/>
              <w:rPr>
                <w:b/>
                <w:bCs/>
              </w:rPr>
            </w:pPr>
          </w:p>
          <w:p w14:paraId="61A012D0" w14:textId="77777777" w:rsidR="00DD73D7" w:rsidRDefault="00DD73D7" w:rsidP="00DD73D7">
            <w:pPr>
              <w:spacing w:before="40" w:after="120"/>
              <w:ind w:right="113"/>
              <w:rPr>
                <w:b/>
                <w:bCs/>
              </w:rPr>
            </w:pPr>
          </w:p>
          <w:p w14:paraId="54FE8E94" w14:textId="77777777" w:rsidR="00DD73D7" w:rsidRDefault="00DD73D7" w:rsidP="00DD73D7">
            <w:pPr>
              <w:spacing w:before="40" w:after="120"/>
              <w:ind w:right="113"/>
              <w:rPr>
                <w:b/>
                <w:bCs/>
              </w:rPr>
            </w:pPr>
          </w:p>
          <w:p w14:paraId="44B09583" w14:textId="77777777" w:rsidR="00DD73D7" w:rsidRDefault="00DD73D7" w:rsidP="00DD73D7">
            <w:pPr>
              <w:spacing w:before="40" w:after="120"/>
              <w:ind w:right="113"/>
              <w:rPr>
                <w:b/>
                <w:bCs/>
              </w:rPr>
            </w:pPr>
          </w:p>
          <w:p w14:paraId="4564A2F3" w14:textId="77777777" w:rsidR="00DD73D7" w:rsidRDefault="00DD73D7" w:rsidP="00DD73D7">
            <w:pPr>
              <w:spacing w:before="40" w:after="120"/>
              <w:ind w:right="113"/>
              <w:rPr>
                <w:b/>
                <w:bCs/>
              </w:rPr>
            </w:pPr>
          </w:p>
          <w:p w14:paraId="40CC0E62" w14:textId="77777777" w:rsidR="00DD73D7" w:rsidRDefault="00DD73D7" w:rsidP="00DD73D7">
            <w:pPr>
              <w:spacing w:before="40" w:after="120"/>
              <w:ind w:right="113"/>
              <w:rPr>
                <w:b/>
                <w:bCs/>
              </w:rPr>
            </w:pPr>
          </w:p>
          <w:p w14:paraId="6F5091BA" w14:textId="77777777" w:rsidR="00DD73D7" w:rsidRDefault="00DD73D7" w:rsidP="00DD73D7">
            <w:pPr>
              <w:spacing w:before="40" w:after="120"/>
              <w:ind w:right="113"/>
              <w:rPr>
                <w:b/>
                <w:bCs/>
              </w:rPr>
            </w:pPr>
          </w:p>
          <w:p w14:paraId="00F37B65" w14:textId="77777777" w:rsidR="00DD73D7" w:rsidRDefault="00DD73D7" w:rsidP="00DD73D7">
            <w:pPr>
              <w:spacing w:before="40" w:after="120"/>
              <w:ind w:right="113"/>
              <w:rPr>
                <w:b/>
                <w:bCs/>
              </w:rPr>
            </w:pPr>
          </w:p>
          <w:p w14:paraId="17D177AF" w14:textId="77777777" w:rsidR="00DD73D7" w:rsidRDefault="00DD73D7" w:rsidP="00DD73D7">
            <w:pPr>
              <w:spacing w:before="40" w:after="120"/>
              <w:ind w:right="113"/>
              <w:rPr>
                <w:b/>
                <w:bCs/>
              </w:rPr>
            </w:pPr>
          </w:p>
          <w:p w14:paraId="59E92B92" w14:textId="77777777" w:rsidR="00DD73D7" w:rsidRDefault="00DD73D7" w:rsidP="00DD73D7">
            <w:pPr>
              <w:spacing w:before="40" w:after="120"/>
              <w:ind w:right="113"/>
              <w:rPr>
                <w:b/>
                <w:bCs/>
              </w:rPr>
            </w:pPr>
          </w:p>
          <w:p w14:paraId="613971D1" w14:textId="77777777" w:rsidR="00DD73D7" w:rsidRDefault="00DD73D7" w:rsidP="00DD73D7">
            <w:pPr>
              <w:spacing w:before="40" w:after="120"/>
              <w:ind w:right="113"/>
              <w:rPr>
                <w:b/>
                <w:bCs/>
              </w:rPr>
            </w:pPr>
          </w:p>
          <w:p w14:paraId="73D04520" w14:textId="77777777" w:rsidR="00DD73D7" w:rsidRDefault="00DD73D7" w:rsidP="00DD73D7">
            <w:pPr>
              <w:spacing w:before="40" w:after="120"/>
              <w:ind w:right="113"/>
              <w:rPr>
                <w:b/>
                <w:bCs/>
              </w:rPr>
            </w:pPr>
          </w:p>
          <w:p w14:paraId="17F8D38A" w14:textId="77777777" w:rsidR="00DD73D7" w:rsidRDefault="00DD73D7" w:rsidP="00DD73D7">
            <w:pPr>
              <w:spacing w:before="40" w:after="120"/>
              <w:ind w:right="113"/>
              <w:rPr>
                <w:b/>
                <w:bCs/>
              </w:rPr>
            </w:pPr>
          </w:p>
          <w:p w14:paraId="3FD812CD" w14:textId="77777777" w:rsidR="00DD73D7" w:rsidRDefault="00DD73D7" w:rsidP="00DD73D7">
            <w:pPr>
              <w:spacing w:before="40" w:after="120"/>
              <w:ind w:right="113"/>
              <w:rPr>
                <w:b/>
                <w:bCs/>
              </w:rPr>
            </w:pPr>
          </w:p>
          <w:p w14:paraId="71BD5B5C" w14:textId="77777777" w:rsidR="007B65E8" w:rsidRDefault="007B65E8" w:rsidP="00DD73D7">
            <w:pPr>
              <w:spacing w:before="40" w:after="120"/>
              <w:ind w:right="113"/>
              <w:rPr>
                <w:b/>
                <w:bCs/>
              </w:rPr>
            </w:pPr>
          </w:p>
          <w:p w14:paraId="7B17CE91" w14:textId="77777777" w:rsidR="003E0ACF" w:rsidRDefault="003E0ACF" w:rsidP="00DD73D7">
            <w:pPr>
              <w:spacing w:before="40" w:after="120"/>
              <w:ind w:right="113"/>
              <w:rPr>
                <w:b/>
                <w:bCs/>
              </w:rPr>
            </w:pPr>
          </w:p>
          <w:p w14:paraId="06E753AB" w14:textId="77777777" w:rsidR="003E0ACF" w:rsidRDefault="003E0ACF" w:rsidP="00DD73D7">
            <w:pPr>
              <w:spacing w:before="40" w:after="120"/>
              <w:ind w:right="113"/>
              <w:rPr>
                <w:b/>
                <w:bCs/>
              </w:rPr>
            </w:pPr>
          </w:p>
          <w:p w14:paraId="481B3ED5" w14:textId="77777777" w:rsidR="003E0ACF" w:rsidRDefault="003E0ACF" w:rsidP="00DD73D7">
            <w:pPr>
              <w:spacing w:before="40" w:after="120"/>
              <w:ind w:right="113"/>
              <w:rPr>
                <w:b/>
                <w:bCs/>
              </w:rPr>
            </w:pPr>
          </w:p>
          <w:p w14:paraId="1D4D232C" w14:textId="77777777" w:rsidR="003E0ACF" w:rsidRDefault="003E0ACF" w:rsidP="00DD73D7">
            <w:pPr>
              <w:spacing w:before="40" w:after="120"/>
              <w:ind w:right="113"/>
              <w:rPr>
                <w:b/>
                <w:bCs/>
              </w:rPr>
            </w:pPr>
          </w:p>
          <w:p w14:paraId="609BAFAD" w14:textId="77777777" w:rsidR="003E0ACF" w:rsidRDefault="003E0ACF" w:rsidP="00DD73D7">
            <w:pPr>
              <w:spacing w:before="40" w:after="120"/>
              <w:ind w:right="113"/>
              <w:rPr>
                <w:b/>
                <w:bCs/>
              </w:rPr>
            </w:pPr>
          </w:p>
          <w:p w14:paraId="029ABC7E" w14:textId="334B08C1" w:rsidR="00DD73D7" w:rsidRDefault="00DD73D7" w:rsidP="00DD73D7">
            <w:pPr>
              <w:spacing w:before="40" w:after="120"/>
              <w:ind w:right="113"/>
              <w:rPr>
                <w:b/>
                <w:bCs/>
              </w:rPr>
            </w:pPr>
            <w:r w:rsidRPr="00543DAA">
              <w:rPr>
                <w:b/>
                <w:bCs/>
              </w:rPr>
              <w:t xml:space="preserve">Monday, 19 December </w:t>
            </w:r>
          </w:p>
          <w:p w14:paraId="053DE23A" w14:textId="77777777" w:rsidR="00DD73D7" w:rsidRDefault="00DD73D7" w:rsidP="00DD73D7">
            <w:pPr>
              <w:spacing w:before="40" w:after="120"/>
              <w:ind w:right="113"/>
              <w:rPr>
                <w:b/>
                <w:bCs/>
              </w:rPr>
            </w:pPr>
          </w:p>
          <w:p w14:paraId="321C843E" w14:textId="77777777" w:rsidR="00DD73D7" w:rsidRDefault="00DD73D7" w:rsidP="00DD73D7">
            <w:pPr>
              <w:spacing w:before="40" w:after="120"/>
              <w:ind w:right="113"/>
              <w:rPr>
                <w:b/>
                <w:bCs/>
              </w:rPr>
            </w:pPr>
          </w:p>
          <w:p w14:paraId="0B0A1FB3" w14:textId="77777777" w:rsidR="00DD73D7" w:rsidRDefault="00DD73D7" w:rsidP="00DD73D7">
            <w:pPr>
              <w:spacing w:before="40" w:after="120"/>
              <w:ind w:right="113"/>
              <w:rPr>
                <w:b/>
                <w:bCs/>
              </w:rPr>
            </w:pPr>
          </w:p>
          <w:p w14:paraId="1E6ED0D0" w14:textId="77777777" w:rsidR="00DD73D7" w:rsidRDefault="00DD73D7" w:rsidP="00DD73D7">
            <w:pPr>
              <w:spacing w:before="40" w:after="120"/>
              <w:ind w:right="113"/>
              <w:rPr>
                <w:b/>
                <w:bCs/>
              </w:rPr>
            </w:pPr>
          </w:p>
          <w:p w14:paraId="1C4D6EEE" w14:textId="77777777" w:rsidR="00DD73D7" w:rsidRDefault="00DD73D7" w:rsidP="00DD73D7">
            <w:pPr>
              <w:spacing w:before="40" w:after="120"/>
              <w:ind w:right="113"/>
              <w:rPr>
                <w:b/>
                <w:bCs/>
              </w:rPr>
            </w:pPr>
          </w:p>
          <w:p w14:paraId="61A5547F" w14:textId="77777777" w:rsidR="00DD73D7" w:rsidRDefault="00DD73D7" w:rsidP="00DD73D7">
            <w:pPr>
              <w:spacing w:before="40" w:after="120"/>
              <w:ind w:right="113"/>
              <w:rPr>
                <w:b/>
                <w:bCs/>
              </w:rPr>
            </w:pPr>
          </w:p>
          <w:p w14:paraId="1EA77EE4" w14:textId="77777777" w:rsidR="00DD73D7" w:rsidRDefault="00DD73D7" w:rsidP="00DD73D7">
            <w:pPr>
              <w:spacing w:before="40" w:after="120"/>
              <w:ind w:right="113"/>
              <w:rPr>
                <w:b/>
                <w:bCs/>
              </w:rPr>
            </w:pPr>
          </w:p>
          <w:p w14:paraId="1ABBBE75" w14:textId="77777777" w:rsidR="00DD73D7" w:rsidRDefault="00DD73D7" w:rsidP="00DD73D7">
            <w:pPr>
              <w:spacing w:before="40" w:after="120"/>
              <w:ind w:right="113"/>
              <w:rPr>
                <w:b/>
                <w:bCs/>
              </w:rPr>
            </w:pPr>
          </w:p>
          <w:p w14:paraId="2F8648E0" w14:textId="77777777" w:rsidR="00DD73D7" w:rsidRDefault="00DD73D7" w:rsidP="00DD73D7">
            <w:pPr>
              <w:spacing w:before="40" w:after="120"/>
              <w:ind w:right="113"/>
              <w:rPr>
                <w:b/>
                <w:bCs/>
              </w:rPr>
            </w:pPr>
          </w:p>
          <w:p w14:paraId="4DA67FF5" w14:textId="77777777" w:rsidR="00DD73D7" w:rsidRDefault="00DD73D7" w:rsidP="00DD73D7">
            <w:pPr>
              <w:spacing w:before="40" w:after="120"/>
              <w:ind w:right="113"/>
              <w:rPr>
                <w:b/>
                <w:bCs/>
              </w:rPr>
            </w:pPr>
          </w:p>
          <w:p w14:paraId="0787B7E5" w14:textId="77777777" w:rsidR="00DD73D7" w:rsidRDefault="00DD73D7" w:rsidP="00DD73D7">
            <w:pPr>
              <w:spacing w:before="40" w:after="120"/>
              <w:ind w:right="113"/>
              <w:rPr>
                <w:b/>
                <w:bCs/>
              </w:rPr>
            </w:pPr>
          </w:p>
          <w:p w14:paraId="7CA67027" w14:textId="77777777" w:rsidR="00DD73D7" w:rsidRDefault="00DD73D7" w:rsidP="00DD73D7">
            <w:pPr>
              <w:spacing w:before="40" w:after="120"/>
              <w:ind w:right="113"/>
              <w:rPr>
                <w:b/>
                <w:bCs/>
              </w:rPr>
            </w:pPr>
          </w:p>
          <w:p w14:paraId="18298F91" w14:textId="77777777" w:rsidR="00DD73D7" w:rsidRDefault="00DD73D7" w:rsidP="00DD73D7">
            <w:pPr>
              <w:spacing w:before="40" w:after="120"/>
              <w:ind w:right="113"/>
              <w:rPr>
                <w:b/>
                <w:bCs/>
              </w:rPr>
            </w:pPr>
          </w:p>
          <w:p w14:paraId="0D7569D9" w14:textId="77777777" w:rsidR="00DD73D7" w:rsidRDefault="00DD73D7" w:rsidP="00DD73D7">
            <w:pPr>
              <w:spacing w:before="40" w:after="120"/>
              <w:ind w:right="113"/>
              <w:rPr>
                <w:b/>
                <w:bCs/>
              </w:rPr>
            </w:pPr>
          </w:p>
          <w:p w14:paraId="6C6A57D6" w14:textId="77777777" w:rsidR="00DD73D7" w:rsidRDefault="00DD73D7" w:rsidP="00DD73D7">
            <w:pPr>
              <w:spacing w:before="40" w:after="120"/>
              <w:ind w:right="113"/>
              <w:rPr>
                <w:b/>
                <w:bCs/>
              </w:rPr>
            </w:pPr>
          </w:p>
          <w:p w14:paraId="46B89AD0" w14:textId="77777777" w:rsidR="00DD73D7" w:rsidRDefault="00DD73D7" w:rsidP="00DD73D7">
            <w:pPr>
              <w:spacing w:before="40" w:after="120"/>
              <w:ind w:right="113"/>
              <w:rPr>
                <w:b/>
                <w:bCs/>
              </w:rPr>
            </w:pPr>
          </w:p>
          <w:p w14:paraId="09C7610F" w14:textId="77777777" w:rsidR="00DD73D7" w:rsidRDefault="00DD73D7" w:rsidP="00DD73D7">
            <w:pPr>
              <w:spacing w:before="40" w:after="120"/>
              <w:ind w:right="113"/>
              <w:rPr>
                <w:b/>
                <w:bCs/>
              </w:rPr>
            </w:pPr>
            <w:r>
              <w:rPr>
                <w:b/>
                <w:bCs/>
              </w:rPr>
              <w:lastRenderedPageBreak/>
              <w:t>Tuesday</w:t>
            </w:r>
            <w:r w:rsidRPr="00543DAA">
              <w:rPr>
                <w:b/>
                <w:bCs/>
              </w:rPr>
              <w:t xml:space="preserve">, </w:t>
            </w:r>
            <w:r>
              <w:rPr>
                <w:b/>
                <w:bCs/>
              </w:rPr>
              <w:t>20</w:t>
            </w:r>
            <w:r w:rsidRPr="00543DAA">
              <w:rPr>
                <w:b/>
                <w:bCs/>
              </w:rPr>
              <w:t xml:space="preserve"> December</w:t>
            </w:r>
            <w:r>
              <w:rPr>
                <w:b/>
                <w:bCs/>
              </w:rPr>
              <w:t xml:space="preserve"> </w:t>
            </w:r>
          </w:p>
          <w:p w14:paraId="40E32968" w14:textId="77777777" w:rsidR="00DD73D7" w:rsidRDefault="00DD73D7" w:rsidP="00DD73D7">
            <w:pPr>
              <w:spacing w:before="40" w:after="120"/>
              <w:ind w:right="113"/>
              <w:rPr>
                <w:b/>
                <w:bCs/>
              </w:rPr>
            </w:pPr>
          </w:p>
          <w:p w14:paraId="65B85405" w14:textId="77777777" w:rsidR="00DD73D7" w:rsidRDefault="00DD73D7" w:rsidP="00DD73D7">
            <w:pPr>
              <w:spacing w:before="40" w:after="120"/>
              <w:ind w:right="113"/>
              <w:rPr>
                <w:b/>
                <w:bCs/>
              </w:rPr>
            </w:pPr>
          </w:p>
          <w:p w14:paraId="6B7C2A77" w14:textId="766F54D9" w:rsidR="00DD73D7" w:rsidRDefault="00DD73D7" w:rsidP="00DD73D7">
            <w:pPr>
              <w:spacing w:before="40" w:after="120"/>
              <w:ind w:right="113"/>
              <w:rPr>
                <w:b/>
                <w:bCs/>
              </w:rPr>
            </w:pPr>
          </w:p>
          <w:p w14:paraId="281700F2" w14:textId="158BFDFD" w:rsidR="007B65E8" w:rsidRDefault="007B65E8" w:rsidP="00DD73D7">
            <w:pPr>
              <w:spacing w:before="40" w:after="120"/>
              <w:ind w:right="113"/>
              <w:rPr>
                <w:b/>
                <w:bCs/>
              </w:rPr>
            </w:pPr>
          </w:p>
          <w:p w14:paraId="369B7D9F" w14:textId="062F04C6" w:rsidR="007B65E8" w:rsidRDefault="007B65E8" w:rsidP="00DD73D7">
            <w:pPr>
              <w:spacing w:before="40" w:after="120"/>
              <w:ind w:right="113"/>
              <w:rPr>
                <w:b/>
                <w:bCs/>
              </w:rPr>
            </w:pPr>
          </w:p>
          <w:p w14:paraId="54D6C265" w14:textId="4DEC8BCF" w:rsidR="007B65E8" w:rsidRDefault="007B65E8" w:rsidP="00DD73D7">
            <w:pPr>
              <w:spacing w:before="40" w:after="120"/>
              <w:ind w:right="113"/>
              <w:rPr>
                <w:b/>
                <w:bCs/>
              </w:rPr>
            </w:pPr>
          </w:p>
          <w:p w14:paraId="06BC6C5A" w14:textId="05957E9B" w:rsidR="007B65E8" w:rsidRDefault="007B65E8" w:rsidP="00DD73D7">
            <w:pPr>
              <w:spacing w:before="40" w:after="120"/>
              <w:ind w:right="113"/>
              <w:rPr>
                <w:b/>
                <w:bCs/>
              </w:rPr>
            </w:pPr>
          </w:p>
          <w:p w14:paraId="5326C5D7" w14:textId="1180B887" w:rsidR="007B65E8" w:rsidRDefault="007B65E8" w:rsidP="00DD73D7">
            <w:pPr>
              <w:spacing w:before="40" w:after="120"/>
              <w:ind w:right="113"/>
              <w:rPr>
                <w:b/>
                <w:bCs/>
              </w:rPr>
            </w:pPr>
          </w:p>
          <w:p w14:paraId="1233CA58" w14:textId="67E64764" w:rsidR="007B65E8" w:rsidRDefault="007B65E8" w:rsidP="00DD73D7">
            <w:pPr>
              <w:spacing w:before="40" w:after="120"/>
              <w:ind w:right="113"/>
              <w:rPr>
                <w:b/>
                <w:bCs/>
              </w:rPr>
            </w:pPr>
          </w:p>
          <w:p w14:paraId="084DB4BA" w14:textId="281AFE8A" w:rsidR="007B65E8" w:rsidRDefault="007B65E8" w:rsidP="00DD73D7">
            <w:pPr>
              <w:spacing w:before="40" w:after="120"/>
              <w:ind w:right="113"/>
              <w:rPr>
                <w:b/>
                <w:bCs/>
              </w:rPr>
            </w:pPr>
          </w:p>
          <w:p w14:paraId="2EA3CC1A" w14:textId="5CD9BE5C" w:rsidR="007B65E8" w:rsidRDefault="007B65E8" w:rsidP="00DD73D7">
            <w:pPr>
              <w:spacing w:before="40" w:after="120"/>
              <w:ind w:right="113"/>
              <w:rPr>
                <w:b/>
                <w:bCs/>
              </w:rPr>
            </w:pPr>
          </w:p>
          <w:p w14:paraId="2868C31D" w14:textId="5611F465" w:rsidR="007B65E8" w:rsidRDefault="007B65E8" w:rsidP="00DD73D7">
            <w:pPr>
              <w:spacing w:before="40" w:after="120"/>
              <w:ind w:right="113"/>
              <w:rPr>
                <w:b/>
                <w:bCs/>
              </w:rPr>
            </w:pPr>
          </w:p>
          <w:p w14:paraId="09D99DC3" w14:textId="7C85F7DC" w:rsidR="007B65E8" w:rsidRDefault="007B65E8" w:rsidP="00DD73D7">
            <w:pPr>
              <w:spacing w:before="40" w:after="120"/>
              <w:ind w:right="113"/>
              <w:rPr>
                <w:b/>
                <w:bCs/>
              </w:rPr>
            </w:pPr>
          </w:p>
          <w:p w14:paraId="3A82B1B4" w14:textId="42E806C1" w:rsidR="007B65E8" w:rsidRDefault="007B65E8" w:rsidP="00DD73D7">
            <w:pPr>
              <w:spacing w:before="40" w:after="120"/>
              <w:ind w:right="113"/>
              <w:rPr>
                <w:b/>
                <w:bCs/>
              </w:rPr>
            </w:pPr>
          </w:p>
          <w:p w14:paraId="5A57F513" w14:textId="7B61C75F" w:rsidR="007B65E8" w:rsidRDefault="007B65E8" w:rsidP="00DD73D7">
            <w:pPr>
              <w:spacing w:before="40" w:after="120"/>
              <w:ind w:right="113"/>
              <w:rPr>
                <w:b/>
                <w:bCs/>
              </w:rPr>
            </w:pPr>
          </w:p>
          <w:p w14:paraId="712A6FCF" w14:textId="04105269" w:rsidR="007B65E8" w:rsidRDefault="007B65E8" w:rsidP="00DD73D7">
            <w:pPr>
              <w:spacing w:before="40" w:after="120"/>
              <w:ind w:right="113"/>
              <w:rPr>
                <w:b/>
                <w:bCs/>
              </w:rPr>
            </w:pPr>
          </w:p>
          <w:p w14:paraId="01364384" w14:textId="19C8C95D" w:rsidR="007B65E8" w:rsidRDefault="007B65E8" w:rsidP="00DD73D7">
            <w:pPr>
              <w:spacing w:before="40" w:after="120"/>
              <w:ind w:right="113"/>
              <w:rPr>
                <w:b/>
                <w:bCs/>
              </w:rPr>
            </w:pPr>
          </w:p>
          <w:p w14:paraId="46E1C748" w14:textId="5EA6F9F9" w:rsidR="007B65E8" w:rsidRDefault="007B65E8" w:rsidP="00DD73D7">
            <w:pPr>
              <w:spacing w:before="40" w:after="120"/>
              <w:ind w:right="113"/>
              <w:rPr>
                <w:b/>
                <w:bCs/>
              </w:rPr>
            </w:pPr>
          </w:p>
          <w:p w14:paraId="46D09B53" w14:textId="4BE39F23" w:rsidR="007B65E8" w:rsidRDefault="007B65E8" w:rsidP="00DD73D7">
            <w:pPr>
              <w:spacing w:before="40" w:after="120"/>
              <w:ind w:right="113"/>
              <w:rPr>
                <w:b/>
                <w:bCs/>
              </w:rPr>
            </w:pPr>
          </w:p>
          <w:p w14:paraId="765CCF56" w14:textId="618B1D56" w:rsidR="007B65E8" w:rsidRDefault="007B65E8" w:rsidP="00DD73D7">
            <w:pPr>
              <w:spacing w:before="40" w:after="120"/>
              <w:ind w:right="113"/>
              <w:rPr>
                <w:b/>
                <w:bCs/>
              </w:rPr>
            </w:pPr>
          </w:p>
          <w:p w14:paraId="30F15944" w14:textId="35FA4432" w:rsidR="007B65E8" w:rsidRDefault="007B65E8" w:rsidP="00DD73D7">
            <w:pPr>
              <w:spacing w:before="40" w:after="120"/>
              <w:ind w:right="113"/>
              <w:rPr>
                <w:b/>
                <w:bCs/>
              </w:rPr>
            </w:pPr>
          </w:p>
          <w:p w14:paraId="5D16F85F" w14:textId="554335EB" w:rsidR="007B65E8" w:rsidRDefault="007B65E8" w:rsidP="00DD73D7">
            <w:pPr>
              <w:spacing w:before="40" w:after="120"/>
              <w:ind w:right="113"/>
              <w:rPr>
                <w:b/>
                <w:bCs/>
              </w:rPr>
            </w:pPr>
          </w:p>
          <w:p w14:paraId="0E78574F" w14:textId="39BA2A7F" w:rsidR="007B65E8" w:rsidRDefault="007B65E8" w:rsidP="00DD73D7">
            <w:pPr>
              <w:spacing w:before="40" w:after="120"/>
              <w:ind w:right="113"/>
              <w:rPr>
                <w:b/>
                <w:bCs/>
              </w:rPr>
            </w:pPr>
          </w:p>
          <w:p w14:paraId="35FD17D7" w14:textId="77777777" w:rsidR="007B65E8" w:rsidRDefault="007B65E8" w:rsidP="00DD73D7">
            <w:pPr>
              <w:spacing w:before="40" w:after="120"/>
              <w:ind w:right="113"/>
              <w:rPr>
                <w:b/>
                <w:bCs/>
              </w:rPr>
            </w:pPr>
          </w:p>
          <w:p w14:paraId="15761197" w14:textId="77777777" w:rsidR="00DD73D7" w:rsidRDefault="00DD73D7" w:rsidP="00DD73D7">
            <w:pPr>
              <w:spacing w:before="40" w:after="120"/>
              <w:ind w:right="113"/>
              <w:rPr>
                <w:b/>
                <w:bCs/>
              </w:rPr>
            </w:pPr>
          </w:p>
          <w:p w14:paraId="6D8D9928" w14:textId="77777777" w:rsidR="00DD73D7" w:rsidRDefault="00DD73D7" w:rsidP="00DD73D7">
            <w:pPr>
              <w:spacing w:before="40" w:after="120"/>
              <w:ind w:right="113"/>
              <w:rPr>
                <w:b/>
                <w:bCs/>
              </w:rPr>
            </w:pPr>
            <w:r>
              <w:rPr>
                <w:b/>
                <w:bCs/>
              </w:rPr>
              <w:t>Tuesday</w:t>
            </w:r>
            <w:r w:rsidRPr="00543DAA">
              <w:rPr>
                <w:b/>
                <w:bCs/>
              </w:rPr>
              <w:t xml:space="preserve">, </w:t>
            </w:r>
            <w:r>
              <w:rPr>
                <w:b/>
                <w:bCs/>
              </w:rPr>
              <w:t>20</w:t>
            </w:r>
            <w:r w:rsidRPr="00543DAA">
              <w:rPr>
                <w:b/>
                <w:bCs/>
              </w:rPr>
              <w:t xml:space="preserve"> December</w:t>
            </w:r>
          </w:p>
          <w:p w14:paraId="6C39826C" w14:textId="77777777" w:rsidR="00DD73D7" w:rsidRDefault="00DD73D7" w:rsidP="00DD73D7">
            <w:pPr>
              <w:spacing w:before="40" w:after="120"/>
              <w:ind w:right="113"/>
              <w:rPr>
                <w:b/>
                <w:bCs/>
              </w:rPr>
            </w:pPr>
          </w:p>
          <w:p w14:paraId="754D62D7" w14:textId="77777777" w:rsidR="00DD73D7" w:rsidRDefault="00DD73D7" w:rsidP="00DD73D7">
            <w:pPr>
              <w:spacing w:before="40" w:after="120"/>
              <w:ind w:right="113"/>
              <w:rPr>
                <w:b/>
                <w:bCs/>
              </w:rPr>
            </w:pPr>
          </w:p>
          <w:p w14:paraId="34D5CAD1" w14:textId="77777777" w:rsidR="00DD73D7" w:rsidRDefault="00DD73D7" w:rsidP="00DD73D7">
            <w:pPr>
              <w:spacing w:before="40" w:after="120"/>
              <w:ind w:right="113"/>
              <w:rPr>
                <w:b/>
                <w:bCs/>
              </w:rPr>
            </w:pPr>
          </w:p>
          <w:p w14:paraId="08D27F62" w14:textId="77777777" w:rsidR="00543DAA" w:rsidRDefault="00543DAA" w:rsidP="00543DAA">
            <w:pPr>
              <w:spacing w:before="40" w:after="120"/>
              <w:ind w:right="113"/>
              <w:rPr>
                <w:b/>
                <w:bCs/>
              </w:rPr>
            </w:pPr>
          </w:p>
          <w:p w14:paraId="0E6D82B5" w14:textId="77777777" w:rsidR="00543DAA" w:rsidRDefault="00543DAA" w:rsidP="00543DAA">
            <w:pPr>
              <w:spacing w:before="40" w:after="120"/>
              <w:ind w:right="113"/>
              <w:rPr>
                <w:b/>
                <w:bCs/>
              </w:rPr>
            </w:pPr>
          </w:p>
          <w:p w14:paraId="1A3C24C2" w14:textId="77777777" w:rsidR="00ED6910" w:rsidRDefault="00ED6910" w:rsidP="00D9334B">
            <w:pPr>
              <w:spacing w:before="40" w:after="120"/>
              <w:ind w:right="113"/>
              <w:rPr>
                <w:b/>
                <w:bCs/>
              </w:rPr>
            </w:pPr>
          </w:p>
          <w:p w14:paraId="105AF980" w14:textId="77777777" w:rsidR="00ED6910" w:rsidRPr="00930D32" w:rsidRDefault="00ED6910" w:rsidP="00ED6910">
            <w:pPr>
              <w:spacing w:before="40" w:after="120"/>
              <w:ind w:right="113"/>
              <w:rPr>
                <w:b/>
                <w:bCs/>
              </w:rPr>
            </w:pPr>
          </w:p>
        </w:tc>
        <w:tc>
          <w:tcPr>
            <w:tcW w:w="921" w:type="dxa"/>
            <w:shd w:val="clear" w:color="auto" w:fill="auto"/>
          </w:tcPr>
          <w:p w14:paraId="0D2260DF" w14:textId="77777777" w:rsidR="00561B33" w:rsidRPr="00930D32" w:rsidRDefault="00561B33" w:rsidP="006C709A">
            <w:pPr>
              <w:spacing w:before="40" w:after="120"/>
              <w:ind w:left="170" w:right="113"/>
              <w:rPr>
                <w:bCs/>
              </w:rPr>
            </w:pPr>
            <w:r w:rsidRPr="00930D32">
              <w:rPr>
                <w:bCs/>
              </w:rPr>
              <w:lastRenderedPageBreak/>
              <w:t>10–10.15</w:t>
            </w:r>
          </w:p>
          <w:p w14:paraId="7AEAF56B" w14:textId="77777777" w:rsidR="00561B33" w:rsidRPr="00930D32" w:rsidRDefault="00561B33" w:rsidP="0081023B">
            <w:pPr>
              <w:spacing w:before="40" w:after="120"/>
              <w:ind w:left="170" w:right="113"/>
              <w:rPr>
                <w:bCs/>
              </w:rPr>
            </w:pPr>
          </w:p>
          <w:p w14:paraId="22D602BC" w14:textId="77777777" w:rsidR="00561B33" w:rsidRPr="00930D32" w:rsidRDefault="00561B33" w:rsidP="0081023B">
            <w:pPr>
              <w:spacing w:before="40" w:after="120"/>
              <w:ind w:left="170" w:right="113"/>
              <w:rPr>
                <w:bCs/>
              </w:rPr>
            </w:pPr>
          </w:p>
          <w:p w14:paraId="07339954" w14:textId="77777777" w:rsidR="00561B33" w:rsidRPr="00930D32" w:rsidRDefault="00561B33" w:rsidP="0081023B">
            <w:pPr>
              <w:spacing w:before="40" w:after="120"/>
              <w:ind w:left="170" w:right="113"/>
              <w:rPr>
                <w:bCs/>
              </w:rPr>
            </w:pPr>
          </w:p>
          <w:p w14:paraId="618DD360" w14:textId="77777777" w:rsidR="00561B33" w:rsidRPr="00930D32" w:rsidRDefault="00561B33" w:rsidP="0081023B">
            <w:pPr>
              <w:spacing w:before="40" w:after="120"/>
              <w:ind w:left="170" w:right="113"/>
              <w:rPr>
                <w:bCs/>
              </w:rPr>
            </w:pPr>
          </w:p>
          <w:p w14:paraId="18F2FBFE" w14:textId="77777777" w:rsidR="00561B33" w:rsidRPr="00930D32" w:rsidRDefault="00561B33" w:rsidP="0081023B">
            <w:pPr>
              <w:spacing w:before="40" w:after="120"/>
              <w:ind w:left="170" w:right="113"/>
              <w:rPr>
                <w:bCs/>
              </w:rPr>
            </w:pPr>
          </w:p>
          <w:p w14:paraId="3CBA0B40" w14:textId="77777777" w:rsidR="00561B33" w:rsidRPr="00930D32" w:rsidRDefault="00561B33" w:rsidP="0081023B">
            <w:pPr>
              <w:spacing w:before="40" w:after="120"/>
              <w:ind w:left="170" w:right="113"/>
              <w:rPr>
                <w:bCs/>
              </w:rPr>
            </w:pPr>
          </w:p>
          <w:p w14:paraId="484E7722" w14:textId="77777777" w:rsidR="00561B33" w:rsidRPr="00930D32" w:rsidRDefault="00561B33" w:rsidP="0081023B">
            <w:pPr>
              <w:spacing w:before="40" w:after="120"/>
              <w:ind w:left="170" w:right="113"/>
              <w:rPr>
                <w:bCs/>
              </w:rPr>
            </w:pPr>
          </w:p>
          <w:p w14:paraId="053D27E0" w14:textId="77777777" w:rsidR="00561B33" w:rsidRPr="00930D32" w:rsidRDefault="00561B33" w:rsidP="0081023B">
            <w:pPr>
              <w:spacing w:before="40" w:after="120"/>
              <w:ind w:left="170" w:right="113"/>
              <w:rPr>
                <w:bCs/>
              </w:rPr>
            </w:pPr>
            <w:r w:rsidRPr="00930D32">
              <w:rPr>
                <w:bCs/>
              </w:rPr>
              <w:t xml:space="preserve"> </w:t>
            </w:r>
          </w:p>
        </w:tc>
        <w:tc>
          <w:tcPr>
            <w:tcW w:w="1845" w:type="dxa"/>
            <w:shd w:val="clear" w:color="auto" w:fill="auto"/>
          </w:tcPr>
          <w:p w14:paraId="162F6BA8" w14:textId="77777777" w:rsidR="00561B33" w:rsidRPr="00930D32" w:rsidRDefault="00561B33" w:rsidP="00E40B25">
            <w:pPr>
              <w:spacing w:before="40" w:after="120"/>
              <w:ind w:left="284" w:right="113" w:hanging="142"/>
              <w:rPr>
                <w:b/>
                <w:bCs/>
              </w:rPr>
            </w:pPr>
            <w:r w:rsidRPr="00930D32">
              <w:rPr>
                <w:b/>
                <w:bCs/>
              </w:rPr>
              <w:t>1. Adoption of the agenda</w:t>
            </w:r>
          </w:p>
        </w:tc>
        <w:tc>
          <w:tcPr>
            <w:tcW w:w="3831" w:type="dxa"/>
            <w:shd w:val="clear" w:color="auto" w:fill="auto"/>
          </w:tcPr>
          <w:p w14:paraId="3441D71C" w14:textId="77777777" w:rsidR="00561B33" w:rsidRPr="00325C8C" w:rsidRDefault="00561B33" w:rsidP="00325C8C">
            <w:pPr>
              <w:spacing w:before="40" w:after="120" w:line="240" w:lineRule="auto"/>
              <w:ind w:left="176" w:right="113"/>
              <w:rPr>
                <w:bCs/>
              </w:rPr>
            </w:pPr>
            <w:r w:rsidRPr="00325C8C">
              <w:rPr>
                <w:bCs/>
              </w:rPr>
              <w:t xml:space="preserve">Provisional agenda </w:t>
            </w:r>
            <w:r w:rsidRPr="00325C8C">
              <w:rPr>
                <w:bCs/>
              </w:rPr>
              <w:br/>
              <w:t>(ECE/MP.EIA/WG.2/202</w:t>
            </w:r>
            <w:r w:rsidR="00603434">
              <w:rPr>
                <w:bCs/>
              </w:rPr>
              <w:t>2</w:t>
            </w:r>
            <w:r w:rsidRPr="00325C8C">
              <w:rPr>
                <w:bCs/>
              </w:rPr>
              <w:t>/1)</w:t>
            </w:r>
          </w:p>
          <w:p w14:paraId="5CE62729" w14:textId="77777777" w:rsidR="00561B33" w:rsidRPr="00325C8C" w:rsidRDefault="00561B33" w:rsidP="00325C8C">
            <w:pPr>
              <w:spacing w:before="40" w:after="120" w:line="240" w:lineRule="auto"/>
              <w:ind w:left="176" w:right="113"/>
              <w:rPr>
                <w:bCs/>
              </w:rPr>
            </w:pPr>
            <w:r w:rsidRPr="00325C8C">
              <w:rPr>
                <w:bCs/>
              </w:rPr>
              <w:t>(These) informal notes on the agenda (ECE/MP.EIA/WG.2/202</w:t>
            </w:r>
            <w:r w:rsidR="00603434">
              <w:rPr>
                <w:bCs/>
              </w:rPr>
              <w:t>2</w:t>
            </w:r>
            <w:r w:rsidRPr="00325C8C">
              <w:rPr>
                <w:bCs/>
              </w:rPr>
              <w:t>/INF.1)</w:t>
            </w:r>
          </w:p>
          <w:p w14:paraId="04792F82" w14:textId="77777777" w:rsidR="00561B33" w:rsidRPr="00325C8C" w:rsidRDefault="00561B33" w:rsidP="00325C8C">
            <w:pPr>
              <w:spacing w:before="40" w:after="120" w:line="240" w:lineRule="auto"/>
              <w:ind w:left="176" w:right="113"/>
              <w:rPr>
                <w:bCs/>
                <w:i/>
                <w:iCs/>
              </w:rPr>
            </w:pPr>
            <w:r w:rsidRPr="00325C8C">
              <w:rPr>
                <w:bCs/>
                <w:i/>
                <w:iCs/>
              </w:rPr>
              <w:t>Delegates may also wish to refer to:</w:t>
            </w:r>
          </w:p>
          <w:p w14:paraId="38203903" w14:textId="77777777" w:rsidR="00561B33" w:rsidRPr="00325C8C" w:rsidRDefault="00561B33" w:rsidP="00325C8C">
            <w:pPr>
              <w:spacing w:before="40" w:after="120" w:line="240" w:lineRule="auto"/>
              <w:ind w:left="176" w:right="113"/>
              <w:rPr>
                <w:bCs/>
              </w:rPr>
            </w:pPr>
            <w:r w:rsidRPr="00325C8C">
              <w:rPr>
                <w:bCs/>
              </w:rPr>
              <w:t xml:space="preserve">Informal notes on meeting of Bureau, </w:t>
            </w:r>
            <w:r w:rsidR="00603434">
              <w:rPr>
                <w:bCs/>
              </w:rPr>
              <w:t>9</w:t>
            </w:r>
            <w:r w:rsidRPr="00325C8C">
              <w:rPr>
                <w:bCs/>
              </w:rPr>
              <w:t>–1</w:t>
            </w:r>
            <w:r w:rsidR="00603434">
              <w:rPr>
                <w:bCs/>
              </w:rPr>
              <w:t>0</w:t>
            </w:r>
            <w:r w:rsidRPr="00325C8C">
              <w:rPr>
                <w:bCs/>
              </w:rPr>
              <w:t xml:space="preserve"> June 202</w:t>
            </w:r>
            <w:r w:rsidR="00603434">
              <w:rPr>
                <w:bCs/>
              </w:rPr>
              <w:t>2</w:t>
            </w:r>
          </w:p>
          <w:p w14:paraId="4737F710" w14:textId="77777777" w:rsidR="00561B33" w:rsidRPr="00325C8C" w:rsidRDefault="00561B33" w:rsidP="00325C8C">
            <w:pPr>
              <w:spacing w:before="40" w:after="120" w:line="240" w:lineRule="auto"/>
              <w:ind w:left="176" w:right="113"/>
              <w:rPr>
                <w:bCs/>
              </w:rPr>
            </w:pPr>
            <w:r w:rsidRPr="00325C8C">
              <w:rPr>
                <w:bCs/>
              </w:rPr>
              <w:t>Report of the Meeting of the Parties to the Convention on its eight session and of the Meeting of the Parties to the Protocol on its fourth session, and the decisions taken ECE/MP.EIA/30−ECE/MP.EIA/SEA/13; and Add.1–3</w:t>
            </w:r>
          </w:p>
        </w:tc>
        <w:tc>
          <w:tcPr>
            <w:tcW w:w="4656" w:type="dxa"/>
            <w:shd w:val="clear" w:color="auto" w:fill="auto"/>
          </w:tcPr>
          <w:p w14:paraId="490E0BE3" w14:textId="77777777" w:rsidR="00561B33" w:rsidRPr="00930D32" w:rsidRDefault="00561B33" w:rsidP="00656496">
            <w:pPr>
              <w:pStyle w:val="Bullet1G"/>
              <w:numPr>
                <w:ilvl w:val="0"/>
                <w:numId w:val="0"/>
              </w:numPr>
              <w:ind w:left="142" w:right="260"/>
            </w:pPr>
            <w:r w:rsidRPr="008D5A0F">
              <w:rPr>
                <w:bCs/>
              </w:rPr>
              <w:t>The Working Group is expected to adopt the agenda of its meeting.</w:t>
            </w:r>
          </w:p>
        </w:tc>
      </w:tr>
      <w:tr w:rsidR="00561B33" w:rsidRPr="00930D32" w14:paraId="5D9A15A6" w14:textId="77777777" w:rsidTr="00C669E7">
        <w:trPr>
          <w:jc w:val="center"/>
        </w:trPr>
        <w:tc>
          <w:tcPr>
            <w:tcW w:w="1350" w:type="dxa"/>
            <w:vMerge/>
            <w:shd w:val="clear" w:color="auto" w:fill="auto"/>
          </w:tcPr>
          <w:p w14:paraId="5CB7C7D9" w14:textId="77777777" w:rsidR="00561B33" w:rsidRPr="00930D32" w:rsidRDefault="00561B33" w:rsidP="00FC12EA">
            <w:pPr>
              <w:spacing w:before="40" w:after="120"/>
              <w:ind w:left="143" w:right="113"/>
              <w:rPr>
                <w:b/>
                <w:bCs/>
              </w:rPr>
            </w:pPr>
          </w:p>
        </w:tc>
        <w:tc>
          <w:tcPr>
            <w:tcW w:w="921" w:type="dxa"/>
            <w:shd w:val="clear" w:color="auto" w:fill="auto"/>
          </w:tcPr>
          <w:p w14:paraId="117AA780" w14:textId="77777777" w:rsidR="00561B33" w:rsidRDefault="00561B33" w:rsidP="00FC12EA">
            <w:pPr>
              <w:spacing w:before="40" w:after="120"/>
              <w:ind w:left="170" w:right="113"/>
              <w:rPr>
                <w:bCs/>
              </w:rPr>
            </w:pPr>
            <w:r w:rsidRPr="005D0DD1">
              <w:rPr>
                <w:bCs/>
              </w:rPr>
              <w:t>1</w:t>
            </w:r>
            <w:r>
              <w:rPr>
                <w:bCs/>
              </w:rPr>
              <w:t>0</w:t>
            </w:r>
            <w:r w:rsidRPr="005D0DD1">
              <w:rPr>
                <w:bCs/>
              </w:rPr>
              <w:t>.</w:t>
            </w:r>
            <w:r>
              <w:rPr>
                <w:bCs/>
              </w:rPr>
              <w:t>15</w:t>
            </w:r>
            <w:r w:rsidRPr="005D0DD1">
              <w:rPr>
                <w:bCs/>
              </w:rPr>
              <w:t>–1</w:t>
            </w:r>
            <w:r>
              <w:rPr>
                <w:bCs/>
              </w:rPr>
              <w:t>1</w:t>
            </w:r>
          </w:p>
          <w:p w14:paraId="2978A0E9" w14:textId="77777777" w:rsidR="00561B33" w:rsidRDefault="00561B33" w:rsidP="00FC12EA">
            <w:pPr>
              <w:spacing w:before="40" w:after="120"/>
              <w:ind w:left="170" w:right="113"/>
              <w:rPr>
                <w:bCs/>
              </w:rPr>
            </w:pPr>
          </w:p>
          <w:p w14:paraId="13C1C218" w14:textId="77777777" w:rsidR="00561B33" w:rsidRDefault="00561B33" w:rsidP="00FC12EA">
            <w:pPr>
              <w:spacing w:before="40" w:after="120"/>
              <w:ind w:left="170" w:right="113"/>
              <w:rPr>
                <w:bCs/>
              </w:rPr>
            </w:pPr>
          </w:p>
          <w:p w14:paraId="0B3FD615" w14:textId="77777777" w:rsidR="00561B33" w:rsidRDefault="00561B33" w:rsidP="00FC12EA">
            <w:pPr>
              <w:spacing w:before="40" w:after="120"/>
              <w:ind w:left="170" w:right="113"/>
              <w:rPr>
                <w:bCs/>
              </w:rPr>
            </w:pPr>
          </w:p>
          <w:p w14:paraId="2B04A26C" w14:textId="77777777" w:rsidR="00561B33" w:rsidRDefault="00561B33" w:rsidP="00FC12EA">
            <w:pPr>
              <w:spacing w:before="40" w:after="120"/>
              <w:ind w:left="170" w:right="113"/>
              <w:rPr>
                <w:bCs/>
              </w:rPr>
            </w:pPr>
          </w:p>
          <w:p w14:paraId="6BD7C4F3" w14:textId="77777777" w:rsidR="00561B33" w:rsidRDefault="00561B33" w:rsidP="00FC12EA">
            <w:pPr>
              <w:spacing w:before="40" w:after="120"/>
              <w:ind w:left="170" w:right="113"/>
              <w:rPr>
                <w:bCs/>
              </w:rPr>
            </w:pPr>
          </w:p>
          <w:p w14:paraId="4FAB9590" w14:textId="77777777" w:rsidR="00561B33" w:rsidRDefault="00561B33" w:rsidP="00FC12EA">
            <w:pPr>
              <w:spacing w:before="40" w:after="120"/>
              <w:ind w:left="170" w:right="113"/>
              <w:rPr>
                <w:bCs/>
              </w:rPr>
            </w:pPr>
          </w:p>
          <w:p w14:paraId="049595C0" w14:textId="77777777" w:rsidR="00561B33" w:rsidRDefault="00561B33" w:rsidP="00FC12EA">
            <w:pPr>
              <w:spacing w:before="40" w:after="120"/>
              <w:ind w:left="170" w:right="113"/>
              <w:rPr>
                <w:bCs/>
              </w:rPr>
            </w:pPr>
          </w:p>
          <w:p w14:paraId="799E9175" w14:textId="77777777" w:rsidR="00561B33" w:rsidRDefault="00561B33" w:rsidP="00FC12EA">
            <w:pPr>
              <w:spacing w:before="40" w:after="120"/>
              <w:ind w:left="170" w:right="113"/>
              <w:rPr>
                <w:bCs/>
              </w:rPr>
            </w:pPr>
          </w:p>
          <w:p w14:paraId="533F23DF" w14:textId="77777777" w:rsidR="00561B33" w:rsidRDefault="00561B33" w:rsidP="00FC12EA">
            <w:pPr>
              <w:spacing w:before="40" w:after="120"/>
              <w:ind w:left="170" w:right="113"/>
              <w:rPr>
                <w:bCs/>
              </w:rPr>
            </w:pPr>
          </w:p>
          <w:p w14:paraId="38501148" w14:textId="77777777" w:rsidR="00561B33" w:rsidRDefault="00561B33" w:rsidP="00FC12EA">
            <w:pPr>
              <w:spacing w:before="40" w:after="120"/>
              <w:ind w:left="170" w:right="113"/>
              <w:rPr>
                <w:bCs/>
              </w:rPr>
            </w:pPr>
          </w:p>
          <w:p w14:paraId="72B3C6E1" w14:textId="77777777" w:rsidR="00561B33" w:rsidRDefault="00561B33" w:rsidP="00FC12EA">
            <w:pPr>
              <w:spacing w:before="40" w:after="120"/>
              <w:ind w:left="170" w:right="113"/>
              <w:rPr>
                <w:bCs/>
              </w:rPr>
            </w:pPr>
          </w:p>
          <w:p w14:paraId="75E189C4" w14:textId="77777777" w:rsidR="00561B33" w:rsidRPr="00930D32" w:rsidRDefault="00561B33" w:rsidP="00FC12EA">
            <w:pPr>
              <w:spacing w:before="40" w:after="120"/>
              <w:ind w:left="170" w:right="113"/>
              <w:rPr>
                <w:bCs/>
              </w:rPr>
            </w:pPr>
          </w:p>
        </w:tc>
        <w:tc>
          <w:tcPr>
            <w:tcW w:w="1845" w:type="dxa"/>
            <w:tcBorders>
              <w:bottom w:val="dashSmallGap" w:sz="4" w:space="0" w:color="auto"/>
            </w:tcBorders>
            <w:shd w:val="clear" w:color="auto" w:fill="auto"/>
          </w:tcPr>
          <w:p w14:paraId="686F10EC" w14:textId="77777777" w:rsidR="00561B33" w:rsidRPr="00930D32" w:rsidRDefault="00561B33" w:rsidP="00FC12EA">
            <w:pPr>
              <w:spacing w:before="40" w:after="120"/>
              <w:ind w:left="284" w:right="113" w:hanging="142"/>
              <w:rPr>
                <w:b/>
                <w:bCs/>
              </w:rPr>
            </w:pPr>
            <w:r>
              <w:rPr>
                <w:b/>
                <w:bCs/>
              </w:rPr>
              <w:t>2</w:t>
            </w:r>
            <w:r w:rsidRPr="00930D32">
              <w:rPr>
                <w:b/>
                <w:bCs/>
              </w:rPr>
              <w:t>. Status of ratification</w:t>
            </w:r>
          </w:p>
        </w:tc>
        <w:tc>
          <w:tcPr>
            <w:tcW w:w="3831" w:type="dxa"/>
            <w:tcBorders>
              <w:bottom w:val="dashSmallGap" w:sz="4" w:space="0" w:color="auto"/>
            </w:tcBorders>
            <w:shd w:val="clear" w:color="auto" w:fill="auto"/>
          </w:tcPr>
          <w:p w14:paraId="07E91D28" w14:textId="77777777" w:rsidR="00561B33" w:rsidRPr="00930D32" w:rsidRDefault="00561B33" w:rsidP="00FC12EA">
            <w:pPr>
              <w:spacing w:before="40" w:after="120" w:line="240" w:lineRule="auto"/>
              <w:ind w:right="113"/>
              <w:rPr>
                <w:bCs/>
              </w:rPr>
            </w:pPr>
            <w:r>
              <w:rPr>
                <w:bCs/>
              </w:rPr>
              <w:t>S</w:t>
            </w:r>
            <w:r w:rsidRPr="00930D32">
              <w:rPr>
                <w:bCs/>
              </w:rPr>
              <w:t>tatus of ratification (ECE/MP.EIA/WG.2/20</w:t>
            </w:r>
            <w:r>
              <w:rPr>
                <w:bCs/>
              </w:rPr>
              <w:t>2</w:t>
            </w:r>
            <w:r w:rsidR="00CB0439">
              <w:rPr>
                <w:bCs/>
              </w:rPr>
              <w:t>2</w:t>
            </w:r>
            <w:r>
              <w:rPr>
                <w:bCs/>
              </w:rPr>
              <w:t>/</w:t>
            </w:r>
            <w:r w:rsidRPr="00930D32">
              <w:rPr>
                <w:bCs/>
              </w:rPr>
              <w:t>INF.</w:t>
            </w:r>
            <w:r>
              <w:rPr>
                <w:bCs/>
              </w:rPr>
              <w:t>2</w:t>
            </w:r>
            <w:r w:rsidRPr="00930D32">
              <w:rPr>
                <w:bCs/>
              </w:rPr>
              <w:t>)</w:t>
            </w:r>
          </w:p>
        </w:tc>
        <w:tc>
          <w:tcPr>
            <w:tcW w:w="4656" w:type="dxa"/>
            <w:tcBorders>
              <w:bottom w:val="dashSmallGap" w:sz="4" w:space="0" w:color="auto"/>
            </w:tcBorders>
            <w:shd w:val="clear" w:color="auto" w:fill="auto"/>
          </w:tcPr>
          <w:p w14:paraId="15103ED5" w14:textId="77777777" w:rsidR="00561B33" w:rsidRPr="00E41E65" w:rsidRDefault="00561B33" w:rsidP="00A03817">
            <w:pPr>
              <w:pStyle w:val="Bullet1G"/>
              <w:numPr>
                <w:ilvl w:val="0"/>
                <w:numId w:val="0"/>
              </w:numPr>
              <w:ind w:left="142" w:right="260"/>
              <w:rPr>
                <w:bCs/>
              </w:rPr>
            </w:pPr>
            <w:r w:rsidRPr="00E41E65">
              <w:rPr>
                <w:bCs/>
              </w:rPr>
              <w:t xml:space="preserve">As requested by the MOPs, all concerned delegations will be invited to report on progress towards ratification of the Convention and/or its two amendments and/or the Protocol, including: </w:t>
            </w:r>
          </w:p>
          <w:p w14:paraId="2B4726CE" w14:textId="77777777" w:rsidR="00561B33" w:rsidRPr="00E41E65" w:rsidRDefault="00561B33" w:rsidP="00F84890">
            <w:pPr>
              <w:pStyle w:val="Bullet1G"/>
              <w:ind w:left="142" w:right="260" w:firstLine="0"/>
              <w:rPr>
                <w:bCs/>
              </w:rPr>
            </w:pPr>
            <w:r w:rsidRPr="00E41E65">
              <w:rPr>
                <w:bCs/>
              </w:rPr>
              <w:t xml:space="preserve">The 5 States that were Parties to the Convention at the time of adoption of the first amendment (27 February 2001): </w:t>
            </w:r>
            <w:r w:rsidRPr="00E41E65">
              <w:rPr>
                <w:b/>
              </w:rPr>
              <w:t>Armenia, Belgium, North Macedonia, Ukraine and the UK</w:t>
            </w:r>
            <w:r w:rsidRPr="00E41E65">
              <w:rPr>
                <w:bCs/>
              </w:rPr>
              <w:t xml:space="preserve"> </w:t>
            </w:r>
          </w:p>
          <w:p w14:paraId="63A873DE" w14:textId="77777777" w:rsidR="00561B33" w:rsidRPr="00E41E65" w:rsidRDefault="00561B33" w:rsidP="00F84890">
            <w:pPr>
              <w:pStyle w:val="Bullet1G"/>
              <w:ind w:left="142" w:right="260" w:firstLine="0"/>
              <w:rPr>
                <w:bCs/>
              </w:rPr>
            </w:pPr>
            <w:r w:rsidRPr="00E41E65">
              <w:rPr>
                <w:bCs/>
              </w:rPr>
              <w:t xml:space="preserve">For the second (2004) amendment: </w:t>
            </w:r>
            <w:r w:rsidRPr="00E41E65">
              <w:rPr>
                <w:b/>
              </w:rPr>
              <w:t xml:space="preserve">Armenia, Belarus, Bosnia and Herzegovina, Ireland, Kazakhstan, Kyrgyzstan, North Macedonia, Ukraine and the UK. </w:t>
            </w:r>
          </w:p>
          <w:p w14:paraId="5071ECFB" w14:textId="77777777" w:rsidR="00561B33" w:rsidRPr="00E41E65" w:rsidRDefault="00561B33" w:rsidP="00A03817">
            <w:pPr>
              <w:pStyle w:val="Bullet1G"/>
              <w:ind w:left="142" w:right="260" w:firstLine="0"/>
              <w:rPr>
                <w:bCs/>
              </w:rPr>
            </w:pPr>
            <w:r w:rsidRPr="00E41E65">
              <w:rPr>
                <w:bCs/>
              </w:rPr>
              <w:t>Signatories of the Protocol (</w:t>
            </w:r>
            <w:r w:rsidRPr="00E41E65">
              <w:rPr>
                <w:b/>
              </w:rPr>
              <w:t xml:space="preserve">Belgium, France, Georgia, Greece, Ireland </w:t>
            </w:r>
            <w:r w:rsidRPr="00E41E65">
              <w:rPr>
                <w:bCs/>
              </w:rPr>
              <w:t>and</w:t>
            </w:r>
            <w:r w:rsidRPr="00E41E65">
              <w:rPr>
                <w:b/>
              </w:rPr>
              <w:t xml:space="preserve"> the UK</w:t>
            </w:r>
            <w:r w:rsidRPr="00E41E65">
              <w:rPr>
                <w:bCs/>
              </w:rPr>
              <w:t>) and other delegations, especially from beneficiary countries of technical assistance (</w:t>
            </w:r>
            <w:r w:rsidRPr="00E41E65">
              <w:rPr>
                <w:b/>
              </w:rPr>
              <w:t>Azerbaijan, Belarus and Central Asian Republics)</w:t>
            </w:r>
            <w:r w:rsidRPr="00E41E65">
              <w:rPr>
                <w:bCs/>
              </w:rPr>
              <w:t xml:space="preserve"> </w:t>
            </w:r>
          </w:p>
          <w:p w14:paraId="3D9D3126" w14:textId="77777777" w:rsidR="00561B33" w:rsidRPr="00E41E65" w:rsidRDefault="00561B33" w:rsidP="00A03817">
            <w:pPr>
              <w:pStyle w:val="Bullet1G"/>
              <w:numPr>
                <w:ilvl w:val="0"/>
                <w:numId w:val="1"/>
              </w:numPr>
              <w:tabs>
                <w:tab w:val="clear" w:pos="3005"/>
              </w:tabs>
              <w:ind w:left="142" w:right="260" w:firstLine="0"/>
              <w:rPr>
                <w:bCs/>
              </w:rPr>
            </w:pPr>
            <w:r w:rsidRPr="00E41E65">
              <w:rPr>
                <w:b/>
              </w:rPr>
              <w:t>Georgia</w:t>
            </w:r>
            <w:r w:rsidRPr="00E41E65">
              <w:rPr>
                <w:bCs/>
              </w:rPr>
              <w:t xml:space="preserve"> regarding the Convention</w:t>
            </w:r>
          </w:p>
          <w:p w14:paraId="52736215" w14:textId="77777777" w:rsidR="00561B33" w:rsidRPr="00E41E65" w:rsidRDefault="00561B33" w:rsidP="00230B1D">
            <w:pPr>
              <w:pStyle w:val="Bullet1G"/>
              <w:numPr>
                <w:ilvl w:val="0"/>
                <w:numId w:val="0"/>
              </w:numPr>
              <w:ind w:left="142" w:right="260"/>
              <w:rPr>
                <w:bCs/>
              </w:rPr>
            </w:pPr>
            <w:r w:rsidRPr="00E41E65">
              <w:rPr>
                <w:bCs/>
              </w:rPr>
              <w:br/>
            </w:r>
            <w:r w:rsidRPr="00590DE9">
              <w:rPr>
                <w:b/>
              </w:rPr>
              <w:lastRenderedPageBreak/>
              <w:t>Romania</w:t>
            </w:r>
            <w:r w:rsidRPr="00E41E65">
              <w:rPr>
                <w:bCs/>
              </w:rPr>
              <w:t xml:space="preserve">, as the depositary of the Bucharest Agreement, is invited to report on the status of the Agreement and its Signatory States </w:t>
            </w:r>
            <w:r w:rsidRPr="00E41E65">
              <w:rPr>
                <w:b/>
              </w:rPr>
              <w:t>(Croatia and Greece)</w:t>
            </w:r>
            <w:r w:rsidRPr="00E41E65">
              <w:rPr>
                <w:bCs/>
              </w:rPr>
              <w:t xml:space="preserve"> are invited report on their preparations to ratify the Agreement, and </w:t>
            </w:r>
            <w:r w:rsidRPr="00E41E65">
              <w:rPr>
                <w:b/>
              </w:rPr>
              <w:t>Bosnia and Herzegovina</w:t>
            </w:r>
            <w:r w:rsidRPr="00E41E65">
              <w:rPr>
                <w:bCs/>
              </w:rPr>
              <w:t xml:space="preserve"> on its plans to accede thereto.</w:t>
            </w:r>
          </w:p>
          <w:p w14:paraId="2F86B352" w14:textId="77777777" w:rsidR="00561B33" w:rsidRPr="00E41E65" w:rsidRDefault="00561B33" w:rsidP="008D5A0F">
            <w:pPr>
              <w:pStyle w:val="Bullet1G"/>
              <w:ind w:left="142" w:right="260" w:firstLine="0"/>
              <w:rPr>
                <w:bCs/>
              </w:rPr>
            </w:pPr>
            <w:r w:rsidRPr="00E41E65">
              <w:rPr>
                <w:bCs/>
              </w:rPr>
              <w:t xml:space="preserve">The </w:t>
            </w:r>
            <w:r w:rsidRPr="00E41E65">
              <w:rPr>
                <w:b/>
              </w:rPr>
              <w:t>Working Group</w:t>
            </w:r>
            <w:r w:rsidRPr="00E41E65">
              <w:rPr>
                <w:bCs/>
              </w:rPr>
              <w:t xml:space="preserve"> is expected to assess the progress made and </w:t>
            </w:r>
            <w:r w:rsidR="007C6AD5" w:rsidRPr="00E41E65">
              <w:t>to consider echoing and following up on the recommendation of the Bureau that the concerned Parties be invited to complete their pending ratifications of at least the first amendment, by the next sessions of the MOPs (Geneva, 12–15 December 2023).</w:t>
            </w:r>
          </w:p>
        </w:tc>
      </w:tr>
      <w:tr w:rsidR="007C6AD5" w:rsidRPr="00930D32" w14:paraId="4B0A794B" w14:textId="77777777" w:rsidTr="00C669E7">
        <w:trPr>
          <w:jc w:val="center"/>
        </w:trPr>
        <w:tc>
          <w:tcPr>
            <w:tcW w:w="1350" w:type="dxa"/>
            <w:vMerge/>
            <w:shd w:val="clear" w:color="auto" w:fill="auto"/>
          </w:tcPr>
          <w:p w14:paraId="7B3D585E" w14:textId="77777777" w:rsidR="007C6AD5" w:rsidRPr="00930D32" w:rsidRDefault="007C6AD5" w:rsidP="00FC12EA">
            <w:pPr>
              <w:spacing w:before="40" w:after="120"/>
              <w:ind w:left="143" w:right="113"/>
              <w:rPr>
                <w:b/>
                <w:bCs/>
              </w:rPr>
            </w:pPr>
          </w:p>
        </w:tc>
        <w:tc>
          <w:tcPr>
            <w:tcW w:w="921" w:type="dxa"/>
            <w:shd w:val="clear" w:color="auto" w:fill="auto"/>
          </w:tcPr>
          <w:p w14:paraId="7B7410E5" w14:textId="77777777" w:rsidR="007C6AD5" w:rsidRPr="006B731F" w:rsidRDefault="007C6AD5" w:rsidP="00325C8C">
            <w:pPr>
              <w:spacing w:before="40" w:after="120"/>
              <w:ind w:left="170" w:right="113"/>
              <w:rPr>
                <w:bCs/>
              </w:rPr>
            </w:pPr>
            <w:r>
              <w:rPr>
                <w:bCs/>
              </w:rPr>
              <w:t>11-13</w:t>
            </w:r>
          </w:p>
        </w:tc>
        <w:tc>
          <w:tcPr>
            <w:tcW w:w="1845" w:type="dxa"/>
            <w:shd w:val="clear" w:color="auto" w:fill="auto"/>
          </w:tcPr>
          <w:p w14:paraId="2EB9200C" w14:textId="77777777" w:rsidR="007C6AD5" w:rsidRDefault="007C6AD5" w:rsidP="00FC12EA">
            <w:pPr>
              <w:spacing w:before="40" w:after="120"/>
              <w:ind w:left="284" w:right="113" w:hanging="142"/>
              <w:rPr>
                <w:b/>
                <w:bCs/>
              </w:rPr>
            </w:pPr>
            <w:r>
              <w:rPr>
                <w:b/>
                <w:bCs/>
              </w:rPr>
              <w:t xml:space="preserve">3. </w:t>
            </w:r>
            <w:r w:rsidRPr="007C6AD5">
              <w:rPr>
                <w:b/>
                <w:bCs/>
              </w:rPr>
              <w:t>Financial arrangements</w:t>
            </w:r>
          </w:p>
        </w:tc>
        <w:tc>
          <w:tcPr>
            <w:tcW w:w="3831" w:type="dxa"/>
            <w:shd w:val="clear" w:color="auto" w:fill="auto"/>
          </w:tcPr>
          <w:p w14:paraId="0F0F33C5" w14:textId="77777777" w:rsidR="007C6AD5" w:rsidRPr="007C6AD5" w:rsidRDefault="007C6AD5" w:rsidP="007C6AD5">
            <w:pPr>
              <w:spacing w:before="40" w:after="120" w:line="240" w:lineRule="auto"/>
              <w:ind w:left="176" w:right="113"/>
              <w:rPr>
                <w:bCs/>
              </w:rPr>
            </w:pPr>
            <w:r w:rsidRPr="007C6AD5">
              <w:rPr>
                <w:bCs/>
              </w:rPr>
              <w:t>Status of the trust fund (ECE/MP.EIA/WG.2/2022/INF.3)</w:t>
            </w:r>
          </w:p>
          <w:p w14:paraId="5541C403" w14:textId="77777777" w:rsidR="00CF5B62" w:rsidRDefault="00CF5B62" w:rsidP="007C6AD5">
            <w:pPr>
              <w:spacing w:before="40" w:after="120" w:line="240" w:lineRule="auto"/>
              <w:ind w:left="176" w:right="113"/>
              <w:rPr>
                <w:bCs/>
              </w:rPr>
            </w:pPr>
          </w:p>
          <w:p w14:paraId="570990D0" w14:textId="77777777" w:rsidR="00CF5B62" w:rsidRDefault="00CF5B62" w:rsidP="007C6AD5">
            <w:pPr>
              <w:spacing w:before="40" w:after="120" w:line="240" w:lineRule="auto"/>
              <w:ind w:left="176" w:right="113"/>
              <w:rPr>
                <w:bCs/>
              </w:rPr>
            </w:pPr>
          </w:p>
          <w:p w14:paraId="250560B8" w14:textId="77777777" w:rsidR="00C059B7" w:rsidRDefault="00C059B7" w:rsidP="007C6AD5">
            <w:pPr>
              <w:spacing w:before="40" w:after="120" w:line="240" w:lineRule="auto"/>
              <w:ind w:left="176" w:right="113"/>
              <w:rPr>
                <w:bCs/>
              </w:rPr>
            </w:pPr>
          </w:p>
          <w:p w14:paraId="5A5C2E8F" w14:textId="77777777" w:rsidR="00C059B7" w:rsidRDefault="00C059B7" w:rsidP="007C6AD5">
            <w:pPr>
              <w:spacing w:before="40" w:after="120" w:line="240" w:lineRule="auto"/>
              <w:ind w:left="176" w:right="113"/>
              <w:rPr>
                <w:bCs/>
              </w:rPr>
            </w:pPr>
          </w:p>
          <w:p w14:paraId="1D731B3D" w14:textId="77777777" w:rsidR="00C059B7" w:rsidRDefault="00C059B7" w:rsidP="007C6AD5">
            <w:pPr>
              <w:spacing w:before="40" w:after="120" w:line="240" w:lineRule="auto"/>
              <w:ind w:left="176" w:right="113"/>
              <w:rPr>
                <w:bCs/>
              </w:rPr>
            </w:pPr>
          </w:p>
          <w:p w14:paraId="63E8AD3A" w14:textId="77777777" w:rsidR="00C059B7" w:rsidRDefault="00C059B7" w:rsidP="007C6AD5">
            <w:pPr>
              <w:spacing w:before="40" w:after="120" w:line="240" w:lineRule="auto"/>
              <w:ind w:left="176" w:right="113"/>
              <w:rPr>
                <w:bCs/>
              </w:rPr>
            </w:pPr>
          </w:p>
          <w:p w14:paraId="704A8181" w14:textId="77777777" w:rsidR="00C059B7" w:rsidRDefault="00C059B7" w:rsidP="007C6AD5">
            <w:pPr>
              <w:spacing w:before="40" w:after="120" w:line="240" w:lineRule="auto"/>
              <w:ind w:left="176" w:right="113"/>
              <w:rPr>
                <w:bCs/>
              </w:rPr>
            </w:pPr>
          </w:p>
          <w:p w14:paraId="7557203B" w14:textId="77777777" w:rsidR="00C059B7" w:rsidRDefault="00C059B7" w:rsidP="007C6AD5">
            <w:pPr>
              <w:spacing w:before="40" w:after="120" w:line="240" w:lineRule="auto"/>
              <w:ind w:left="176" w:right="113"/>
              <w:rPr>
                <w:bCs/>
              </w:rPr>
            </w:pPr>
          </w:p>
          <w:p w14:paraId="2A7C66B4" w14:textId="77777777" w:rsidR="00DB0FEB" w:rsidRDefault="00DB0FEB" w:rsidP="007C6AD5">
            <w:pPr>
              <w:spacing w:before="40" w:after="120" w:line="240" w:lineRule="auto"/>
              <w:ind w:left="176" w:right="113"/>
              <w:rPr>
                <w:bCs/>
              </w:rPr>
            </w:pPr>
          </w:p>
          <w:p w14:paraId="017CD732" w14:textId="77777777" w:rsidR="00DB0FEB" w:rsidRDefault="00DB0FEB" w:rsidP="007C6AD5">
            <w:pPr>
              <w:spacing w:before="40" w:after="120" w:line="240" w:lineRule="auto"/>
              <w:ind w:left="176" w:right="113"/>
              <w:rPr>
                <w:bCs/>
              </w:rPr>
            </w:pPr>
          </w:p>
          <w:p w14:paraId="2D583770" w14:textId="77777777" w:rsidR="00DB0FEB" w:rsidRDefault="00DB0FEB" w:rsidP="007C6AD5">
            <w:pPr>
              <w:spacing w:before="40" w:after="120" w:line="240" w:lineRule="auto"/>
              <w:ind w:left="176" w:right="113"/>
              <w:rPr>
                <w:bCs/>
              </w:rPr>
            </w:pPr>
          </w:p>
          <w:p w14:paraId="2C5385DA" w14:textId="77777777" w:rsidR="00DB0FEB" w:rsidRDefault="00DB0FEB" w:rsidP="007C6AD5">
            <w:pPr>
              <w:spacing w:before="40" w:after="120" w:line="240" w:lineRule="auto"/>
              <w:ind w:left="176" w:right="113"/>
              <w:rPr>
                <w:bCs/>
              </w:rPr>
            </w:pPr>
          </w:p>
          <w:p w14:paraId="1B42CA16" w14:textId="77777777" w:rsidR="005B565E" w:rsidRDefault="005B565E" w:rsidP="007C6AD5">
            <w:pPr>
              <w:spacing w:before="40" w:after="120" w:line="240" w:lineRule="auto"/>
              <w:ind w:left="176" w:right="113"/>
              <w:rPr>
                <w:bCs/>
              </w:rPr>
            </w:pPr>
          </w:p>
          <w:p w14:paraId="6C4F6D91" w14:textId="77777777" w:rsidR="005B565E" w:rsidRDefault="005B565E" w:rsidP="007C6AD5">
            <w:pPr>
              <w:spacing w:before="40" w:after="120" w:line="240" w:lineRule="auto"/>
              <w:ind w:left="176" w:right="113"/>
              <w:rPr>
                <w:bCs/>
              </w:rPr>
            </w:pPr>
          </w:p>
          <w:p w14:paraId="3E2B4561" w14:textId="77777777" w:rsidR="005B565E" w:rsidRDefault="005B565E" w:rsidP="007C6AD5">
            <w:pPr>
              <w:spacing w:before="40" w:after="120" w:line="240" w:lineRule="auto"/>
              <w:ind w:left="176" w:right="113"/>
              <w:rPr>
                <w:bCs/>
              </w:rPr>
            </w:pPr>
          </w:p>
          <w:p w14:paraId="1D117979" w14:textId="77777777" w:rsidR="007C6AD5" w:rsidRPr="007C6AD5" w:rsidRDefault="007C6AD5" w:rsidP="007C6AD5">
            <w:pPr>
              <w:spacing w:before="40" w:after="120" w:line="240" w:lineRule="auto"/>
              <w:ind w:left="176" w:right="113"/>
              <w:rPr>
                <w:bCs/>
              </w:rPr>
            </w:pPr>
            <w:r w:rsidRPr="007C6AD5">
              <w:rPr>
                <w:bCs/>
              </w:rPr>
              <w:lastRenderedPageBreak/>
              <w:t>Bureau’s proposals on financial arrangements (ECE/MP.EIA/WG.2/2022/INF.4)</w:t>
            </w:r>
          </w:p>
          <w:p w14:paraId="426DEBA0" w14:textId="77777777" w:rsidR="00CF5B62" w:rsidRDefault="00CF5B62" w:rsidP="007C6AD5">
            <w:pPr>
              <w:spacing w:before="40" w:after="120" w:line="240" w:lineRule="auto"/>
              <w:ind w:left="176" w:right="113"/>
              <w:rPr>
                <w:bCs/>
              </w:rPr>
            </w:pPr>
          </w:p>
          <w:p w14:paraId="0DF53CB5" w14:textId="77777777" w:rsidR="00C059B7" w:rsidRDefault="00C059B7" w:rsidP="007C6AD5">
            <w:pPr>
              <w:spacing w:before="40" w:after="120" w:line="240" w:lineRule="auto"/>
              <w:ind w:left="176" w:right="113"/>
              <w:rPr>
                <w:bCs/>
              </w:rPr>
            </w:pPr>
          </w:p>
          <w:p w14:paraId="1426AE98" w14:textId="77777777" w:rsidR="00C059B7" w:rsidRDefault="00C059B7" w:rsidP="007C6AD5">
            <w:pPr>
              <w:spacing w:before="40" w:after="120" w:line="240" w:lineRule="auto"/>
              <w:ind w:left="176" w:right="113"/>
              <w:rPr>
                <w:bCs/>
              </w:rPr>
            </w:pPr>
          </w:p>
          <w:p w14:paraId="2B04B198" w14:textId="77777777" w:rsidR="005B565E" w:rsidRDefault="005B565E" w:rsidP="007C6AD5">
            <w:pPr>
              <w:spacing w:before="40" w:after="120" w:line="240" w:lineRule="auto"/>
              <w:ind w:left="176" w:right="113"/>
              <w:rPr>
                <w:bCs/>
              </w:rPr>
            </w:pPr>
          </w:p>
          <w:p w14:paraId="6E1DECC8" w14:textId="77777777" w:rsidR="007C6AD5" w:rsidRPr="00325C8C" w:rsidRDefault="007C6AD5" w:rsidP="007C6AD5">
            <w:pPr>
              <w:spacing w:before="40" w:after="120" w:line="240" w:lineRule="auto"/>
              <w:ind w:left="176" w:right="113"/>
              <w:rPr>
                <w:bCs/>
              </w:rPr>
            </w:pPr>
            <w:r w:rsidRPr="007C6AD5">
              <w:rPr>
                <w:bCs/>
              </w:rPr>
              <w:t>Consideration of in-kind contributions (ECE/MP.EIA/WG.2/2022/INF.5)</w:t>
            </w:r>
          </w:p>
        </w:tc>
        <w:tc>
          <w:tcPr>
            <w:tcW w:w="4656" w:type="dxa"/>
            <w:shd w:val="clear" w:color="auto" w:fill="auto"/>
          </w:tcPr>
          <w:p w14:paraId="0D11A953" w14:textId="77777777" w:rsidR="00CF5B62" w:rsidRDefault="007C6AD5" w:rsidP="00E902F6">
            <w:pPr>
              <w:pStyle w:val="Bullet1G"/>
              <w:numPr>
                <w:ilvl w:val="0"/>
                <w:numId w:val="0"/>
              </w:numPr>
              <w:ind w:left="142" w:right="26"/>
            </w:pPr>
            <w:r w:rsidRPr="00BE227B">
              <w:lastRenderedPageBreak/>
              <w:t xml:space="preserve">The secretariat will </w:t>
            </w:r>
            <w:r>
              <w:t xml:space="preserve">provide an </w:t>
            </w:r>
            <w:r w:rsidRPr="00150798">
              <w:t>update on the status of</w:t>
            </w:r>
            <w:r>
              <w:rPr>
                <w:b/>
                <w:bCs/>
              </w:rPr>
              <w:t xml:space="preserve"> </w:t>
            </w:r>
            <w:r w:rsidRPr="00BE227B">
              <w:t xml:space="preserve"> the Convention’s and Protocol’s trust fund</w:t>
            </w:r>
            <w:r w:rsidR="00590DE9">
              <w:t xml:space="preserve">. </w:t>
            </w:r>
            <w:r w:rsidR="00E902F6">
              <w:t>I</w:t>
            </w:r>
            <w:r w:rsidR="00590DE9">
              <w:t xml:space="preserve">t will also </w:t>
            </w:r>
            <w:r w:rsidR="00CF5B62">
              <w:t xml:space="preserve">report on </w:t>
            </w:r>
            <w:r w:rsidR="00590DE9">
              <w:t>its</w:t>
            </w:r>
            <w:r w:rsidR="000443A6">
              <w:t xml:space="preserve"> </w:t>
            </w:r>
            <w:r w:rsidR="00590DE9">
              <w:t xml:space="preserve">resource </w:t>
            </w:r>
            <w:r w:rsidR="000443A6">
              <w:t>constraints</w:t>
            </w:r>
            <w:r w:rsidR="00590DE9">
              <w:t xml:space="preserve"> and their impact on the </w:t>
            </w:r>
            <w:r w:rsidR="00CF5B62">
              <w:t xml:space="preserve">workplan </w:t>
            </w:r>
            <w:r w:rsidR="00590DE9">
              <w:t xml:space="preserve">implementation and the organization of meetings. </w:t>
            </w:r>
          </w:p>
          <w:p w14:paraId="79998195" w14:textId="77777777" w:rsidR="00DB0FEB" w:rsidRDefault="00CF5B62" w:rsidP="007C6AD5">
            <w:pPr>
              <w:pStyle w:val="Bullet1G"/>
              <w:numPr>
                <w:ilvl w:val="0"/>
                <w:numId w:val="0"/>
              </w:numPr>
              <w:ind w:left="142" w:right="26"/>
            </w:pPr>
            <w:r w:rsidRPr="00DB0FEB">
              <w:rPr>
                <w:b/>
                <w:bCs/>
              </w:rPr>
              <w:t>T</w:t>
            </w:r>
            <w:r w:rsidR="000443A6" w:rsidRPr="00DB0FEB">
              <w:rPr>
                <w:b/>
                <w:bCs/>
              </w:rPr>
              <w:t xml:space="preserve">he </w:t>
            </w:r>
            <w:r w:rsidR="00E902F6" w:rsidRPr="00DB0FEB">
              <w:rPr>
                <w:b/>
                <w:bCs/>
              </w:rPr>
              <w:t xml:space="preserve">Chair </w:t>
            </w:r>
            <w:r w:rsidR="00DB0FEB" w:rsidRPr="00DB0FEB">
              <w:rPr>
                <w:b/>
                <w:bCs/>
              </w:rPr>
              <w:t>and/</w:t>
            </w:r>
            <w:r w:rsidR="00E902F6" w:rsidRPr="00DB0FEB">
              <w:rPr>
                <w:b/>
                <w:bCs/>
              </w:rPr>
              <w:t xml:space="preserve">or the </w:t>
            </w:r>
            <w:r w:rsidR="000443A6" w:rsidRPr="00DB0FEB">
              <w:rPr>
                <w:b/>
                <w:bCs/>
              </w:rPr>
              <w:t>Bureau</w:t>
            </w:r>
            <w:r w:rsidR="00E902F6" w:rsidRPr="00DB0FEB">
              <w:rPr>
                <w:b/>
                <w:bCs/>
              </w:rPr>
              <w:t xml:space="preserve"> Chair</w:t>
            </w:r>
            <w:r w:rsidR="00E902F6">
              <w:t xml:space="preserve"> will report on </w:t>
            </w:r>
            <w:r w:rsidR="005B565E">
              <w:t>the Bureau’s</w:t>
            </w:r>
            <w:r w:rsidR="00E902F6">
              <w:t xml:space="preserve"> </w:t>
            </w:r>
            <w:r w:rsidR="000443A6">
              <w:t>calls on Parties</w:t>
            </w:r>
            <w:r w:rsidR="00DB0FEB">
              <w:t xml:space="preserve"> and the Executive Secretary of ECE</w:t>
            </w:r>
            <w:r w:rsidR="000443A6">
              <w:t xml:space="preserve"> to increase the secretariat’s resources</w:t>
            </w:r>
            <w:r w:rsidR="005B565E">
              <w:t xml:space="preserve"> (high-level letters to all Parties to be sent out shortly)</w:t>
            </w:r>
            <w:r w:rsidR="000443A6">
              <w:t xml:space="preserve"> </w:t>
            </w:r>
          </w:p>
          <w:p w14:paraId="110D2652" w14:textId="77777777" w:rsidR="00CF5B62" w:rsidRDefault="000443A6" w:rsidP="007C6AD5">
            <w:pPr>
              <w:pStyle w:val="Bullet1G"/>
              <w:numPr>
                <w:ilvl w:val="0"/>
                <w:numId w:val="0"/>
              </w:numPr>
              <w:ind w:left="142" w:right="26"/>
            </w:pPr>
            <w:r w:rsidRPr="00E752DF">
              <w:rPr>
                <w:b/>
                <w:bCs/>
              </w:rPr>
              <w:t>The Working Group</w:t>
            </w:r>
            <w:r>
              <w:t xml:space="preserve"> </w:t>
            </w:r>
            <w:r w:rsidRPr="00407738">
              <w:t>will be invited to</w:t>
            </w:r>
            <w:r w:rsidR="00CF5B62">
              <w:t>:</w:t>
            </w:r>
          </w:p>
          <w:p w14:paraId="4083CE90" w14:textId="77777777" w:rsidR="00CF5B62" w:rsidRPr="006209EC" w:rsidRDefault="00CF5B62" w:rsidP="006209EC">
            <w:pPr>
              <w:pStyle w:val="Bullet1G"/>
              <w:ind w:left="142" w:right="260" w:firstLine="0"/>
              <w:rPr>
                <w:bCs/>
              </w:rPr>
            </w:pPr>
            <w:r w:rsidRPr="006209EC">
              <w:rPr>
                <w:bCs/>
              </w:rPr>
              <w:t>C</w:t>
            </w:r>
            <w:r w:rsidR="000443A6" w:rsidRPr="006209EC">
              <w:rPr>
                <w:bCs/>
              </w:rPr>
              <w:t>onsider the resource situation</w:t>
            </w:r>
          </w:p>
          <w:p w14:paraId="1B983BB0" w14:textId="77777777" w:rsidR="00CF5B62" w:rsidRPr="006209EC" w:rsidRDefault="00CF5B62" w:rsidP="006209EC">
            <w:pPr>
              <w:pStyle w:val="Bullet1G"/>
              <w:ind w:left="142" w:right="260" w:firstLine="0"/>
              <w:rPr>
                <w:bCs/>
              </w:rPr>
            </w:pPr>
            <w:r w:rsidRPr="006209EC">
              <w:rPr>
                <w:bCs/>
              </w:rPr>
              <w:t>A</w:t>
            </w:r>
            <w:r w:rsidR="000443A6" w:rsidRPr="006209EC">
              <w:rPr>
                <w:bCs/>
              </w:rPr>
              <w:t xml:space="preserve">ssess the implementation and effectiveness thus far of decision </w:t>
            </w:r>
            <w:r w:rsidRPr="006209EC">
              <w:rPr>
                <w:bCs/>
              </w:rPr>
              <w:t xml:space="preserve">VIII/1–IV/1 para. 1 </w:t>
            </w:r>
            <w:r w:rsidR="00443277" w:rsidRPr="006209EC">
              <w:rPr>
                <w:bCs/>
              </w:rPr>
              <w:t>(that</w:t>
            </w:r>
            <w:r w:rsidR="000443A6" w:rsidRPr="006209EC">
              <w:rPr>
                <w:bCs/>
              </w:rPr>
              <w:t xml:space="preserve"> all Parties ha</w:t>
            </w:r>
            <w:r w:rsidR="00DB0FEB">
              <w:rPr>
                <w:bCs/>
              </w:rPr>
              <w:t>d</w:t>
            </w:r>
            <w:r w:rsidR="000443A6" w:rsidRPr="006209EC">
              <w:rPr>
                <w:bCs/>
              </w:rPr>
              <w:t xml:space="preserve"> “a duty to take part in the sharing of the costs”</w:t>
            </w:r>
            <w:r w:rsidR="00443277" w:rsidRPr="006209EC">
              <w:rPr>
                <w:bCs/>
              </w:rPr>
              <w:t>)</w:t>
            </w:r>
            <w:r w:rsidR="000443A6" w:rsidRPr="006209EC">
              <w:rPr>
                <w:bCs/>
              </w:rPr>
              <w:t xml:space="preserve">. </w:t>
            </w:r>
          </w:p>
          <w:p w14:paraId="3A368C74" w14:textId="77777777" w:rsidR="007C6AD5" w:rsidRDefault="00DB0FEB" w:rsidP="006209EC">
            <w:pPr>
              <w:pStyle w:val="Bullet1G"/>
              <w:ind w:left="142" w:right="260" w:firstLine="0"/>
              <w:rPr>
                <w:bCs/>
              </w:rPr>
            </w:pPr>
            <w:r>
              <w:rPr>
                <w:bCs/>
              </w:rPr>
              <w:t xml:space="preserve">Note which </w:t>
            </w:r>
            <w:r w:rsidR="00CF5B62" w:rsidRPr="006209EC">
              <w:rPr>
                <w:bCs/>
              </w:rPr>
              <w:t>P</w:t>
            </w:r>
            <w:r w:rsidR="000443A6" w:rsidRPr="006209EC">
              <w:rPr>
                <w:bCs/>
              </w:rPr>
              <w:t xml:space="preserve">arties </w:t>
            </w:r>
            <w:r w:rsidR="00CF5B62" w:rsidRPr="006209EC">
              <w:rPr>
                <w:bCs/>
              </w:rPr>
              <w:t xml:space="preserve">have not </w:t>
            </w:r>
            <w:r w:rsidR="00DE013D" w:rsidRPr="006209EC">
              <w:rPr>
                <w:bCs/>
              </w:rPr>
              <w:t xml:space="preserve">contributed </w:t>
            </w:r>
            <w:r w:rsidR="000443A6" w:rsidRPr="006209EC">
              <w:rPr>
                <w:bCs/>
              </w:rPr>
              <w:t xml:space="preserve">to the trust fund and agree on actions to be taken to enforce the decision of the Meetings of the Parties. </w:t>
            </w:r>
          </w:p>
          <w:p w14:paraId="59B71CD9" w14:textId="77777777" w:rsidR="005B565E" w:rsidRDefault="005B565E" w:rsidP="00DB0FEB">
            <w:pPr>
              <w:pStyle w:val="Bullet1G"/>
              <w:numPr>
                <w:ilvl w:val="0"/>
                <w:numId w:val="0"/>
              </w:numPr>
              <w:ind w:left="142" w:right="260"/>
              <w:rPr>
                <w:bCs/>
              </w:rPr>
            </w:pPr>
          </w:p>
          <w:p w14:paraId="60DAA173" w14:textId="77777777" w:rsidR="005B565E" w:rsidRDefault="005B565E" w:rsidP="00DB0FEB">
            <w:pPr>
              <w:pStyle w:val="Bullet1G"/>
              <w:numPr>
                <w:ilvl w:val="0"/>
                <w:numId w:val="0"/>
              </w:numPr>
              <w:ind w:left="142" w:right="260"/>
              <w:rPr>
                <w:bCs/>
              </w:rPr>
            </w:pPr>
          </w:p>
          <w:p w14:paraId="3E7092D7" w14:textId="77777777" w:rsidR="00DB0FEB" w:rsidRPr="006209EC" w:rsidRDefault="00DB0FEB" w:rsidP="00DB0FEB">
            <w:pPr>
              <w:pStyle w:val="Bullet1G"/>
              <w:numPr>
                <w:ilvl w:val="0"/>
                <w:numId w:val="0"/>
              </w:numPr>
              <w:ind w:left="142" w:right="260"/>
              <w:rPr>
                <w:bCs/>
              </w:rPr>
            </w:pPr>
            <w:r w:rsidRPr="005B565E">
              <w:rPr>
                <w:b/>
              </w:rPr>
              <w:lastRenderedPageBreak/>
              <w:t>The Chair</w:t>
            </w:r>
            <w:r>
              <w:rPr>
                <w:bCs/>
              </w:rPr>
              <w:t xml:space="preserve"> will report on Bureau’s proposals to improve</w:t>
            </w:r>
            <w:r>
              <w:t xml:space="preserve"> </w:t>
            </w:r>
            <w:r w:rsidRPr="00DB0FEB">
              <w:rPr>
                <w:bCs/>
              </w:rPr>
              <w:t>the insufficiency, uneven distribution and unpredictability of contributions</w:t>
            </w:r>
          </w:p>
          <w:p w14:paraId="7FBE28AE" w14:textId="77777777" w:rsidR="00DB0FEB" w:rsidRDefault="000443A6" w:rsidP="007C6AD5">
            <w:pPr>
              <w:pStyle w:val="Bullet1G"/>
              <w:numPr>
                <w:ilvl w:val="0"/>
                <w:numId w:val="0"/>
              </w:numPr>
              <w:ind w:left="142" w:right="26"/>
            </w:pPr>
            <w:r w:rsidRPr="00C973EE">
              <w:rPr>
                <w:b/>
                <w:bCs/>
              </w:rPr>
              <w:t>The Working Group</w:t>
            </w:r>
            <w:r w:rsidRPr="000443A6">
              <w:t xml:space="preserve"> is expected to consider inviting the national focal points to mobili</w:t>
            </w:r>
            <w:r w:rsidR="00C059B7">
              <w:t>ze</w:t>
            </w:r>
            <w:r w:rsidRPr="000443A6">
              <w:t xml:space="preserve"> further funding</w:t>
            </w:r>
            <w:r w:rsidR="005B565E">
              <w:t xml:space="preserve"> for the core secretariat functions (and/or to engage in considerably reducing demands for workplan activities and services in the period 2024–2026)</w:t>
            </w:r>
          </w:p>
          <w:p w14:paraId="3D2B8E9A" w14:textId="77777777" w:rsidR="007C6AD5" w:rsidRPr="00F84890" w:rsidRDefault="002676F1" w:rsidP="003D5077">
            <w:pPr>
              <w:pStyle w:val="Bullet1G"/>
              <w:numPr>
                <w:ilvl w:val="0"/>
                <w:numId w:val="0"/>
              </w:numPr>
              <w:ind w:left="142" w:right="26"/>
              <w:rPr>
                <w:bCs/>
              </w:rPr>
            </w:pPr>
            <w:r w:rsidRPr="00C973EE">
              <w:rPr>
                <w:b/>
                <w:bCs/>
              </w:rPr>
              <w:t>The Working Group</w:t>
            </w:r>
            <w:r>
              <w:t xml:space="preserve"> is invited to consider the </w:t>
            </w:r>
            <w:r w:rsidR="00243300">
              <w:t xml:space="preserve">Bureau’s document on the </w:t>
            </w:r>
            <w:r w:rsidR="00243300" w:rsidRPr="008E090E">
              <w:t>develop</w:t>
            </w:r>
            <w:r w:rsidR="00243300">
              <w:t xml:space="preserve">ment of </w:t>
            </w:r>
            <w:r w:rsidR="00243300" w:rsidRPr="008E090E">
              <w:t>a system</w:t>
            </w:r>
            <w:r w:rsidR="00243300">
              <w:t xml:space="preserve"> </w:t>
            </w:r>
            <w:r w:rsidR="00243300" w:rsidRPr="008E090E">
              <w:t>“to recognize in-kind contributions in a proper manner within the financial scheme”</w:t>
            </w:r>
            <w:r>
              <w:t>, and to provide the necessary clarifications and guidance for the finalization of the document by the Bureau.</w:t>
            </w:r>
          </w:p>
        </w:tc>
      </w:tr>
      <w:tr w:rsidR="00561B33" w:rsidRPr="00930D32" w14:paraId="6AE9F694" w14:textId="77777777" w:rsidTr="00C669E7">
        <w:trPr>
          <w:jc w:val="center"/>
        </w:trPr>
        <w:tc>
          <w:tcPr>
            <w:tcW w:w="1350" w:type="dxa"/>
            <w:vMerge/>
            <w:shd w:val="clear" w:color="auto" w:fill="auto"/>
          </w:tcPr>
          <w:p w14:paraId="6BDC19CB" w14:textId="77777777" w:rsidR="00561B33" w:rsidRPr="00930D32" w:rsidRDefault="00561B33" w:rsidP="00FC12EA">
            <w:pPr>
              <w:spacing w:before="40" w:after="120"/>
              <w:ind w:left="143" w:right="113"/>
              <w:rPr>
                <w:b/>
                <w:bCs/>
              </w:rPr>
            </w:pPr>
            <w:bookmarkStart w:id="1" w:name="_Hlk88056640"/>
          </w:p>
        </w:tc>
        <w:tc>
          <w:tcPr>
            <w:tcW w:w="921" w:type="dxa"/>
            <w:vMerge w:val="restart"/>
            <w:shd w:val="clear" w:color="auto" w:fill="auto"/>
          </w:tcPr>
          <w:p w14:paraId="75D681FF" w14:textId="77777777" w:rsidR="00561B33" w:rsidRDefault="00893571" w:rsidP="00325C8C">
            <w:pPr>
              <w:spacing w:before="40" w:after="120"/>
              <w:ind w:left="170" w:right="113"/>
              <w:rPr>
                <w:bCs/>
              </w:rPr>
            </w:pPr>
            <w:r>
              <w:rPr>
                <w:bCs/>
              </w:rPr>
              <w:t>15-16.30</w:t>
            </w:r>
          </w:p>
          <w:p w14:paraId="4145FA37" w14:textId="77777777" w:rsidR="00561B33" w:rsidRDefault="00561B33" w:rsidP="006B731F">
            <w:pPr>
              <w:spacing w:before="40" w:after="120"/>
              <w:ind w:left="170" w:right="113"/>
              <w:rPr>
                <w:bCs/>
              </w:rPr>
            </w:pPr>
          </w:p>
          <w:p w14:paraId="349CDD15" w14:textId="77777777" w:rsidR="00561B33" w:rsidRDefault="00561B33" w:rsidP="006B731F">
            <w:pPr>
              <w:spacing w:before="40" w:after="120"/>
              <w:ind w:left="170" w:right="113"/>
              <w:rPr>
                <w:bCs/>
              </w:rPr>
            </w:pPr>
          </w:p>
          <w:p w14:paraId="00DA44F3" w14:textId="77777777" w:rsidR="00561B33" w:rsidRDefault="00561B33" w:rsidP="006B731F">
            <w:pPr>
              <w:spacing w:before="40" w:after="120"/>
              <w:ind w:left="170" w:right="113"/>
              <w:rPr>
                <w:bCs/>
              </w:rPr>
            </w:pPr>
          </w:p>
          <w:p w14:paraId="5093DB58" w14:textId="77777777" w:rsidR="00561B33" w:rsidRDefault="00561B33" w:rsidP="006B731F">
            <w:pPr>
              <w:spacing w:before="40" w:after="120"/>
              <w:ind w:left="170" w:right="113"/>
              <w:rPr>
                <w:bCs/>
              </w:rPr>
            </w:pPr>
          </w:p>
          <w:p w14:paraId="53529A3B" w14:textId="77777777" w:rsidR="00561B33" w:rsidRDefault="00561B33" w:rsidP="006B731F">
            <w:pPr>
              <w:spacing w:before="40" w:after="120"/>
              <w:ind w:left="170" w:right="113"/>
              <w:rPr>
                <w:bCs/>
              </w:rPr>
            </w:pPr>
          </w:p>
          <w:p w14:paraId="22F3B7E1" w14:textId="77777777" w:rsidR="00561B33" w:rsidRDefault="00561B33" w:rsidP="006B731F">
            <w:pPr>
              <w:spacing w:before="40" w:after="120"/>
              <w:ind w:left="170" w:right="113"/>
              <w:rPr>
                <w:bCs/>
              </w:rPr>
            </w:pPr>
          </w:p>
          <w:p w14:paraId="7AE20289" w14:textId="77777777" w:rsidR="00561B33" w:rsidRDefault="00561B33" w:rsidP="006B731F">
            <w:pPr>
              <w:spacing w:before="40" w:after="120"/>
              <w:ind w:left="170" w:right="113"/>
              <w:rPr>
                <w:bCs/>
              </w:rPr>
            </w:pPr>
          </w:p>
          <w:p w14:paraId="4B882CC4" w14:textId="77777777" w:rsidR="00561B33" w:rsidRDefault="00561B33" w:rsidP="006B731F">
            <w:pPr>
              <w:spacing w:before="40" w:after="120"/>
              <w:ind w:left="170" w:right="113"/>
              <w:rPr>
                <w:bCs/>
              </w:rPr>
            </w:pPr>
          </w:p>
          <w:p w14:paraId="422A43BA" w14:textId="77777777" w:rsidR="00561B33" w:rsidRDefault="00561B33" w:rsidP="006B731F">
            <w:pPr>
              <w:spacing w:before="40" w:after="120"/>
              <w:ind w:left="170" w:right="113"/>
              <w:rPr>
                <w:bCs/>
              </w:rPr>
            </w:pPr>
          </w:p>
          <w:p w14:paraId="6A751F51" w14:textId="77777777" w:rsidR="00561B33" w:rsidRDefault="00561B33" w:rsidP="006B731F">
            <w:pPr>
              <w:spacing w:before="40" w:after="120"/>
              <w:ind w:left="170" w:right="113"/>
              <w:rPr>
                <w:bCs/>
              </w:rPr>
            </w:pPr>
          </w:p>
          <w:p w14:paraId="2A3F6415" w14:textId="77777777" w:rsidR="00561B33" w:rsidRDefault="00561B33" w:rsidP="006B731F">
            <w:pPr>
              <w:spacing w:before="40" w:after="120"/>
              <w:ind w:left="170" w:right="113"/>
              <w:rPr>
                <w:bCs/>
              </w:rPr>
            </w:pPr>
          </w:p>
          <w:p w14:paraId="5CEF448E" w14:textId="77777777" w:rsidR="00561B33" w:rsidRDefault="00561B33" w:rsidP="006B731F">
            <w:pPr>
              <w:spacing w:before="40" w:after="120"/>
              <w:ind w:left="170" w:right="113"/>
              <w:rPr>
                <w:bCs/>
              </w:rPr>
            </w:pPr>
          </w:p>
          <w:p w14:paraId="6225EE00" w14:textId="77777777" w:rsidR="00561B33" w:rsidRDefault="00561B33" w:rsidP="006B731F">
            <w:pPr>
              <w:spacing w:before="40" w:after="120"/>
              <w:ind w:left="170" w:right="113"/>
              <w:rPr>
                <w:bCs/>
              </w:rPr>
            </w:pPr>
          </w:p>
          <w:p w14:paraId="64285DD9" w14:textId="77777777" w:rsidR="00561B33" w:rsidRDefault="00561B33" w:rsidP="006B731F">
            <w:pPr>
              <w:spacing w:before="40" w:after="120"/>
              <w:ind w:left="170" w:right="113"/>
              <w:rPr>
                <w:bCs/>
              </w:rPr>
            </w:pPr>
          </w:p>
          <w:p w14:paraId="144A58B8" w14:textId="49EB143F" w:rsidR="00A639CE" w:rsidRDefault="00561B33" w:rsidP="007B65E8">
            <w:pPr>
              <w:spacing w:before="40" w:after="120"/>
              <w:ind w:left="170" w:right="113"/>
              <w:rPr>
                <w:bCs/>
              </w:rPr>
            </w:pPr>
            <w:r>
              <w:rPr>
                <w:bCs/>
              </w:rPr>
              <w:br/>
            </w:r>
            <w:r w:rsidR="00A639CE">
              <w:rPr>
                <w:bCs/>
              </w:rPr>
              <w:t>15-16.30</w:t>
            </w:r>
          </w:p>
          <w:p w14:paraId="033A503B" w14:textId="77777777" w:rsidR="00561B33" w:rsidRPr="00930D32" w:rsidRDefault="00561B33" w:rsidP="00FC12EA">
            <w:pPr>
              <w:spacing w:before="40" w:after="120"/>
              <w:ind w:left="170" w:right="113"/>
              <w:rPr>
                <w:bCs/>
              </w:rPr>
            </w:pPr>
          </w:p>
        </w:tc>
        <w:tc>
          <w:tcPr>
            <w:tcW w:w="1845" w:type="dxa"/>
            <w:vMerge w:val="restart"/>
            <w:shd w:val="clear" w:color="auto" w:fill="auto"/>
          </w:tcPr>
          <w:p w14:paraId="6F24A28D" w14:textId="77777777" w:rsidR="00561B33" w:rsidRDefault="007C3683" w:rsidP="00FC12EA">
            <w:pPr>
              <w:spacing w:before="40" w:after="120"/>
              <w:ind w:left="284" w:right="113" w:hanging="142"/>
              <w:rPr>
                <w:b/>
                <w:bCs/>
              </w:rPr>
            </w:pPr>
            <w:r>
              <w:rPr>
                <w:b/>
                <w:bCs/>
              </w:rPr>
              <w:lastRenderedPageBreak/>
              <w:t>4</w:t>
            </w:r>
            <w:r w:rsidR="00561B33" w:rsidRPr="00930D32">
              <w:rPr>
                <w:b/>
                <w:bCs/>
              </w:rPr>
              <w:t xml:space="preserve">. Compliance </w:t>
            </w:r>
            <w:r w:rsidR="00561B33">
              <w:rPr>
                <w:b/>
                <w:bCs/>
              </w:rPr>
              <w:t xml:space="preserve">and </w:t>
            </w:r>
            <w:r w:rsidR="00561B33" w:rsidRPr="00930D32">
              <w:rPr>
                <w:b/>
                <w:bCs/>
              </w:rPr>
              <w:t>implementation</w:t>
            </w:r>
          </w:p>
          <w:p w14:paraId="6B7CE120" w14:textId="77777777" w:rsidR="00561B33" w:rsidRDefault="00561B33" w:rsidP="00FC12EA">
            <w:pPr>
              <w:spacing w:before="40" w:after="120"/>
              <w:ind w:left="284" w:right="113" w:hanging="142"/>
              <w:rPr>
                <w:b/>
                <w:bCs/>
              </w:rPr>
            </w:pPr>
          </w:p>
          <w:p w14:paraId="30D57ABE" w14:textId="77777777" w:rsidR="00561B33" w:rsidRDefault="00561B33" w:rsidP="00FC12EA">
            <w:pPr>
              <w:spacing w:before="40" w:after="120"/>
              <w:ind w:left="284" w:right="113" w:hanging="142"/>
              <w:rPr>
                <w:b/>
                <w:bCs/>
              </w:rPr>
            </w:pPr>
          </w:p>
          <w:p w14:paraId="08D29714" w14:textId="77777777" w:rsidR="00561B33" w:rsidRDefault="00561B33" w:rsidP="00FC12EA">
            <w:pPr>
              <w:spacing w:before="40" w:after="120"/>
              <w:ind w:left="284" w:right="113" w:hanging="142"/>
              <w:rPr>
                <w:b/>
                <w:bCs/>
              </w:rPr>
            </w:pPr>
          </w:p>
          <w:p w14:paraId="11FA9BC2" w14:textId="77777777" w:rsidR="00561B33" w:rsidRDefault="00561B33" w:rsidP="00FC12EA">
            <w:pPr>
              <w:spacing w:before="40" w:after="120"/>
              <w:ind w:left="284" w:right="113" w:hanging="142"/>
              <w:rPr>
                <w:b/>
                <w:bCs/>
              </w:rPr>
            </w:pPr>
          </w:p>
          <w:p w14:paraId="56360B83" w14:textId="77777777" w:rsidR="00561B33" w:rsidRDefault="00561B33" w:rsidP="00FC12EA">
            <w:pPr>
              <w:spacing w:before="40" w:after="120"/>
              <w:ind w:left="284" w:right="113" w:hanging="142"/>
              <w:rPr>
                <w:b/>
                <w:bCs/>
              </w:rPr>
            </w:pPr>
          </w:p>
          <w:p w14:paraId="7264769B" w14:textId="77777777" w:rsidR="00561B33" w:rsidRDefault="00561B33" w:rsidP="00FC12EA">
            <w:pPr>
              <w:spacing w:before="40" w:after="120"/>
              <w:ind w:left="284" w:right="113" w:hanging="142"/>
              <w:rPr>
                <w:b/>
                <w:bCs/>
              </w:rPr>
            </w:pPr>
          </w:p>
          <w:p w14:paraId="1327063B" w14:textId="77777777" w:rsidR="00561B33" w:rsidRDefault="00561B33" w:rsidP="00FC12EA">
            <w:pPr>
              <w:spacing w:before="40" w:after="120"/>
              <w:ind w:left="284" w:right="113" w:hanging="142"/>
              <w:rPr>
                <w:b/>
                <w:bCs/>
              </w:rPr>
            </w:pPr>
          </w:p>
          <w:p w14:paraId="5B26CAE4" w14:textId="77777777" w:rsidR="00561B33" w:rsidRDefault="00561B33" w:rsidP="00FC12EA">
            <w:pPr>
              <w:spacing w:before="40" w:after="120"/>
              <w:ind w:left="284" w:right="113" w:hanging="142"/>
              <w:rPr>
                <w:b/>
                <w:bCs/>
              </w:rPr>
            </w:pPr>
          </w:p>
          <w:p w14:paraId="7A427546" w14:textId="77777777" w:rsidR="00561B33" w:rsidRDefault="00561B33" w:rsidP="00FC12EA">
            <w:pPr>
              <w:spacing w:before="40" w:after="120"/>
              <w:ind w:left="284" w:right="113" w:hanging="142"/>
              <w:rPr>
                <w:b/>
                <w:bCs/>
              </w:rPr>
            </w:pPr>
          </w:p>
          <w:p w14:paraId="629A0693" w14:textId="77777777" w:rsidR="00561B33" w:rsidRDefault="00561B33" w:rsidP="00FC12EA">
            <w:pPr>
              <w:spacing w:before="40" w:after="120"/>
              <w:ind w:left="284" w:right="113" w:hanging="142"/>
              <w:rPr>
                <w:b/>
                <w:bCs/>
              </w:rPr>
            </w:pPr>
          </w:p>
          <w:p w14:paraId="49FB10E4" w14:textId="77777777" w:rsidR="00561B33" w:rsidRDefault="00561B33" w:rsidP="00FC12EA">
            <w:pPr>
              <w:spacing w:before="40" w:after="120"/>
              <w:ind w:left="284" w:right="113" w:hanging="142"/>
              <w:rPr>
                <w:b/>
                <w:bCs/>
              </w:rPr>
            </w:pPr>
          </w:p>
          <w:p w14:paraId="3FC3CC5A" w14:textId="77777777" w:rsidR="00561B33" w:rsidRDefault="00561B33" w:rsidP="000D5D04">
            <w:pPr>
              <w:spacing w:before="40" w:after="120"/>
              <w:ind w:right="113"/>
              <w:rPr>
                <w:b/>
                <w:bCs/>
              </w:rPr>
            </w:pPr>
          </w:p>
          <w:p w14:paraId="55836426" w14:textId="77777777" w:rsidR="003D5077" w:rsidRDefault="003D5077" w:rsidP="00FC12EA">
            <w:pPr>
              <w:spacing w:before="40" w:after="120"/>
              <w:ind w:left="284" w:right="113" w:hanging="142"/>
              <w:rPr>
                <w:b/>
                <w:bCs/>
              </w:rPr>
            </w:pPr>
          </w:p>
          <w:p w14:paraId="47B92308" w14:textId="77777777" w:rsidR="00561B33" w:rsidRDefault="00A13319" w:rsidP="00FC12EA">
            <w:pPr>
              <w:spacing w:before="40" w:after="120"/>
              <w:ind w:left="284" w:right="113" w:hanging="142"/>
              <w:rPr>
                <w:b/>
                <w:bCs/>
              </w:rPr>
            </w:pPr>
            <w:r>
              <w:rPr>
                <w:b/>
                <w:bCs/>
              </w:rPr>
              <w:t>4</w:t>
            </w:r>
            <w:r w:rsidR="00561B33" w:rsidRPr="00930D32">
              <w:rPr>
                <w:b/>
                <w:bCs/>
              </w:rPr>
              <w:t xml:space="preserve">. Compliance </w:t>
            </w:r>
            <w:r w:rsidR="00561B33">
              <w:rPr>
                <w:b/>
                <w:bCs/>
              </w:rPr>
              <w:t xml:space="preserve">and </w:t>
            </w:r>
            <w:r w:rsidR="00561B33" w:rsidRPr="00930D32">
              <w:rPr>
                <w:b/>
                <w:bCs/>
              </w:rPr>
              <w:t>implementation</w:t>
            </w:r>
          </w:p>
          <w:p w14:paraId="48B868B3" w14:textId="49F3DCD4" w:rsidR="007B65E8" w:rsidRPr="00930D32" w:rsidRDefault="007B65E8" w:rsidP="00FC12EA">
            <w:pPr>
              <w:spacing w:before="40" w:after="120"/>
              <w:ind w:left="284" w:right="113" w:hanging="142"/>
              <w:rPr>
                <w:b/>
                <w:bCs/>
              </w:rPr>
            </w:pPr>
            <w:r>
              <w:rPr>
                <w:b/>
                <w:bCs/>
              </w:rPr>
              <w:t>(cont’d)</w:t>
            </w:r>
          </w:p>
        </w:tc>
        <w:tc>
          <w:tcPr>
            <w:tcW w:w="3831" w:type="dxa"/>
            <w:shd w:val="clear" w:color="auto" w:fill="auto"/>
          </w:tcPr>
          <w:p w14:paraId="65956BCC" w14:textId="77777777" w:rsidR="007C3683" w:rsidRDefault="007C3683" w:rsidP="00325C8C">
            <w:pPr>
              <w:spacing w:before="40" w:after="120" w:line="240" w:lineRule="auto"/>
              <w:ind w:left="176" w:right="113"/>
              <w:rPr>
                <w:bCs/>
              </w:rPr>
            </w:pPr>
            <w:r w:rsidRPr="007C3683">
              <w:rPr>
                <w:bCs/>
              </w:rPr>
              <w:lastRenderedPageBreak/>
              <w:t>Workplan implementation status (ECE/MP.EIA/WG.2/2022/INF.6)</w:t>
            </w:r>
            <w:bookmarkStart w:id="2" w:name="_Hlk88120194"/>
          </w:p>
          <w:p w14:paraId="305569F8" w14:textId="77777777" w:rsidR="00817B12" w:rsidRDefault="00817B12" w:rsidP="00325C8C">
            <w:pPr>
              <w:spacing w:before="40" w:after="120" w:line="240" w:lineRule="auto"/>
              <w:ind w:left="176" w:right="113"/>
              <w:rPr>
                <w:bCs/>
              </w:rPr>
            </w:pPr>
            <w:r>
              <w:rPr>
                <w:bCs/>
              </w:rPr>
              <w:t>Provisional agenda for the 55</w:t>
            </w:r>
            <w:r w:rsidRPr="00817B12">
              <w:rPr>
                <w:bCs/>
                <w:vertAlign w:val="superscript"/>
              </w:rPr>
              <w:t>th</w:t>
            </w:r>
            <w:r>
              <w:rPr>
                <w:bCs/>
              </w:rPr>
              <w:t xml:space="preserve"> session (31 January–3 February 2023)</w:t>
            </w:r>
            <w:r w:rsidR="00742AB6">
              <w:t xml:space="preserve"> (</w:t>
            </w:r>
            <w:r w:rsidR="00742AB6" w:rsidRPr="00742AB6">
              <w:rPr>
                <w:bCs/>
              </w:rPr>
              <w:t>ECE/MP.EIA/IC/2023/1</w:t>
            </w:r>
            <w:r w:rsidR="00742AB6">
              <w:rPr>
                <w:bCs/>
              </w:rPr>
              <w:t>)</w:t>
            </w:r>
          </w:p>
          <w:p w14:paraId="57CF2868" w14:textId="77777777" w:rsidR="00561B33" w:rsidRDefault="00561B33" w:rsidP="00325C8C">
            <w:pPr>
              <w:spacing w:before="40" w:after="120" w:line="240" w:lineRule="auto"/>
              <w:ind w:left="176" w:right="113"/>
              <w:rPr>
                <w:bCs/>
              </w:rPr>
            </w:pPr>
            <w:r w:rsidRPr="00325C8C">
              <w:rPr>
                <w:bCs/>
              </w:rPr>
              <w:t>Report of the Implementation Committee on its 5</w:t>
            </w:r>
            <w:r w:rsidR="007C3683">
              <w:rPr>
                <w:bCs/>
              </w:rPr>
              <w:t>4th</w:t>
            </w:r>
            <w:r w:rsidRPr="00325C8C">
              <w:rPr>
                <w:bCs/>
              </w:rPr>
              <w:t xml:space="preserve"> session (Geneva, </w:t>
            </w:r>
            <w:r w:rsidR="007C3683" w:rsidRPr="00844366">
              <w:t>4–7 October 2022</w:t>
            </w:r>
            <w:r w:rsidRPr="00325C8C">
              <w:rPr>
                <w:bCs/>
              </w:rPr>
              <w:t>) (</w:t>
            </w:r>
            <w:r w:rsidR="007C3683" w:rsidRPr="007C3683">
              <w:rPr>
                <w:bCs/>
              </w:rPr>
              <w:t>ECE/MP.EIA/IC/2022/7</w:t>
            </w:r>
            <w:r w:rsidRPr="00325C8C">
              <w:rPr>
                <w:bCs/>
              </w:rPr>
              <w:t>)</w:t>
            </w:r>
          </w:p>
          <w:bookmarkEnd w:id="2"/>
          <w:p w14:paraId="414E0B67" w14:textId="77777777" w:rsidR="001526B7" w:rsidRPr="00325C8C" w:rsidRDefault="001526B7" w:rsidP="001526B7">
            <w:pPr>
              <w:spacing w:before="40" w:after="120" w:line="240" w:lineRule="auto"/>
              <w:ind w:left="176" w:right="113"/>
              <w:rPr>
                <w:bCs/>
              </w:rPr>
            </w:pPr>
            <w:r w:rsidRPr="00325C8C">
              <w:rPr>
                <w:bCs/>
              </w:rPr>
              <w:t>Report of the Implementation Committee on its 5</w:t>
            </w:r>
            <w:r w:rsidR="007C3683">
              <w:rPr>
                <w:bCs/>
              </w:rPr>
              <w:t>3rd</w:t>
            </w:r>
            <w:r w:rsidRPr="00325C8C">
              <w:rPr>
                <w:bCs/>
              </w:rPr>
              <w:t xml:space="preserve"> session (Geneva, </w:t>
            </w:r>
            <w:r w:rsidR="007C3683" w:rsidRPr="007C3683">
              <w:rPr>
                <w:bCs/>
              </w:rPr>
              <w:t>10 - 13 May 2022</w:t>
            </w:r>
            <w:r w:rsidRPr="00325C8C">
              <w:rPr>
                <w:bCs/>
              </w:rPr>
              <w:t>) (</w:t>
            </w:r>
            <w:r w:rsidR="007C3683" w:rsidRPr="007C3683">
              <w:rPr>
                <w:bCs/>
              </w:rPr>
              <w:t>ECE/MP.EIA/IC/2022/4</w:t>
            </w:r>
            <w:r w:rsidRPr="00325C8C">
              <w:rPr>
                <w:bCs/>
              </w:rPr>
              <w:t>)</w:t>
            </w:r>
          </w:p>
          <w:p w14:paraId="6A183E4A" w14:textId="77777777" w:rsidR="001526B7" w:rsidRPr="00325C8C" w:rsidRDefault="001526B7" w:rsidP="001526B7">
            <w:pPr>
              <w:spacing w:before="40" w:after="120" w:line="240" w:lineRule="auto"/>
              <w:ind w:left="176" w:right="113"/>
              <w:rPr>
                <w:bCs/>
              </w:rPr>
            </w:pPr>
            <w:r w:rsidRPr="00325C8C">
              <w:rPr>
                <w:bCs/>
              </w:rPr>
              <w:t xml:space="preserve">Report of the Implementation Committee on its </w:t>
            </w:r>
            <w:r w:rsidR="007C3683">
              <w:rPr>
                <w:bCs/>
              </w:rPr>
              <w:t>52nd</w:t>
            </w:r>
            <w:r w:rsidRPr="00325C8C">
              <w:rPr>
                <w:bCs/>
              </w:rPr>
              <w:t xml:space="preserve"> session (Geneva (online), </w:t>
            </w:r>
            <w:r w:rsidR="007C3683" w:rsidRPr="007C3683">
              <w:rPr>
                <w:bCs/>
              </w:rPr>
              <w:t>29 - 31 March 2022</w:t>
            </w:r>
            <w:r w:rsidRPr="00325C8C">
              <w:rPr>
                <w:bCs/>
              </w:rPr>
              <w:t xml:space="preserve">, </w:t>
            </w:r>
            <w:r w:rsidR="007C3683" w:rsidRPr="007C3683">
              <w:rPr>
                <w:bCs/>
              </w:rPr>
              <w:t>ECE/MP.EIA/IC/2022/2</w:t>
            </w:r>
            <w:r w:rsidRPr="00325C8C">
              <w:rPr>
                <w:bCs/>
              </w:rPr>
              <w:t>)</w:t>
            </w:r>
          </w:p>
        </w:tc>
        <w:tc>
          <w:tcPr>
            <w:tcW w:w="4656" w:type="dxa"/>
            <w:shd w:val="clear" w:color="auto" w:fill="auto"/>
          </w:tcPr>
          <w:p w14:paraId="3F1A8ED9" w14:textId="77777777" w:rsidR="00147A85" w:rsidRPr="00147A85" w:rsidRDefault="00147A85" w:rsidP="00F84890">
            <w:pPr>
              <w:pStyle w:val="Bullet1G"/>
              <w:ind w:left="142" w:right="260" w:firstLine="0"/>
            </w:pPr>
            <w:r w:rsidRPr="00147A85">
              <w:rPr>
                <w:b/>
                <w:bCs/>
              </w:rPr>
              <w:t>The Working Group</w:t>
            </w:r>
            <w:r w:rsidRPr="00713377">
              <w:t xml:space="preserve"> is invited to consider progress with compliance- and implementation-related activities in the workplan for 2021–2023 since its last meeting.</w:t>
            </w:r>
          </w:p>
          <w:p w14:paraId="78E6FF3C" w14:textId="77777777" w:rsidR="00561B33" w:rsidRPr="00A57452" w:rsidRDefault="00561B33" w:rsidP="00F84890">
            <w:pPr>
              <w:pStyle w:val="Bullet1G"/>
              <w:ind w:left="142" w:right="260" w:firstLine="0"/>
            </w:pPr>
            <w:r w:rsidRPr="00F84890">
              <w:rPr>
                <w:bCs/>
              </w:rPr>
              <w:t xml:space="preserve">The </w:t>
            </w:r>
            <w:r w:rsidRPr="006C709A">
              <w:rPr>
                <w:b/>
              </w:rPr>
              <w:t>Chair of the Implementation Committee</w:t>
            </w:r>
            <w:r w:rsidRPr="00F84890">
              <w:rPr>
                <w:bCs/>
              </w:rPr>
              <w:t xml:space="preserve"> </w:t>
            </w:r>
            <w:r w:rsidRPr="00930D32">
              <w:rPr>
                <w:bCs/>
              </w:rPr>
              <w:t>will report</w:t>
            </w:r>
            <w:r w:rsidRPr="00F84890">
              <w:rPr>
                <w:bCs/>
              </w:rPr>
              <w:t xml:space="preserve"> </w:t>
            </w:r>
            <w:r w:rsidRPr="00930D32">
              <w:rPr>
                <w:bCs/>
              </w:rPr>
              <w:t xml:space="preserve">on the Committee’s </w:t>
            </w:r>
            <w:r w:rsidR="007C3683">
              <w:rPr>
                <w:bCs/>
              </w:rPr>
              <w:t>52nd</w:t>
            </w:r>
            <w:r>
              <w:rPr>
                <w:bCs/>
              </w:rPr>
              <w:t>, 5</w:t>
            </w:r>
            <w:r w:rsidR="007C3683">
              <w:rPr>
                <w:bCs/>
              </w:rPr>
              <w:t>3rd</w:t>
            </w:r>
            <w:r>
              <w:rPr>
                <w:bCs/>
              </w:rPr>
              <w:t xml:space="preserve"> and 5</w:t>
            </w:r>
            <w:r w:rsidR="007C3683">
              <w:rPr>
                <w:bCs/>
              </w:rPr>
              <w:t>4th</w:t>
            </w:r>
            <w:r>
              <w:rPr>
                <w:bCs/>
              </w:rPr>
              <w:t xml:space="preserve"> </w:t>
            </w:r>
            <w:r w:rsidRPr="00930D32">
              <w:rPr>
                <w:bCs/>
              </w:rPr>
              <w:t>session</w:t>
            </w:r>
            <w:r>
              <w:rPr>
                <w:bCs/>
              </w:rPr>
              <w:t>s</w:t>
            </w:r>
            <w:r w:rsidRPr="00930D32">
              <w:rPr>
                <w:bCs/>
              </w:rPr>
              <w:t>;</w:t>
            </w:r>
            <w:r w:rsidR="00147A85">
              <w:rPr>
                <w:bCs/>
              </w:rPr>
              <w:t xml:space="preserve"> </w:t>
            </w:r>
            <w:r w:rsidRPr="006A439C">
              <w:rPr>
                <w:bCs/>
              </w:rPr>
              <w:t xml:space="preserve">the main objectives for the </w:t>
            </w:r>
            <w:r>
              <w:rPr>
                <w:bCs/>
              </w:rPr>
              <w:t>5</w:t>
            </w:r>
            <w:r w:rsidR="00147A85">
              <w:rPr>
                <w:bCs/>
              </w:rPr>
              <w:t>5</w:t>
            </w:r>
            <w:r>
              <w:rPr>
                <w:bCs/>
              </w:rPr>
              <w:t>th session</w:t>
            </w:r>
            <w:r w:rsidR="00147A85">
              <w:rPr>
                <w:bCs/>
              </w:rPr>
              <w:t xml:space="preserve">; and </w:t>
            </w:r>
            <w:r w:rsidR="00147A85">
              <w:t>the Committee’s plans for the preparatory work for the next sessions of the Meetings of the Parties, in December 2023.</w:t>
            </w:r>
          </w:p>
          <w:p w14:paraId="50DA89EC" w14:textId="77777777" w:rsidR="00561B33" w:rsidRPr="00930D32" w:rsidRDefault="00561B33" w:rsidP="00F84890">
            <w:pPr>
              <w:pStyle w:val="Bullet1G"/>
              <w:ind w:left="142" w:right="260" w:firstLine="0"/>
            </w:pPr>
            <w:r w:rsidRPr="00F84890">
              <w:rPr>
                <w:bCs/>
              </w:rPr>
              <w:t xml:space="preserve">The </w:t>
            </w:r>
            <w:r w:rsidRPr="00A57452">
              <w:rPr>
                <w:b/>
              </w:rPr>
              <w:t xml:space="preserve">Working Group </w:t>
            </w:r>
            <w:r w:rsidRPr="00930D32">
              <w:rPr>
                <w:bCs/>
              </w:rPr>
              <w:t xml:space="preserve">will be invited to </w:t>
            </w:r>
            <w:r>
              <w:rPr>
                <w:bCs/>
              </w:rPr>
              <w:t xml:space="preserve">comment and </w:t>
            </w:r>
            <w:r w:rsidRPr="00930D32">
              <w:rPr>
                <w:bCs/>
              </w:rPr>
              <w:t xml:space="preserve">take note of the report. </w:t>
            </w:r>
          </w:p>
        </w:tc>
      </w:tr>
      <w:tr w:rsidR="00561B33" w:rsidRPr="00930D32" w14:paraId="163445E4" w14:textId="77777777" w:rsidTr="00C669E7">
        <w:trPr>
          <w:jc w:val="center"/>
        </w:trPr>
        <w:tc>
          <w:tcPr>
            <w:tcW w:w="1350" w:type="dxa"/>
            <w:vMerge/>
            <w:shd w:val="clear" w:color="auto" w:fill="auto"/>
          </w:tcPr>
          <w:p w14:paraId="2CA56F6C" w14:textId="77777777" w:rsidR="00561B33" w:rsidRPr="00930D32" w:rsidRDefault="00561B33" w:rsidP="00FC12EA">
            <w:pPr>
              <w:spacing w:before="40" w:after="120"/>
              <w:ind w:left="143" w:right="113"/>
              <w:rPr>
                <w:b/>
                <w:bCs/>
              </w:rPr>
            </w:pPr>
          </w:p>
        </w:tc>
        <w:tc>
          <w:tcPr>
            <w:tcW w:w="921" w:type="dxa"/>
            <w:vMerge/>
            <w:shd w:val="clear" w:color="auto" w:fill="auto"/>
          </w:tcPr>
          <w:p w14:paraId="61B04C30" w14:textId="77777777" w:rsidR="00561B33" w:rsidRPr="00930D32" w:rsidRDefault="00561B33" w:rsidP="00FC12EA">
            <w:pPr>
              <w:spacing w:before="40" w:after="120"/>
              <w:ind w:left="170" w:right="113"/>
              <w:rPr>
                <w:bCs/>
              </w:rPr>
            </w:pPr>
          </w:p>
        </w:tc>
        <w:tc>
          <w:tcPr>
            <w:tcW w:w="1845" w:type="dxa"/>
            <w:vMerge/>
            <w:shd w:val="clear" w:color="auto" w:fill="auto"/>
          </w:tcPr>
          <w:p w14:paraId="4367B1FE" w14:textId="77777777" w:rsidR="00561B33" w:rsidRPr="00930D32" w:rsidRDefault="00561B33" w:rsidP="00FC12EA">
            <w:pPr>
              <w:spacing w:before="40" w:after="120"/>
              <w:ind w:left="284" w:right="113" w:hanging="142"/>
              <w:rPr>
                <w:b/>
                <w:bCs/>
              </w:rPr>
            </w:pPr>
          </w:p>
        </w:tc>
        <w:tc>
          <w:tcPr>
            <w:tcW w:w="3831" w:type="dxa"/>
            <w:shd w:val="clear" w:color="auto" w:fill="auto"/>
          </w:tcPr>
          <w:p w14:paraId="7C242DF8" w14:textId="77777777" w:rsidR="00E859C5" w:rsidRPr="00E859C5" w:rsidRDefault="00E859C5" w:rsidP="00E859C5">
            <w:pPr>
              <w:spacing w:before="40" w:after="120" w:line="240" w:lineRule="auto"/>
              <w:ind w:left="176" w:right="113"/>
              <w:rPr>
                <w:bCs/>
              </w:rPr>
            </w:pPr>
            <w:r w:rsidRPr="00E859C5">
              <w:rPr>
                <w:bCs/>
              </w:rPr>
              <w:t>Draft seventh review of the implementation of the Convention on Environmental Impact Assessment in a Transboundary Context (ECE/MP.EIA/WG.2/2022/3)</w:t>
            </w:r>
          </w:p>
          <w:p w14:paraId="130474FD" w14:textId="77777777" w:rsidR="00561B33" w:rsidRDefault="00E859C5" w:rsidP="00E859C5">
            <w:pPr>
              <w:spacing w:before="40" w:after="120" w:line="240" w:lineRule="auto"/>
              <w:ind w:left="176" w:right="113"/>
              <w:rPr>
                <w:bCs/>
              </w:rPr>
            </w:pPr>
            <w:r w:rsidRPr="00E859C5">
              <w:rPr>
                <w:bCs/>
              </w:rPr>
              <w:t xml:space="preserve">Draft fourth review of implementation of the Protocol on Strategic Environmental </w:t>
            </w:r>
            <w:r w:rsidRPr="00E859C5">
              <w:rPr>
                <w:bCs/>
              </w:rPr>
              <w:lastRenderedPageBreak/>
              <w:t>Assessment (ECE/MP.EIA/WG.2/2022/4)</w:t>
            </w:r>
          </w:p>
          <w:p w14:paraId="2D08C4FC" w14:textId="77777777" w:rsidR="003217D2" w:rsidRDefault="003217D2" w:rsidP="00E859C5">
            <w:pPr>
              <w:spacing w:before="40" w:after="120" w:line="240" w:lineRule="auto"/>
              <w:ind w:left="176" w:right="113"/>
              <w:rPr>
                <w:bCs/>
              </w:rPr>
            </w:pPr>
          </w:p>
          <w:p w14:paraId="4479BE6E" w14:textId="77777777" w:rsidR="00742AB6" w:rsidRDefault="00742AB6" w:rsidP="00E859C5">
            <w:pPr>
              <w:spacing w:before="40" w:after="120" w:line="240" w:lineRule="auto"/>
              <w:ind w:left="176" w:right="113"/>
              <w:rPr>
                <w:bCs/>
              </w:rPr>
            </w:pPr>
          </w:p>
          <w:p w14:paraId="0D8B555C" w14:textId="77777777" w:rsidR="00E859C5" w:rsidRDefault="00E859C5" w:rsidP="00E859C5">
            <w:pPr>
              <w:spacing w:before="40" w:after="120" w:line="240" w:lineRule="auto"/>
              <w:ind w:left="176" w:right="113"/>
              <w:rPr>
                <w:bCs/>
              </w:rPr>
            </w:pPr>
            <w:r w:rsidRPr="00E859C5">
              <w:rPr>
                <w:bCs/>
              </w:rPr>
              <w:t>Suggested improvements to the questionnaires on the implementation of the Convention and the Protocol (ECE/MP.EIA/WG.2/2022/INF.9)</w:t>
            </w:r>
          </w:p>
          <w:p w14:paraId="35566444" w14:textId="77777777" w:rsidR="003217D2" w:rsidRPr="003217D2" w:rsidRDefault="003217D2" w:rsidP="003217D2">
            <w:pPr>
              <w:spacing w:before="40" w:after="120" w:line="240" w:lineRule="auto"/>
              <w:ind w:left="176" w:right="113"/>
              <w:rPr>
                <w:bCs/>
              </w:rPr>
            </w:pPr>
            <w:r w:rsidRPr="003217D2">
              <w:rPr>
                <w:bCs/>
              </w:rPr>
              <w:t>Additional information on Parties’ practical application of the Convention 2019–2021 (ECE/MP.EIA/WG.2/2022/INF.7)</w:t>
            </w:r>
          </w:p>
          <w:p w14:paraId="4E51673C" w14:textId="77777777" w:rsidR="003217D2" w:rsidRDefault="003217D2" w:rsidP="003217D2">
            <w:pPr>
              <w:spacing w:before="40" w:after="120" w:line="240" w:lineRule="auto"/>
              <w:ind w:left="176" w:right="113"/>
              <w:rPr>
                <w:bCs/>
              </w:rPr>
            </w:pPr>
            <w:r w:rsidRPr="003217D2">
              <w:rPr>
                <w:bCs/>
              </w:rPr>
              <w:t>Additional information on Parties’ practical application of the Protocol 2019–2021 (ECE/MP.EIA/WG.2/2022/INF.8)</w:t>
            </w:r>
          </w:p>
          <w:p w14:paraId="23F23D2B" w14:textId="77777777" w:rsidR="003217D2" w:rsidRPr="00325C8C" w:rsidRDefault="003217D2" w:rsidP="00E859C5">
            <w:pPr>
              <w:spacing w:before="40" w:after="120" w:line="240" w:lineRule="auto"/>
              <w:ind w:left="176" w:right="113"/>
              <w:rPr>
                <w:bCs/>
              </w:rPr>
            </w:pPr>
          </w:p>
        </w:tc>
        <w:tc>
          <w:tcPr>
            <w:tcW w:w="4656" w:type="dxa"/>
            <w:shd w:val="clear" w:color="auto" w:fill="auto"/>
          </w:tcPr>
          <w:p w14:paraId="1F216254" w14:textId="77777777" w:rsidR="00561B33" w:rsidRPr="00E67AED" w:rsidRDefault="00E67AED" w:rsidP="00E859C5">
            <w:pPr>
              <w:pStyle w:val="Bullet1G"/>
              <w:ind w:left="142" w:right="260" w:firstLine="0"/>
              <w:rPr>
                <w:b/>
                <w:bCs/>
              </w:rPr>
            </w:pPr>
            <w:r w:rsidRPr="00930D32">
              <w:rPr>
                <w:bCs/>
              </w:rPr>
              <w:lastRenderedPageBreak/>
              <w:t xml:space="preserve">The </w:t>
            </w:r>
            <w:r w:rsidRPr="00930D32">
              <w:rPr>
                <w:b/>
                <w:bCs/>
              </w:rPr>
              <w:t>Working Group</w:t>
            </w:r>
            <w:r w:rsidRPr="00930D32">
              <w:rPr>
                <w:bCs/>
              </w:rPr>
              <w:t xml:space="preserve"> is invited to consider the </w:t>
            </w:r>
            <w:r w:rsidRPr="00150798">
              <w:rPr>
                <w:bCs/>
              </w:rPr>
              <w:t>draft review</w:t>
            </w:r>
            <w:r w:rsidR="003D5077" w:rsidRPr="00150798">
              <w:rPr>
                <w:bCs/>
              </w:rPr>
              <w:t>s</w:t>
            </w:r>
            <w:r w:rsidRPr="00150798">
              <w:rPr>
                <w:bCs/>
              </w:rPr>
              <w:t xml:space="preserve"> of implementation</w:t>
            </w:r>
            <w:r w:rsidRPr="00930D32">
              <w:rPr>
                <w:bCs/>
              </w:rPr>
              <w:t xml:space="preserve"> of the Convention and the Protocol in the period 201</w:t>
            </w:r>
            <w:r>
              <w:rPr>
                <w:bCs/>
              </w:rPr>
              <w:t>9</w:t>
            </w:r>
            <w:r w:rsidRPr="00930D32">
              <w:rPr>
                <w:bCs/>
              </w:rPr>
              <w:t>-</w:t>
            </w:r>
            <w:r>
              <w:rPr>
                <w:bCs/>
              </w:rPr>
              <w:t xml:space="preserve">2021, </w:t>
            </w:r>
            <w:r>
              <w:t>to comment on the outcomes of the reporting round, and to reach an agreement on the main findings of the draft reports.</w:t>
            </w:r>
          </w:p>
          <w:p w14:paraId="5EC603D6" w14:textId="77777777" w:rsidR="003D5077" w:rsidRPr="003D5077" w:rsidRDefault="00E67AED" w:rsidP="00E859C5">
            <w:pPr>
              <w:pStyle w:val="Bullet1G"/>
              <w:ind w:left="142" w:right="260" w:firstLine="0"/>
              <w:rPr>
                <w:b/>
                <w:bCs/>
              </w:rPr>
            </w:pPr>
            <w:r w:rsidRPr="00930D32">
              <w:rPr>
                <w:b/>
              </w:rPr>
              <w:lastRenderedPageBreak/>
              <w:t>Delegations</w:t>
            </w:r>
            <w:r w:rsidRPr="00930D32">
              <w:t xml:space="preserve"> are </w:t>
            </w:r>
            <w:r w:rsidR="00A639CE">
              <w:t>expected</w:t>
            </w:r>
            <w:r w:rsidRPr="00930D32">
              <w:t xml:space="preserve"> to provide the secretariat with </w:t>
            </w:r>
            <w:r>
              <w:t xml:space="preserve">any </w:t>
            </w:r>
            <w:r w:rsidRPr="00930D32">
              <w:t>comments or corrections to the drafts</w:t>
            </w:r>
            <w:r w:rsidR="00634754">
              <w:t xml:space="preserve"> concerning their own countries</w:t>
            </w:r>
            <w:r w:rsidR="003D5077">
              <w:t xml:space="preserve"> (in</w:t>
            </w:r>
            <w:r w:rsidR="003217D2">
              <w:t>cluding in</w:t>
            </w:r>
            <w:r w:rsidR="003D5077">
              <w:t xml:space="preserve"> writing </w:t>
            </w:r>
            <w:r w:rsidR="003D5077" w:rsidRPr="003217D2">
              <w:rPr>
                <w:b/>
                <w:bCs/>
              </w:rPr>
              <w:t xml:space="preserve">by </w:t>
            </w:r>
            <w:r w:rsidR="003217D2" w:rsidRPr="003217D2">
              <w:rPr>
                <w:b/>
                <w:bCs/>
              </w:rPr>
              <w:t>28 November 2022</w:t>
            </w:r>
            <w:r w:rsidR="003217D2">
              <w:t>)</w:t>
            </w:r>
            <w:r w:rsidRPr="00930D32">
              <w:t xml:space="preserve">. </w:t>
            </w:r>
          </w:p>
          <w:p w14:paraId="6D8E01FB" w14:textId="77777777" w:rsidR="00E67AED" w:rsidRPr="003217D2" w:rsidRDefault="00E67AED" w:rsidP="00E859C5">
            <w:pPr>
              <w:pStyle w:val="Bullet1G"/>
              <w:ind w:left="142" w:right="260" w:firstLine="0"/>
              <w:rPr>
                <w:b/>
                <w:bCs/>
              </w:rPr>
            </w:pPr>
            <w:r w:rsidRPr="00930D32">
              <w:t xml:space="preserve">The </w:t>
            </w:r>
            <w:r w:rsidRPr="00930D32">
              <w:rPr>
                <w:b/>
              </w:rPr>
              <w:t>Working Group</w:t>
            </w:r>
            <w:r w:rsidRPr="00930D32">
              <w:t xml:space="preserve"> </w:t>
            </w:r>
            <w:r w:rsidR="003217D2">
              <w:t>is invited to co</w:t>
            </w:r>
            <w:r w:rsidR="00A639CE">
              <w:t>nsider any proposals and provide guidance for improving the reporting, the questionnaires and the review reports for the next reporting round 2022–2024.</w:t>
            </w:r>
          </w:p>
          <w:p w14:paraId="7BEEE0D5" w14:textId="77777777" w:rsidR="003217D2" w:rsidRPr="00930D32" w:rsidRDefault="003217D2" w:rsidP="003217D2">
            <w:pPr>
              <w:pStyle w:val="Bullet1G"/>
              <w:ind w:left="142" w:right="260" w:firstLine="0"/>
              <w:rPr>
                <w:b/>
                <w:bCs/>
              </w:rPr>
            </w:pPr>
            <w:r w:rsidRPr="003217D2">
              <w:rPr>
                <w:b/>
                <w:bCs/>
              </w:rPr>
              <w:t>The Working Group</w:t>
            </w:r>
            <w:r>
              <w:t xml:space="preserve"> is invited to consider and comment the information provided by Parties on their practical application of the Convention and the Protocol; identify </w:t>
            </w:r>
            <w:r w:rsidRPr="006C1934">
              <w:t xml:space="preserve">the most relevant of them, and to propose ways to present and to further substantiate them with a view to maximizing </w:t>
            </w:r>
            <w:r w:rsidR="008F1F54">
              <w:t xml:space="preserve">the </w:t>
            </w:r>
            <w:r w:rsidRPr="006C1934">
              <w:t>usefulness of the information for Parties and future Parties.</w:t>
            </w:r>
          </w:p>
        </w:tc>
      </w:tr>
      <w:tr w:rsidR="00561B33" w:rsidRPr="00930D32" w14:paraId="555FE389" w14:textId="77777777" w:rsidTr="00C669E7">
        <w:trPr>
          <w:jc w:val="center"/>
        </w:trPr>
        <w:tc>
          <w:tcPr>
            <w:tcW w:w="1350" w:type="dxa"/>
            <w:vMerge/>
            <w:shd w:val="clear" w:color="auto" w:fill="auto"/>
          </w:tcPr>
          <w:p w14:paraId="6E69EEB4" w14:textId="77777777" w:rsidR="00561B33" w:rsidRPr="00930D32" w:rsidRDefault="00561B33" w:rsidP="00FC12EA">
            <w:pPr>
              <w:spacing w:before="40" w:after="120"/>
              <w:ind w:left="143" w:right="113"/>
              <w:rPr>
                <w:b/>
                <w:bCs/>
              </w:rPr>
            </w:pPr>
          </w:p>
        </w:tc>
        <w:tc>
          <w:tcPr>
            <w:tcW w:w="921" w:type="dxa"/>
            <w:vMerge/>
            <w:shd w:val="clear" w:color="auto" w:fill="auto"/>
          </w:tcPr>
          <w:p w14:paraId="70F7560A" w14:textId="77777777" w:rsidR="00561B33" w:rsidRPr="00930D32" w:rsidRDefault="00561B33" w:rsidP="00FC12EA">
            <w:pPr>
              <w:spacing w:before="40" w:after="120"/>
              <w:ind w:left="170" w:right="113"/>
              <w:rPr>
                <w:bCs/>
              </w:rPr>
            </w:pPr>
          </w:p>
        </w:tc>
        <w:tc>
          <w:tcPr>
            <w:tcW w:w="1845" w:type="dxa"/>
            <w:vMerge/>
            <w:shd w:val="clear" w:color="auto" w:fill="auto"/>
          </w:tcPr>
          <w:p w14:paraId="5BACB824" w14:textId="77777777" w:rsidR="00561B33" w:rsidRPr="00930D32" w:rsidRDefault="00561B33" w:rsidP="00FC12EA">
            <w:pPr>
              <w:spacing w:before="40" w:after="120"/>
              <w:ind w:left="284" w:right="113" w:hanging="142"/>
              <w:rPr>
                <w:b/>
                <w:bCs/>
              </w:rPr>
            </w:pPr>
          </w:p>
        </w:tc>
        <w:tc>
          <w:tcPr>
            <w:tcW w:w="3831" w:type="dxa"/>
            <w:shd w:val="clear" w:color="auto" w:fill="auto"/>
          </w:tcPr>
          <w:p w14:paraId="0C211652" w14:textId="77777777" w:rsidR="00561B33" w:rsidRPr="00325C8C" w:rsidRDefault="00E859C5" w:rsidP="00325C8C">
            <w:pPr>
              <w:spacing w:before="40" w:after="120" w:line="240" w:lineRule="auto"/>
              <w:ind w:left="176" w:right="113"/>
              <w:rPr>
                <w:bCs/>
              </w:rPr>
            </w:pPr>
            <w:r w:rsidRPr="00E859C5">
              <w:rPr>
                <w:bCs/>
              </w:rPr>
              <w:t>Workplan implementation status (ECE/MP.EIA/WG.2/2022/INF.6)</w:t>
            </w:r>
          </w:p>
          <w:p w14:paraId="6C620813" w14:textId="77777777" w:rsidR="00561B33" w:rsidRDefault="00561B33" w:rsidP="00325C8C">
            <w:pPr>
              <w:spacing w:before="40" w:after="120" w:line="240" w:lineRule="auto"/>
              <w:ind w:left="176" w:right="113"/>
              <w:rPr>
                <w:bCs/>
              </w:rPr>
            </w:pPr>
          </w:p>
          <w:p w14:paraId="07DCBB44" w14:textId="77777777" w:rsidR="00561B33" w:rsidRDefault="00561B33" w:rsidP="00325C8C">
            <w:pPr>
              <w:spacing w:before="40" w:after="120" w:line="240" w:lineRule="auto"/>
              <w:ind w:left="176" w:right="113"/>
              <w:rPr>
                <w:bCs/>
              </w:rPr>
            </w:pPr>
          </w:p>
          <w:p w14:paraId="3A08C4A5" w14:textId="77777777" w:rsidR="00561B33" w:rsidRPr="00930D32" w:rsidRDefault="00561B33" w:rsidP="00325C8C">
            <w:pPr>
              <w:spacing w:before="40" w:after="120" w:line="240" w:lineRule="auto"/>
              <w:ind w:left="176" w:right="113"/>
              <w:rPr>
                <w:bCs/>
              </w:rPr>
            </w:pPr>
            <w:r w:rsidRPr="00930D32">
              <w:rPr>
                <w:bCs/>
              </w:rPr>
              <w:t xml:space="preserve"> </w:t>
            </w:r>
          </w:p>
        </w:tc>
        <w:tc>
          <w:tcPr>
            <w:tcW w:w="4656" w:type="dxa"/>
            <w:shd w:val="clear" w:color="auto" w:fill="auto"/>
          </w:tcPr>
          <w:p w14:paraId="7D6CB678" w14:textId="77777777" w:rsidR="00561B33" w:rsidRPr="002B1BDF" w:rsidRDefault="00561B33" w:rsidP="002B1BDF">
            <w:pPr>
              <w:pStyle w:val="Bullet1G"/>
              <w:numPr>
                <w:ilvl w:val="0"/>
                <w:numId w:val="0"/>
              </w:numPr>
              <w:ind w:left="142" w:right="26"/>
            </w:pPr>
            <w:r w:rsidRPr="002B1BDF">
              <w:t>Representatives of</w:t>
            </w:r>
            <w:r w:rsidRPr="002B1BDF">
              <w:rPr>
                <w:b/>
                <w:bCs/>
              </w:rPr>
              <w:t xml:space="preserve"> Belarus, Kazakhstan, the Republic of Moldova, Tajikistan and Uzbekistan </w:t>
            </w:r>
            <w:r w:rsidRPr="002B1BDF">
              <w:t>will be invited to report on progress in establishing compliant legislation to implement the Convention and the Protocol, and, as appropriate, in ratifying or acceding to the treaties further to technical advice received</w:t>
            </w:r>
            <w:r w:rsidR="001526B7">
              <w:t>.</w:t>
            </w:r>
            <w:r w:rsidRPr="002B1BDF">
              <w:t xml:space="preserve"> </w:t>
            </w:r>
          </w:p>
          <w:p w14:paraId="4EA11334" w14:textId="77777777" w:rsidR="00561B33" w:rsidRDefault="00561B33" w:rsidP="002B1BDF">
            <w:pPr>
              <w:pStyle w:val="Bullet1G"/>
              <w:numPr>
                <w:ilvl w:val="0"/>
                <w:numId w:val="0"/>
              </w:numPr>
              <w:ind w:left="142" w:right="26"/>
              <w:rPr>
                <w:b/>
                <w:bCs/>
              </w:rPr>
            </w:pPr>
            <w:r w:rsidRPr="002B1BDF">
              <w:t>The delegations of</w:t>
            </w:r>
            <w:r w:rsidRPr="002B1BDF">
              <w:rPr>
                <w:b/>
                <w:bCs/>
              </w:rPr>
              <w:t xml:space="preserve"> </w:t>
            </w:r>
            <w:r w:rsidRPr="003F0401">
              <w:rPr>
                <w:b/>
                <w:bCs/>
              </w:rPr>
              <w:t>Ukraine and Romania</w:t>
            </w:r>
            <w:r w:rsidRPr="002B1BDF">
              <w:rPr>
                <w:b/>
                <w:bCs/>
              </w:rPr>
              <w:t xml:space="preserve"> </w:t>
            </w:r>
            <w:r w:rsidRPr="002B1BDF">
              <w:t>are invited to report on progress in finalizing a draft bilateral agreement.</w:t>
            </w:r>
            <w:r w:rsidRPr="002B1BDF">
              <w:rPr>
                <w:b/>
                <w:bCs/>
              </w:rPr>
              <w:t xml:space="preserve"> </w:t>
            </w:r>
          </w:p>
          <w:p w14:paraId="146A843D" w14:textId="77777777" w:rsidR="00A75C42" w:rsidRPr="00930D32" w:rsidRDefault="00A75C42" w:rsidP="002B1BDF">
            <w:pPr>
              <w:pStyle w:val="Bullet1G"/>
              <w:numPr>
                <w:ilvl w:val="0"/>
                <w:numId w:val="0"/>
              </w:numPr>
              <w:ind w:left="142" w:right="26"/>
              <w:rPr>
                <w:bCs/>
              </w:rPr>
            </w:pPr>
            <w:r w:rsidRPr="00A75C42">
              <w:rPr>
                <w:b/>
                <w:bCs/>
              </w:rPr>
              <w:t>The secretariat</w:t>
            </w:r>
            <w:r w:rsidRPr="0043011B">
              <w:t xml:space="preserve"> will be invited to complement the information, as needed.</w:t>
            </w:r>
          </w:p>
        </w:tc>
      </w:tr>
      <w:bookmarkEnd w:id="1"/>
      <w:tr w:rsidR="00561B33" w:rsidRPr="00930D32" w14:paraId="61DE019F" w14:textId="77777777" w:rsidTr="00C669E7">
        <w:trPr>
          <w:trHeight w:val="1752"/>
          <w:jc w:val="center"/>
        </w:trPr>
        <w:tc>
          <w:tcPr>
            <w:tcW w:w="1350" w:type="dxa"/>
            <w:vMerge/>
            <w:shd w:val="clear" w:color="auto" w:fill="auto"/>
          </w:tcPr>
          <w:p w14:paraId="5AA8F4A1" w14:textId="77777777" w:rsidR="00561B33" w:rsidRPr="00930D32" w:rsidRDefault="00561B33" w:rsidP="00FC12EA">
            <w:pPr>
              <w:spacing w:before="40" w:after="120"/>
              <w:ind w:left="143" w:right="113"/>
              <w:rPr>
                <w:b/>
                <w:bCs/>
              </w:rPr>
            </w:pPr>
          </w:p>
        </w:tc>
        <w:tc>
          <w:tcPr>
            <w:tcW w:w="921" w:type="dxa"/>
            <w:vMerge w:val="restart"/>
            <w:shd w:val="clear" w:color="auto" w:fill="auto"/>
          </w:tcPr>
          <w:p w14:paraId="1EBDB9FA" w14:textId="77777777" w:rsidR="00561B33" w:rsidRPr="00930D32" w:rsidRDefault="00561B33" w:rsidP="007D0C5C">
            <w:pPr>
              <w:spacing w:before="40" w:after="120"/>
              <w:ind w:left="170" w:right="113"/>
              <w:rPr>
                <w:bCs/>
              </w:rPr>
            </w:pPr>
            <w:r>
              <w:rPr>
                <w:bCs/>
              </w:rPr>
              <w:t>1</w:t>
            </w:r>
            <w:r w:rsidR="00016258">
              <w:rPr>
                <w:bCs/>
              </w:rPr>
              <w:t>6.30</w:t>
            </w:r>
            <w:r w:rsidRPr="00930D32">
              <w:rPr>
                <w:bCs/>
              </w:rPr>
              <w:t>–</w:t>
            </w:r>
            <w:r>
              <w:rPr>
                <w:bCs/>
              </w:rPr>
              <w:t>1</w:t>
            </w:r>
            <w:r w:rsidR="00016258">
              <w:rPr>
                <w:bCs/>
              </w:rPr>
              <w:t>8</w:t>
            </w:r>
          </w:p>
          <w:p w14:paraId="6F947E77" w14:textId="77777777" w:rsidR="00561B33" w:rsidRDefault="00561B33" w:rsidP="00FC12EA">
            <w:pPr>
              <w:spacing w:before="40" w:after="120"/>
              <w:ind w:left="170" w:right="113"/>
              <w:rPr>
                <w:bCs/>
              </w:rPr>
            </w:pPr>
          </w:p>
          <w:p w14:paraId="2EC4827C" w14:textId="77777777" w:rsidR="00561B33" w:rsidRDefault="00561B33" w:rsidP="00FC12EA">
            <w:pPr>
              <w:spacing w:before="40" w:after="120"/>
              <w:ind w:left="170" w:right="113"/>
              <w:rPr>
                <w:bCs/>
              </w:rPr>
            </w:pPr>
          </w:p>
          <w:p w14:paraId="43CE8E36" w14:textId="77777777" w:rsidR="00561B33" w:rsidRDefault="00561B33" w:rsidP="00FC12EA">
            <w:pPr>
              <w:spacing w:before="40" w:after="120"/>
              <w:ind w:left="170" w:right="113"/>
              <w:rPr>
                <w:bCs/>
              </w:rPr>
            </w:pPr>
          </w:p>
          <w:p w14:paraId="66328C2D" w14:textId="77777777" w:rsidR="00561B33" w:rsidRDefault="00561B33" w:rsidP="00FC12EA">
            <w:pPr>
              <w:spacing w:before="40" w:after="120"/>
              <w:ind w:left="170" w:right="113"/>
              <w:rPr>
                <w:bCs/>
              </w:rPr>
            </w:pPr>
          </w:p>
          <w:p w14:paraId="3C387D07" w14:textId="77777777" w:rsidR="00561B33" w:rsidRDefault="00561B33" w:rsidP="00FC12EA">
            <w:pPr>
              <w:spacing w:before="40" w:after="120"/>
              <w:ind w:left="170" w:right="113"/>
              <w:rPr>
                <w:bCs/>
              </w:rPr>
            </w:pPr>
          </w:p>
          <w:p w14:paraId="5E2157D9" w14:textId="77777777" w:rsidR="00561B33" w:rsidRDefault="00561B33" w:rsidP="00FC12EA">
            <w:pPr>
              <w:spacing w:before="40" w:after="120"/>
              <w:ind w:left="170" w:right="113"/>
              <w:rPr>
                <w:bCs/>
              </w:rPr>
            </w:pPr>
          </w:p>
          <w:p w14:paraId="403405A9" w14:textId="77777777" w:rsidR="00561B33" w:rsidRDefault="00561B33" w:rsidP="00FC12EA">
            <w:pPr>
              <w:spacing w:before="40" w:after="120"/>
              <w:ind w:left="170" w:right="113"/>
              <w:rPr>
                <w:bCs/>
              </w:rPr>
            </w:pPr>
          </w:p>
          <w:p w14:paraId="26C9F877" w14:textId="77777777" w:rsidR="00561B33" w:rsidRDefault="00561B33" w:rsidP="00FC12EA">
            <w:pPr>
              <w:spacing w:before="40" w:after="120"/>
              <w:ind w:left="170" w:right="113"/>
              <w:rPr>
                <w:bCs/>
              </w:rPr>
            </w:pPr>
          </w:p>
          <w:p w14:paraId="2D4DBF6E" w14:textId="77777777" w:rsidR="0078262F" w:rsidRDefault="0078262F" w:rsidP="006649C0">
            <w:pPr>
              <w:spacing w:before="40" w:after="120"/>
              <w:ind w:left="170" w:right="113"/>
              <w:rPr>
                <w:bCs/>
              </w:rPr>
            </w:pPr>
          </w:p>
          <w:p w14:paraId="1AB59C68" w14:textId="2B6B9CFD" w:rsidR="00561B33" w:rsidRPr="00930D32" w:rsidRDefault="00561B33" w:rsidP="006649C0">
            <w:pPr>
              <w:spacing w:before="40" w:after="120"/>
              <w:ind w:left="170" w:right="113"/>
              <w:rPr>
                <w:bCs/>
              </w:rPr>
            </w:pPr>
            <w:r>
              <w:rPr>
                <w:bCs/>
              </w:rPr>
              <w:t>1</w:t>
            </w:r>
            <w:r w:rsidR="000E7C69">
              <w:rPr>
                <w:bCs/>
              </w:rPr>
              <w:t>6.30</w:t>
            </w:r>
            <w:r>
              <w:rPr>
                <w:bCs/>
              </w:rPr>
              <w:t>-1</w:t>
            </w:r>
            <w:r w:rsidR="000E7C69">
              <w:rPr>
                <w:bCs/>
              </w:rPr>
              <w:t>8</w:t>
            </w:r>
            <w:r>
              <w:rPr>
                <w:bCs/>
              </w:rPr>
              <w:t xml:space="preserve"> </w:t>
            </w:r>
          </w:p>
        </w:tc>
        <w:tc>
          <w:tcPr>
            <w:tcW w:w="1845" w:type="dxa"/>
            <w:vMerge w:val="restart"/>
            <w:shd w:val="clear" w:color="auto" w:fill="auto"/>
          </w:tcPr>
          <w:p w14:paraId="443DF329" w14:textId="77777777" w:rsidR="00561B33" w:rsidRDefault="00640553" w:rsidP="00FC12EA">
            <w:pPr>
              <w:spacing w:before="40" w:after="120"/>
              <w:ind w:left="284" w:right="113" w:hanging="142"/>
              <w:rPr>
                <w:b/>
                <w:bCs/>
              </w:rPr>
            </w:pPr>
            <w:r>
              <w:rPr>
                <w:b/>
                <w:bCs/>
              </w:rPr>
              <w:lastRenderedPageBreak/>
              <w:t>5</w:t>
            </w:r>
            <w:r w:rsidR="00561B33" w:rsidRPr="00930D32">
              <w:rPr>
                <w:b/>
                <w:bCs/>
              </w:rPr>
              <w:t xml:space="preserve">. </w:t>
            </w:r>
            <w:r w:rsidR="00561B33" w:rsidRPr="007D183F">
              <w:rPr>
                <w:b/>
                <w:bCs/>
              </w:rPr>
              <w:t>Promoting practical application of the Convention and the Protocol</w:t>
            </w:r>
          </w:p>
          <w:p w14:paraId="17A63A46" w14:textId="77777777" w:rsidR="00561B33" w:rsidRDefault="00561B33" w:rsidP="00FC12EA">
            <w:pPr>
              <w:spacing w:before="40" w:after="120"/>
              <w:ind w:left="284" w:right="113" w:hanging="142"/>
              <w:rPr>
                <w:b/>
                <w:bCs/>
              </w:rPr>
            </w:pPr>
            <w:r>
              <w:rPr>
                <w:b/>
                <w:bCs/>
              </w:rPr>
              <w:t xml:space="preserve">(a) </w:t>
            </w:r>
            <w:r w:rsidRPr="00583F5D">
              <w:rPr>
                <w:b/>
                <w:bCs/>
              </w:rPr>
              <w:t xml:space="preserve">Subregional cooperation and </w:t>
            </w:r>
            <w:r w:rsidRPr="00583F5D">
              <w:rPr>
                <w:b/>
                <w:bCs/>
              </w:rPr>
              <w:lastRenderedPageBreak/>
              <w:t xml:space="preserve">capacity-building </w:t>
            </w:r>
          </w:p>
          <w:p w14:paraId="5F1642C1" w14:textId="77777777" w:rsidR="00561B33" w:rsidRDefault="00561B33" w:rsidP="00FC12EA">
            <w:pPr>
              <w:spacing w:before="40" w:after="120"/>
              <w:ind w:left="284" w:right="113" w:hanging="142"/>
              <w:rPr>
                <w:b/>
                <w:bCs/>
              </w:rPr>
            </w:pPr>
          </w:p>
          <w:p w14:paraId="740BD035" w14:textId="77777777" w:rsidR="00561B33" w:rsidRDefault="00561B33" w:rsidP="00FC12EA">
            <w:pPr>
              <w:spacing w:before="40" w:after="120"/>
              <w:ind w:left="284" w:right="113" w:hanging="142"/>
              <w:rPr>
                <w:b/>
                <w:bCs/>
              </w:rPr>
            </w:pPr>
          </w:p>
          <w:p w14:paraId="043F8941" w14:textId="77777777" w:rsidR="001526B7" w:rsidRDefault="001526B7" w:rsidP="00FC12EA">
            <w:pPr>
              <w:spacing w:before="40" w:after="120"/>
              <w:ind w:left="284" w:right="113" w:hanging="142"/>
              <w:rPr>
                <w:b/>
                <w:bCs/>
              </w:rPr>
            </w:pPr>
          </w:p>
          <w:p w14:paraId="148129CE" w14:textId="77777777" w:rsidR="0078262F" w:rsidRDefault="0078262F" w:rsidP="00683B3F">
            <w:pPr>
              <w:spacing w:before="40" w:after="120"/>
              <w:ind w:left="284" w:right="113" w:hanging="142"/>
              <w:rPr>
                <w:b/>
                <w:bCs/>
              </w:rPr>
            </w:pPr>
          </w:p>
          <w:p w14:paraId="3A2D773D" w14:textId="34511C51" w:rsidR="00561B33" w:rsidRDefault="00640553" w:rsidP="00683B3F">
            <w:pPr>
              <w:spacing w:before="40" w:after="120"/>
              <w:ind w:left="284" w:right="113" w:hanging="142"/>
              <w:rPr>
                <w:b/>
                <w:bCs/>
              </w:rPr>
            </w:pPr>
            <w:r>
              <w:rPr>
                <w:b/>
                <w:bCs/>
              </w:rPr>
              <w:t xml:space="preserve">5 </w:t>
            </w:r>
            <w:r w:rsidR="00561B33">
              <w:rPr>
                <w:b/>
                <w:bCs/>
              </w:rPr>
              <w:t xml:space="preserve">(a) </w:t>
            </w:r>
            <w:r w:rsidR="00561B33" w:rsidRPr="00583F5D">
              <w:rPr>
                <w:b/>
                <w:bCs/>
              </w:rPr>
              <w:t xml:space="preserve">Subregional cooperation and capacity-building </w:t>
            </w:r>
            <w:r w:rsidR="003E0ACF">
              <w:rPr>
                <w:b/>
                <w:bCs/>
              </w:rPr>
              <w:t xml:space="preserve"> (</w:t>
            </w:r>
            <w:r w:rsidR="003E0ACF" w:rsidRPr="00C22A61">
              <w:rPr>
                <w:b/>
                <w:bCs/>
                <w:i/>
                <w:iCs/>
              </w:rPr>
              <w:t>cont’d</w:t>
            </w:r>
            <w:r w:rsidR="003E0ACF">
              <w:rPr>
                <w:b/>
                <w:bCs/>
              </w:rPr>
              <w:t>)</w:t>
            </w:r>
          </w:p>
          <w:p w14:paraId="7D4429DC" w14:textId="77777777" w:rsidR="00561B33" w:rsidRDefault="00561B33" w:rsidP="00FC12EA">
            <w:pPr>
              <w:spacing w:before="40" w:after="120"/>
              <w:ind w:left="284" w:right="113" w:hanging="142"/>
              <w:rPr>
                <w:b/>
                <w:bCs/>
              </w:rPr>
            </w:pPr>
          </w:p>
          <w:p w14:paraId="3B06E0CC" w14:textId="77777777" w:rsidR="00561B33" w:rsidRPr="00930D32" w:rsidRDefault="00561B33" w:rsidP="00FC12EA">
            <w:pPr>
              <w:spacing w:before="40" w:after="120"/>
              <w:ind w:left="284" w:right="113" w:hanging="142"/>
              <w:rPr>
                <w:b/>
                <w:bCs/>
              </w:rPr>
            </w:pPr>
          </w:p>
        </w:tc>
        <w:tc>
          <w:tcPr>
            <w:tcW w:w="3831" w:type="dxa"/>
            <w:vMerge w:val="restart"/>
            <w:shd w:val="clear" w:color="auto" w:fill="auto"/>
          </w:tcPr>
          <w:p w14:paraId="11EABFF7" w14:textId="77777777" w:rsidR="00A639CE" w:rsidRPr="00A639CE" w:rsidRDefault="00A639CE" w:rsidP="00A639CE">
            <w:pPr>
              <w:spacing w:before="40" w:after="120" w:line="240" w:lineRule="auto"/>
              <w:ind w:left="176" w:right="113"/>
              <w:rPr>
                <w:bCs/>
              </w:rPr>
            </w:pPr>
            <w:r w:rsidRPr="00A639CE">
              <w:rPr>
                <w:bCs/>
              </w:rPr>
              <w:lastRenderedPageBreak/>
              <w:t>Workplan implementation status (ECE/MP.EIA/WG.2/2022/INF.6)</w:t>
            </w:r>
          </w:p>
          <w:p w14:paraId="75D30FA3" w14:textId="77777777" w:rsidR="00561B33" w:rsidRDefault="00A639CE" w:rsidP="00A639CE">
            <w:pPr>
              <w:spacing w:before="40" w:after="120" w:line="240" w:lineRule="auto"/>
              <w:ind w:left="176" w:right="113"/>
              <w:rPr>
                <w:bCs/>
              </w:rPr>
            </w:pPr>
            <w:r w:rsidRPr="00A639CE">
              <w:rPr>
                <w:bCs/>
              </w:rPr>
              <w:t>Draft assessment report on identification of synergies and possible cooperation activities in marine regions (ECE/MP.EIA/WG.2/2022/INF.10)</w:t>
            </w:r>
          </w:p>
          <w:p w14:paraId="3D0BE729" w14:textId="77777777" w:rsidR="001E6D33" w:rsidRDefault="001E6D33" w:rsidP="00A639CE">
            <w:pPr>
              <w:spacing w:before="40" w:after="120" w:line="240" w:lineRule="auto"/>
              <w:ind w:left="176" w:right="113"/>
              <w:rPr>
                <w:bCs/>
              </w:rPr>
            </w:pPr>
          </w:p>
          <w:p w14:paraId="0CAFEEFB" w14:textId="77777777" w:rsidR="001E6D33" w:rsidRDefault="001E6D33" w:rsidP="00A639CE">
            <w:pPr>
              <w:spacing w:before="40" w:after="120" w:line="240" w:lineRule="auto"/>
              <w:ind w:left="176" w:right="113"/>
              <w:rPr>
                <w:bCs/>
              </w:rPr>
            </w:pPr>
          </w:p>
          <w:p w14:paraId="546FD9EA" w14:textId="77777777" w:rsidR="001E6D33" w:rsidRDefault="001E6D33" w:rsidP="00A639CE">
            <w:pPr>
              <w:spacing w:before="40" w:after="120" w:line="240" w:lineRule="auto"/>
              <w:ind w:left="176" w:right="113"/>
              <w:rPr>
                <w:bCs/>
              </w:rPr>
            </w:pPr>
          </w:p>
          <w:p w14:paraId="6207D1D4" w14:textId="77777777" w:rsidR="001E6D33" w:rsidRDefault="001E6D33" w:rsidP="00A639CE">
            <w:pPr>
              <w:spacing w:before="40" w:after="120" w:line="240" w:lineRule="auto"/>
              <w:ind w:left="176" w:right="113"/>
              <w:rPr>
                <w:bCs/>
              </w:rPr>
            </w:pPr>
          </w:p>
          <w:p w14:paraId="61099A77" w14:textId="77777777" w:rsidR="001E6D33" w:rsidRDefault="001E6D33" w:rsidP="00A639CE">
            <w:pPr>
              <w:spacing w:before="40" w:after="120" w:line="240" w:lineRule="auto"/>
              <w:ind w:left="176" w:right="113"/>
              <w:rPr>
                <w:bCs/>
              </w:rPr>
            </w:pPr>
          </w:p>
          <w:p w14:paraId="4877A903" w14:textId="77777777" w:rsidR="001E6D33" w:rsidRDefault="001E6D33" w:rsidP="00A639CE">
            <w:pPr>
              <w:spacing w:before="40" w:after="120" w:line="240" w:lineRule="auto"/>
              <w:ind w:left="176" w:right="113"/>
              <w:rPr>
                <w:bCs/>
              </w:rPr>
            </w:pPr>
          </w:p>
          <w:p w14:paraId="319BB381" w14:textId="77777777" w:rsidR="001E6D33" w:rsidRDefault="001E6D33" w:rsidP="00A639CE">
            <w:pPr>
              <w:spacing w:before="40" w:after="120" w:line="240" w:lineRule="auto"/>
              <w:ind w:left="176" w:right="113"/>
              <w:rPr>
                <w:bCs/>
              </w:rPr>
            </w:pPr>
          </w:p>
          <w:p w14:paraId="3D42266B" w14:textId="77777777" w:rsidR="001E6D33" w:rsidRDefault="001E6D33" w:rsidP="00A639CE">
            <w:pPr>
              <w:spacing w:before="40" w:after="120" w:line="240" w:lineRule="auto"/>
              <w:ind w:left="176" w:right="113"/>
              <w:rPr>
                <w:bCs/>
              </w:rPr>
            </w:pPr>
          </w:p>
          <w:p w14:paraId="2DC8A672" w14:textId="77777777" w:rsidR="001E6D33" w:rsidRDefault="001E6D33" w:rsidP="00A639CE">
            <w:pPr>
              <w:spacing w:before="40" w:after="120" w:line="240" w:lineRule="auto"/>
              <w:ind w:left="176" w:right="113"/>
              <w:rPr>
                <w:bCs/>
              </w:rPr>
            </w:pPr>
          </w:p>
          <w:p w14:paraId="05A63983" w14:textId="77777777" w:rsidR="001E6D33" w:rsidRDefault="001E6D33" w:rsidP="00A639CE">
            <w:pPr>
              <w:spacing w:before="40" w:after="120" w:line="240" w:lineRule="auto"/>
              <w:ind w:left="176" w:right="113"/>
              <w:rPr>
                <w:bCs/>
              </w:rPr>
            </w:pPr>
          </w:p>
          <w:p w14:paraId="54F8FEC0" w14:textId="77777777" w:rsidR="001E6D33" w:rsidRDefault="001E6D33" w:rsidP="00A639CE">
            <w:pPr>
              <w:spacing w:before="40" w:after="120" w:line="240" w:lineRule="auto"/>
              <w:ind w:left="176" w:right="113"/>
              <w:rPr>
                <w:bCs/>
              </w:rPr>
            </w:pPr>
          </w:p>
          <w:p w14:paraId="6F51F360" w14:textId="77777777" w:rsidR="001E6D33" w:rsidRDefault="001E6D33" w:rsidP="00A639CE">
            <w:pPr>
              <w:spacing w:before="40" w:after="120" w:line="240" w:lineRule="auto"/>
              <w:ind w:left="176" w:right="113"/>
              <w:rPr>
                <w:bCs/>
              </w:rPr>
            </w:pPr>
          </w:p>
          <w:p w14:paraId="35F28BBB" w14:textId="77777777" w:rsidR="001E6D33" w:rsidRDefault="001E6D33" w:rsidP="00A639CE">
            <w:pPr>
              <w:spacing w:before="40" w:after="120" w:line="240" w:lineRule="auto"/>
              <w:ind w:left="176" w:right="113"/>
              <w:rPr>
                <w:bCs/>
              </w:rPr>
            </w:pPr>
          </w:p>
          <w:p w14:paraId="34E76777" w14:textId="77777777" w:rsidR="004C3A04" w:rsidRDefault="004C3A04" w:rsidP="00A639CE">
            <w:pPr>
              <w:spacing w:before="40" w:after="120" w:line="240" w:lineRule="auto"/>
              <w:ind w:left="176" w:right="113"/>
              <w:rPr>
                <w:bCs/>
              </w:rPr>
            </w:pPr>
          </w:p>
          <w:p w14:paraId="2C79149A" w14:textId="77777777" w:rsidR="001E6D33" w:rsidRDefault="001E6D33" w:rsidP="00A639CE">
            <w:pPr>
              <w:spacing w:before="40" w:after="120" w:line="240" w:lineRule="auto"/>
              <w:ind w:left="176" w:right="113"/>
              <w:rPr>
                <w:bCs/>
              </w:rPr>
            </w:pPr>
          </w:p>
          <w:p w14:paraId="3C181FA7" w14:textId="77777777" w:rsidR="001E6D33" w:rsidRPr="0009264E" w:rsidRDefault="001E6D33" w:rsidP="00A639CE">
            <w:pPr>
              <w:spacing w:before="40" w:after="120" w:line="240" w:lineRule="auto"/>
              <w:ind w:left="176" w:right="113"/>
              <w:rPr>
                <w:color w:val="4472C4"/>
              </w:rPr>
            </w:pPr>
            <w:r>
              <w:rPr>
                <w:bCs/>
              </w:rPr>
              <w:t>See</w:t>
            </w:r>
            <w:r w:rsidR="004C3A04">
              <w:rPr>
                <w:bCs/>
              </w:rPr>
              <w:t>: the r</w:t>
            </w:r>
            <w:r>
              <w:rPr>
                <w:bCs/>
              </w:rPr>
              <w:t xml:space="preserve">eport </w:t>
            </w:r>
            <w:r w:rsidR="008F1F54">
              <w:rPr>
                <w:bCs/>
              </w:rPr>
              <w:t xml:space="preserve">on and presentations made at </w:t>
            </w:r>
            <w:hyperlink r:id="rId18" w:history="1">
              <w:r w:rsidR="008F1F54" w:rsidRPr="004C3A04">
                <w:rPr>
                  <w:rStyle w:val="Hyperlink"/>
                  <w:bCs/>
                </w:rPr>
                <w:t>t</w:t>
              </w:r>
              <w:r w:rsidRPr="004C3A04">
                <w:rPr>
                  <w:rStyle w:val="Hyperlink"/>
                  <w:bCs/>
                </w:rPr>
                <w:t>he 12</w:t>
              </w:r>
              <w:r w:rsidRPr="004C3A04">
                <w:rPr>
                  <w:rStyle w:val="Hyperlink"/>
                  <w:bCs/>
                  <w:vertAlign w:val="superscript"/>
                </w:rPr>
                <w:t>th</w:t>
              </w:r>
              <w:r w:rsidRPr="004C3A04">
                <w:rPr>
                  <w:rStyle w:val="Hyperlink"/>
                  <w:bCs/>
                </w:rPr>
                <w:t xml:space="preserve"> </w:t>
              </w:r>
              <w:r w:rsidRPr="004C3A04">
                <w:rPr>
                  <w:rStyle w:val="Hyperlink"/>
                </w:rPr>
                <w:t>Baltic Sea subregional meeting (Warsaw, 14–15 June 2022)</w:t>
              </w:r>
            </w:hyperlink>
          </w:p>
          <w:p w14:paraId="04831CFE" w14:textId="77777777" w:rsidR="001E6D33" w:rsidRDefault="001E6D33" w:rsidP="00A639CE">
            <w:pPr>
              <w:spacing w:before="40" w:after="120" w:line="240" w:lineRule="auto"/>
              <w:ind w:left="176" w:right="113"/>
            </w:pPr>
          </w:p>
          <w:p w14:paraId="34FBEF27" w14:textId="77777777" w:rsidR="001E6D33" w:rsidRDefault="001E6D33" w:rsidP="00A639CE">
            <w:pPr>
              <w:spacing w:before="40" w:after="120" w:line="240" w:lineRule="auto"/>
              <w:ind w:left="176" w:right="113"/>
            </w:pPr>
          </w:p>
          <w:p w14:paraId="40126B75" w14:textId="77777777" w:rsidR="004C3A04" w:rsidRPr="00DC69C2" w:rsidRDefault="001E6D33" w:rsidP="004C3A04">
            <w:pPr>
              <w:spacing w:before="40" w:after="120" w:line="240" w:lineRule="auto"/>
              <w:ind w:left="176" w:right="113"/>
              <w:rPr>
                <w:bCs/>
              </w:rPr>
            </w:pPr>
            <w:r>
              <w:t>See</w:t>
            </w:r>
            <w:r w:rsidR="004C3A04">
              <w:t>:</w:t>
            </w:r>
            <w:r>
              <w:t xml:space="preserve"> the report on</w:t>
            </w:r>
            <w:r w:rsidR="004C3A04">
              <w:t xml:space="preserve"> and presentations made at </w:t>
            </w:r>
            <w:hyperlink r:id="rId19" w:history="1">
              <w:r w:rsidR="004C3A04" w:rsidRPr="004C3A04">
                <w:rPr>
                  <w:rStyle w:val="Hyperlink"/>
                </w:rPr>
                <w:t>the</w:t>
              </w:r>
              <w:r w:rsidRPr="004C3A04">
                <w:rPr>
                  <w:rStyle w:val="Hyperlink"/>
                </w:rPr>
                <w:t xml:space="preserve"> 2</w:t>
              </w:r>
              <w:r w:rsidRPr="004C3A04">
                <w:rPr>
                  <w:rStyle w:val="Hyperlink"/>
                  <w:vertAlign w:val="superscript"/>
                </w:rPr>
                <w:t>nd</w:t>
              </w:r>
              <w:r w:rsidRPr="004C3A04">
                <w:rPr>
                  <w:rStyle w:val="Hyperlink"/>
                </w:rPr>
                <w:t xml:space="preserve"> subregional workshop on the practical application of SEA and transboundary EIA for Eastern Europe and the Caucasus (Online, 29 June 2022),</w:t>
              </w:r>
            </w:hyperlink>
            <w:r w:rsidR="004C3A04">
              <w:t xml:space="preserve"> -  (including on health in SEA)</w:t>
            </w:r>
          </w:p>
        </w:tc>
        <w:tc>
          <w:tcPr>
            <w:tcW w:w="4656" w:type="dxa"/>
            <w:tcBorders>
              <w:bottom w:val="dashSmallGap" w:sz="4" w:space="0" w:color="auto"/>
            </w:tcBorders>
            <w:shd w:val="clear" w:color="auto" w:fill="auto"/>
          </w:tcPr>
          <w:p w14:paraId="1DB13B80" w14:textId="77777777" w:rsidR="00382F3D" w:rsidRPr="00382F3D" w:rsidRDefault="00382F3D" w:rsidP="00382F3D">
            <w:pPr>
              <w:pStyle w:val="Bullet1G"/>
              <w:numPr>
                <w:ilvl w:val="0"/>
                <w:numId w:val="0"/>
              </w:numPr>
              <w:ind w:left="142" w:right="26"/>
            </w:pPr>
            <w:r w:rsidRPr="00382F3D">
              <w:rPr>
                <w:b/>
                <w:bCs/>
              </w:rPr>
              <w:lastRenderedPageBreak/>
              <w:t>The secretariat and its consultant</w:t>
            </w:r>
            <w:r w:rsidR="008F1F54">
              <w:rPr>
                <w:b/>
                <w:bCs/>
              </w:rPr>
              <w:t>(</w:t>
            </w:r>
            <w:r w:rsidRPr="00382F3D">
              <w:rPr>
                <w:b/>
                <w:bCs/>
              </w:rPr>
              <w:t>s</w:t>
            </w:r>
            <w:r w:rsidR="008F1F54">
              <w:rPr>
                <w:b/>
                <w:bCs/>
              </w:rPr>
              <w:t>)</w:t>
            </w:r>
            <w:r w:rsidRPr="00382F3D">
              <w:t xml:space="preserve"> will present progress in implementing activities funded by Italy in marine regions:</w:t>
            </w:r>
          </w:p>
          <w:p w14:paraId="334468BB" w14:textId="77777777" w:rsidR="001526B7" w:rsidRDefault="00382F3D" w:rsidP="00F019C9">
            <w:pPr>
              <w:pStyle w:val="Bullet1G"/>
              <w:numPr>
                <w:ilvl w:val="0"/>
                <w:numId w:val="5"/>
              </w:numPr>
              <w:ind w:right="26"/>
              <w:rPr>
                <w:bCs/>
              </w:rPr>
            </w:pPr>
            <w:r w:rsidRPr="00382F3D">
              <w:rPr>
                <w:bCs/>
              </w:rPr>
              <w:t>A draft assessment report on identifying synergies and possible future cooperation activities in marine regions</w:t>
            </w:r>
            <w:r>
              <w:rPr>
                <w:bCs/>
              </w:rPr>
              <w:t>;</w:t>
            </w:r>
          </w:p>
          <w:p w14:paraId="62728F7E" w14:textId="77777777" w:rsidR="00382F3D" w:rsidRDefault="00382F3D" w:rsidP="00F019C9">
            <w:pPr>
              <w:pStyle w:val="Bullet1G"/>
              <w:numPr>
                <w:ilvl w:val="0"/>
                <w:numId w:val="5"/>
              </w:numPr>
              <w:ind w:right="26"/>
              <w:rPr>
                <w:bCs/>
              </w:rPr>
            </w:pPr>
            <w:r w:rsidRPr="00382F3D">
              <w:rPr>
                <w:bCs/>
              </w:rPr>
              <w:t>The second joint technical meeting:</w:t>
            </w:r>
            <w:r w:rsidR="00CB7420">
              <w:rPr>
                <w:bCs/>
              </w:rPr>
              <w:t xml:space="preserve"> </w:t>
            </w:r>
            <w:r w:rsidRPr="00382F3D">
              <w:rPr>
                <w:bCs/>
              </w:rPr>
              <w:t xml:space="preserve">(Geneva </w:t>
            </w:r>
            <w:r w:rsidRPr="00382F3D">
              <w:rPr>
                <w:bCs/>
              </w:rPr>
              <w:lastRenderedPageBreak/>
              <w:t>(online), 16 June 2022)</w:t>
            </w:r>
            <w:r>
              <w:rPr>
                <w:bCs/>
              </w:rPr>
              <w:t>;</w:t>
            </w:r>
          </w:p>
          <w:p w14:paraId="5FF7D280" w14:textId="77777777" w:rsidR="00CB7420" w:rsidRDefault="00CB7420" w:rsidP="00F019C9">
            <w:pPr>
              <w:pStyle w:val="Bullet1G"/>
              <w:numPr>
                <w:ilvl w:val="0"/>
                <w:numId w:val="5"/>
              </w:numPr>
              <w:ind w:right="26"/>
              <w:rPr>
                <w:bCs/>
              </w:rPr>
            </w:pPr>
            <w:r>
              <w:rPr>
                <w:bCs/>
              </w:rPr>
              <w:t>Collection of good practice case studies</w:t>
            </w:r>
          </w:p>
          <w:p w14:paraId="415370C3" w14:textId="77777777" w:rsidR="00382F3D" w:rsidRDefault="00382F3D" w:rsidP="00382F3D">
            <w:pPr>
              <w:pStyle w:val="Bullet1G"/>
              <w:numPr>
                <w:ilvl w:val="0"/>
                <w:numId w:val="0"/>
              </w:numPr>
              <w:ind w:left="142" w:right="26"/>
              <w:rPr>
                <w:bCs/>
              </w:rPr>
            </w:pPr>
            <w:r w:rsidRPr="00382F3D">
              <w:rPr>
                <w:b/>
              </w:rPr>
              <w:t>The Working Group</w:t>
            </w:r>
            <w:r w:rsidRPr="00382F3D">
              <w:rPr>
                <w:bCs/>
              </w:rPr>
              <w:t xml:space="preserve"> will be invited to comment on the draft assessment report and provide advice on its further development, focusing in particular on the proposed possible cooperation activities in 2024–2026 and beyond</w:t>
            </w:r>
            <w:r w:rsidR="00CB7420">
              <w:rPr>
                <w:bCs/>
              </w:rPr>
              <w:t xml:space="preserve"> (in section IV)</w:t>
            </w:r>
            <w:r w:rsidRPr="00382F3D">
              <w:rPr>
                <w:bCs/>
              </w:rPr>
              <w:t xml:space="preserve">, indicating priorities, proposing further activities and volunteering to contribute to and/or fund their implementation. </w:t>
            </w:r>
          </w:p>
          <w:p w14:paraId="3919B0C6" w14:textId="77777777" w:rsidR="00CB7420" w:rsidRDefault="00CB7420" w:rsidP="00382F3D">
            <w:pPr>
              <w:pStyle w:val="Bullet1G"/>
              <w:numPr>
                <w:ilvl w:val="0"/>
                <w:numId w:val="0"/>
              </w:numPr>
              <w:ind w:left="142" w:right="26"/>
              <w:rPr>
                <w:bCs/>
              </w:rPr>
            </w:pPr>
            <w:r w:rsidRPr="008F1F54">
              <w:rPr>
                <w:b/>
              </w:rPr>
              <w:t>Delegations of Estonia, Poland</w:t>
            </w:r>
            <w:r w:rsidR="008F1F54" w:rsidRPr="008F1F54">
              <w:rPr>
                <w:b/>
              </w:rPr>
              <w:t xml:space="preserve"> and</w:t>
            </w:r>
            <w:r w:rsidRPr="008F1F54">
              <w:rPr>
                <w:b/>
              </w:rPr>
              <w:t xml:space="preserve"> Slovenia </w:t>
            </w:r>
            <w:r w:rsidRPr="008F1F54">
              <w:rPr>
                <w:bCs/>
              </w:rPr>
              <w:t>may wish to briefly</w:t>
            </w:r>
            <w:r w:rsidR="001E6D33" w:rsidRPr="008F1F54">
              <w:rPr>
                <w:bCs/>
              </w:rPr>
              <w:t xml:space="preserve"> (5 min) present their g</w:t>
            </w:r>
            <w:r w:rsidRPr="008F1F54">
              <w:rPr>
                <w:bCs/>
              </w:rPr>
              <w:t>ood practice case studies on the application of the Convention and the Protocol in marine regions.</w:t>
            </w:r>
          </w:p>
          <w:p w14:paraId="299F5DCB" w14:textId="77777777" w:rsidR="00382F3D" w:rsidRPr="00930D32" w:rsidRDefault="00382F3D" w:rsidP="00382F3D">
            <w:pPr>
              <w:pStyle w:val="Bullet1G"/>
              <w:numPr>
                <w:ilvl w:val="0"/>
                <w:numId w:val="0"/>
              </w:numPr>
              <w:ind w:left="142" w:right="26"/>
              <w:rPr>
                <w:bCs/>
              </w:rPr>
            </w:pPr>
            <w:r w:rsidRPr="00382F3D">
              <w:rPr>
                <w:b/>
              </w:rPr>
              <w:t>Delegations</w:t>
            </w:r>
            <w:r w:rsidRPr="00382F3D">
              <w:rPr>
                <w:bCs/>
              </w:rPr>
              <w:t xml:space="preserve"> will be invited to indicate </w:t>
            </w:r>
            <w:r w:rsidR="001E6D33">
              <w:rPr>
                <w:bCs/>
              </w:rPr>
              <w:t xml:space="preserve">further </w:t>
            </w:r>
            <w:r w:rsidRPr="00382F3D">
              <w:rPr>
                <w:bCs/>
              </w:rPr>
              <w:t>relevant experience of their countries that could be included in the collection of case studies with drafting support from the consultants.</w:t>
            </w:r>
          </w:p>
        </w:tc>
      </w:tr>
      <w:tr w:rsidR="00561B33" w:rsidRPr="00930D32" w14:paraId="7F0FCE03" w14:textId="77777777" w:rsidTr="00C669E7">
        <w:trPr>
          <w:trHeight w:val="1043"/>
          <w:jc w:val="center"/>
        </w:trPr>
        <w:tc>
          <w:tcPr>
            <w:tcW w:w="1350" w:type="dxa"/>
            <w:vMerge/>
            <w:shd w:val="clear" w:color="auto" w:fill="auto"/>
          </w:tcPr>
          <w:p w14:paraId="1CF1188A" w14:textId="77777777" w:rsidR="00561B33" w:rsidRPr="00930D32" w:rsidRDefault="00561B33" w:rsidP="00FC12EA">
            <w:pPr>
              <w:spacing w:before="40" w:after="120"/>
              <w:ind w:left="143" w:right="113"/>
              <w:rPr>
                <w:b/>
                <w:bCs/>
              </w:rPr>
            </w:pPr>
          </w:p>
        </w:tc>
        <w:tc>
          <w:tcPr>
            <w:tcW w:w="921" w:type="dxa"/>
            <w:vMerge/>
            <w:shd w:val="clear" w:color="auto" w:fill="auto"/>
          </w:tcPr>
          <w:p w14:paraId="68472F8F" w14:textId="77777777" w:rsidR="00561B33" w:rsidRPr="00930D32" w:rsidRDefault="00561B33" w:rsidP="00FC12EA">
            <w:pPr>
              <w:spacing w:before="40" w:after="120"/>
              <w:ind w:left="170" w:right="113"/>
              <w:rPr>
                <w:bCs/>
              </w:rPr>
            </w:pPr>
          </w:p>
        </w:tc>
        <w:tc>
          <w:tcPr>
            <w:tcW w:w="1845" w:type="dxa"/>
            <w:vMerge/>
            <w:shd w:val="clear" w:color="auto" w:fill="auto"/>
          </w:tcPr>
          <w:p w14:paraId="0DF88174" w14:textId="77777777" w:rsidR="00561B33" w:rsidRDefault="00561B33" w:rsidP="00FC12EA">
            <w:pPr>
              <w:spacing w:before="40" w:after="120"/>
              <w:ind w:left="284" w:right="113" w:hanging="142"/>
              <w:rPr>
                <w:b/>
                <w:bCs/>
              </w:rPr>
            </w:pPr>
          </w:p>
        </w:tc>
        <w:tc>
          <w:tcPr>
            <w:tcW w:w="3831" w:type="dxa"/>
            <w:vMerge/>
            <w:shd w:val="clear" w:color="auto" w:fill="auto"/>
          </w:tcPr>
          <w:p w14:paraId="118B0653" w14:textId="77777777" w:rsidR="00561B33" w:rsidRPr="00911002" w:rsidRDefault="00561B33" w:rsidP="00911002">
            <w:pPr>
              <w:spacing w:before="40" w:after="120" w:line="240" w:lineRule="auto"/>
              <w:ind w:left="176" w:right="113"/>
              <w:rPr>
                <w:bCs/>
              </w:rPr>
            </w:pPr>
          </w:p>
        </w:tc>
        <w:tc>
          <w:tcPr>
            <w:tcW w:w="4656" w:type="dxa"/>
            <w:tcBorders>
              <w:bottom w:val="dashSmallGap" w:sz="4" w:space="0" w:color="auto"/>
            </w:tcBorders>
            <w:shd w:val="clear" w:color="auto" w:fill="auto"/>
          </w:tcPr>
          <w:p w14:paraId="1D7E670F" w14:textId="77777777" w:rsidR="00561B33" w:rsidRDefault="001526B7" w:rsidP="007D0C5C">
            <w:pPr>
              <w:pStyle w:val="Bullet1G"/>
              <w:numPr>
                <w:ilvl w:val="0"/>
                <w:numId w:val="0"/>
              </w:numPr>
              <w:ind w:left="142" w:right="26"/>
            </w:pPr>
            <w:r>
              <w:rPr>
                <w:b/>
                <w:bCs/>
              </w:rPr>
              <w:t>A r</w:t>
            </w:r>
            <w:r w:rsidR="00561B33" w:rsidRPr="00930D32">
              <w:rPr>
                <w:b/>
                <w:bCs/>
              </w:rPr>
              <w:t>epresentative of</w:t>
            </w:r>
            <w:r w:rsidR="00382F3D">
              <w:rPr>
                <w:b/>
                <w:bCs/>
              </w:rPr>
              <w:t xml:space="preserve"> Poland</w:t>
            </w:r>
            <w:r w:rsidR="00561B33">
              <w:rPr>
                <w:b/>
                <w:bCs/>
              </w:rPr>
              <w:t xml:space="preserve"> </w:t>
            </w:r>
            <w:r w:rsidR="00561B33" w:rsidRPr="00930D32">
              <w:rPr>
                <w:bCs/>
              </w:rPr>
              <w:t xml:space="preserve">will be invited to report </w:t>
            </w:r>
            <w:r>
              <w:rPr>
                <w:bCs/>
              </w:rPr>
              <w:t xml:space="preserve">on </w:t>
            </w:r>
            <w:r w:rsidR="001E6D33">
              <w:rPr>
                <w:bCs/>
              </w:rPr>
              <w:t>the 12</w:t>
            </w:r>
            <w:r w:rsidR="001E6D33" w:rsidRPr="001E6D33">
              <w:rPr>
                <w:bCs/>
                <w:vertAlign w:val="superscript"/>
              </w:rPr>
              <w:t>th</w:t>
            </w:r>
            <w:r w:rsidR="001E6D33">
              <w:rPr>
                <w:bCs/>
              </w:rPr>
              <w:t xml:space="preserve"> </w:t>
            </w:r>
            <w:r w:rsidR="00382F3D">
              <w:t xml:space="preserve">Baltic Sea subregional meeting </w:t>
            </w:r>
            <w:r w:rsidR="001E6D33">
              <w:t xml:space="preserve">(Warsaw, </w:t>
            </w:r>
            <w:r w:rsidR="00382F3D">
              <w:t xml:space="preserve">14–15 June </w:t>
            </w:r>
            <w:r w:rsidR="00382F3D" w:rsidRPr="00ED6F3F">
              <w:t>2022</w:t>
            </w:r>
            <w:r w:rsidR="001E6D33">
              <w:t>)</w:t>
            </w:r>
          </w:p>
          <w:p w14:paraId="15447A2D" w14:textId="77777777" w:rsidR="001E6D33" w:rsidRPr="00911002" w:rsidRDefault="001E6D33" w:rsidP="007D0C5C">
            <w:pPr>
              <w:pStyle w:val="Bullet1G"/>
              <w:numPr>
                <w:ilvl w:val="0"/>
                <w:numId w:val="0"/>
              </w:numPr>
              <w:ind w:left="142" w:right="26"/>
              <w:rPr>
                <w:b/>
                <w:bCs/>
              </w:rPr>
            </w:pPr>
            <w:r w:rsidRPr="00C669E7">
              <w:rPr>
                <w:b/>
                <w:bCs/>
              </w:rPr>
              <w:t xml:space="preserve">The Working Group </w:t>
            </w:r>
            <w:r>
              <w:t xml:space="preserve">may wish to note and comment the information </w:t>
            </w:r>
          </w:p>
        </w:tc>
      </w:tr>
      <w:bookmarkEnd w:id="0"/>
      <w:tr w:rsidR="00C669E7" w:rsidRPr="00930D32" w14:paraId="4949BE12" w14:textId="77777777" w:rsidTr="00C669E7">
        <w:trPr>
          <w:trHeight w:val="1752"/>
          <w:jc w:val="center"/>
        </w:trPr>
        <w:tc>
          <w:tcPr>
            <w:tcW w:w="1350" w:type="dxa"/>
            <w:vMerge/>
            <w:shd w:val="clear" w:color="auto" w:fill="auto"/>
          </w:tcPr>
          <w:p w14:paraId="1C5F35BD" w14:textId="77777777" w:rsidR="00C669E7" w:rsidRPr="00930D32" w:rsidRDefault="00C669E7" w:rsidP="00FC12EA">
            <w:pPr>
              <w:spacing w:before="40" w:after="120"/>
              <w:ind w:left="143" w:right="113"/>
              <w:rPr>
                <w:b/>
                <w:bCs/>
              </w:rPr>
            </w:pPr>
          </w:p>
        </w:tc>
        <w:tc>
          <w:tcPr>
            <w:tcW w:w="921" w:type="dxa"/>
            <w:vMerge/>
            <w:shd w:val="clear" w:color="auto" w:fill="auto"/>
          </w:tcPr>
          <w:p w14:paraId="0B9D55D3" w14:textId="77777777" w:rsidR="00C669E7" w:rsidRPr="00930D32" w:rsidRDefault="00C669E7" w:rsidP="00FC12EA">
            <w:pPr>
              <w:spacing w:before="40" w:after="120"/>
              <w:ind w:left="170" w:right="113"/>
              <w:rPr>
                <w:bCs/>
              </w:rPr>
            </w:pPr>
          </w:p>
        </w:tc>
        <w:tc>
          <w:tcPr>
            <w:tcW w:w="1845" w:type="dxa"/>
            <w:vMerge/>
            <w:shd w:val="clear" w:color="auto" w:fill="auto"/>
          </w:tcPr>
          <w:p w14:paraId="2DF2420A" w14:textId="77777777" w:rsidR="00C669E7" w:rsidRDefault="00C669E7" w:rsidP="00FC12EA">
            <w:pPr>
              <w:spacing w:before="40" w:after="120"/>
              <w:ind w:left="284" w:right="113" w:hanging="142"/>
              <w:rPr>
                <w:b/>
                <w:bCs/>
              </w:rPr>
            </w:pPr>
          </w:p>
        </w:tc>
        <w:tc>
          <w:tcPr>
            <w:tcW w:w="3831" w:type="dxa"/>
            <w:vMerge/>
            <w:shd w:val="clear" w:color="auto" w:fill="auto"/>
          </w:tcPr>
          <w:p w14:paraId="41DC50ED" w14:textId="77777777" w:rsidR="00C669E7" w:rsidRPr="00911002" w:rsidRDefault="00C669E7" w:rsidP="00911002">
            <w:pPr>
              <w:spacing w:before="40" w:after="120" w:line="240" w:lineRule="auto"/>
              <w:ind w:left="176" w:right="113"/>
              <w:rPr>
                <w:bCs/>
              </w:rPr>
            </w:pPr>
          </w:p>
        </w:tc>
        <w:tc>
          <w:tcPr>
            <w:tcW w:w="4656" w:type="dxa"/>
            <w:tcBorders>
              <w:bottom w:val="dashSmallGap" w:sz="4" w:space="0" w:color="auto"/>
            </w:tcBorders>
            <w:shd w:val="clear" w:color="auto" w:fill="auto"/>
          </w:tcPr>
          <w:p w14:paraId="3C195F07" w14:textId="77777777" w:rsidR="00C669E7" w:rsidRDefault="00C669E7" w:rsidP="00016258">
            <w:pPr>
              <w:pStyle w:val="Bullet1G"/>
              <w:numPr>
                <w:ilvl w:val="0"/>
                <w:numId w:val="0"/>
              </w:numPr>
              <w:ind w:left="142" w:right="26"/>
            </w:pPr>
            <w:r w:rsidRPr="007D49DA">
              <w:rPr>
                <w:b/>
                <w:bCs/>
              </w:rPr>
              <w:t xml:space="preserve">The secretariat </w:t>
            </w:r>
            <w:r w:rsidRPr="007D49DA">
              <w:t>will report on</w:t>
            </w:r>
            <w:r>
              <w:t xml:space="preserve"> the </w:t>
            </w:r>
            <w:r w:rsidR="001E6D33">
              <w:t>2</w:t>
            </w:r>
            <w:r w:rsidR="001E6D33" w:rsidRPr="001E6D33">
              <w:rPr>
                <w:vertAlign w:val="superscript"/>
              </w:rPr>
              <w:t>nd</w:t>
            </w:r>
            <w:r w:rsidR="001E6D33">
              <w:t xml:space="preserve"> subre</w:t>
            </w:r>
            <w:r w:rsidRPr="00ED6F3F">
              <w:t xml:space="preserve">gional </w:t>
            </w:r>
            <w:r>
              <w:t xml:space="preserve">workshop on the practical application of </w:t>
            </w:r>
            <w:r w:rsidR="001E6D33">
              <w:t xml:space="preserve">SEA and transboundary EIA for </w:t>
            </w:r>
            <w:r>
              <w:t>Eastern Europe and the Caucasus (</w:t>
            </w:r>
            <w:r w:rsidR="001E6D33">
              <w:t>O</w:t>
            </w:r>
            <w:r>
              <w:t xml:space="preserve">nline, 29 June </w:t>
            </w:r>
            <w:r w:rsidRPr="00ED6F3F">
              <w:t>2022</w:t>
            </w:r>
            <w:r>
              <w:t xml:space="preserve">), </w:t>
            </w:r>
            <w:r w:rsidR="001E6D33">
              <w:t xml:space="preserve">funded by </w:t>
            </w:r>
            <w:r w:rsidRPr="00ED6F3F">
              <w:t>EU4Environment programme.</w:t>
            </w:r>
            <w:r w:rsidRPr="00E911EE">
              <w:t xml:space="preserve"> </w:t>
            </w:r>
            <w:r w:rsidR="001E6D33" w:rsidRPr="001E6D33">
              <w:rPr>
                <w:b/>
                <w:bCs/>
              </w:rPr>
              <w:t>The concerned countries</w:t>
            </w:r>
            <w:r w:rsidR="001E6D33">
              <w:t xml:space="preserve"> may wish to comment or complement the information.</w:t>
            </w:r>
          </w:p>
          <w:p w14:paraId="345F5B99" w14:textId="77777777" w:rsidR="00C669E7" w:rsidRDefault="001E6D33" w:rsidP="00D9334B">
            <w:pPr>
              <w:pStyle w:val="Bullet1G"/>
              <w:numPr>
                <w:ilvl w:val="0"/>
                <w:numId w:val="0"/>
              </w:numPr>
              <w:ind w:left="142" w:right="26"/>
              <w:rPr>
                <w:b/>
                <w:bCs/>
              </w:rPr>
            </w:pPr>
            <w:r w:rsidRPr="00C669E7">
              <w:rPr>
                <w:b/>
                <w:bCs/>
              </w:rPr>
              <w:t xml:space="preserve">The Working Group </w:t>
            </w:r>
            <w:r>
              <w:t>may wish to note and comment the information</w:t>
            </w:r>
          </w:p>
        </w:tc>
      </w:tr>
      <w:tr w:rsidR="004C3A04" w:rsidRPr="00930D32" w14:paraId="479AFFBB" w14:textId="77777777" w:rsidTr="0009264E">
        <w:trPr>
          <w:trHeight w:val="9360"/>
          <w:jc w:val="center"/>
        </w:trPr>
        <w:tc>
          <w:tcPr>
            <w:tcW w:w="1350" w:type="dxa"/>
            <w:vMerge/>
            <w:tcBorders>
              <w:bottom w:val="single" w:sz="4" w:space="0" w:color="auto"/>
            </w:tcBorders>
            <w:shd w:val="clear" w:color="auto" w:fill="auto"/>
          </w:tcPr>
          <w:p w14:paraId="2D0D88F0" w14:textId="77777777" w:rsidR="004C3A04" w:rsidRPr="00930D32" w:rsidRDefault="004C3A04" w:rsidP="00FC12EA">
            <w:pPr>
              <w:spacing w:before="40" w:after="120"/>
              <w:ind w:left="143" w:right="113"/>
              <w:rPr>
                <w:b/>
                <w:bCs/>
              </w:rPr>
            </w:pPr>
          </w:p>
        </w:tc>
        <w:tc>
          <w:tcPr>
            <w:tcW w:w="921" w:type="dxa"/>
            <w:vMerge w:val="restart"/>
            <w:tcBorders>
              <w:top w:val="nil"/>
              <w:bottom w:val="single" w:sz="4" w:space="0" w:color="auto"/>
            </w:tcBorders>
            <w:shd w:val="clear" w:color="auto" w:fill="auto"/>
          </w:tcPr>
          <w:p w14:paraId="7B4B3534" w14:textId="77777777" w:rsidR="004C3A04" w:rsidRDefault="004C3A04" w:rsidP="00325C8C">
            <w:pPr>
              <w:spacing w:before="40" w:after="120"/>
              <w:ind w:left="142" w:right="113"/>
              <w:rPr>
                <w:b/>
                <w:bCs/>
              </w:rPr>
            </w:pPr>
            <w:bookmarkStart w:id="3" w:name="_Hlk24477937"/>
            <w:r>
              <w:rPr>
                <w:bCs/>
              </w:rPr>
              <w:t>10-10.3</w:t>
            </w:r>
            <w:bookmarkEnd w:id="3"/>
            <w:r>
              <w:rPr>
                <w:bCs/>
              </w:rPr>
              <w:t>0</w:t>
            </w:r>
          </w:p>
        </w:tc>
        <w:tc>
          <w:tcPr>
            <w:tcW w:w="1845" w:type="dxa"/>
            <w:vMerge w:val="restart"/>
            <w:tcBorders>
              <w:bottom w:val="single" w:sz="4" w:space="0" w:color="auto"/>
            </w:tcBorders>
            <w:shd w:val="clear" w:color="auto" w:fill="auto"/>
          </w:tcPr>
          <w:p w14:paraId="5EDCC819" w14:textId="582B805F" w:rsidR="007B65E8" w:rsidRDefault="004C3A04" w:rsidP="00FC12EA">
            <w:pPr>
              <w:spacing w:before="40" w:after="120"/>
              <w:ind w:left="284" w:right="113" w:hanging="142"/>
              <w:rPr>
                <w:b/>
                <w:bCs/>
              </w:rPr>
            </w:pPr>
            <w:r>
              <w:rPr>
                <w:b/>
                <w:bCs/>
              </w:rPr>
              <w:t>5 (b) Exchange of good practice</w:t>
            </w:r>
          </w:p>
          <w:p w14:paraId="1B2FBF3E" w14:textId="77777777" w:rsidR="007B65E8" w:rsidRDefault="007B65E8" w:rsidP="00FC12EA">
            <w:pPr>
              <w:spacing w:before="40" w:after="120"/>
              <w:ind w:left="284" w:right="113" w:hanging="142"/>
              <w:rPr>
                <w:b/>
                <w:bCs/>
              </w:rPr>
            </w:pPr>
          </w:p>
          <w:p w14:paraId="5277098E" w14:textId="77777777" w:rsidR="007B65E8" w:rsidRDefault="007B65E8" w:rsidP="00FC12EA">
            <w:pPr>
              <w:spacing w:before="40" w:after="120"/>
              <w:ind w:left="284" w:right="113" w:hanging="142"/>
              <w:rPr>
                <w:b/>
                <w:bCs/>
              </w:rPr>
            </w:pPr>
          </w:p>
          <w:p w14:paraId="606D0ACB" w14:textId="77777777" w:rsidR="007B65E8" w:rsidRDefault="007B65E8" w:rsidP="00FC12EA">
            <w:pPr>
              <w:spacing w:before="40" w:after="120"/>
              <w:ind w:left="284" w:right="113" w:hanging="142"/>
              <w:rPr>
                <w:b/>
                <w:bCs/>
              </w:rPr>
            </w:pPr>
          </w:p>
          <w:p w14:paraId="13BEC428" w14:textId="77777777" w:rsidR="007B65E8" w:rsidRDefault="007B65E8" w:rsidP="00FC12EA">
            <w:pPr>
              <w:spacing w:before="40" w:after="120"/>
              <w:ind w:left="284" w:right="113" w:hanging="142"/>
              <w:rPr>
                <w:b/>
                <w:bCs/>
              </w:rPr>
            </w:pPr>
          </w:p>
          <w:p w14:paraId="4BE1FF56" w14:textId="77777777" w:rsidR="007B65E8" w:rsidRDefault="007B65E8" w:rsidP="00FC12EA">
            <w:pPr>
              <w:spacing w:before="40" w:after="120"/>
              <w:ind w:left="284" w:right="113" w:hanging="142"/>
              <w:rPr>
                <w:b/>
                <w:bCs/>
              </w:rPr>
            </w:pPr>
          </w:p>
          <w:p w14:paraId="74F7EE1E" w14:textId="77777777" w:rsidR="007B65E8" w:rsidRDefault="007B65E8" w:rsidP="00FC12EA">
            <w:pPr>
              <w:spacing w:before="40" w:after="120"/>
              <w:ind w:left="284" w:right="113" w:hanging="142"/>
              <w:rPr>
                <w:b/>
                <w:bCs/>
              </w:rPr>
            </w:pPr>
          </w:p>
          <w:p w14:paraId="78F9C267" w14:textId="77777777" w:rsidR="007B65E8" w:rsidRDefault="007B65E8" w:rsidP="00FC12EA">
            <w:pPr>
              <w:spacing w:before="40" w:after="120"/>
              <w:ind w:left="284" w:right="113" w:hanging="142"/>
              <w:rPr>
                <w:b/>
                <w:bCs/>
              </w:rPr>
            </w:pPr>
          </w:p>
          <w:p w14:paraId="4BEFE2F4" w14:textId="77777777" w:rsidR="007B65E8" w:rsidRDefault="007B65E8" w:rsidP="00FC12EA">
            <w:pPr>
              <w:spacing w:before="40" w:after="120"/>
              <w:ind w:left="284" w:right="113" w:hanging="142"/>
              <w:rPr>
                <w:b/>
                <w:bCs/>
              </w:rPr>
            </w:pPr>
          </w:p>
          <w:p w14:paraId="29155374" w14:textId="77777777" w:rsidR="007B65E8" w:rsidRDefault="007B65E8" w:rsidP="00FC12EA">
            <w:pPr>
              <w:spacing w:before="40" w:after="120"/>
              <w:ind w:left="284" w:right="113" w:hanging="142"/>
              <w:rPr>
                <w:b/>
                <w:bCs/>
              </w:rPr>
            </w:pPr>
          </w:p>
          <w:p w14:paraId="5A911B6C" w14:textId="77777777" w:rsidR="007B65E8" w:rsidRDefault="007B65E8" w:rsidP="00FC12EA">
            <w:pPr>
              <w:spacing w:before="40" w:after="120"/>
              <w:ind w:left="284" w:right="113" w:hanging="142"/>
              <w:rPr>
                <w:b/>
                <w:bCs/>
              </w:rPr>
            </w:pPr>
          </w:p>
          <w:p w14:paraId="25C0C339" w14:textId="77777777" w:rsidR="007B65E8" w:rsidRDefault="007B65E8" w:rsidP="00FC12EA">
            <w:pPr>
              <w:spacing w:before="40" w:after="120"/>
              <w:ind w:left="284" w:right="113" w:hanging="142"/>
              <w:rPr>
                <w:b/>
                <w:bCs/>
              </w:rPr>
            </w:pPr>
          </w:p>
          <w:p w14:paraId="0D54BAF6" w14:textId="77777777" w:rsidR="007B65E8" w:rsidRDefault="007B65E8" w:rsidP="00FC12EA">
            <w:pPr>
              <w:spacing w:before="40" w:after="120"/>
              <w:ind w:left="284" w:right="113" w:hanging="142"/>
              <w:rPr>
                <w:b/>
                <w:bCs/>
              </w:rPr>
            </w:pPr>
          </w:p>
          <w:p w14:paraId="22F083EF" w14:textId="77777777" w:rsidR="007B65E8" w:rsidRDefault="007B65E8" w:rsidP="00FC12EA">
            <w:pPr>
              <w:spacing w:before="40" w:after="120"/>
              <w:ind w:left="284" w:right="113" w:hanging="142"/>
              <w:rPr>
                <w:b/>
                <w:bCs/>
              </w:rPr>
            </w:pPr>
          </w:p>
          <w:p w14:paraId="70A6B38D" w14:textId="77777777" w:rsidR="007B65E8" w:rsidRDefault="007B65E8" w:rsidP="00FC12EA">
            <w:pPr>
              <w:spacing w:before="40" w:after="120"/>
              <w:ind w:left="284" w:right="113" w:hanging="142"/>
              <w:rPr>
                <w:b/>
                <w:bCs/>
              </w:rPr>
            </w:pPr>
          </w:p>
          <w:p w14:paraId="15007059" w14:textId="77777777" w:rsidR="007B65E8" w:rsidRDefault="007B65E8" w:rsidP="00FC12EA">
            <w:pPr>
              <w:spacing w:before="40" w:after="120"/>
              <w:ind w:left="284" w:right="113" w:hanging="142"/>
              <w:rPr>
                <w:b/>
                <w:bCs/>
              </w:rPr>
            </w:pPr>
          </w:p>
          <w:p w14:paraId="31BFA335" w14:textId="77777777" w:rsidR="007B65E8" w:rsidRDefault="007B65E8" w:rsidP="00FC12EA">
            <w:pPr>
              <w:spacing w:before="40" w:after="120"/>
              <w:ind w:left="284" w:right="113" w:hanging="142"/>
              <w:rPr>
                <w:b/>
                <w:bCs/>
              </w:rPr>
            </w:pPr>
          </w:p>
          <w:p w14:paraId="2E5A923B" w14:textId="77777777" w:rsidR="007B65E8" w:rsidRDefault="007B65E8" w:rsidP="00FC12EA">
            <w:pPr>
              <w:spacing w:before="40" w:after="120"/>
              <w:ind w:left="284" w:right="113" w:hanging="142"/>
              <w:rPr>
                <w:b/>
                <w:bCs/>
              </w:rPr>
            </w:pPr>
          </w:p>
          <w:p w14:paraId="0F44F9D0" w14:textId="0F154DF2" w:rsidR="004C3A04" w:rsidRDefault="004C3A04" w:rsidP="00FC12EA">
            <w:pPr>
              <w:spacing w:before="40" w:after="120"/>
              <w:ind w:left="284" w:right="113" w:hanging="142"/>
              <w:rPr>
                <w:b/>
                <w:bCs/>
              </w:rPr>
            </w:pPr>
          </w:p>
        </w:tc>
        <w:tc>
          <w:tcPr>
            <w:tcW w:w="3831" w:type="dxa"/>
            <w:vMerge w:val="restart"/>
            <w:tcBorders>
              <w:bottom w:val="single" w:sz="4" w:space="0" w:color="auto"/>
            </w:tcBorders>
            <w:shd w:val="clear" w:color="auto" w:fill="auto"/>
          </w:tcPr>
          <w:p w14:paraId="64306605" w14:textId="1444EC7A" w:rsidR="004C3A04" w:rsidRDefault="004C3A04" w:rsidP="00DC69C2">
            <w:pPr>
              <w:rPr>
                <w:bCs/>
              </w:rPr>
            </w:pPr>
            <w:r w:rsidRPr="007D183F">
              <w:rPr>
                <w:bCs/>
              </w:rPr>
              <w:t xml:space="preserve"> </w:t>
            </w:r>
            <w:r w:rsidR="002B7459" w:rsidRPr="002B7459">
              <w:rPr>
                <w:bCs/>
              </w:rPr>
              <w:t>Workplan implementation status (ECE/MP.EIA/WG.2/2022/INF.6)</w:t>
            </w:r>
          </w:p>
        </w:tc>
        <w:tc>
          <w:tcPr>
            <w:tcW w:w="4656" w:type="dxa"/>
            <w:tcBorders>
              <w:bottom w:val="single" w:sz="4" w:space="0" w:color="auto"/>
            </w:tcBorders>
            <w:shd w:val="clear" w:color="auto" w:fill="auto"/>
          </w:tcPr>
          <w:p w14:paraId="2FC6B645" w14:textId="34163922" w:rsidR="004C3A04" w:rsidRDefault="004C3A04" w:rsidP="007D183F">
            <w:pPr>
              <w:pStyle w:val="Bullet1G"/>
              <w:numPr>
                <w:ilvl w:val="0"/>
                <w:numId w:val="0"/>
              </w:numPr>
              <w:ind w:left="142" w:right="26"/>
            </w:pPr>
            <w:r w:rsidRPr="00ED6910">
              <w:rPr>
                <w:b/>
                <w:bCs/>
              </w:rPr>
              <w:t>Countries or organizations</w:t>
            </w:r>
            <w:r w:rsidRPr="00377A28">
              <w:t xml:space="preserve"> will be invited to</w:t>
            </w:r>
            <w:r>
              <w:t xml:space="preserve"> volunteer to organize</w:t>
            </w:r>
            <w:r w:rsidR="007B65E8">
              <w:t>,</w:t>
            </w:r>
            <w:r>
              <w:t xml:space="preserve"> in total</w:t>
            </w:r>
            <w:r w:rsidR="007B65E8">
              <w:t>,</w:t>
            </w:r>
            <w:r>
              <w:t xml:space="preserve"> up to three</w:t>
            </w:r>
            <w:r w:rsidRPr="00D62F88">
              <w:t xml:space="preserve"> thematic workshops/seminars during the</w:t>
            </w:r>
            <w:r w:rsidR="007B65E8">
              <w:t xml:space="preserve"> remainder of </w:t>
            </w:r>
            <w:r w:rsidR="002B7459">
              <w:t xml:space="preserve">the </w:t>
            </w:r>
            <w:r w:rsidR="002B7459" w:rsidRPr="00D62F88">
              <w:t>intersessional</w:t>
            </w:r>
            <w:r w:rsidR="007B65E8">
              <w:t xml:space="preserve"> period, i.e</w:t>
            </w:r>
            <w:r w:rsidR="002B7459">
              <w:t>.</w:t>
            </w:r>
            <w:r w:rsidR="007B65E8">
              <w:t xml:space="preserve"> at the </w:t>
            </w:r>
            <w:r w:rsidRPr="00D62F88">
              <w:t xml:space="preserve">Working Group’s meeting in </w:t>
            </w:r>
            <w:r>
              <w:t xml:space="preserve">June </w:t>
            </w:r>
            <w:r w:rsidRPr="00D62F88">
              <w:t>2023 and the MOP sessions in 2023 for the exchange of good practices on the selected topics in the workplan:</w:t>
            </w:r>
          </w:p>
          <w:p w14:paraId="754B307B" w14:textId="77777777" w:rsidR="004C3A04" w:rsidRPr="006209EC" w:rsidRDefault="004C3A04" w:rsidP="006209EC">
            <w:pPr>
              <w:pStyle w:val="Bullet1G"/>
              <w:ind w:left="142" w:right="260" w:firstLine="0"/>
            </w:pPr>
            <w:r w:rsidRPr="006209EC">
              <w:t xml:space="preserve">Smart and sustainable cities; Circular economy; Biodiversity; Energy transition; </w:t>
            </w:r>
            <w:r>
              <w:t>[</w:t>
            </w:r>
            <w:r w:rsidRPr="006209EC">
              <w:t>Promoting the application of SEA in development cooperation (</w:t>
            </w:r>
            <w:r>
              <w:t xml:space="preserve">the topic initially proposed by Italy was later withdrawn)]; </w:t>
            </w:r>
            <w:r w:rsidRPr="006209EC">
              <w:t>Consideration of alternatives to and the rationale for selected options of the proposed activities in the EIA documentation (EU4Environment funding not available).</w:t>
            </w:r>
          </w:p>
          <w:p w14:paraId="608FE075" w14:textId="77777777" w:rsidR="004C3A04" w:rsidRPr="00D62F88" w:rsidRDefault="004C3A04" w:rsidP="00D62F88">
            <w:pPr>
              <w:pStyle w:val="Bullet1G"/>
              <w:numPr>
                <w:ilvl w:val="0"/>
                <w:numId w:val="0"/>
              </w:numPr>
              <w:ind w:left="142" w:right="260"/>
              <w:jc w:val="left"/>
            </w:pPr>
            <w:r w:rsidRPr="006209EC">
              <w:rPr>
                <w:b/>
                <w:bCs/>
              </w:rPr>
              <w:t>The Chair/Bureau Chair</w:t>
            </w:r>
            <w:r>
              <w:t xml:space="preserve"> </w:t>
            </w:r>
            <w:r w:rsidRPr="00D62F88">
              <w:t>will report on the Bureau’s related recommendations</w:t>
            </w:r>
            <w:r>
              <w:t xml:space="preserve"> for </w:t>
            </w:r>
            <w:r w:rsidRPr="00D62F88">
              <w:t xml:space="preserve">the priority themes for </w:t>
            </w:r>
            <w:r>
              <w:t xml:space="preserve">MOP sessions: </w:t>
            </w:r>
            <w:r w:rsidRPr="00D62F88">
              <w:t xml:space="preserve"> </w:t>
            </w:r>
          </w:p>
          <w:p w14:paraId="0AA2D96D" w14:textId="77777777" w:rsidR="004C3A04" w:rsidRPr="006209EC" w:rsidRDefault="004C3A04" w:rsidP="006209EC">
            <w:pPr>
              <w:pStyle w:val="Bullet1G"/>
              <w:ind w:left="142" w:right="260" w:firstLine="0"/>
            </w:pPr>
            <w:r w:rsidRPr="006209EC">
              <w:rPr>
                <w:b/>
                <w:bCs/>
              </w:rPr>
              <w:t>Energy transition, combined with circular economy</w:t>
            </w:r>
            <w:r w:rsidRPr="006209EC">
              <w:t>, covering elements such as: renewable energy, transboundary cooperation, small modular reactors and mineral resource extraction; or</w:t>
            </w:r>
          </w:p>
          <w:p w14:paraId="247BD3CF" w14:textId="77777777" w:rsidR="004C3A04" w:rsidRPr="006209EC" w:rsidRDefault="004C3A04" w:rsidP="006209EC">
            <w:pPr>
              <w:pStyle w:val="Bullet1G"/>
              <w:ind w:left="142" w:right="260" w:firstLine="0"/>
            </w:pPr>
            <w:r w:rsidRPr="006209EC">
              <w:rPr>
                <w:b/>
                <w:bCs/>
              </w:rPr>
              <w:t>Green financing (</w:t>
            </w:r>
            <w:r w:rsidRPr="006209EC">
              <w:t>links between environmental impact assessment and strategic environmental assessment; “Do No Significant Harm” principle/taxonomies; phasing out of harmful subsidies).</w:t>
            </w:r>
          </w:p>
          <w:p w14:paraId="3D79824B" w14:textId="77777777" w:rsidR="004C3A04" w:rsidRDefault="004C3A04" w:rsidP="006209EC">
            <w:pPr>
              <w:pStyle w:val="Bullet1G"/>
              <w:numPr>
                <w:ilvl w:val="0"/>
                <w:numId w:val="0"/>
              </w:numPr>
              <w:ind w:left="142" w:right="260"/>
              <w:jc w:val="left"/>
              <w:rPr>
                <w:bCs/>
              </w:rPr>
            </w:pPr>
            <w:r w:rsidRPr="00ED6910">
              <w:rPr>
                <w:b/>
              </w:rPr>
              <w:t>The Working Group</w:t>
            </w:r>
            <w:r w:rsidRPr="00ED6910">
              <w:rPr>
                <w:bCs/>
              </w:rPr>
              <w:t xml:space="preserve"> is invited to</w:t>
            </w:r>
            <w:r>
              <w:rPr>
                <w:bCs/>
              </w:rPr>
              <w:t>:</w:t>
            </w:r>
          </w:p>
          <w:p w14:paraId="798845C5" w14:textId="6C2CF594" w:rsidR="004C3A04" w:rsidRPr="00543DAA" w:rsidRDefault="004C3A04" w:rsidP="00543DAA">
            <w:pPr>
              <w:pStyle w:val="Bullet1G"/>
              <w:ind w:left="142" w:right="260" w:firstLine="0"/>
            </w:pPr>
            <w:r w:rsidRPr="00543DAA">
              <w:rPr>
                <w:bCs/>
              </w:rPr>
              <w:t>Agree on a thematic event for the Working Group’s next meeting (13</w:t>
            </w:r>
            <w:r w:rsidR="002B7459">
              <w:rPr>
                <w:bCs/>
              </w:rPr>
              <w:t>–</w:t>
            </w:r>
            <w:r w:rsidRPr="00543DAA">
              <w:rPr>
                <w:bCs/>
              </w:rPr>
              <w:t>15 June 2023) and identify volunteering countries/organizations and funding for its organization.</w:t>
            </w:r>
          </w:p>
          <w:p w14:paraId="7BE97E30" w14:textId="72ECB39E" w:rsidR="004C3A04" w:rsidRPr="00E911EE" w:rsidRDefault="004C3A04" w:rsidP="00543DAA">
            <w:pPr>
              <w:pStyle w:val="Bullet1G"/>
              <w:ind w:left="142" w:right="260" w:firstLine="0"/>
            </w:pPr>
            <w:r>
              <w:rPr>
                <w:bCs/>
              </w:rPr>
              <w:t xml:space="preserve"> </w:t>
            </w:r>
            <w:r w:rsidRPr="00543DAA">
              <w:rPr>
                <w:bCs/>
              </w:rPr>
              <w:t xml:space="preserve">Initially agree on the events to be organized during the next sessions of the MOPs; provide guidance on and </w:t>
            </w:r>
            <w:r w:rsidR="002B7459">
              <w:rPr>
                <w:bCs/>
              </w:rPr>
              <w:t xml:space="preserve">identify </w:t>
            </w:r>
            <w:r w:rsidRPr="00543DAA">
              <w:rPr>
                <w:bCs/>
              </w:rPr>
              <w:t>resources for the organization of the events.</w:t>
            </w:r>
          </w:p>
        </w:tc>
      </w:tr>
      <w:tr w:rsidR="004C3A04" w:rsidRPr="00930D32" w14:paraId="0ECF149D" w14:textId="77777777" w:rsidTr="0009264E">
        <w:trPr>
          <w:trHeight w:val="47"/>
          <w:jc w:val="center"/>
        </w:trPr>
        <w:tc>
          <w:tcPr>
            <w:tcW w:w="1350" w:type="dxa"/>
            <w:vMerge/>
            <w:shd w:val="clear" w:color="auto" w:fill="auto"/>
          </w:tcPr>
          <w:p w14:paraId="2051925C" w14:textId="77777777" w:rsidR="004C3A04" w:rsidRPr="00930D32" w:rsidRDefault="004C3A04" w:rsidP="00FC12EA">
            <w:pPr>
              <w:spacing w:before="40" w:after="120"/>
              <w:ind w:left="143" w:right="113"/>
              <w:rPr>
                <w:b/>
                <w:bCs/>
              </w:rPr>
            </w:pPr>
          </w:p>
        </w:tc>
        <w:tc>
          <w:tcPr>
            <w:tcW w:w="921" w:type="dxa"/>
            <w:vMerge/>
            <w:tcBorders>
              <w:top w:val="nil"/>
            </w:tcBorders>
            <w:shd w:val="clear" w:color="auto" w:fill="auto"/>
          </w:tcPr>
          <w:p w14:paraId="74689CB3" w14:textId="77777777" w:rsidR="004C3A04" w:rsidRPr="00930D32" w:rsidRDefault="004C3A04" w:rsidP="00FC12EA">
            <w:pPr>
              <w:spacing w:before="40" w:after="120"/>
              <w:ind w:left="143" w:right="113"/>
              <w:rPr>
                <w:bCs/>
              </w:rPr>
            </w:pPr>
          </w:p>
        </w:tc>
        <w:tc>
          <w:tcPr>
            <w:tcW w:w="1845" w:type="dxa"/>
            <w:vMerge/>
            <w:shd w:val="clear" w:color="auto" w:fill="auto"/>
          </w:tcPr>
          <w:p w14:paraId="6C507197" w14:textId="77777777" w:rsidR="004C3A04" w:rsidRPr="00930D32" w:rsidRDefault="004C3A04" w:rsidP="00FC12EA">
            <w:pPr>
              <w:spacing w:before="40" w:after="120"/>
              <w:ind w:left="284" w:right="113" w:hanging="142"/>
              <w:rPr>
                <w:b/>
                <w:bCs/>
              </w:rPr>
            </w:pPr>
          </w:p>
        </w:tc>
        <w:tc>
          <w:tcPr>
            <w:tcW w:w="3831" w:type="dxa"/>
            <w:vMerge/>
            <w:tcBorders>
              <w:bottom w:val="single" w:sz="4" w:space="0" w:color="auto"/>
            </w:tcBorders>
            <w:shd w:val="clear" w:color="auto" w:fill="auto"/>
          </w:tcPr>
          <w:p w14:paraId="6522A3B7" w14:textId="77777777" w:rsidR="004C3A04" w:rsidRPr="003A63C8" w:rsidRDefault="004C3A04" w:rsidP="00A05F87">
            <w:pPr>
              <w:spacing w:before="40" w:after="120" w:line="240" w:lineRule="auto"/>
              <w:ind w:right="113"/>
              <w:rPr>
                <w:bCs/>
                <w:i/>
                <w:iCs/>
              </w:rPr>
            </w:pPr>
          </w:p>
        </w:tc>
        <w:tc>
          <w:tcPr>
            <w:tcW w:w="4656" w:type="dxa"/>
            <w:tcBorders>
              <w:top w:val="single" w:sz="4" w:space="0" w:color="auto"/>
              <w:bottom w:val="single" w:sz="4" w:space="0" w:color="auto"/>
            </w:tcBorders>
            <w:shd w:val="clear" w:color="auto" w:fill="auto"/>
          </w:tcPr>
          <w:p w14:paraId="7CEF990A" w14:textId="77777777" w:rsidR="004C3A04" w:rsidRPr="00930D32" w:rsidRDefault="004C3A04" w:rsidP="00561B33">
            <w:pPr>
              <w:pStyle w:val="Bullet1G"/>
              <w:numPr>
                <w:ilvl w:val="0"/>
                <w:numId w:val="0"/>
              </w:numPr>
              <w:ind w:left="142" w:right="260"/>
              <w:rPr>
                <w:bCs/>
              </w:rPr>
            </w:pPr>
            <w:r w:rsidRPr="00ED6910">
              <w:rPr>
                <w:b/>
              </w:rPr>
              <w:t>Delegations</w:t>
            </w:r>
            <w:r w:rsidRPr="00ED6910">
              <w:rPr>
                <w:bCs/>
              </w:rPr>
              <w:t xml:space="preserve"> are invited to put forward proposals for the preparation of </w:t>
            </w:r>
            <w:r w:rsidRPr="00ED6910">
              <w:rPr>
                <w:b/>
              </w:rPr>
              <w:t>fact sheets</w:t>
            </w:r>
            <w:r w:rsidRPr="00ED6910">
              <w:rPr>
                <w:bCs/>
              </w:rPr>
              <w:t xml:space="preserve"> on the practical application of the Convention and the Protocol, to be presented during the meetings of the Working Group and posted on the ECE website.</w:t>
            </w:r>
          </w:p>
        </w:tc>
      </w:tr>
      <w:tr w:rsidR="00C669E7" w:rsidRPr="00930D32" w14:paraId="48E9B0AE" w14:textId="77777777" w:rsidTr="00D9334B">
        <w:trPr>
          <w:trHeight w:val="476"/>
          <w:jc w:val="center"/>
        </w:trPr>
        <w:tc>
          <w:tcPr>
            <w:tcW w:w="1350" w:type="dxa"/>
            <w:vMerge/>
            <w:tcBorders>
              <w:bottom w:val="single" w:sz="4" w:space="0" w:color="auto"/>
            </w:tcBorders>
            <w:shd w:val="clear" w:color="auto" w:fill="auto"/>
          </w:tcPr>
          <w:p w14:paraId="395687CE" w14:textId="77777777" w:rsidR="00C669E7" w:rsidRPr="00930D32" w:rsidRDefault="00C669E7" w:rsidP="00FC12EA">
            <w:pPr>
              <w:spacing w:before="40" w:after="120"/>
              <w:ind w:left="143" w:right="113"/>
              <w:rPr>
                <w:b/>
                <w:bCs/>
              </w:rPr>
            </w:pPr>
          </w:p>
        </w:tc>
        <w:tc>
          <w:tcPr>
            <w:tcW w:w="921" w:type="dxa"/>
            <w:vMerge/>
            <w:tcBorders>
              <w:top w:val="nil"/>
              <w:bottom w:val="single" w:sz="4" w:space="0" w:color="auto"/>
            </w:tcBorders>
            <w:shd w:val="clear" w:color="auto" w:fill="auto"/>
          </w:tcPr>
          <w:p w14:paraId="47A4A93A" w14:textId="77777777" w:rsidR="00C669E7" w:rsidRPr="00930D32" w:rsidRDefault="00C669E7" w:rsidP="00FC12EA">
            <w:pPr>
              <w:spacing w:before="40" w:after="120"/>
              <w:ind w:left="143" w:right="113"/>
              <w:rPr>
                <w:bCs/>
              </w:rPr>
            </w:pPr>
          </w:p>
        </w:tc>
        <w:tc>
          <w:tcPr>
            <w:tcW w:w="1845" w:type="dxa"/>
            <w:vMerge/>
            <w:tcBorders>
              <w:bottom w:val="single" w:sz="4" w:space="0" w:color="auto"/>
            </w:tcBorders>
            <w:shd w:val="clear" w:color="auto" w:fill="auto"/>
          </w:tcPr>
          <w:p w14:paraId="12FCE32D" w14:textId="77777777" w:rsidR="00C669E7" w:rsidRPr="00930D32" w:rsidRDefault="00C669E7" w:rsidP="00FC12EA">
            <w:pPr>
              <w:spacing w:before="40" w:after="120"/>
              <w:ind w:left="284" w:right="113" w:hanging="142"/>
              <w:rPr>
                <w:b/>
                <w:bCs/>
              </w:rPr>
            </w:pPr>
          </w:p>
        </w:tc>
        <w:tc>
          <w:tcPr>
            <w:tcW w:w="3831" w:type="dxa"/>
            <w:tcBorders>
              <w:top w:val="single" w:sz="4" w:space="0" w:color="auto"/>
              <w:bottom w:val="single" w:sz="4" w:space="0" w:color="auto"/>
            </w:tcBorders>
            <w:shd w:val="clear" w:color="auto" w:fill="auto"/>
          </w:tcPr>
          <w:p w14:paraId="0AA3E54E" w14:textId="777DB040" w:rsidR="00C669E7" w:rsidRPr="002B7459" w:rsidRDefault="002B7459" w:rsidP="002B7459">
            <w:pPr>
              <w:spacing w:before="40" w:after="120" w:line="240" w:lineRule="auto"/>
              <w:ind w:right="113"/>
              <w:rPr>
                <w:bCs/>
              </w:rPr>
            </w:pPr>
            <w:r w:rsidRPr="002B7459">
              <w:rPr>
                <w:bCs/>
              </w:rPr>
              <w:t>Workplan implementation status (ECE/MP.EIA/WG.2/2022/INF.6)</w:t>
            </w:r>
          </w:p>
        </w:tc>
        <w:tc>
          <w:tcPr>
            <w:tcW w:w="4656" w:type="dxa"/>
            <w:tcBorders>
              <w:top w:val="single" w:sz="4" w:space="0" w:color="auto"/>
              <w:bottom w:val="single" w:sz="4" w:space="0" w:color="auto"/>
            </w:tcBorders>
            <w:shd w:val="clear" w:color="auto" w:fill="auto"/>
          </w:tcPr>
          <w:p w14:paraId="4CA09E67" w14:textId="7FA748E8" w:rsidR="00D9334B" w:rsidRPr="00D9334B" w:rsidRDefault="00ED6910" w:rsidP="00543DAA">
            <w:pPr>
              <w:pStyle w:val="Bullet1G"/>
              <w:numPr>
                <w:ilvl w:val="0"/>
                <w:numId w:val="0"/>
              </w:numPr>
              <w:ind w:left="142" w:right="260"/>
            </w:pPr>
            <w:r w:rsidRPr="00ED6910">
              <w:rPr>
                <w:b/>
                <w:bCs/>
              </w:rPr>
              <w:t>Delegations</w:t>
            </w:r>
            <w:r w:rsidRPr="00ED6910">
              <w:t xml:space="preserve"> may wish to propose funding for an online database of Parties’ good practice or for the collection and compilation of good practice, subject to the identification of additional resources and funding for consultants.</w:t>
            </w:r>
          </w:p>
        </w:tc>
      </w:tr>
      <w:tr w:rsidR="00C669E7" w:rsidRPr="00930D32" w14:paraId="2FB8BB2B" w14:textId="77777777" w:rsidTr="00C669E7">
        <w:trPr>
          <w:trHeight w:val="1468"/>
          <w:jc w:val="center"/>
        </w:trPr>
        <w:tc>
          <w:tcPr>
            <w:tcW w:w="1350" w:type="dxa"/>
            <w:tcBorders>
              <w:bottom w:val="single" w:sz="4" w:space="0" w:color="auto"/>
            </w:tcBorders>
            <w:shd w:val="clear" w:color="auto" w:fill="auto"/>
          </w:tcPr>
          <w:p w14:paraId="482BE631" w14:textId="77777777" w:rsidR="00C669E7" w:rsidRPr="00930D32" w:rsidRDefault="00ED6910" w:rsidP="00FC12EA">
            <w:pPr>
              <w:spacing w:before="40" w:after="120"/>
              <w:ind w:left="143" w:right="113"/>
              <w:rPr>
                <w:b/>
                <w:bCs/>
              </w:rPr>
            </w:pPr>
            <w:r>
              <w:rPr>
                <w:b/>
                <w:bCs/>
              </w:rPr>
              <w:t>Tuesday</w:t>
            </w:r>
            <w:r w:rsidRPr="00A639CE">
              <w:rPr>
                <w:b/>
                <w:bCs/>
              </w:rPr>
              <w:t xml:space="preserve">, </w:t>
            </w:r>
            <w:r>
              <w:rPr>
                <w:b/>
                <w:bCs/>
              </w:rPr>
              <w:t>20</w:t>
            </w:r>
            <w:r w:rsidRPr="00A639CE">
              <w:rPr>
                <w:b/>
                <w:bCs/>
              </w:rPr>
              <w:t xml:space="preserve"> December</w:t>
            </w:r>
          </w:p>
        </w:tc>
        <w:tc>
          <w:tcPr>
            <w:tcW w:w="921" w:type="dxa"/>
            <w:tcBorders>
              <w:top w:val="single" w:sz="4" w:space="0" w:color="auto"/>
              <w:bottom w:val="single" w:sz="4" w:space="0" w:color="auto"/>
            </w:tcBorders>
            <w:shd w:val="clear" w:color="auto" w:fill="auto"/>
          </w:tcPr>
          <w:p w14:paraId="572ABD9E" w14:textId="77777777" w:rsidR="00C669E7" w:rsidRPr="00930D32" w:rsidRDefault="00C669E7" w:rsidP="00FC12EA">
            <w:pPr>
              <w:spacing w:before="40" w:after="120"/>
              <w:ind w:left="143" w:right="113"/>
              <w:rPr>
                <w:bCs/>
              </w:rPr>
            </w:pPr>
            <w:r>
              <w:rPr>
                <w:bCs/>
              </w:rPr>
              <w:t>1</w:t>
            </w:r>
            <w:r w:rsidR="00ED6910">
              <w:rPr>
                <w:bCs/>
              </w:rPr>
              <w:t>0.30</w:t>
            </w:r>
            <w:r w:rsidRPr="009272B1">
              <w:rPr>
                <w:bCs/>
              </w:rPr>
              <w:t>–</w:t>
            </w:r>
            <w:r>
              <w:rPr>
                <w:bCs/>
              </w:rPr>
              <w:t>1</w:t>
            </w:r>
            <w:r w:rsidR="00ED6910">
              <w:rPr>
                <w:bCs/>
              </w:rPr>
              <w:t>2.30</w:t>
            </w:r>
            <w:r w:rsidRPr="009272B1">
              <w:rPr>
                <w:bCs/>
              </w:rPr>
              <w:t xml:space="preserve"> </w:t>
            </w:r>
          </w:p>
        </w:tc>
        <w:tc>
          <w:tcPr>
            <w:tcW w:w="1845" w:type="dxa"/>
            <w:tcBorders>
              <w:top w:val="single" w:sz="4" w:space="0" w:color="auto"/>
              <w:bottom w:val="single" w:sz="4" w:space="0" w:color="auto"/>
            </w:tcBorders>
            <w:shd w:val="clear" w:color="auto" w:fill="auto"/>
          </w:tcPr>
          <w:p w14:paraId="1DB92BBF" w14:textId="77777777" w:rsidR="00C669E7" w:rsidRPr="00930D32" w:rsidRDefault="00640553" w:rsidP="00FC12EA">
            <w:pPr>
              <w:spacing w:before="40" w:after="120"/>
              <w:ind w:left="284" w:right="113" w:hanging="142"/>
              <w:rPr>
                <w:b/>
                <w:bCs/>
              </w:rPr>
            </w:pPr>
            <w:r>
              <w:rPr>
                <w:b/>
                <w:bCs/>
              </w:rPr>
              <w:t xml:space="preserve">5 </w:t>
            </w:r>
            <w:r w:rsidR="00C669E7">
              <w:rPr>
                <w:b/>
                <w:bCs/>
              </w:rPr>
              <w:t>(c)</w:t>
            </w:r>
            <w:r w:rsidR="00C669E7">
              <w:t xml:space="preserve"> </w:t>
            </w:r>
            <w:r w:rsidR="00ED6910" w:rsidRPr="00ED6910">
              <w:rPr>
                <w:b/>
                <w:bCs/>
              </w:rPr>
              <w:t>Capacity-building</w:t>
            </w:r>
          </w:p>
        </w:tc>
        <w:tc>
          <w:tcPr>
            <w:tcW w:w="3831" w:type="dxa"/>
            <w:tcBorders>
              <w:top w:val="single" w:sz="4" w:space="0" w:color="auto"/>
              <w:bottom w:val="single" w:sz="4" w:space="0" w:color="auto"/>
            </w:tcBorders>
            <w:shd w:val="clear" w:color="auto" w:fill="auto"/>
          </w:tcPr>
          <w:p w14:paraId="3A2BB9A0" w14:textId="54667C11" w:rsidR="002B7459" w:rsidRPr="002B7459" w:rsidRDefault="002B7459" w:rsidP="002B7459">
            <w:pPr>
              <w:spacing w:before="40" w:after="120" w:line="240" w:lineRule="auto"/>
              <w:ind w:right="113"/>
            </w:pPr>
            <w:r w:rsidRPr="002B7459">
              <w:t xml:space="preserve">Revised draft guidance on assessing health impacts in strategic environmental assessment </w:t>
            </w:r>
            <w:r>
              <w:t>(</w:t>
            </w:r>
            <w:r w:rsidRPr="002B7459">
              <w:t>ECE/MP.EIA/WG.2/2022/INF.13</w:t>
            </w:r>
            <w:r>
              <w:t>)</w:t>
            </w:r>
          </w:p>
          <w:p w14:paraId="63CFED97" w14:textId="52C942D0" w:rsidR="002B7459" w:rsidRPr="00A05F87" w:rsidRDefault="002B7459" w:rsidP="00A05F87">
            <w:pPr>
              <w:spacing w:before="40" w:after="120" w:line="240" w:lineRule="auto"/>
              <w:ind w:right="113"/>
              <w:rPr>
                <w:bCs/>
                <w:i/>
                <w:iCs/>
              </w:rPr>
            </w:pPr>
          </w:p>
        </w:tc>
        <w:tc>
          <w:tcPr>
            <w:tcW w:w="4656" w:type="dxa"/>
            <w:tcBorders>
              <w:top w:val="single" w:sz="4" w:space="0" w:color="auto"/>
              <w:bottom w:val="single" w:sz="4" w:space="0" w:color="auto"/>
            </w:tcBorders>
            <w:shd w:val="clear" w:color="auto" w:fill="auto"/>
          </w:tcPr>
          <w:p w14:paraId="3ADAA454" w14:textId="77777777" w:rsidR="00C669E7" w:rsidRDefault="00ED6910" w:rsidP="00DC69C2">
            <w:pPr>
              <w:pStyle w:val="Bullet1G"/>
              <w:numPr>
                <w:ilvl w:val="0"/>
                <w:numId w:val="0"/>
              </w:numPr>
              <w:ind w:left="142" w:right="260"/>
              <w:jc w:val="left"/>
            </w:pPr>
            <w:r w:rsidRPr="003E2450">
              <w:rPr>
                <w:b/>
                <w:bCs/>
              </w:rPr>
              <w:t>The Working Group</w:t>
            </w:r>
            <w:r w:rsidRPr="007D22A0">
              <w:t xml:space="preserve"> is expected to assess the progress in and provide guidance for the finalization</w:t>
            </w:r>
            <w:r>
              <w:t xml:space="preserve"> </w:t>
            </w:r>
            <w:r w:rsidRPr="007D22A0">
              <w:t>the draft guidance on assessing health impacts in strategic environmental assessment</w:t>
            </w:r>
            <w:r>
              <w:t>.</w:t>
            </w:r>
          </w:p>
          <w:p w14:paraId="70DF089F" w14:textId="77777777" w:rsidR="003E2450" w:rsidRDefault="00ED6910" w:rsidP="00DC69C2">
            <w:pPr>
              <w:pStyle w:val="Bullet1G"/>
              <w:numPr>
                <w:ilvl w:val="0"/>
                <w:numId w:val="0"/>
              </w:numPr>
              <w:ind w:left="142" w:right="260"/>
              <w:jc w:val="left"/>
            </w:pPr>
            <w:r w:rsidRPr="003E2450">
              <w:rPr>
                <w:b/>
                <w:bCs/>
              </w:rPr>
              <w:t>The delegations</w:t>
            </w:r>
            <w:r w:rsidRPr="007D22A0">
              <w:t xml:space="preserve"> are invited to provide possible textual revisions to the Bureau’s informal document </w:t>
            </w:r>
            <w:r w:rsidRPr="006432B1">
              <w:rPr>
                <w:b/>
                <w:bCs/>
              </w:rPr>
              <w:t>by 28 November 2022</w:t>
            </w:r>
            <w:r w:rsidRPr="007D22A0">
              <w:t xml:space="preserve"> for the Working Group to consider at its meeting. </w:t>
            </w:r>
          </w:p>
          <w:p w14:paraId="375AC15C" w14:textId="338431C5" w:rsidR="00ED6910" w:rsidRPr="003A63C8" w:rsidRDefault="00ED6910" w:rsidP="00DC69C2">
            <w:pPr>
              <w:pStyle w:val="Bullet1G"/>
              <w:numPr>
                <w:ilvl w:val="0"/>
                <w:numId w:val="0"/>
              </w:numPr>
              <w:ind w:left="142" w:right="260"/>
              <w:jc w:val="left"/>
              <w:rPr>
                <w:bCs/>
              </w:rPr>
            </w:pPr>
            <w:r w:rsidRPr="003E2450">
              <w:rPr>
                <w:b/>
                <w:bCs/>
              </w:rPr>
              <w:t>The Working Group</w:t>
            </w:r>
            <w:r w:rsidRPr="007D22A0">
              <w:t xml:space="preserve"> is expected to agree on a revised draft document and on the steps ahead for its finalization at its next meeting, prior to its submission to the Meeting of the Parties to the Protocol for approval/endorsement.</w:t>
            </w:r>
          </w:p>
        </w:tc>
      </w:tr>
      <w:tr w:rsidR="003E2450" w:rsidRPr="00930D32" w14:paraId="3A2A0149" w14:textId="77777777" w:rsidTr="006A4C77">
        <w:trPr>
          <w:trHeight w:val="1468"/>
          <w:jc w:val="center"/>
        </w:trPr>
        <w:tc>
          <w:tcPr>
            <w:tcW w:w="1350" w:type="dxa"/>
            <w:vMerge w:val="restart"/>
            <w:shd w:val="clear" w:color="auto" w:fill="auto"/>
          </w:tcPr>
          <w:p w14:paraId="5CF124CE" w14:textId="77777777" w:rsidR="00DD73D7" w:rsidRDefault="00DD73D7" w:rsidP="00FC12EA">
            <w:pPr>
              <w:spacing w:before="40" w:after="120"/>
              <w:ind w:left="143" w:right="113"/>
              <w:rPr>
                <w:b/>
                <w:bCs/>
              </w:rPr>
            </w:pPr>
          </w:p>
          <w:p w14:paraId="2A1DD7EA" w14:textId="77777777" w:rsidR="00DD73D7" w:rsidRDefault="00DD73D7" w:rsidP="00FC12EA">
            <w:pPr>
              <w:spacing w:before="40" w:after="120"/>
              <w:ind w:left="143" w:right="113"/>
              <w:rPr>
                <w:b/>
                <w:bCs/>
              </w:rPr>
            </w:pPr>
          </w:p>
          <w:p w14:paraId="55F1071F" w14:textId="77777777" w:rsidR="00DD73D7" w:rsidRDefault="00DD73D7" w:rsidP="00FC12EA">
            <w:pPr>
              <w:spacing w:before="40" w:after="120"/>
              <w:ind w:left="143" w:right="113"/>
              <w:rPr>
                <w:b/>
                <w:bCs/>
              </w:rPr>
            </w:pPr>
          </w:p>
          <w:p w14:paraId="1AAB054F" w14:textId="77777777" w:rsidR="00DD73D7" w:rsidRDefault="00DD73D7" w:rsidP="00FC12EA">
            <w:pPr>
              <w:spacing w:before="40" w:after="120"/>
              <w:ind w:left="143" w:right="113"/>
              <w:rPr>
                <w:b/>
                <w:bCs/>
              </w:rPr>
            </w:pPr>
          </w:p>
          <w:p w14:paraId="2DF76165" w14:textId="77777777" w:rsidR="00DD73D7" w:rsidRDefault="00DD73D7" w:rsidP="00FC12EA">
            <w:pPr>
              <w:spacing w:before="40" w:after="120"/>
              <w:ind w:left="143" w:right="113"/>
              <w:rPr>
                <w:b/>
                <w:bCs/>
              </w:rPr>
            </w:pPr>
          </w:p>
          <w:p w14:paraId="0660344A" w14:textId="77777777" w:rsidR="00DD73D7" w:rsidRDefault="00DD73D7" w:rsidP="00FC12EA">
            <w:pPr>
              <w:spacing w:before="40" w:after="120"/>
              <w:ind w:left="143" w:right="113"/>
              <w:rPr>
                <w:b/>
                <w:bCs/>
              </w:rPr>
            </w:pPr>
          </w:p>
          <w:p w14:paraId="33C2B122" w14:textId="77777777" w:rsidR="00DD73D7" w:rsidRDefault="00DD73D7" w:rsidP="00FC12EA">
            <w:pPr>
              <w:spacing w:before="40" w:after="120"/>
              <w:ind w:left="143" w:right="113"/>
              <w:rPr>
                <w:b/>
                <w:bCs/>
              </w:rPr>
            </w:pPr>
          </w:p>
          <w:p w14:paraId="4F122C4F" w14:textId="77777777" w:rsidR="00DD73D7" w:rsidRDefault="00DD73D7" w:rsidP="00FC12EA">
            <w:pPr>
              <w:spacing w:before="40" w:after="120"/>
              <w:ind w:left="143" w:right="113"/>
              <w:rPr>
                <w:b/>
                <w:bCs/>
              </w:rPr>
            </w:pPr>
          </w:p>
          <w:p w14:paraId="6FFADD1B" w14:textId="77777777" w:rsidR="003E2450" w:rsidRPr="009272B1" w:rsidRDefault="00DD73D7" w:rsidP="00FC12EA">
            <w:pPr>
              <w:spacing w:before="40" w:after="120"/>
              <w:ind w:left="143" w:right="113"/>
              <w:rPr>
                <w:b/>
                <w:bCs/>
              </w:rPr>
            </w:pPr>
            <w:r>
              <w:rPr>
                <w:b/>
                <w:bCs/>
              </w:rPr>
              <w:lastRenderedPageBreak/>
              <w:t>Tuesday</w:t>
            </w:r>
            <w:r w:rsidRPr="00A639CE">
              <w:rPr>
                <w:b/>
                <w:bCs/>
              </w:rPr>
              <w:t xml:space="preserve">, </w:t>
            </w:r>
            <w:r>
              <w:rPr>
                <w:b/>
                <w:bCs/>
              </w:rPr>
              <w:t>20</w:t>
            </w:r>
            <w:r w:rsidRPr="00A639CE">
              <w:rPr>
                <w:b/>
                <w:bCs/>
              </w:rPr>
              <w:t xml:space="preserve"> December</w:t>
            </w:r>
          </w:p>
        </w:tc>
        <w:tc>
          <w:tcPr>
            <w:tcW w:w="921" w:type="dxa"/>
            <w:vMerge w:val="restart"/>
            <w:tcBorders>
              <w:top w:val="single" w:sz="4" w:space="0" w:color="auto"/>
            </w:tcBorders>
            <w:shd w:val="clear" w:color="auto" w:fill="auto"/>
          </w:tcPr>
          <w:p w14:paraId="366E7FF7" w14:textId="77777777" w:rsidR="006432B1" w:rsidRDefault="006432B1" w:rsidP="00FC12EA">
            <w:pPr>
              <w:spacing w:before="40" w:after="120"/>
              <w:ind w:left="143" w:right="113"/>
              <w:rPr>
                <w:bCs/>
              </w:rPr>
            </w:pPr>
          </w:p>
          <w:p w14:paraId="72E0A63C" w14:textId="77777777" w:rsidR="006432B1" w:rsidRDefault="006432B1" w:rsidP="00FC12EA">
            <w:pPr>
              <w:spacing w:before="40" w:after="120"/>
              <w:ind w:left="143" w:right="113"/>
              <w:rPr>
                <w:bCs/>
              </w:rPr>
            </w:pPr>
          </w:p>
          <w:p w14:paraId="1DE1FFFC" w14:textId="77777777" w:rsidR="006432B1" w:rsidRDefault="006432B1" w:rsidP="00FC12EA">
            <w:pPr>
              <w:spacing w:before="40" w:after="120"/>
              <w:ind w:left="143" w:right="113"/>
              <w:rPr>
                <w:bCs/>
              </w:rPr>
            </w:pPr>
          </w:p>
          <w:p w14:paraId="0FAF1115" w14:textId="77777777" w:rsidR="006432B1" w:rsidRDefault="006432B1" w:rsidP="00FC12EA">
            <w:pPr>
              <w:spacing w:before="40" w:after="120"/>
              <w:ind w:left="143" w:right="113"/>
              <w:rPr>
                <w:bCs/>
              </w:rPr>
            </w:pPr>
          </w:p>
          <w:p w14:paraId="08100DBD" w14:textId="77777777" w:rsidR="006432B1" w:rsidRDefault="006432B1" w:rsidP="00FC12EA">
            <w:pPr>
              <w:spacing w:before="40" w:after="120"/>
              <w:ind w:left="143" w:right="113"/>
              <w:rPr>
                <w:bCs/>
              </w:rPr>
            </w:pPr>
          </w:p>
          <w:p w14:paraId="71A02CEB" w14:textId="77777777" w:rsidR="006432B1" w:rsidRDefault="006432B1" w:rsidP="00FC12EA">
            <w:pPr>
              <w:spacing w:before="40" w:after="120"/>
              <w:ind w:left="143" w:right="113"/>
              <w:rPr>
                <w:bCs/>
              </w:rPr>
            </w:pPr>
          </w:p>
          <w:p w14:paraId="6CDBF97F" w14:textId="77777777" w:rsidR="006432B1" w:rsidRDefault="006432B1" w:rsidP="00FC12EA">
            <w:pPr>
              <w:spacing w:before="40" w:after="120"/>
              <w:ind w:left="143" w:right="113"/>
              <w:rPr>
                <w:bCs/>
              </w:rPr>
            </w:pPr>
          </w:p>
          <w:p w14:paraId="590317C5" w14:textId="77777777" w:rsidR="006432B1" w:rsidRDefault="006432B1" w:rsidP="00FC12EA">
            <w:pPr>
              <w:spacing w:before="40" w:after="120"/>
              <w:ind w:left="143" w:right="113"/>
              <w:rPr>
                <w:bCs/>
              </w:rPr>
            </w:pPr>
          </w:p>
          <w:p w14:paraId="060142CF" w14:textId="4DFF5F98" w:rsidR="003E2450" w:rsidRPr="009272B1" w:rsidRDefault="006432B1" w:rsidP="00FC12EA">
            <w:pPr>
              <w:spacing w:before="40" w:after="120"/>
              <w:ind w:left="143" w:right="113"/>
              <w:rPr>
                <w:bCs/>
              </w:rPr>
            </w:pPr>
            <w:r>
              <w:rPr>
                <w:bCs/>
              </w:rPr>
              <w:lastRenderedPageBreak/>
              <w:t>10.30</w:t>
            </w:r>
            <w:r w:rsidRPr="009272B1">
              <w:rPr>
                <w:bCs/>
              </w:rPr>
              <w:t>–</w:t>
            </w:r>
            <w:r>
              <w:rPr>
                <w:bCs/>
              </w:rPr>
              <w:t>12.30</w:t>
            </w:r>
          </w:p>
        </w:tc>
        <w:tc>
          <w:tcPr>
            <w:tcW w:w="1845" w:type="dxa"/>
            <w:vMerge w:val="restart"/>
            <w:tcBorders>
              <w:top w:val="single" w:sz="4" w:space="0" w:color="auto"/>
            </w:tcBorders>
            <w:shd w:val="clear" w:color="auto" w:fill="auto"/>
          </w:tcPr>
          <w:p w14:paraId="5DC9A750" w14:textId="77777777" w:rsidR="006432B1" w:rsidRDefault="006432B1" w:rsidP="00FC12EA">
            <w:pPr>
              <w:spacing w:before="40" w:after="120"/>
              <w:ind w:left="284" w:right="113" w:hanging="142"/>
              <w:rPr>
                <w:b/>
                <w:bCs/>
              </w:rPr>
            </w:pPr>
          </w:p>
          <w:p w14:paraId="40C33F24" w14:textId="77777777" w:rsidR="006432B1" w:rsidRDefault="006432B1" w:rsidP="00FC12EA">
            <w:pPr>
              <w:spacing w:before="40" w:after="120"/>
              <w:ind w:left="284" w:right="113" w:hanging="142"/>
              <w:rPr>
                <w:b/>
                <w:bCs/>
              </w:rPr>
            </w:pPr>
          </w:p>
          <w:p w14:paraId="24C5D234" w14:textId="77777777" w:rsidR="006432B1" w:rsidRDefault="006432B1" w:rsidP="00FC12EA">
            <w:pPr>
              <w:spacing w:before="40" w:after="120"/>
              <w:ind w:left="284" w:right="113" w:hanging="142"/>
              <w:rPr>
                <w:b/>
                <w:bCs/>
              </w:rPr>
            </w:pPr>
          </w:p>
          <w:p w14:paraId="161B0A22" w14:textId="77777777" w:rsidR="006432B1" w:rsidRDefault="006432B1" w:rsidP="00FC12EA">
            <w:pPr>
              <w:spacing w:before="40" w:after="120"/>
              <w:ind w:left="284" w:right="113" w:hanging="142"/>
              <w:rPr>
                <w:b/>
                <w:bCs/>
              </w:rPr>
            </w:pPr>
          </w:p>
          <w:p w14:paraId="5DE35E5B" w14:textId="77777777" w:rsidR="006432B1" w:rsidRDefault="006432B1" w:rsidP="00FC12EA">
            <w:pPr>
              <w:spacing w:before="40" w:after="120"/>
              <w:ind w:left="284" w:right="113" w:hanging="142"/>
              <w:rPr>
                <w:b/>
                <w:bCs/>
              </w:rPr>
            </w:pPr>
          </w:p>
          <w:p w14:paraId="1B8AFBEA" w14:textId="77777777" w:rsidR="006432B1" w:rsidRDefault="006432B1" w:rsidP="00FC12EA">
            <w:pPr>
              <w:spacing w:before="40" w:after="120"/>
              <w:ind w:left="284" w:right="113" w:hanging="142"/>
              <w:rPr>
                <w:b/>
                <w:bCs/>
              </w:rPr>
            </w:pPr>
          </w:p>
          <w:p w14:paraId="14EE177A" w14:textId="77777777" w:rsidR="006432B1" w:rsidRDefault="006432B1" w:rsidP="00FC12EA">
            <w:pPr>
              <w:spacing w:before="40" w:after="120"/>
              <w:ind w:left="284" w:right="113" w:hanging="142"/>
              <w:rPr>
                <w:b/>
                <w:bCs/>
              </w:rPr>
            </w:pPr>
          </w:p>
          <w:p w14:paraId="708ABFE5" w14:textId="77777777" w:rsidR="006432B1" w:rsidRDefault="006432B1" w:rsidP="00FC12EA">
            <w:pPr>
              <w:spacing w:before="40" w:after="120"/>
              <w:ind w:left="284" w:right="113" w:hanging="142"/>
              <w:rPr>
                <w:b/>
                <w:bCs/>
              </w:rPr>
            </w:pPr>
          </w:p>
          <w:p w14:paraId="796CA52F" w14:textId="41BCCF6E" w:rsidR="006432B1" w:rsidRPr="006432B1" w:rsidRDefault="006432B1" w:rsidP="006432B1">
            <w:pPr>
              <w:spacing w:before="40" w:after="120"/>
              <w:ind w:left="284" w:right="113" w:hanging="142"/>
              <w:rPr>
                <w:b/>
                <w:bCs/>
                <w:i/>
                <w:iCs/>
              </w:rPr>
            </w:pPr>
            <w:r>
              <w:rPr>
                <w:b/>
                <w:bCs/>
              </w:rPr>
              <w:lastRenderedPageBreak/>
              <w:t>5 (c)</w:t>
            </w:r>
            <w:r>
              <w:t xml:space="preserve"> </w:t>
            </w:r>
            <w:r w:rsidRPr="00ED6910">
              <w:rPr>
                <w:b/>
                <w:bCs/>
              </w:rPr>
              <w:t>Capacity-building</w:t>
            </w:r>
            <w:r>
              <w:rPr>
                <w:b/>
                <w:bCs/>
              </w:rPr>
              <w:t xml:space="preserve"> </w:t>
            </w:r>
            <w:r w:rsidRPr="006432B1">
              <w:rPr>
                <w:b/>
                <w:bCs/>
                <w:i/>
                <w:iCs/>
              </w:rPr>
              <w:t xml:space="preserve">  (cont’d)</w:t>
            </w:r>
          </w:p>
        </w:tc>
        <w:tc>
          <w:tcPr>
            <w:tcW w:w="3831" w:type="dxa"/>
            <w:vMerge w:val="restart"/>
            <w:tcBorders>
              <w:top w:val="single" w:sz="4" w:space="0" w:color="auto"/>
            </w:tcBorders>
            <w:shd w:val="clear" w:color="auto" w:fill="auto"/>
          </w:tcPr>
          <w:p w14:paraId="1B856E40" w14:textId="77777777" w:rsidR="003E2450" w:rsidRDefault="006432B1" w:rsidP="00A05F87">
            <w:pPr>
              <w:spacing w:before="40" w:after="120" w:line="240" w:lineRule="auto"/>
              <w:ind w:right="113"/>
              <w:rPr>
                <w:bCs/>
              </w:rPr>
            </w:pPr>
            <w:r w:rsidRPr="002B7459">
              <w:rPr>
                <w:bCs/>
              </w:rPr>
              <w:lastRenderedPageBreak/>
              <w:t>Workplan implementation status (ECE/MP.EIA/WG.2/2022/INF.6)</w:t>
            </w:r>
          </w:p>
          <w:p w14:paraId="74926A92" w14:textId="300F5E39" w:rsidR="006432B1" w:rsidRDefault="006432B1" w:rsidP="00A05F87">
            <w:pPr>
              <w:spacing w:before="40" w:after="120" w:line="240" w:lineRule="auto"/>
              <w:ind w:right="113"/>
              <w:rPr>
                <w:bCs/>
              </w:rPr>
            </w:pPr>
          </w:p>
          <w:p w14:paraId="589E7BDC" w14:textId="6A7BCE30" w:rsidR="006432B1" w:rsidRDefault="006432B1" w:rsidP="00A05F87">
            <w:pPr>
              <w:spacing w:before="40" w:after="120" w:line="240" w:lineRule="auto"/>
              <w:ind w:right="113"/>
              <w:rPr>
                <w:bCs/>
              </w:rPr>
            </w:pPr>
            <w:r>
              <w:rPr>
                <w:bCs/>
              </w:rPr>
              <w:t xml:space="preserve">For more information, see: </w:t>
            </w:r>
            <w:hyperlink r:id="rId20" w:history="1">
              <w:r w:rsidRPr="00E815DE">
                <w:rPr>
                  <w:rStyle w:val="Hyperlink"/>
                  <w:bCs/>
                </w:rPr>
                <w:t>https://unece.org/environment-policyenvironmental-assessment/eu4environment</w:t>
              </w:r>
            </w:hyperlink>
          </w:p>
          <w:p w14:paraId="2AA1EA1F" w14:textId="209F6335" w:rsidR="00185940" w:rsidRDefault="00185940" w:rsidP="00A05F87">
            <w:pPr>
              <w:spacing w:before="40" w:after="120" w:line="240" w:lineRule="auto"/>
              <w:ind w:right="113"/>
              <w:rPr>
                <w:bCs/>
              </w:rPr>
            </w:pPr>
          </w:p>
          <w:p w14:paraId="1DADA7B8" w14:textId="2A0811EA" w:rsidR="00185940" w:rsidRDefault="00185940" w:rsidP="00A05F87">
            <w:pPr>
              <w:spacing w:before="40" w:after="120" w:line="240" w:lineRule="auto"/>
              <w:ind w:right="113"/>
              <w:rPr>
                <w:bCs/>
              </w:rPr>
            </w:pPr>
          </w:p>
          <w:p w14:paraId="12A41035" w14:textId="3B0E7EB2" w:rsidR="00185940" w:rsidRDefault="00185940" w:rsidP="00A05F87">
            <w:pPr>
              <w:spacing w:before="40" w:after="120" w:line="240" w:lineRule="auto"/>
              <w:ind w:right="113"/>
              <w:rPr>
                <w:bCs/>
              </w:rPr>
            </w:pPr>
          </w:p>
          <w:p w14:paraId="361F4A68" w14:textId="69764627" w:rsidR="00185940" w:rsidRDefault="00185940" w:rsidP="00A05F87">
            <w:pPr>
              <w:spacing w:before="40" w:after="120" w:line="240" w:lineRule="auto"/>
              <w:ind w:right="113"/>
              <w:rPr>
                <w:bCs/>
              </w:rPr>
            </w:pPr>
          </w:p>
          <w:p w14:paraId="796E4638" w14:textId="1688BC72" w:rsidR="00185940" w:rsidRDefault="00185940" w:rsidP="00A05F87">
            <w:pPr>
              <w:spacing w:before="40" w:after="120" w:line="240" w:lineRule="auto"/>
              <w:ind w:right="113"/>
              <w:rPr>
                <w:bCs/>
              </w:rPr>
            </w:pPr>
          </w:p>
          <w:p w14:paraId="16B21CAF" w14:textId="4A03330D" w:rsidR="00185940" w:rsidRDefault="00185940" w:rsidP="00A05F87">
            <w:pPr>
              <w:spacing w:before="40" w:after="120" w:line="240" w:lineRule="auto"/>
              <w:ind w:right="113"/>
              <w:rPr>
                <w:bCs/>
              </w:rPr>
            </w:pPr>
          </w:p>
          <w:p w14:paraId="77CA4C84" w14:textId="26E65925" w:rsidR="00185940" w:rsidRDefault="00185940" w:rsidP="00A05F87">
            <w:pPr>
              <w:spacing w:before="40" w:after="120" w:line="240" w:lineRule="auto"/>
              <w:ind w:right="113"/>
              <w:rPr>
                <w:bCs/>
              </w:rPr>
            </w:pPr>
          </w:p>
          <w:p w14:paraId="6DF69736" w14:textId="2813EA5B" w:rsidR="00185940" w:rsidRDefault="00185940" w:rsidP="00A05F87">
            <w:pPr>
              <w:spacing w:before="40" w:after="120" w:line="240" w:lineRule="auto"/>
              <w:ind w:right="113"/>
              <w:rPr>
                <w:bCs/>
              </w:rPr>
            </w:pPr>
          </w:p>
          <w:p w14:paraId="1F1262BA" w14:textId="1F623FDB" w:rsidR="00185940" w:rsidRDefault="00185940" w:rsidP="00A05F87">
            <w:pPr>
              <w:spacing w:before="40" w:after="120" w:line="240" w:lineRule="auto"/>
              <w:ind w:right="113"/>
              <w:rPr>
                <w:bCs/>
              </w:rPr>
            </w:pPr>
          </w:p>
          <w:p w14:paraId="17387693" w14:textId="6C2999DA" w:rsidR="00185940" w:rsidRDefault="00185940" w:rsidP="00A05F87">
            <w:pPr>
              <w:spacing w:before="40" w:after="120" w:line="240" w:lineRule="auto"/>
              <w:ind w:right="113"/>
              <w:rPr>
                <w:bCs/>
              </w:rPr>
            </w:pPr>
          </w:p>
          <w:p w14:paraId="13001FBB" w14:textId="06CE1331" w:rsidR="00185940" w:rsidRDefault="00185940" w:rsidP="00A05F87">
            <w:pPr>
              <w:spacing w:before="40" w:after="120" w:line="240" w:lineRule="auto"/>
              <w:ind w:right="113"/>
              <w:rPr>
                <w:bCs/>
              </w:rPr>
            </w:pPr>
          </w:p>
          <w:p w14:paraId="2AC2F281" w14:textId="13DDFF14" w:rsidR="00185940" w:rsidRDefault="00185940" w:rsidP="00A05F87">
            <w:pPr>
              <w:spacing w:before="40" w:after="120" w:line="240" w:lineRule="auto"/>
              <w:ind w:right="113"/>
              <w:rPr>
                <w:bCs/>
              </w:rPr>
            </w:pPr>
          </w:p>
          <w:p w14:paraId="540CD9E5" w14:textId="77777777" w:rsidR="00185940" w:rsidRDefault="00185940" w:rsidP="00A05F87">
            <w:pPr>
              <w:spacing w:before="40" w:after="120" w:line="240" w:lineRule="auto"/>
              <w:ind w:right="113"/>
              <w:rPr>
                <w:bCs/>
              </w:rPr>
            </w:pPr>
          </w:p>
          <w:p w14:paraId="468F6F4B" w14:textId="046FE766" w:rsidR="00185940" w:rsidRDefault="00185940" w:rsidP="00A05F87">
            <w:pPr>
              <w:spacing w:before="40" w:after="120" w:line="240" w:lineRule="auto"/>
              <w:ind w:right="113"/>
              <w:rPr>
                <w:bCs/>
              </w:rPr>
            </w:pPr>
            <w:r>
              <w:rPr>
                <w:bCs/>
              </w:rPr>
              <w:t xml:space="preserve">For more information, see: </w:t>
            </w:r>
            <w:hyperlink r:id="rId21" w:history="1">
              <w:r w:rsidRPr="00E815DE">
                <w:rPr>
                  <w:rStyle w:val="Hyperlink"/>
                  <w:bCs/>
                </w:rPr>
                <w:t>https://unece.org/project-strengthening-national-and-regional-capacities-and-cooperation-strategic-environmental</w:t>
              </w:r>
            </w:hyperlink>
          </w:p>
          <w:p w14:paraId="4D4A0343" w14:textId="77777777" w:rsidR="00185940" w:rsidRDefault="00185940" w:rsidP="00A05F87">
            <w:pPr>
              <w:spacing w:before="40" w:after="120" w:line="240" w:lineRule="auto"/>
              <w:ind w:right="113"/>
              <w:rPr>
                <w:bCs/>
              </w:rPr>
            </w:pPr>
          </w:p>
          <w:p w14:paraId="094F6169" w14:textId="77777777" w:rsidR="006432B1" w:rsidRDefault="006432B1" w:rsidP="00A05F87">
            <w:pPr>
              <w:spacing w:before="40" w:after="120" w:line="240" w:lineRule="auto"/>
              <w:ind w:right="113"/>
              <w:rPr>
                <w:bCs/>
              </w:rPr>
            </w:pPr>
          </w:p>
          <w:p w14:paraId="5809FFCC" w14:textId="68E35721" w:rsidR="006432B1" w:rsidRPr="006432B1" w:rsidRDefault="006432B1" w:rsidP="00A05F87">
            <w:pPr>
              <w:spacing w:before="40" w:after="120" w:line="240" w:lineRule="auto"/>
              <w:ind w:right="113"/>
              <w:rPr>
                <w:bCs/>
              </w:rPr>
            </w:pPr>
          </w:p>
        </w:tc>
        <w:tc>
          <w:tcPr>
            <w:tcW w:w="4656" w:type="dxa"/>
            <w:tcBorders>
              <w:top w:val="single" w:sz="4" w:space="0" w:color="auto"/>
              <w:bottom w:val="single" w:sz="4" w:space="0" w:color="auto"/>
            </w:tcBorders>
            <w:shd w:val="clear" w:color="auto" w:fill="auto"/>
          </w:tcPr>
          <w:p w14:paraId="12A71B8A" w14:textId="5825BD12" w:rsidR="003E2450" w:rsidRPr="003E2450" w:rsidRDefault="003E2450" w:rsidP="003E2450">
            <w:pPr>
              <w:pStyle w:val="Bullet1G"/>
              <w:numPr>
                <w:ilvl w:val="0"/>
                <w:numId w:val="0"/>
              </w:numPr>
              <w:ind w:left="142" w:right="260"/>
              <w:jc w:val="left"/>
              <w:rPr>
                <w:bCs/>
              </w:rPr>
            </w:pPr>
            <w:r w:rsidRPr="003E2450">
              <w:rPr>
                <w:b/>
              </w:rPr>
              <w:lastRenderedPageBreak/>
              <w:t>The secretariat and delegations</w:t>
            </w:r>
            <w:r w:rsidRPr="003E2450">
              <w:rPr>
                <w:bCs/>
              </w:rPr>
              <w:t xml:space="preserve"> from the </w:t>
            </w:r>
            <w:r w:rsidR="00181087">
              <w:rPr>
                <w:bCs/>
              </w:rPr>
              <w:t xml:space="preserve">concerned </w:t>
            </w:r>
            <w:r w:rsidRPr="003E2450">
              <w:rPr>
                <w:bCs/>
              </w:rPr>
              <w:t>countries will be invited to report on capacity-building activities, funded through EU4Environment to promote the practical application of the Protocol and the Convention:</w:t>
            </w:r>
          </w:p>
          <w:p w14:paraId="2FD83C39" w14:textId="77777777" w:rsidR="003E2450" w:rsidRPr="003E2450" w:rsidRDefault="003E2450" w:rsidP="006432B1">
            <w:pPr>
              <w:pStyle w:val="Bullet1G"/>
              <w:numPr>
                <w:ilvl w:val="0"/>
                <w:numId w:val="0"/>
              </w:numPr>
              <w:ind w:left="142" w:right="260"/>
              <w:jc w:val="left"/>
              <w:rPr>
                <w:bCs/>
              </w:rPr>
            </w:pPr>
            <w:r w:rsidRPr="003E2450">
              <w:rPr>
                <w:bCs/>
              </w:rPr>
              <w:t>(a)</w:t>
            </w:r>
            <w:r w:rsidRPr="003E2450">
              <w:rPr>
                <w:bCs/>
              </w:rPr>
              <w:tab/>
              <w:t>Pilot projects (Armenia, Azerbaijan, Georgia, Republic of Moldova and Ukraine);</w:t>
            </w:r>
          </w:p>
          <w:p w14:paraId="158B2E4D" w14:textId="77777777" w:rsidR="003E2450" w:rsidRPr="003E2450" w:rsidRDefault="003E2450" w:rsidP="006432B1">
            <w:pPr>
              <w:pStyle w:val="Bullet1G"/>
              <w:numPr>
                <w:ilvl w:val="0"/>
                <w:numId w:val="0"/>
              </w:numPr>
              <w:ind w:left="142" w:right="260"/>
              <w:jc w:val="left"/>
              <w:rPr>
                <w:bCs/>
              </w:rPr>
            </w:pPr>
            <w:r w:rsidRPr="003E2450">
              <w:rPr>
                <w:bCs/>
              </w:rPr>
              <w:t>(b)</w:t>
            </w:r>
            <w:r w:rsidRPr="003E2450">
              <w:rPr>
                <w:bCs/>
              </w:rPr>
              <w:tab/>
              <w:t xml:space="preserve">Training workshops on treaty application (a second workshop on the Convention’s implementation for Ukraine in 2022 (to be confirmed)); </w:t>
            </w:r>
          </w:p>
          <w:p w14:paraId="177C006A" w14:textId="77777777" w:rsidR="003E2450" w:rsidRPr="003E2450" w:rsidRDefault="003E2450" w:rsidP="006432B1">
            <w:pPr>
              <w:pStyle w:val="Bullet1G"/>
              <w:numPr>
                <w:ilvl w:val="0"/>
                <w:numId w:val="0"/>
              </w:numPr>
              <w:ind w:left="142" w:right="260"/>
              <w:jc w:val="left"/>
              <w:rPr>
                <w:bCs/>
              </w:rPr>
            </w:pPr>
            <w:r w:rsidRPr="003E2450">
              <w:rPr>
                <w:bCs/>
              </w:rPr>
              <w:lastRenderedPageBreak/>
              <w:t>(c)</w:t>
            </w:r>
            <w:r w:rsidRPr="003E2450">
              <w:rPr>
                <w:bCs/>
              </w:rPr>
              <w:tab/>
              <w:t>National awareness-raising events (Azerbaijan in 2022 (to be confirmed));</w:t>
            </w:r>
          </w:p>
          <w:p w14:paraId="0B289E14" w14:textId="77777777" w:rsidR="003E2450" w:rsidRPr="003E2450" w:rsidRDefault="003E2450" w:rsidP="006432B1">
            <w:pPr>
              <w:pStyle w:val="Bullet1G"/>
              <w:numPr>
                <w:ilvl w:val="0"/>
                <w:numId w:val="0"/>
              </w:numPr>
              <w:ind w:left="142" w:right="260"/>
              <w:jc w:val="left"/>
              <w:rPr>
                <w:bCs/>
              </w:rPr>
            </w:pPr>
            <w:r w:rsidRPr="003E2450">
              <w:rPr>
                <w:bCs/>
              </w:rPr>
              <w:t>(d)</w:t>
            </w:r>
            <w:r w:rsidRPr="003E2450">
              <w:rPr>
                <w:bCs/>
              </w:rPr>
              <w:tab/>
              <w:t>National awareness-raising materials (Azerbaijan and Republic of Moldova);</w:t>
            </w:r>
          </w:p>
          <w:p w14:paraId="30452841" w14:textId="77777777" w:rsidR="003E2450" w:rsidRPr="003E2450" w:rsidRDefault="003E2450" w:rsidP="006432B1">
            <w:pPr>
              <w:pStyle w:val="Bullet1G"/>
              <w:numPr>
                <w:ilvl w:val="0"/>
                <w:numId w:val="0"/>
              </w:numPr>
              <w:ind w:left="142" w:right="260"/>
              <w:jc w:val="left"/>
              <w:rPr>
                <w:bCs/>
              </w:rPr>
            </w:pPr>
            <w:r w:rsidRPr="003E2450">
              <w:rPr>
                <w:bCs/>
              </w:rPr>
              <w:t>(e)</w:t>
            </w:r>
            <w:r w:rsidRPr="003E2450">
              <w:rPr>
                <w:bCs/>
              </w:rPr>
              <w:tab/>
              <w:t>National issue- or sector-specific guidelines (Azerbaijan, Republic of Moldova and Ukraine);</w:t>
            </w:r>
          </w:p>
          <w:p w14:paraId="682607EC" w14:textId="3AD34018" w:rsidR="003E2450" w:rsidRPr="003E2450" w:rsidRDefault="003E2450" w:rsidP="00C973EE">
            <w:pPr>
              <w:pStyle w:val="Bullet1G"/>
              <w:numPr>
                <w:ilvl w:val="0"/>
                <w:numId w:val="0"/>
              </w:numPr>
              <w:ind w:left="142" w:right="260"/>
              <w:jc w:val="left"/>
              <w:rPr>
                <w:bCs/>
              </w:rPr>
            </w:pPr>
            <w:r w:rsidRPr="003E2450">
              <w:rPr>
                <w:bCs/>
              </w:rPr>
              <w:t>(f)</w:t>
            </w:r>
            <w:r w:rsidRPr="003E2450">
              <w:rPr>
                <w:bCs/>
              </w:rPr>
              <w:tab/>
              <w:t>A model database on strategic environmental assessment;</w:t>
            </w:r>
          </w:p>
          <w:p w14:paraId="160ADF6C" w14:textId="633488B4" w:rsidR="006432B1" w:rsidRPr="009272B1" w:rsidRDefault="003E2450" w:rsidP="006432B1">
            <w:pPr>
              <w:pStyle w:val="Bullet1G"/>
              <w:numPr>
                <w:ilvl w:val="0"/>
                <w:numId w:val="0"/>
              </w:numPr>
              <w:ind w:left="142" w:right="260"/>
              <w:jc w:val="left"/>
              <w:rPr>
                <w:bCs/>
              </w:rPr>
            </w:pPr>
            <w:r w:rsidRPr="003E2450">
              <w:rPr>
                <w:bCs/>
              </w:rPr>
              <w:t>(g)</w:t>
            </w:r>
            <w:r w:rsidRPr="003E2450">
              <w:rPr>
                <w:bCs/>
              </w:rPr>
              <w:tab/>
              <w:t>Translating the video on the application of the Convention (all six national language versions</w:t>
            </w:r>
            <w:r w:rsidR="006432B1">
              <w:rPr>
                <w:bCs/>
              </w:rPr>
              <w:t xml:space="preserve"> completed: see</w:t>
            </w:r>
            <w:r w:rsidR="006432B1">
              <w:t xml:space="preserve"> </w:t>
            </w:r>
            <w:hyperlink r:id="rId22" w:history="1">
              <w:r w:rsidR="006432B1" w:rsidRPr="00E815DE">
                <w:rPr>
                  <w:rStyle w:val="Hyperlink"/>
                  <w:bCs/>
                </w:rPr>
                <w:t>https://unece.org/environment-policy/environmental-assessment</w:t>
              </w:r>
            </w:hyperlink>
            <w:r w:rsidR="006432B1">
              <w:rPr>
                <w:bCs/>
              </w:rPr>
              <w:t>)</w:t>
            </w:r>
          </w:p>
        </w:tc>
      </w:tr>
      <w:tr w:rsidR="003E2450" w:rsidRPr="00930D32" w14:paraId="353CE010" w14:textId="77777777" w:rsidTr="006A4C77">
        <w:trPr>
          <w:trHeight w:val="1849"/>
          <w:jc w:val="center"/>
        </w:trPr>
        <w:tc>
          <w:tcPr>
            <w:tcW w:w="1350" w:type="dxa"/>
            <w:vMerge/>
            <w:shd w:val="clear" w:color="auto" w:fill="auto"/>
          </w:tcPr>
          <w:p w14:paraId="78801932" w14:textId="77777777" w:rsidR="003E2450" w:rsidRPr="009272B1" w:rsidRDefault="003E2450" w:rsidP="00FC12EA">
            <w:pPr>
              <w:spacing w:before="40" w:after="120"/>
              <w:ind w:left="143" w:right="113"/>
              <w:rPr>
                <w:b/>
                <w:bCs/>
              </w:rPr>
            </w:pPr>
          </w:p>
        </w:tc>
        <w:tc>
          <w:tcPr>
            <w:tcW w:w="921" w:type="dxa"/>
            <w:vMerge/>
            <w:shd w:val="clear" w:color="auto" w:fill="auto"/>
          </w:tcPr>
          <w:p w14:paraId="65537E89" w14:textId="77777777" w:rsidR="003E2450" w:rsidRPr="009272B1" w:rsidRDefault="003E2450" w:rsidP="00FC12EA">
            <w:pPr>
              <w:spacing w:before="40" w:after="120"/>
              <w:ind w:left="143" w:right="113"/>
              <w:rPr>
                <w:bCs/>
              </w:rPr>
            </w:pPr>
          </w:p>
        </w:tc>
        <w:tc>
          <w:tcPr>
            <w:tcW w:w="1845" w:type="dxa"/>
            <w:vMerge/>
            <w:shd w:val="clear" w:color="auto" w:fill="auto"/>
          </w:tcPr>
          <w:p w14:paraId="4F2A32D9" w14:textId="77777777" w:rsidR="003E2450" w:rsidRDefault="003E2450" w:rsidP="00FC12EA">
            <w:pPr>
              <w:spacing w:before="40" w:after="120"/>
              <w:ind w:left="284" w:right="113" w:hanging="142"/>
              <w:rPr>
                <w:b/>
                <w:bCs/>
              </w:rPr>
            </w:pPr>
          </w:p>
        </w:tc>
        <w:tc>
          <w:tcPr>
            <w:tcW w:w="3831" w:type="dxa"/>
            <w:vMerge/>
            <w:shd w:val="clear" w:color="auto" w:fill="auto"/>
          </w:tcPr>
          <w:p w14:paraId="20ED89F2" w14:textId="77777777" w:rsidR="003E2450" w:rsidRPr="00A05F87" w:rsidRDefault="003E2450" w:rsidP="00A05F87">
            <w:pPr>
              <w:spacing w:before="40" w:after="120" w:line="240" w:lineRule="auto"/>
              <w:ind w:right="113"/>
              <w:rPr>
                <w:bCs/>
                <w:i/>
                <w:iCs/>
              </w:rPr>
            </w:pPr>
          </w:p>
        </w:tc>
        <w:tc>
          <w:tcPr>
            <w:tcW w:w="4656" w:type="dxa"/>
            <w:tcBorders>
              <w:top w:val="single" w:sz="4" w:space="0" w:color="auto"/>
              <w:bottom w:val="single" w:sz="4" w:space="0" w:color="auto"/>
            </w:tcBorders>
            <w:shd w:val="clear" w:color="auto" w:fill="auto"/>
          </w:tcPr>
          <w:p w14:paraId="53D1DDF5" w14:textId="2F29EC70" w:rsidR="003E2450" w:rsidRPr="009272B1" w:rsidRDefault="003E2450" w:rsidP="003E2450">
            <w:pPr>
              <w:pStyle w:val="Bullet1G"/>
              <w:numPr>
                <w:ilvl w:val="0"/>
                <w:numId w:val="0"/>
              </w:numPr>
              <w:ind w:left="142" w:right="260"/>
              <w:jc w:val="left"/>
              <w:rPr>
                <w:bCs/>
              </w:rPr>
            </w:pPr>
            <w:r w:rsidRPr="003E2450">
              <w:rPr>
                <w:b/>
              </w:rPr>
              <w:t>The delegations from the countries concern</w:t>
            </w:r>
            <w:r w:rsidRPr="00E752DF">
              <w:rPr>
                <w:b/>
              </w:rPr>
              <w:t xml:space="preserve">ed, a representative of the OSCE and/or the secretariat </w:t>
            </w:r>
            <w:r w:rsidRPr="003E2450">
              <w:rPr>
                <w:bCs/>
              </w:rPr>
              <w:t>will report on any follow-up activities to the capacity-building activities carried out in Central Asia, in particular under the joint ECE/Organization for Security and Cooperation in Europe project (2019–2021)</w:t>
            </w:r>
          </w:p>
        </w:tc>
      </w:tr>
      <w:tr w:rsidR="003E2450" w:rsidRPr="00930D32" w14:paraId="04B61B2A" w14:textId="77777777" w:rsidTr="00C973EE">
        <w:trPr>
          <w:trHeight w:val="1002"/>
          <w:jc w:val="center"/>
        </w:trPr>
        <w:tc>
          <w:tcPr>
            <w:tcW w:w="1350" w:type="dxa"/>
            <w:vMerge/>
            <w:tcBorders>
              <w:bottom w:val="single" w:sz="4" w:space="0" w:color="auto"/>
            </w:tcBorders>
            <w:shd w:val="clear" w:color="auto" w:fill="auto"/>
          </w:tcPr>
          <w:p w14:paraId="7B6C9A67" w14:textId="77777777" w:rsidR="003E2450" w:rsidRPr="009272B1" w:rsidRDefault="003E2450" w:rsidP="00FC12EA">
            <w:pPr>
              <w:spacing w:before="40" w:after="120"/>
              <w:ind w:left="143" w:right="113"/>
              <w:rPr>
                <w:b/>
                <w:bCs/>
              </w:rPr>
            </w:pPr>
          </w:p>
        </w:tc>
        <w:tc>
          <w:tcPr>
            <w:tcW w:w="921" w:type="dxa"/>
            <w:vMerge/>
            <w:tcBorders>
              <w:bottom w:val="single" w:sz="4" w:space="0" w:color="auto"/>
            </w:tcBorders>
            <w:shd w:val="clear" w:color="auto" w:fill="auto"/>
          </w:tcPr>
          <w:p w14:paraId="106C6465" w14:textId="77777777" w:rsidR="003E2450" w:rsidRPr="009272B1" w:rsidRDefault="003E2450" w:rsidP="00FC12EA">
            <w:pPr>
              <w:spacing w:before="40" w:after="120"/>
              <w:ind w:left="143" w:right="113"/>
              <w:rPr>
                <w:bCs/>
              </w:rPr>
            </w:pPr>
          </w:p>
        </w:tc>
        <w:tc>
          <w:tcPr>
            <w:tcW w:w="1845" w:type="dxa"/>
            <w:vMerge/>
            <w:tcBorders>
              <w:bottom w:val="single" w:sz="4" w:space="0" w:color="auto"/>
            </w:tcBorders>
            <w:shd w:val="clear" w:color="auto" w:fill="auto"/>
          </w:tcPr>
          <w:p w14:paraId="29543DA6" w14:textId="77777777" w:rsidR="003E2450" w:rsidRDefault="003E2450" w:rsidP="00FC12EA">
            <w:pPr>
              <w:spacing w:before="40" w:after="120"/>
              <w:ind w:left="284" w:right="113" w:hanging="142"/>
              <w:rPr>
                <w:b/>
                <w:bCs/>
              </w:rPr>
            </w:pPr>
          </w:p>
        </w:tc>
        <w:tc>
          <w:tcPr>
            <w:tcW w:w="3831" w:type="dxa"/>
            <w:vMerge/>
            <w:tcBorders>
              <w:bottom w:val="single" w:sz="4" w:space="0" w:color="auto"/>
            </w:tcBorders>
            <w:shd w:val="clear" w:color="auto" w:fill="auto"/>
          </w:tcPr>
          <w:p w14:paraId="1FCDE3AC" w14:textId="77777777" w:rsidR="003E2450" w:rsidRPr="00A05F87" w:rsidRDefault="003E2450" w:rsidP="00A05F87">
            <w:pPr>
              <w:spacing w:before="40" w:after="120" w:line="240" w:lineRule="auto"/>
              <w:ind w:right="113"/>
              <w:rPr>
                <w:bCs/>
                <w:i/>
                <w:iCs/>
              </w:rPr>
            </w:pPr>
          </w:p>
        </w:tc>
        <w:tc>
          <w:tcPr>
            <w:tcW w:w="4656" w:type="dxa"/>
            <w:tcBorders>
              <w:top w:val="single" w:sz="4" w:space="0" w:color="auto"/>
              <w:bottom w:val="dashSmallGap" w:sz="4" w:space="0" w:color="auto"/>
            </w:tcBorders>
            <w:shd w:val="clear" w:color="auto" w:fill="auto"/>
          </w:tcPr>
          <w:p w14:paraId="38A3F335" w14:textId="77777777" w:rsidR="003E2450" w:rsidRPr="003E2450" w:rsidRDefault="003E2450" w:rsidP="003E2450">
            <w:pPr>
              <w:pStyle w:val="Bullet1G"/>
              <w:numPr>
                <w:ilvl w:val="0"/>
                <w:numId w:val="0"/>
              </w:numPr>
              <w:ind w:left="142" w:right="260"/>
              <w:jc w:val="left"/>
              <w:rPr>
                <w:b/>
              </w:rPr>
            </w:pPr>
            <w:r w:rsidRPr="003E2450">
              <w:rPr>
                <w:b/>
                <w:bCs/>
              </w:rPr>
              <w:t>The Working Group</w:t>
            </w:r>
            <w:r>
              <w:t xml:space="preserve"> is expected to take note of the information and, as relevant, provide advice for the implementation or follow-up of the capacity-building activities.</w:t>
            </w:r>
          </w:p>
        </w:tc>
      </w:tr>
      <w:tr w:rsidR="00C669E7" w:rsidRPr="00930D32" w14:paraId="4AE0ACF1" w14:textId="77777777" w:rsidTr="00C669E7">
        <w:trPr>
          <w:trHeight w:val="1043"/>
          <w:jc w:val="center"/>
        </w:trPr>
        <w:tc>
          <w:tcPr>
            <w:tcW w:w="1350" w:type="dxa"/>
            <w:tcBorders>
              <w:top w:val="single" w:sz="4" w:space="0" w:color="auto"/>
            </w:tcBorders>
            <w:shd w:val="clear" w:color="auto" w:fill="auto"/>
          </w:tcPr>
          <w:p w14:paraId="593CC4BE" w14:textId="77777777" w:rsidR="00C669E7" w:rsidRPr="00BE227B" w:rsidRDefault="003E2450" w:rsidP="00A05F87">
            <w:pPr>
              <w:spacing w:before="40" w:after="120"/>
              <w:ind w:right="113"/>
              <w:rPr>
                <w:b/>
                <w:bCs/>
              </w:rPr>
            </w:pPr>
            <w:r w:rsidRPr="003E2450">
              <w:rPr>
                <w:b/>
                <w:bCs/>
              </w:rPr>
              <w:t>Tuesday, 20 December</w:t>
            </w:r>
          </w:p>
        </w:tc>
        <w:tc>
          <w:tcPr>
            <w:tcW w:w="921" w:type="dxa"/>
            <w:tcBorders>
              <w:top w:val="single" w:sz="4" w:space="0" w:color="auto"/>
              <w:bottom w:val="dashSmallGap" w:sz="4" w:space="0" w:color="auto"/>
            </w:tcBorders>
            <w:shd w:val="clear" w:color="auto" w:fill="auto"/>
          </w:tcPr>
          <w:p w14:paraId="0B54867E" w14:textId="77777777" w:rsidR="00C669E7" w:rsidRPr="00BE227B" w:rsidRDefault="00C669E7" w:rsidP="009272B1">
            <w:pPr>
              <w:spacing w:before="40" w:after="120"/>
              <w:ind w:left="170" w:right="113"/>
              <w:rPr>
                <w:bCs/>
              </w:rPr>
            </w:pPr>
            <w:r w:rsidRPr="00BE227B">
              <w:rPr>
                <w:bCs/>
              </w:rPr>
              <w:t>1</w:t>
            </w:r>
            <w:r w:rsidR="003E2450">
              <w:rPr>
                <w:bCs/>
              </w:rPr>
              <w:t>2.30</w:t>
            </w:r>
            <w:r w:rsidRPr="00BE227B">
              <w:rPr>
                <w:bCs/>
              </w:rPr>
              <w:t>–</w:t>
            </w:r>
            <w:r w:rsidR="003E2450">
              <w:rPr>
                <w:bCs/>
              </w:rPr>
              <w:t>13</w:t>
            </w:r>
            <w:r w:rsidRPr="00BE227B">
              <w:rPr>
                <w:bCs/>
              </w:rPr>
              <w:t xml:space="preserve"> </w:t>
            </w:r>
          </w:p>
        </w:tc>
        <w:tc>
          <w:tcPr>
            <w:tcW w:w="1845" w:type="dxa"/>
            <w:tcBorders>
              <w:top w:val="single" w:sz="4" w:space="0" w:color="auto"/>
              <w:bottom w:val="dashSmallGap" w:sz="4" w:space="0" w:color="auto"/>
            </w:tcBorders>
            <w:shd w:val="clear" w:color="auto" w:fill="auto"/>
          </w:tcPr>
          <w:p w14:paraId="44B83E9B" w14:textId="77777777" w:rsidR="00C669E7" w:rsidRPr="00BE227B" w:rsidRDefault="00C669E7" w:rsidP="009272B1">
            <w:pPr>
              <w:spacing w:before="40" w:after="120"/>
              <w:ind w:left="284" w:right="113" w:hanging="142"/>
              <w:rPr>
                <w:b/>
                <w:bCs/>
              </w:rPr>
            </w:pPr>
            <w:bookmarkStart w:id="4" w:name="_Hlk24479300"/>
            <w:r w:rsidRPr="00BE227B">
              <w:rPr>
                <w:b/>
                <w:bCs/>
              </w:rPr>
              <w:t xml:space="preserve"> </w:t>
            </w:r>
            <w:bookmarkEnd w:id="4"/>
            <w:r w:rsidRPr="00BE227B">
              <w:rPr>
                <w:b/>
                <w:bCs/>
              </w:rPr>
              <w:t xml:space="preserve">  </w:t>
            </w:r>
            <w:r w:rsidR="003E2450">
              <w:rPr>
                <w:b/>
                <w:bCs/>
              </w:rPr>
              <w:t>6</w:t>
            </w:r>
            <w:r>
              <w:rPr>
                <w:b/>
                <w:bCs/>
              </w:rPr>
              <w:t xml:space="preserve">. </w:t>
            </w:r>
            <w:r w:rsidR="003E2450" w:rsidRPr="003E2450">
              <w:rPr>
                <w:b/>
                <w:bCs/>
              </w:rPr>
              <w:t>Management, coordination and visibility of intersessional activities</w:t>
            </w:r>
          </w:p>
        </w:tc>
        <w:tc>
          <w:tcPr>
            <w:tcW w:w="3831" w:type="dxa"/>
            <w:tcBorders>
              <w:top w:val="single" w:sz="4" w:space="0" w:color="auto"/>
              <w:bottom w:val="dashSmallGap" w:sz="4" w:space="0" w:color="auto"/>
            </w:tcBorders>
            <w:shd w:val="clear" w:color="auto" w:fill="auto"/>
          </w:tcPr>
          <w:p w14:paraId="6B4687F0" w14:textId="21F22A3E" w:rsidR="00C669E7" w:rsidRPr="00561B33" w:rsidRDefault="00CA1D84" w:rsidP="00561B33">
            <w:pPr>
              <w:spacing w:before="40" w:after="120" w:line="240" w:lineRule="auto"/>
              <w:ind w:right="113"/>
              <w:rPr>
                <w:bCs/>
              </w:rPr>
            </w:pPr>
            <w:r>
              <w:rPr>
                <w:bCs/>
              </w:rPr>
              <w:t>I</w:t>
            </w:r>
            <w:r>
              <w:t>nformal note on “</w:t>
            </w:r>
            <w:hyperlink r:id="rId23" w:history="1">
              <w:r w:rsidR="00185940" w:rsidRPr="00185940">
                <w:rPr>
                  <w:rStyle w:val="Hyperlink"/>
                </w:rPr>
                <w:t>P</w:t>
              </w:r>
              <w:r w:rsidRPr="00185940">
                <w:rPr>
                  <w:rStyle w:val="Hyperlink"/>
                </w:rPr>
                <w:t>rocedural matters of relevance to meetings with remote participation due to extraordinary circumstances</w:t>
              </w:r>
            </w:hyperlink>
            <w:r>
              <w:t>” of November 2020</w:t>
            </w:r>
          </w:p>
        </w:tc>
        <w:tc>
          <w:tcPr>
            <w:tcW w:w="4656" w:type="dxa"/>
            <w:shd w:val="clear" w:color="auto" w:fill="auto"/>
          </w:tcPr>
          <w:p w14:paraId="0BD9F4E8" w14:textId="6C26FC5A" w:rsidR="001F20BE" w:rsidRDefault="003E2450" w:rsidP="00561B33">
            <w:pPr>
              <w:pStyle w:val="Bullet1G"/>
              <w:numPr>
                <w:ilvl w:val="0"/>
                <w:numId w:val="0"/>
              </w:numPr>
              <w:ind w:left="142" w:right="260"/>
              <w:jc w:val="left"/>
            </w:pPr>
            <w:r w:rsidRPr="003E2450">
              <w:rPr>
                <w:b/>
                <w:bCs/>
              </w:rPr>
              <w:t>The Chair</w:t>
            </w:r>
            <w:r w:rsidR="001F20BE">
              <w:rPr>
                <w:b/>
                <w:bCs/>
              </w:rPr>
              <w:t xml:space="preserve">/Bureau Chair </w:t>
            </w:r>
            <w:r w:rsidRPr="00146F42">
              <w:t>will</w:t>
            </w:r>
            <w:r w:rsidR="001F20BE">
              <w:t xml:space="preserve"> report </w:t>
            </w:r>
            <w:r w:rsidR="00CA1D84">
              <w:t>on its conclusion n</w:t>
            </w:r>
            <w:r w:rsidR="001F20BE">
              <w:t>ot to revisit the 2020 informal note on “</w:t>
            </w:r>
            <w:r w:rsidR="001F20BE" w:rsidRPr="001F20BE">
              <w:t>procedural matters of relevance to meetings with remote participation due to extraordinary circumstances</w:t>
            </w:r>
            <w:r w:rsidR="001F20BE">
              <w:t xml:space="preserve">”; </w:t>
            </w:r>
          </w:p>
          <w:p w14:paraId="7D953525" w14:textId="77777777" w:rsidR="002D7F74" w:rsidRDefault="002D7F74" w:rsidP="00561B33">
            <w:pPr>
              <w:pStyle w:val="Bullet1G"/>
              <w:numPr>
                <w:ilvl w:val="0"/>
                <w:numId w:val="0"/>
              </w:numPr>
              <w:ind w:left="142" w:right="260"/>
              <w:jc w:val="left"/>
            </w:pPr>
            <w:r w:rsidRPr="002D7F74">
              <w:rPr>
                <w:b/>
                <w:bCs/>
              </w:rPr>
              <w:t>The Working Group</w:t>
            </w:r>
            <w:r w:rsidRPr="00146F42">
              <w:t xml:space="preserve"> is invited to</w:t>
            </w:r>
            <w:r w:rsidR="00CA1D84">
              <w:t xml:space="preserve"> note and</w:t>
            </w:r>
            <w:r w:rsidRPr="00146F42">
              <w:t xml:space="preserve"> </w:t>
            </w:r>
            <w:r>
              <w:t>comment</w:t>
            </w:r>
            <w:r w:rsidR="00CA1D84">
              <w:t xml:space="preserve"> the Bureau’s conclusion</w:t>
            </w:r>
            <w:r w:rsidRPr="00146F42">
              <w:t>.</w:t>
            </w:r>
          </w:p>
          <w:p w14:paraId="43951F5B" w14:textId="624B4B50" w:rsidR="00185940" w:rsidRPr="00BE227B" w:rsidRDefault="00185940" w:rsidP="00561B33">
            <w:pPr>
              <w:pStyle w:val="Bullet1G"/>
              <w:numPr>
                <w:ilvl w:val="0"/>
                <w:numId w:val="0"/>
              </w:numPr>
              <w:ind w:left="142" w:right="260"/>
              <w:jc w:val="left"/>
            </w:pPr>
          </w:p>
        </w:tc>
      </w:tr>
      <w:tr w:rsidR="008E74CF" w:rsidRPr="00930D32" w14:paraId="2474694D" w14:textId="77777777" w:rsidTr="00C669E7">
        <w:trPr>
          <w:trHeight w:val="759"/>
          <w:jc w:val="center"/>
        </w:trPr>
        <w:tc>
          <w:tcPr>
            <w:tcW w:w="1350" w:type="dxa"/>
            <w:tcBorders>
              <w:top w:val="dashSmallGap" w:sz="4" w:space="0" w:color="auto"/>
              <w:bottom w:val="dashSmallGap" w:sz="4" w:space="0" w:color="auto"/>
            </w:tcBorders>
            <w:shd w:val="clear" w:color="auto" w:fill="auto"/>
          </w:tcPr>
          <w:p w14:paraId="28576CF3" w14:textId="185DEBCB" w:rsidR="008E74CF" w:rsidRDefault="008E74CF" w:rsidP="006A2C0F">
            <w:pPr>
              <w:spacing w:before="40" w:after="120"/>
              <w:ind w:right="113"/>
              <w:rPr>
                <w:b/>
                <w:bCs/>
              </w:rPr>
            </w:pPr>
            <w:r w:rsidRPr="003E2450">
              <w:rPr>
                <w:b/>
                <w:bCs/>
              </w:rPr>
              <w:lastRenderedPageBreak/>
              <w:t>Tuesday, 20 December</w:t>
            </w:r>
          </w:p>
        </w:tc>
        <w:tc>
          <w:tcPr>
            <w:tcW w:w="921" w:type="dxa"/>
            <w:shd w:val="clear" w:color="auto" w:fill="auto"/>
          </w:tcPr>
          <w:p w14:paraId="3CFB601F" w14:textId="77777777" w:rsidR="008E74CF" w:rsidRPr="009272B1" w:rsidRDefault="008E74CF" w:rsidP="009272B1">
            <w:pPr>
              <w:spacing w:before="40" w:after="120"/>
              <w:ind w:left="170" w:right="113"/>
              <w:rPr>
                <w:bCs/>
              </w:rPr>
            </w:pPr>
            <w:r>
              <w:rPr>
                <w:bCs/>
              </w:rPr>
              <w:t>15</w:t>
            </w:r>
            <w:r w:rsidRPr="009272B1">
              <w:rPr>
                <w:bCs/>
              </w:rPr>
              <w:t>–</w:t>
            </w:r>
            <w:r>
              <w:rPr>
                <w:bCs/>
              </w:rPr>
              <w:t>18</w:t>
            </w:r>
          </w:p>
        </w:tc>
        <w:tc>
          <w:tcPr>
            <w:tcW w:w="1845" w:type="dxa"/>
            <w:shd w:val="clear" w:color="auto" w:fill="auto"/>
          </w:tcPr>
          <w:p w14:paraId="12A367CC" w14:textId="77777777" w:rsidR="008E74CF" w:rsidRDefault="008E74CF" w:rsidP="002D7F74">
            <w:pPr>
              <w:spacing w:before="40" w:after="120"/>
              <w:ind w:left="284" w:right="113" w:hanging="142"/>
              <w:rPr>
                <w:b/>
                <w:bCs/>
              </w:rPr>
            </w:pPr>
            <w:r>
              <w:rPr>
                <w:b/>
                <w:bCs/>
              </w:rPr>
              <w:t>7</w:t>
            </w:r>
            <w:r w:rsidRPr="009272B1">
              <w:rPr>
                <w:b/>
                <w:bCs/>
              </w:rPr>
              <w:t xml:space="preserve">. </w:t>
            </w:r>
            <w:r w:rsidRPr="002D7F74">
              <w:rPr>
                <w:b/>
                <w:bCs/>
              </w:rPr>
              <w:t xml:space="preserve">Preparations for </w:t>
            </w:r>
            <w:r>
              <w:rPr>
                <w:b/>
                <w:bCs/>
              </w:rPr>
              <w:t xml:space="preserve">MOP9 and MOP/MOP5 </w:t>
            </w:r>
          </w:p>
          <w:p w14:paraId="21D1AB1E" w14:textId="77777777" w:rsidR="008E74CF" w:rsidRPr="009272B1" w:rsidRDefault="008E74CF" w:rsidP="002D7F74">
            <w:pPr>
              <w:spacing w:before="40" w:after="120"/>
              <w:ind w:left="284" w:right="113" w:hanging="142"/>
              <w:rPr>
                <w:b/>
                <w:bCs/>
              </w:rPr>
            </w:pPr>
            <w:r>
              <w:rPr>
                <w:b/>
                <w:bCs/>
              </w:rPr>
              <w:t xml:space="preserve">7 (a) </w:t>
            </w:r>
            <w:r w:rsidRPr="002D7F74">
              <w:rPr>
                <w:b/>
                <w:bCs/>
              </w:rPr>
              <w:t>Practical arrangements</w:t>
            </w:r>
          </w:p>
        </w:tc>
        <w:tc>
          <w:tcPr>
            <w:tcW w:w="3831" w:type="dxa"/>
            <w:vMerge w:val="restart"/>
            <w:shd w:val="clear" w:color="auto" w:fill="auto"/>
          </w:tcPr>
          <w:p w14:paraId="6EACBEA0" w14:textId="06431415" w:rsidR="008E74CF" w:rsidRPr="00343478" w:rsidRDefault="008E74CF" w:rsidP="002D7F74">
            <w:pPr>
              <w:spacing w:before="40" w:after="120" w:line="240" w:lineRule="auto"/>
              <w:ind w:right="113"/>
              <w:rPr>
                <w:bCs/>
                <w:highlight w:val="yellow"/>
              </w:rPr>
            </w:pPr>
          </w:p>
        </w:tc>
        <w:tc>
          <w:tcPr>
            <w:tcW w:w="4656" w:type="dxa"/>
            <w:shd w:val="clear" w:color="auto" w:fill="auto"/>
          </w:tcPr>
          <w:p w14:paraId="7419FFBA" w14:textId="0EE2518D" w:rsidR="008E74CF" w:rsidRPr="00343478" w:rsidRDefault="008E74CF" w:rsidP="00007F9B">
            <w:pPr>
              <w:pStyle w:val="Bullet1G"/>
              <w:numPr>
                <w:ilvl w:val="0"/>
                <w:numId w:val="0"/>
              </w:numPr>
              <w:ind w:left="142" w:right="26"/>
              <w:rPr>
                <w:bCs/>
                <w:highlight w:val="yellow"/>
              </w:rPr>
            </w:pPr>
            <w:r w:rsidRPr="002D7F74">
              <w:rPr>
                <w:b/>
              </w:rPr>
              <w:t>The secretariat</w:t>
            </w:r>
            <w:r w:rsidRPr="002D7F74">
              <w:rPr>
                <w:bCs/>
              </w:rPr>
              <w:t xml:space="preserve"> will report on the schedule for the preparations of MOP9 and MOP/MOP5 (Geneva, 1</w:t>
            </w:r>
            <w:r>
              <w:rPr>
                <w:bCs/>
              </w:rPr>
              <w:t>2</w:t>
            </w:r>
            <w:r w:rsidRPr="002D7F74">
              <w:rPr>
                <w:bCs/>
              </w:rPr>
              <w:t xml:space="preserve">–15 December 2023). </w:t>
            </w:r>
            <w:r w:rsidRPr="002D7F74">
              <w:rPr>
                <w:b/>
              </w:rPr>
              <w:t xml:space="preserve">Any </w:t>
            </w:r>
            <w:r>
              <w:rPr>
                <w:b/>
              </w:rPr>
              <w:t xml:space="preserve">delegations </w:t>
            </w:r>
            <w:r w:rsidRPr="002D7F74">
              <w:rPr>
                <w:bCs/>
              </w:rPr>
              <w:t>wishing to host the sessions</w:t>
            </w:r>
            <w:r>
              <w:rPr>
                <w:bCs/>
              </w:rPr>
              <w:t xml:space="preserve"> are invited to indicate their commitment to do so. (</w:t>
            </w:r>
            <w:r w:rsidRPr="002D7F74">
              <w:rPr>
                <w:bCs/>
              </w:rPr>
              <w:t xml:space="preserve">In the absence of a </w:t>
            </w:r>
            <w:r>
              <w:rPr>
                <w:bCs/>
              </w:rPr>
              <w:t xml:space="preserve">firm commitment from a </w:t>
            </w:r>
            <w:r w:rsidRPr="002D7F74">
              <w:rPr>
                <w:bCs/>
              </w:rPr>
              <w:t>host country</w:t>
            </w:r>
            <w:r>
              <w:rPr>
                <w:bCs/>
              </w:rPr>
              <w:t xml:space="preserve"> by the present (eleventh) meeting of the Working Group</w:t>
            </w:r>
            <w:r w:rsidRPr="002D7F74">
              <w:rPr>
                <w:bCs/>
              </w:rPr>
              <w:t>, the sessions will be held in Geneva.</w:t>
            </w:r>
            <w:r>
              <w:rPr>
                <w:bCs/>
              </w:rPr>
              <w:t>)</w:t>
            </w:r>
          </w:p>
        </w:tc>
      </w:tr>
      <w:tr w:rsidR="008E74CF" w:rsidRPr="00930D32" w14:paraId="53C9B544" w14:textId="77777777" w:rsidTr="00C669E7">
        <w:trPr>
          <w:trHeight w:val="1535"/>
          <w:jc w:val="center"/>
        </w:trPr>
        <w:tc>
          <w:tcPr>
            <w:tcW w:w="1350" w:type="dxa"/>
            <w:vMerge w:val="restart"/>
            <w:tcBorders>
              <w:top w:val="dashSmallGap" w:sz="4" w:space="0" w:color="auto"/>
            </w:tcBorders>
            <w:shd w:val="clear" w:color="auto" w:fill="auto"/>
          </w:tcPr>
          <w:p w14:paraId="45E50BF2" w14:textId="77777777" w:rsidR="003E0ACF" w:rsidRDefault="003E0ACF" w:rsidP="00007F9B">
            <w:pPr>
              <w:spacing w:before="40" w:after="120"/>
              <w:ind w:right="113"/>
              <w:rPr>
                <w:b/>
                <w:bCs/>
              </w:rPr>
            </w:pPr>
          </w:p>
          <w:p w14:paraId="73C87ADA" w14:textId="77777777" w:rsidR="003E0ACF" w:rsidRDefault="003E0ACF" w:rsidP="00007F9B">
            <w:pPr>
              <w:spacing w:before="40" w:after="120"/>
              <w:ind w:right="113"/>
              <w:rPr>
                <w:b/>
                <w:bCs/>
              </w:rPr>
            </w:pPr>
          </w:p>
          <w:p w14:paraId="338BF86C" w14:textId="77777777" w:rsidR="003E0ACF" w:rsidRDefault="003E0ACF" w:rsidP="00007F9B">
            <w:pPr>
              <w:spacing w:before="40" w:after="120"/>
              <w:ind w:right="113"/>
              <w:rPr>
                <w:b/>
                <w:bCs/>
              </w:rPr>
            </w:pPr>
          </w:p>
          <w:p w14:paraId="1951BA33" w14:textId="77777777" w:rsidR="003E0ACF" w:rsidRDefault="003E0ACF" w:rsidP="00007F9B">
            <w:pPr>
              <w:spacing w:before="40" w:after="120"/>
              <w:ind w:right="113"/>
              <w:rPr>
                <w:b/>
                <w:bCs/>
              </w:rPr>
            </w:pPr>
          </w:p>
          <w:p w14:paraId="769E9BC5" w14:textId="77777777" w:rsidR="003E0ACF" w:rsidRDefault="003E0ACF" w:rsidP="00007F9B">
            <w:pPr>
              <w:spacing w:before="40" w:after="120"/>
              <w:ind w:right="113"/>
              <w:rPr>
                <w:b/>
                <w:bCs/>
              </w:rPr>
            </w:pPr>
          </w:p>
          <w:p w14:paraId="2876E525" w14:textId="77777777" w:rsidR="003E0ACF" w:rsidRDefault="003E0ACF" w:rsidP="00007F9B">
            <w:pPr>
              <w:spacing w:before="40" w:after="120"/>
              <w:ind w:right="113"/>
              <w:rPr>
                <w:b/>
                <w:bCs/>
              </w:rPr>
            </w:pPr>
          </w:p>
          <w:p w14:paraId="0F5AE5EE" w14:textId="77777777" w:rsidR="003E0ACF" w:rsidRDefault="003E0ACF" w:rsidP="00007F9B">
            <w:pPr>
              <w:spacing w:before="40" w:after="120"/>
              <w:ind w:right="113"/>
              <w:rPr>
                <w:b/>
                <w:bCs/>
              </w:rPr>
            </w:pPr>
          </w:p>
          <w:p w14:paraId="319175BC" w14:textId="77777777" w:rsidR="003E0ACF" w:rsidRDefault="003E0ACF" w:rsidP="00007F9B">
            <w:pPr>
              <w:spacing w:before="40" w:after="120"/>
              <w:ind w:right="113"/>
              <w:rPr>
                <w:b/>
                <w:bCs/>
              </w:rPr>
            </w:pPr>
          </w:p>
          <w:p w14:paraId="287626C5" w14:textId="77777777" w:rsidR="003E0ACF" w:rsidRDefault="003E0ACF" w:rsidP="00007F9B">
            <w:pPr>
              <w:spacing w:before="40" w:after="120"/>
              <w:ind w:right="113"/>
              <w:rPr>
                <w:b/>
                <w:bCs/>
              </w:rPr>
            </w:pPr>
          </w:p>
          <w:p w14:paraId="1936A571" w14:textId="77777777" w:rsidR="003E0ACF" w:rsidRDefault="003E0ACF" w:rsidP="00007F9B">
            <w:pPr>
              <w:spacing w:before="40" w:after="120"/>
              <w:ind w:right="113"/>
              <w:rPr>
                <w:b/>
                <w:bCs/>
              </w:rPr>
            </w:pPr>
          </w:p>
          <w:p w14:paraId="1DBFC4A5" w14:textId="77777777" w:rsidR="003E0ACF" w:rsidRDefault="003E0ACF" w:rsidP="00007F9B">
            <w:pPr>
              <w:spacing w:before="40" w:after="120"/>
              <w:ind w:right="113"/>
              <w:rPr>
                <w:b/>
                <w:bCs/>
              </w:rPr>
            </w:pPr>
          </w:p>
          <w:p w14:paraId="30819F0C" w14:textId="77777777" w:rsidR="003E0ACF" w:rsidRDefault="003E0ACF" w:rsidP="00007F9B">
            <w:pPr>
              <w:spacing w:before="40" w:after="120"/>
              <w:ind w:right="113"/>
              <w:rPr>
                <w:b/>
                <w:bCs/>
              </w:rPr>
            </w:pPr>
          </w:p>
          <w:p w14:paraId="00B5CEEF" w14:textId="77777777" w:rsidR="003E0ACF" w:rsidRDefault="003E0ACF" w:rsidP="00007F9B">
            <w:pPr>
              <w:spacing w:before="40" w:after="120"/>
              <w:ind w:right="113"/>
              <w:rPr>
                <w:b/>
                <w:bCs/>
              </w:rPr>
            </w:pPr>
          </w:p>
          <w:p w14:paraId="28EB903C" w14:textId="77777777" w:rsidR="003E0ACF" w:rsidRDefault="003E0ACF" w:rsidP="00007F9B">
            <w:pPr>
              <w:spacing w:before="40" w:after="120"/>
              <w:ind w:right="113"/>
              <w:rPr>
                <w:b/>
                <w:bCs/>
              </w:rPr>
            </w:pPr>
          </w:p>
          <w:p w14:paraId="2703AF44" w14:textId="77777777" w:rsidR="003E0ACF" w:rsidRDefault="003E0ACF" w:rsidP="00007F9B">
            <w:pPr>
              <w:spacing w:before="40" w:after="120"/>
              <w:ind w:right="113"/>
              <w:rPr>
                <w:b/>
                <w:bCs/>
              </w:rPr>
            </w:pPr>
          </w:p>
          <w:p w14:paraId="4387AF0E" w14:textId="77777777" w:rsidR="003E0ACF" w:rsidRDefault="003E0ACF" w:rsidP="00007F9B">
            <w:pPr>
              <w:spacing w:before="40" w:after="120"/>
              <w:ind w:right="113"/>
              <w:rPr>
                <w:b/>
                <w:bCs/>
              </w:rPr>
            </w:pPr>
          </w:p>
          <w:p w14:paraId="53F58281" w14:textId="77777777" w:rsidR="003E0ACF" w:rsidRDefault="003E0ACF" w:rsidP="00007F9B">
            <w:pPr>
              <w:spacing w:before="40" w:after="120"/>
              <w:ind w:right="113"/>
              <w:rPr>
                <w:b/>
                <w:bCs/>
              </w:rPr>
            </w:pPr>
          </w:p>
          <w:p w14:paraId="08303E20" w14:textId="77777777" w:rsidR="008E74CF" w:rsidRDefault="003E0ACF" w:rsidP="00007F9B">
            <w:pPr>
              <w:spacing w:before="40" w:after="120"/>
              <w:ind w:right="113"/>
              <w:rPr>
                <w:b/>
                <w:bCs/>
              </w:rPr>
            </w:pPr>
            <w:r w:rsidRPr="003E2450">
              <w:rPr>
                <w:b/>
                <w:bCs/>
              </w:rPr>
              <w:t>Tuesday, 20 December</w:t>
            </w:r>
          </w:p>
          <w:p w14:paraId="590EAF8B" w14:textId="77777777" w:rsidR="00BD1E93" w:rsidRDefault="00BD1E93" w:rsidP="00007F9B">
            <w:pPr>
              <w:spacing w:before="40" w:after="120"/>
              <w:ind w:right="113"/>
              <w:rPr>
                <w:b/>
                <w:bCs/>
              </w:rPr>
            </w:pPr>
          </w:p>
          <w:p w14:paraId="4E372BA2" w14:textId="77777777" w:rsidR="00BD1E93" w:rsidRDefault="00BD1E93" w:rsidP="00007F9B">
            <w:pPr>
              <w:spacing w:before="40" w:after="120"/>
              <w:ind w:right="113"/>
              <w:rPr>
                <w:b/>
                <w:bCs/>
              </w:rPr>
            </w:pPr>
          </w:p>
          <w:p w14:paraId="348D6E4D" w14:textId="77777777" w:rsidR="00BD1E93" w:rsidRDefault="00BD1E93" w:rsidP="00007F9B">
            <w:pPr>
              <w:spacing w:before="40" w:after="120"/>
              <w:ind w:right="113"/>
              <w:rPr>
                <w:b/>
                <w:bCs/>
              </w:rPr>
            </w:pPr>
          </w:p>
          <w:p w14:paraId="4DE1F5EE" w14:textId="77777777" w:rsidR="00BD1E93" w:rsidRDefault="00BD1E93" w:rsidP="00007F9B">
            <w:pPr>
              <w:spacing w:before="40" w:after="120"/>
              <w:ind w:right="113"/>
              <w:rPr>
                <w:b/>
                <w:bCs/>
              </w:rPr>
            </w:pPr>
          </w:p>
          <w:p w14:paraId="708404B2" w14:textId="77777777" w:rsidR="00BD1E93" w:rsidRDefault="00BD1E93" w:rsidP="00007F9B">
            <w:pPr>
              <w:spacing w:before="40" w:after="120"/>
              <w:ind w:right="113"/>
              <w:rPr>
                <w:b/>
                <w:bCs/>
              </w:rPr>
            </w:pPr>
          </w:p>
          <w:p w14:paraId="268CB877" w14:textId="77777777" w:rsidR="00BD1E93" w:rsidRDefault="00BD1E93" w:rsidP="00007F9B">
            <w:pPr>
              <w:spacing w:before="40" w:after="120"/>
              <w:ind w:right="113"/>
              <w:rPr>
                <w:b/>
                <w:bCs/>
              </w:rPr>
            </w:pPr>
          </w:p>
          <w:p w14:paraId="72DFB694" w14:textId="77777777" w:rsidR="00BD1E93" w:rsidRDefault="00BD1E93" w:rsidP="00007F9B">
            <w:pPr>
              <w:spacing w:before="40" w:after="120"/>
              <w:ind w:right="113"/>
              <w:rPr>
                <w:b/>
                <w:bCs/>
              </w:rPr>
            </w:pPr>
          </w:p>
          <w:p w14:paraId="5551F357" w14:textId="77777777" w:rsidR="00BD1E93" w:rsidRDefault="00BD1E93" w:rsidP="00007F9B">
            <w:pPr>
              <w:spacing w:before="40" w:after="120"/>
              <w:ind w:right="113"/>
              <w:rPr>
                <w:b/>
                <w:bCs/>
              </w:rPr>
            </w:pPr>
          </w:p>
          <w:p w14:paraId="159D0D19" w14:textId="77777777" w:rsidR="00BD1E93" w:rsidRDefault="00BD1E93" w:rsidP="00007F9B">
            <w:pPr>
              <w:spacing w:before="40" w:after="120"/>
              <w:ind w:right="113"/>
              <w:rPr>
                <w:b/>
                <w:bCs/>
              </w:rPr>
            </w:pPr>
          </w:p>
          <w:p w14:paraId="00C4698C" w14:textId="77777777" w:rsidR="00BD1E93" w:rsidRDefault="00BD1E93" w:rsidP="00007F9B">
            <w:pPr>
              <w:spacing w:before="40" w:after="120"/>
              <w:ind w:right="113"/>
              <w:rPr>
                <w:b/>
                <w:bCs/>
              </w:rPr>
            </w:pPr>
          </w:p>
          <w:p w14:paraId="65E5DE71" w14:textId="77777777" w:rsidR="00BD1E93" w:rsidRDefault="00BD1E93" w:rsidP="00007F9B">
            <w:pPr>
              <w:spacing w:before="40" w:after="120"/>
              <w:ind w:right="113"/>
              <w:rPr>
                <w:b/>
                <w:bCs/>
              </w:rPr>
            </w:pPr>
          </w:p>
          <w:p w14:paraId="3EA52241" w14:textId="77777777" w:rsidR="00BD1E93" w:rsidRDefault="00BD1E93" w:rsidP="00007F9B">
            <w:pPr>
              <w:spacing w:before="40" w:after="120"/>
              <w:ind w:right="113"/>
              <w:rPr>
                <w:b/>
                <w:bCs/>
              </w:rPr>
            </w:pPr>
          </w:p>
          <w:p w14:paraId="41FADDC8" w14:textId="77777777" w:rsidR="00BD1E93" w:rsidRDefault="00BD1E93" w:rsidP="00007F9B">
            <w:pPr>
              <w:spacing w:before="40" w:after="120"/>
              <w:ind w:right="113"/>
              <w:rPr>
                <w:b/>
                <w:bCs/>
              </w:rPr>
            </w:pPr>
          </w:p>
          <w:p w14:paraId="3B456572" w14:textId="77777777" w:rsidR="00BD1E93" w:rsidRDefault="00BD1E93" w:rsidP="00007F9B">
            <w:pPr>
              <w:spacing w:before="40" w:after="120"/>
              <w:ind w:right="113"/>
              <w:rPr>
                <w:b/>
                <w:bCs/>
              </w:rPr>
            </w:pPr>
          </w:p>
          <w:p w14:paraId="079D225B" w14:textId="77777777" w:rsidR="00BD1E93" w:rsidRDefault="00BD1E93" w:rsidP="00007F9B">
            <w:pPr>
              <w:spacing w:before="40" w:after="120"/>
              <w:ind w:right="113"/>
              <w:rPr>
                <w:b/>
                <w:bCs/>
              </w:rPr>
            </w:pPr>
          </w:p>
          <w:p w14:paraId="386038E3" w14:textId="77777777" w:rsidR="00BD1E93" w:rsidRDefault="00BD1E93" w:rsidP="00007F9B">
            <w:pPr>
              <w:spacing w:before="40" w:after="120"/>
              <w:ind w:right="113"/>
              <w:rPr>
                <w:b/>
                <w:bCs/>
              </w:rPr>
            </w:pPr>
          </w:p>
          <w:p w14:paraId="0655D03C" w14:textId="77777777" w:rsidR="00BD1E93" w:rsidRDefault="00BD1E93" w:rsidP="00007F9B">
            <w:pPr>
              <w:spacing w:before="40" w:after="120"/>
              <w:ind w:right="113"/>
              <w:rPr>
                <w:b/>
                <w:bCs/>
              </w:rPr>
            </w:pPr>
          </w:p>
          <w:p w14:paraId="2D8273DD" w14:textId="77777777" w:rsidR="00BD1E93" w:rsidRDefault="00BD1E93" w:rsidP="00007F9B">
            <w:pPr>
              <w:spacing w:before="40" w:after="120"/>
              <w:ind w:right="113"/>
              <w:rPr>
                <w:b/>
                <w:bCs/>
              </w:rPr>
            </w:pPr>
          </w:p>
          <w:p w14:paraId="21A665CE" w14:textId="77777777" w:rsidR="00BD1E93" w:rsidRDefault="00BD1E93" w:rsidP="00007F9B">
            <w:pPr>
              <w:spacing w:before="40" w:after="120"/>
              <w:ind w:right="113"/>
              <w:rPr>
                <w:b/>
                <w:bCs/>
              </w:rPr>
            </w:pPr>
          </w:p>
          <w:p w14:paraId="119E27ED" w14:textId="77777777" w:rsidR="00BD1E93" w:rsidRDefault="00BD1E93" w:rsidP="00007F9B">
            <w:pPr>
              <w:spacing w:before="40" w:after="120"/>
              <w:ind w:right="113"/>
              <w:rPr>
                <w:b/>
                <w:bCs/>
              </w:rPr>
            </w:pPr>
          </w:p>
          <w:p w14:paraId="587018FA" w14:textId="77777777" w:rsidR="00BD1E93" w:rsidRDefault="00BD1E93" w:rsidP="00007F9B">
            <w:pPr>
              <w:spacing w:before="40" w:after="120"/>
              <w:ind w:right="113"/>
              <w:rPr>
                <w:b/>
                <w:bCs/>
              </w:rPr>
            </w:pPr>
          </w:p>
          <w:p w14:paraId="110A6A69" w14:textId="77777777" w:rsidR="00BD1E93" w:rsidRDefault="00BD1E93" w:rsidP="00007F9B">
            <w:pPr>
              <w:spacing w:before="40" w:after="120"/>
              <w:ind w:right="113"/>
              <w:rPr>
                <w:b/>
                <w:bCs/>
              </w:rPr>
            </w:pPr>
          </w:p>
          <w:p w14:paraId="5587653E" w14:textId="77777777" w:rsidR="00BD1E93" w:rsidRDefault="00BD1E93" w:rsidP="00007F9B">
            <w:pPr>
              <w:spacing w:before="40" w:after="120"/>
              <w:ind w:right="113"/>
              <w:rPr>
                <w:b/>
                <w:bCs/>
              </w:rPr>
            </w:pPr>
          </w:p>
          <w:p w14:paraId="08385A26" w14:textId="77777777" w:rsidR="00BD1E93" w:rsidRDefault="00BD1E93" w:rsidP="00007F9B">
            <w:pPr>
              <w:spacing w:before="40" w:after="120"/>
              <w:ind w:right="113"/>
              <w:rPr>
                <w:b/>
                <w:bCs/>
              </w:rPr>
            </w:pPr>
          </w:p>
          <w:p w14:paraId="6372F69A" w14:textId="2BD43D17" w:rsidR="00BD1E93" w:rsidRDefault="00BD1E93" w:rsidP="00007F9B">
            <w:pPr>
              <w:spacing w:before="40" w:after="120"/>
              <w:ind w:right="113"/>
              <w:rPr>
                <w:b/>
                <w:bCs/>
              </w:rPr>
            </w:pPr>
            <w:r w:rsidRPr="003E2450">
              <w:rPr>
                <w:b/>
                <w:bCs/>
              </w:rPr>
              <w:t>Tuesday, 20 December</w:t>
            </w:r>
          </w:p>
          <w:p w14:paraId="209D11AA" w14:textId="77777777" w:rsidR="00BD1E93" w:rsidRDefault="00BD1E93" w:rsidP="00007F9B">
            <w:pPr>
              <w:spacing w:before="40" w:after="120"/>
              <w:ind w:right="113"/>
              <w:rPr>
                <w:b/>
                <w:bCs/>
              </w:rPr>
            </w:pPr>
          </w:p>
          <w:p w14:paraId="20F863A6" w14:textId="7B665A24" w:rsidR="00BD1E93" w:rsidRPr="00007F9B" w:rsidRDefault="00BD1E93" w:rsidP="00007F9B">
            <w:pPr>
              <w:spacing w:before="40" w:after="120"/>
              <w:ind w:right="113"/>
              <w:rPr>
                <w:b/>
                <w:bCs/>
              </w:rPr>
            </w:pPr>
          </w:p>
        </w:tc>
        <w:tc>
          <w:tcPr>
            <w:tcW w:w="921" w:type="dxa"/>
            <w:vMerge w:val="restart"/>
            <w:shd w:val="clear" w:color="auto" w:fill="auto"/>
          </w:tcPr>
          <w:p w14:paraId="6631B0B6" w14:textId="77777777" w:rsidR="003E0ACF" w:rsidRDefault="003E0ACF" w:rsidP="00007F9B">
            <w:pPr>
              <w:spacing w:before="40" w:after="120"/>
              <w:ind w:left="170" w:right="113"/>
              <w:rPr>
                <w:bCs/>
              </w:rPr>
            </w:pPr>
          </w:p>
          <w:p w14:paraId="2F2018D1" w14:textId="77777777" w:rsidR="003E0ACF" w:rsidRDefault="003E0ACF" w:rsidP="00007F9B">
            <w:pPr>
              <w:spacing w:before="40" w:after="120"/>
              <w:ind w:left="170" w:right="113"/>
              <w:rPr>
                <w:bCs/>
              </w:rPr>
            </w:pPr>
          </w:p>
          <w:p w14:paraId="1F5AEC38" w14:textId="77777777" w:rsidR="003E0ACF" w:rsidRDefault="003E0ACF" w:rsidP="00007F9B">
            <w:pPr>
              <w:spacing w:before="40" w:after="120"/>
              <w:ind w:left="170" w:right="113"/>
              <w:rPr>
                <w:bCs/>
              </w:rPr>
            </w:pPr>
          </w:p>
          <w:p w14:paraId="66E1A552" w14:textId="77777777" w:rsidR="003E0ACF" w:rsidRDefault="003E0ACF" w:rsidP="00007F9B">
            <w:pPr>
              <w:spacing w:before="40" w:after="120"/>
              <w:ind w:left="170" w:right="113"/>
              <w:rPr>
                <w:bCs/>
              </w:rPr>
            </w:pPr>
          </w:p>
          <w:p w14:paraId="294BA0F4" w14:textId="77777777" w:rsidR="003E0ACF" w:rsidRDefault="003E0ACF" w:rsidP="00007F9B">
            <w:pPr>
              <w:spacing w:before="40" w:after="120"/>
              <w:ind w:left="170" w:right="113"/>
              <w:rPr>
                <w:bCs/>
              </w:rPr>
            </w:pPr>
          </w:p>
          <w:p w14:paraId="6FB78BBD" w14:textId="77777777" w:rsidR="003E0ACF" w:rsidRDefault="003E0ACF" w:rsidP="00007F9B">
            <w:pPr>
              <w:spacing w:before="40" w:after="120"/>
              <w:ind w:left="170" w:right="113"/>
              <w:rPr>
                <w:bCs/>
              </w:rPr>
            </w:pPr>
          </w:p>
          <w:p w14:paraId="056EC732" w14:textId="77777777" w:rsidR="003E0ACF" w:rsidRDefault="003E0ACF" w:rsidP="00007F9B">
            <w:pPr>
              <w:spacing w:before="40" w:after="120"/>
              <w:ind w:left="170" w:right="113"/>
              <w:rPr>
                <w:bCs/>
              </w:rPr>
            </w:pPr>
          </w:p>
          <w:p w14:paraId="77C02493" w14:textId="77777777" w:rsidR="003E0ACF" w:rsidRDefault="003E0ACF" w:rsidP="00007F9B">
            <w:pPr>
              <w:spacing w:before="40" w:after="120"/>
              <w:ind w:left="170" w:right="113"/>
              <w:rPr>
                <w:bCs/>
              </w:rPr>
            </w:pPr>
          </w:p>
          <w:p w14:paraId="633E7EBF" w14:textId="77777777" w:rsidR="003E0ACF" w:rsidRDefault="003E0ACF" w:rsidP="00007F9B">
            <w:pPr>
              <w:spacing w:before="40" w:after="120"/>
              <w:ind w:left="170" w:right="113"/>
              <w:rPr>
                <w:bCs/>
              </w:rPr>
            </w:pPr>
          </w:p>
          <w:p w14:paraId="36E7CF8E" w14:textId="77777777" w:rsidR="003E0ACF" w:rsidRDefault="003E0ACF" w:rsidP="00007F9B">
            <w:pPr>
              <w:spacing w:before="40" w:after="120"/>
              <w:ind w:left="170" w:right="113"/>
              <w:rPr>
                <w:bCs/>
              </w:rPr>
            </w:pPr>
          </w:p>
          <w:p w14:paraId="3820EC90" w14:textId="77777777" w:rsidR="003E0ACF" w:rsidRDefault="003E0ACF" w:rsidP="00007F9B">
            <w:pPr>
              <w:spacing w:before="40" w:after="120"/>
              <w:ind w:left="170" w:right="113"/>
              <w:rPr>
                <w:bCs/>
              </w:rPr>
            </w:pPr>
          </w:p>
          <w:p w14:paraId="0759E7B5" w14:textId="77777777" w:rsidR="003E0ACF" w:rsidRDefault="003E0ACF" w:rsidP="00007F9B">
            <w:pPr>
              <w:spacing w:before="40" w:after="120"/>
              <w:ind w:left="170" w:right="113"/>
              <w:rPr>
                <w:bCs/>
              </w:rPr>
            </w:pPr>
          </w:p>
          <w:p w14:paraId="5D6B8CD9" w14:textId="77777777" w:rsidR="003E0ACF" w:rsidRDefault="003E0ACF" w:rsidP="00007F9B">
            <w:pPr>
              <w:spacing w:before="40" w:after="120"/>
              <w:ind w:left="170" w:right="113"/>
              <w:rPr>
                <w:bCs/>
              </w:rPr>
            </w:pPr>
          </w:p>
          <w:p w14:paraId="6E61FC1D" w14:textId="77777777" w:rsidR="003E0ACF" w:rsidRDefault="003E0ACF" w:rsidP="00007F9B">
            <w:pPr>
              <w:spacing w:before="40" w:after="120"/>
              <w:ind w:left="170" w:right="113"/>
              <w:rPr>
                <w:bCs/>
              </w:rPr>
            </w:pPr>
          </w:p>
          <w:p w14:paraId="080B6027" w14:textId="77777777" w:rsidR="003E0ACF" w:rsidRDefault="003E0ACF" w:rsidP="00007F9B">
            <w:pPr>
              <w:spacing w:before="40" w:after="120"/>
              <w:ind w:left="170" w:right="113"/>
              <w:rPr>
                <w:bCs/>
              </w:rPr>
            </w:pPr>
          </w:p>
          <w:p w14:paraId="06B19D5F" w14:textId="77777777" w:rsidR="003E0ACF" w:rsidRDefault="003E0ACF" w:rsidP="00007F9B">
            <w:pPr>
              <w:spacing w:before="40" w:after="120"/>
              <w:ind w:left="170" w:right="113"/>
              <w:rPr>
                <w:bCs/>
              </w:rPr>
            </w:pPr>
          </w:p>
          <w:p w14:paraId="6691FCC3" w14:textId="77777777" w:rsidR="003E0ACF" w:rsidRDefault="003E0ACF" w:rsidP="00007F9B">
            <w:pPr>
              <w:spacing w:before="40" w:after="120"/>
              <w:ind w:left="170" w:right="113"/>
              <w:rPr>
                <w:bCs/>
              </w:rPr>
            </w:pPr>
          </w:p>
          <w:p w14:paraId="389B75F6" w14:textId="77777777" w:rsidR="008E74CF" w:rsidRDefault="003E0ACF" w:rsidP="00007F9B">
            <w:pPr>
              <w:spacing w:before="40" w:after="120"/>
              <w:ind w:left="170" w:right="113"/>
              <w:rPr>
                <w:bCs/>
              </w:rPr>
            </w:pPr>
            <w:r>
              <w:rPr>
                <w:bCs/>
              </w:rPr>
              <w:t>15</w:t>
            </w:r>
            <w:r w:rsidRPr="009272B1">
              <w:rPr>
                <w:bCs/>
              </w:rPr>
              <w:t>–</w:t>
            </w:r>
            <w:r>
              <w:rPr>
                <w:bCs/>
              </w:rPr>
              <w:t>18</w:t>
            </w:r>
          </w:p>
          <w:p w14:paraId="6102EC4F" w14:textId="77777777" w:rsidR="00BD1E93" w:rsidRDefault="00BD1E93" w:rsidP="00007F9B">
            <w:pPr>
              <w:spacing w:before="40" w:after="120"/>
              <w:ind w:left="170" w:right="113"/>
              <w:rPr>
                <w:bCs/>
              </w:rPr>
            </w:pPr>
          </w:p>
          <w:p w14:paraId="09A3238D" w14:textId="77777777" w:rsidR="00BD1E93" w:rsidRDefault="00BD1E93" w:rsidP="00007F9B">
            <w:pPr>
              <w:spacing w:before="40" w:after="120"/>
              <w:ind w:left="170" w:right="113"/>
              <w:rPr>
                <w:bCs/>
              </w:rPr>
            </w:pPr>
          </w:p>
          <w:p w14:paraId="1C557280" w14:textId="77777777" w:rsidR="00BD1E93" w:rsidRDefault="00BD1E93" w:rsidP="00007F9B">
            <w:pPr>
              <w:spacing w:before="40" w:after="120"/>
              <w:ind w:left="170" w:right="113"/>
              <w:rPr>
                <w:bCs/>
              </w:rPr>
            </w:pPr>
          </w:p>
          <w:p w14:paraId="17757911" w14:textId="77777777" w:rsidR="00BD1E93" w:rsidRDefault="00BD1E93" w:rsidP="00007F9B">
            <w:pPr>
              <w:spacing w:before="40" w:after="120"/>
              <w:ind w:left="170" w:right="113"/>
              <w:rPr>
                <w:bCs/>
              </w:rPr>
            </w:pPr>
          </w:p>
          <w:p w14:paraId="220A8047" w14:textId="77777777" w:rsidR="00BD1E93" w:rsidRDefault="00BD1E93" w:rsidP="00007F9B">
            <w:pPr>
              <w:spacing w:before="40" w:after="120"/>
              <w:ind w:left="170" w:right="113"/>
              <w:rPr>
                <w:bCs/>
              </w:rPr>
            </w:pPr>
          </w:p>
          <w:p w14:paraId="681FB6DC" w14:textId="77777777" w:rsidR="00BD1E93" w:rsidRDefault="00BD1E93" w:rsidP="00007F9B">
            <w:pPr>
              <w:spacing w:before="40" w:after="120"/>
              <w:ind w:left="170" w:right="113"/>
              <w:rPr>
                <w:bCs/>
              </w:rPr>
            </w:pPr>
          </w:p>
          <w:p w14:paraId="40320E4F" w14:textId="77777777" w:rsidR="00BD1E93" w:rsidRDefault="00BD1E93" w:rsidP="00007F9B">
            <w:pPr>
              <w:spacing w:before="40" w:after="120"/>
              <w:ind w:left="170" w:right="113"/>
              <w:rPr>
                <w:bCs/>
              </w:rPr>
            </w:pPr>
          </w:p>
          <w:p w14:paraId="69979C6B" w14:textId="77777777" w:rsidR="00BD1E93" w:rsidRDefault="00BD1E93" w:rsidP="00007F9B">
            <w:pPr>
              <w:spacing w:before="40" w:after="120"/>
              <w:ind w:left="170" w:right="113"/>
              <w:rPr>
                <w:bCs/>
              </w:rPr>
            </w:pPr>
          </w:p>
          <w:p w14:paraId="79228561" w14:textId="77777777" w:rsidR="00BD1E93" w:rsidRDefault="00BD1E93" w:rsidP="00007F9B">
            <w:pPr>
              <w:spacing w:before="40" w:after="120"/>
              <w:ind w:left="170" w:right="113"/>
              <w:rPr>
                <w:bCs/>
              </w:rPr>
            </w:pPr>
          </w:p>
          <w:p w14:paraId="5DCB7247" w14:textId="77777777" w:rsidR="00BD1E93" w:rsidRDefault="00BD1E93" w:rsidP="00007F9B">
            <w:pPr>
              <w:spacing w:before="40" w:after="120"/>
              <w:ind w:left="170" w:right="113"/>
              <w:rPr>
                <w:bCs/>
              </w:rPr>
            </w:pPr>
          </w:p>
          <w:p w14:paraId="59637282" w14:textId="77777777" w:rsidR="00BD1E93" w:rsidRDefault="00BD1E93" w:rsidP="00007F9B">
            <w:pPr>
              <w:spacing w:before="40" w:after="120"/>
              <w:ind w:left="170" w:right="113"/>
              <w:rPr>
                <w:bCs/>
              </w:rPr>
            </w:pPr>
          </w:p>
          <w:p w14:paraId="6C400E9C" w14:textId="77777777" w:rsidR="00BD1E93" w:rsidRDefault="00BD1E93" w:rsidP="00007F9B">
            <w:pPr>
              <w:spacing w:before="40" w:after="120"/>
              <w:ind w:left="170" w:right="113"/>
              <w:rPr>
                <w:bCs/>
              </w:rPr>
            </w:pPr>
          </w:p>
          <w:p w14:paraId="175D6BAD" w14:textId="77777777" w:rsidR="00BD1E93" w:rsidRDefault="00BD1E93" w:rsidP="00007F9B">
            <w:pPr>
              <w:spacing w:before="40" w:after="120"/>
              <w:ind w:left="170" w:right="113"/>
              <w:rPr>
                <w:bCs/>
              </w:rPr>
            </w:pPr>
          </w:p>
          <w:p w14:paraId="5989E134" w14:textId="77777777" w:rsidR="00BD1E93" w:rsidRDefault="00BD1E93" w:rsidP="00007F9B">
            <w:pPr>
              <w:spacing w:before="40" w:after="120"/>
              <w:ind w:left="170" w:right="113"/>
              <w:rPr>
                <w:bCs/>
              </w:rPr>
            </w:pPr>
          </w:p>
          <w:p w14:paraId="794815A3" w14:textId="77777777" w:rsidR="00BD1E93" w:rsidRDefault="00BD1E93" w:rsidP="00007F9B">
            <w:pPr>
              <w:spacing w:before="40" w:after="120"/>
              <w:ind w:left="170" w:right="113"/>
              <w:rPr>
                <w:bCs/>
              </w:rPr>
            </w:pPr>
          </w:p>
          <w:p w14:paraId="211CBAB5" w14:textId="77777777" w:rsidR="00BD1E93" w:rsidRDefault="00BD1E93" w:rsidP="00007F9B">
            <w:pPr>
              <w:spacing w:before="40" w:after="120"/>
              <w:ind w:left="170" w:right="113"/>
              <w:rPr>
                <w:bCs/>
              </w:rPr>
            </w:pPr>
          </w:p>
          <w:p w14:paraId="5FE715C3" w14:textId="77777777" w:rsidR="00BD1E93" w:rsidRDefault="00BD1E93" w:rsidP="00007F9B">
            <w:pPr>
              <w:spacing w:before="40" w:after="120"/>
              <w:ind w:left="170" w:right="113"/>
              <w:rPr>
                <w:bCs/>
              </w:rPr>
            </w:pPr>
          </w:p>
          <w:p w14:paraId="4EA956BB" w14:textId="77777777" w:rsidR="00BD1E93" w:rsidRDefault="00BD1E93" w:rsidP="00007F9B">
            <w:pPr>
              <w:spacing w:before="40" w:after="120"/>
              <w:ind w:left="170" w:right="113"/>
              <w:rPr>
                <w:bCs/>
              </w:rPr>
            </w:pPr>
          </w:p>
          <w:p w14:paraId="7AA17155" w14:textId="77777777" w:rsidR="00BD1E93" w:rsidRDefault="00BD1E93" w:rsidP="00007F9B">
            <w:pPr>
              <w:spacing w:before="40" w:after="120"/>
              <w:ind w:left="170" w:right="113"/>
              <w:rPr>
                <w:bCs/>
              </w:rPr>
            </w:pPr>
          </w:p>
          <w:p w14:paraId="0D197FCA" w14:textId="77777777" w:rsidR="00BD1E93" w:rsidRDefault="00BD1E93" w:rsidP="00007F9B">
            <w:pPr>
              <w:spacing w:before="40" w:after="120"/>
              <w:ind w:left="170" w:right="113"/>
              <w:rPr>
                <w:bCs/>
              </w:rPr>
            </w:pPr>
          </w:p>
          <w:p w14:paraId="3AEB0FDB" w14:textId="77777777" w:rsidR="00BD1E93" w:rsidRDefault="00BD1E93" w:rsidP="00007F9B">
            <w:pPr>
              <w:spacing w:before="40" w:after="120"/>
              <w:ind w:left="170" w:right="113"/>
              <w:rPr>
                <w:bCs/>
              </w:rPr>
            </w:pPr>
          </w:p>
          <w:p w14:paraId="409456C5" w14:textId="77777777" w:rsidR="00BD1E93" w:rsidRDefault="00BD1E93" w:rsidP="00007F9B">
            <w:pPr>
              <w:spacing w:before="40" w:after="120"/>
              <w:ind w:left="170" w:right="113"/>
              <w:rPr>
                <w:bCs/>
              </w:rPr>
            </w:pPr>
          </w:p>
          <w:p w14:paraId="26B0AC1A" w14:textId="77777777" w:rsidR="00BD1E93" w:rsidRDefault="00BD1E93" w:rsidP="00007F9B">
            <w:pPr>
              <w:spacing w:before="40" w:after="120"/>
              <w:ind w:left="170" w:right="113"/>
              <w:rPr>
                <w:bCs/>
              </w:rPr>
            </w:pPr>
          </w:p>
          <w:p w14:paraId="0D771102" w14:textId="77777777" w:rsidR="00BD1E93" w:rsidRDefault="00BD1E93" w:rsidP="00007F9B">
            <w:pPr>
              <w:spacing w:before="40" w:after="120"/>
              <w:ind w:left="170" w:right="113"/>
              <w:rPr>
                <w:bCs/>
              </w:rPr>
            </w:pPr>
          </w:p>
          <w:p w14:paraId="7413A561" w14:textId="62C728DA" w:rsidR="00BD1E93" w:rsidRPr="009272B1" w:rsidRDefault="00BD1E93" w:rsidP="00007F9B">
            <w:pPr>
              <w:spacing w:before="40" w:after="120"/>
              <w:ind w:left="170" w:right="113"/>
              <w:rPr>
                <w:bCs/>
              </w:rPr>
            </w:pPr>
            <w:r>
              <w:rPr>
                <w:bCs/>
              </w:rPr>
              <w:t>15</w:t>
            </w:r>
            <w:r w:rsidRPr="009272B1">
              <w:rPr>
                <w:bCs/>
              </w:rPr>
              <w:t>–</w:t>
            </w:r>
            <w:r>
              <w:rPr>
                <w:bCs/>
              </w:rPr>
              <w:t>18</w:t>
            </w:r>
          </w:p>
        </w:tc>
        <w:tc>
          <w:tcPr>
            <w:tcW w:w="1845" w:type="dxa"/>
            <w:vMerge w:val="restart"/>
            <w:shd w:val="clear" w:color="auto" w:fill="auto"/>
          </w:tcPr>
          <w:p w14:paraId="30BC5E6B" w14:textId="77777777" w:rsidR="008E74CF" w:rsidRDefault="008E74CF" w:rsidP="00007F9B">
            <w:pPr>
              <w:spacing w:before="40" w:after="120"/>
              <w:ind w:left="284" w:right="113" w:hanging="142"/>
              <w:rPr>
                <w:b/>
                <w:bCs/>
              </w:rPr>
            </w:pPr>
            <w:r>
              <w:rPr>
                <w:b/>
                <w:bCs/>
              </w:rPr>
              <w:lastRenderedPageBreak/>
              <w:t xml:space="preserve">7 </w:t>
            </w:r>
            <w:r w:rsidRPr="002D7F74">
              <w:rPr>
                <w:b/>
                <w:bCs/>
              </w:rPr>
              <w:t>(b)</w:t>
            </w:r>
            <w:r w:rsidRPr="002D7F74">
              <w:rPr>
                <w:b/>
                <w:bCs/>
              </w:rPr>
              <w:tab/>
              <w:t>List of draft documents and decisions</w:t>
            </w:r>
          </w:p>
          <w:p w14:paraId="457F032A" w14:textId="77777777" w:rsidR="008E74CF" w:rsidRDefault="008E74CF" w:rsidP="00007F9B">
            <w:pPr>
              <w:spacing w:before="40" w:after="120"/>
              <w:ind w:left="284" w:right="113" w:hanging="142"/>
              <w:rPr>
                <w:b/>
                <w:bCs/>
              </w:rPr>
            </w:pPr>
          </w:p>
          <w:p w14:paraId="34A9495C" w14:textId="77777777" w:rsidR="008E74CF" w:rsidRDefault="008E74CF" w:rsidP="00007F9B">
            <w:pPr>
              <w:spacing w:before="40" w:after="120"/>
              <w:ind w:left="284" w:right="113" w:hanging="142"/>
              <w:rPr>
                <w:b/>
                <w:bCs/>
              </w:rPr>
            </w:pPr>
          </w:p>
          <w:p w14:paraId="5D7025DD" w14:textId="77777777" w:rsidR="008E74CF" w:rsidRDefault="008E74CF" w:rsidP="00007F9B">
            <w:pPr>
              <w:spacing w:before="40" w:after="120"/>
              <w:ind w:left="284" w:right="113" w:hanging="142"/>
              <w:rPr>
                <w:b/>
                <w:bCs/>
              </w:rPr>
            </w:pPr>
          </w:p>
          <w:p w14:paraId="32696827" w14:textId="77777777" w:rsidR="008E74CF" w:rsidRDefault="008E74CF" w:rsidP="00007F9B">
            <w:pPr>
              <w:spacing w:before="40" w:after="120"/>
              <w:ind w:left="284" w:right="113" w:hanging="142"/>
              <w:rPr>
                <w:b/>
                <w:bCs/>
              </w:rPr>
            </w:pPr>
          </w:p>
          <w:p w14:paraId="10CD63FB" w14:textId="77777777" w:rsidR="008E74CF" w:rsidRDefault="008E74CF" w:rsidP="00007F9B">
            <w:pPr>
              <w:spacing w:before="40" w:after="120"/>
              <w:ind w:left="284" w:right="113" w:hanging="142"/>
              <w:rPr>
                <w:b/>
                <w:bCs/>
              </w:rPr>
            </w:pPr>
          </w:p>
          <w:p w14:paraId="3281566C" w14:textId="77777777" w:rsidR="008E74CF" w:rsidRDefault="008E74CF" w:rsidP="00007F9B">
            <w:pPr>
              <w:spacing w:before="40" w:after="120"/>
              <w:ind w:left="284" w:right="113" w:hanging="142"/>
              <w:rPr>
                <w:b/>
                <w:bCs/>
              </w:rPr>
            </w:pPr>
          </w:p>
          <w:p w14:paraId="26DD3697" w14:textId="77777777" w:rsidR="008E74CF" w:rsidRDefault="008E74CF" w:rsidP="00007F9B">
            <w:pPr>
              <w:spacing w:before="40" w:after="120"/>
              <w:ind w:left="284" w:right="113" w:hanging="142"/>
              <w:rPr>
                <w:b/>
                <w:bCs/>
              </w:rPr>
            </w:pPr>
          </w:p>
          <w:p w14:paraId="0F841207" w14:textId="77777777" w:rsidR="008E74CF" w:rsidRDefault="008E74CF" w:rsidP="00007F9B">
            <w:pPr>
              <w:spacing w:before="40" w:after="120"/>
              <w:ind w:left="284" w:right="113" w:hanging="142"/>
              <w:rPr>
                <w:b/>
                <w:bCs/>
              </w:rPr>
            </w:pPr>
          </w:p>
          <w:p w14:paraId="58B461D8" w14:textId="77777777" w:rsidR="008E74CF" w:rsidRDefault="008E74CF" w:rsidP="00007F9B">
            <w:pPr>
              <w:spacing w:before="40" w:after="120"/>
              <w:ind w:left="284" w:right="113" w:hanging="142"/>
              <w:rPr>
                <w:b/>
                <w:bCs/>
              </w:rPr>
            </w:pPr>
          </w:p>
          <w:p w14:paraId="1B1A8A5D" w14:textId="77777777" w:rsidR="008E74CF" w:rsidRDefault="008E74CF" w:rsidP="00007F9B">
            <w:pPr>
              <w:spacing w:before="40" w:after="120"/>
              <w:ind w:left="284" w:right="113" w:hanging="142"/>
              <w:rPr>
                <w:b/>
                <w:bCs/>
              </w:rPr>
            </w:pPr>
          </w:p>
          <w:p w14:paraId="643AE507" w14:textId="77777777" w:rsidR="008E74CF" w:rsidRDefault="008E74CF" w:rsidP="00007F9B">
            <w:pPr>
              <w:spacing w:before="40" w:after="120"/>
              <w:ind w:left="284" w:right="113" w:hanging="142"/>
              <w:rPr>
                <w:b/>
                <w:bCs/>
              </w:rPr>
            </w:pPr>
          </w:p>
          <w:p w14:paraId="4271362D" w14:textId="77777777" w:rsidR="008E74CF" w:rsidRDefault="008E74CF" w:rsidP="00007F9B">
            <w:pPr>
              <w:spacing w:before="40" w:after="120"/>
              <w:ind w:left="284" w:right="113" w:hanging="142"/>
              <w:rPr>
                <w:b/>
                <w:bCs/>
              </w:rPr>
            </w:pPr>
          </w:p>
          <w:p w14:paraId="0C384720" w14:textId="77777777" w:rsidR="008E74CF" w:rsidRDefault="008E74CF" w:rsidP="00007F9B">
            <w:pPr>
              <w:spacing w:before="40" w:after="120"/>
              <w:ind w:left="284" w:right="113" w:hanging="142"/>
              <w:rPr>
                <w:b/>
                <w:bCs/>
              </w:rPr>
            </w:pPr>
          </w:p>
          <w:p w14:paraId="387ABA0C" w14:textId="77777777" w:rsidR="003E0ACF" w:rsidRDefault="003E0ACF" w:rsidP="00031868">
            <w:pPr>
              <w:spacing w:before="40" w:after="120"/>
              <w:ind w:right="113"/>
              <w:rPr>
                <w:b/>
                <w:bCs/>
              </w:rPr>
            </w:pPr>
          </w:p>
          <w:p w14:paraId="1898F5D8" w14:textId="2A6D26EA" w:rsidR="008E74CF" w:rsidRDefault="008E74CF" w:rsidP="00031868">
            <w:pPr>
              <w:spacing w:before="40" w:after="120"/>
              <w:ind w:right="113"/>
              <w:rPr>
                <w:b/>
                <w:bCs/>
              </w:rPr>
            </w:pPr>
            <w:r>
              <w:rPr>
                <w:b/>
                <w:bCs/>
              </w:rPr>
              <w:t xml:space="preserve"> 7 </w:t>
            </w:r>
            <w:r w:rsidRPr="00B8395A">
              <w:rPr>
                <w:b/>
                <w:bCs/>
              </w:rPr>
              <w:t>(</w:t>
            </w:r>
            <w:r>
              <w:rPr>
                <w:b/>
                <w:bCs/>
              </w:rPr>
              <w:t>c</w:t>
            </w:r>
            <w:r w:rsidRPr="00B8395A">
              <w:rPr>
                <w:b/>
                <w:bCs/>
              </w:rPr>
              <w:t>)</w:t>
            </w:r>
            <w:r w:rsidRPr="00B8395A">
              <w:rPr>
                <w:b/>
                <w:bCs/>
              </w:rPr>
              <w:tab/>
              <w:t xml:space="preserve"> Provisional programme</w:t>
            </w:r>
          </w:p>
          <w:p w14:paraId="3F1C17F7" w14:textId="77777777" w:rsidR="008E74CF" w:rsidRDefault="008E74CF" w:rsidP="00007F9B">
            <w:pPr>
              <w:spacing w:before="40" w:after="120"/>
              <w:ind w:left="284" w:right="113" w:hanging="142"/>
              <w:rPr>
                <w:b/>
                <w:bCs/>
              </w:rPr>
            </w:pPr>
          </w:p>
          <w:p w14:paraId="33D036EC" w14:textId="77777777" w:rsidR="008E74CF" w:rsidRDefault="008E74CF" w:rsidP="00007F9B">
            <w:pPr>
              <w:spacing w:before="40" w:after="120"/>
              <w:ind w:left="284" w:right="113" w:hanging="142"/>
              <w:rPr>
                <w:b/>
                <w:bCs/>
              </w:rPr>
            </w:pPr>
          </w:p>
          <w:p w14:paraId="55D7CD8E" w14:textId="77777777" w:rsidR="008E74CF" w:rsidRDefault="008E74CF" w:rsidP="00007F9B">
            <w:pPr>
              <w:spacing w:before="40" w:after="120"/>
              <w:ind w:left="284" w:right="113" w:hanging="142"/>
              <w:rPr>
                <w:b/>
                <w:bCs/>
              </w:rPr>
            </w:pPr>
          </w:p>
          <w:p w14:paraId="52F5A7E9" w14:textId="77777777" w:rsidR="008E74CF" w:rsidRDefault="008E74CF" w:rsidP="00007F9B">
            <w:pPr>
              <w:spacing w:before="40" w:after="120"/>
              <w:ind w:left="284" w:right="113" w:hanging="142"/>
              <w:rPr>
                <w:b/>
                <w:bCs/>
              </w:rPr>
            </w:pPr>
          </w:p>
          <w:p w14:paraId="353781FE" w14:textId="77777777" w:rsidR="008E74CF" w:rsidRDefault="008E74CF" w:rsidP="00007F9B">
            <w:pPr>
              <w:spacing w:before="40" w:after="120"/>
              <w:ind w:left="284" w:right="113" w:hanging="142"/>
              <w:rPr>
                <w:b/>
                <w:bCs/>
              </w:rPr>
            </w:pPr>
          </w:p>
          <w:p w14:paraId="2D82B9C7" w14:textId="77777777" w:rsidR="008E74CF" w:rsidRDefault="008E74CF" w:rsidP="00007F9B">
            <w:pPr>
              <w:spacing w:before="40" w:after="120"/>
              <w:ind w:left="284" w:right="113" w:hanging="142"/>
              <w:rPr>
                <w:b/>
                <w:bCs/>
              </w:rPr>
            </w:pPr>
          </w:p>
          <w:p w14:paraId="0B1DCC3B" w14:textId="77777777" w:rsidR="008E74CF" w:rsidRDefault="008E74CF" w:rsidP="00007F9B">
            <w:pPr>
              <w:spacing w:before="40" w:after="120"/>
              <w:ind w:left="284" w:right="113" w:hanging="142"/>
              <w:rPr>
                <w:b/>
                <w:bCs/>
              </w:rPr>
            </w:pPr>
          </w:p>
          <w:p w14:paraId="1130AB1C" w14:textId="77777777" w:rsidR="008E74CF" w:rsidRDefault="008E74CF" w:rsidP="00007F9B">
            <w:pPr>
              <w:spacing w:before="40" w:after="120"/>
              <w:ind w:left="284" w:right="113" w:hanging="142"/>
              <w:rPr>
                <w:b/>
                <w:bCs/>
              </w:rPr>
            </w:pPr>
          </w:p>
          <w:p w14:paraId="13210314" w14:textId="77777777" w:rsidR="008E74CF" w:rsidRDefault="008E74CF" w:rsidP="00007F9B">
            <w:pPr>
              <w:spacing w:before="40" w:after="120"/>
              <w:ind w:left="284" w:right="113" w:hanging="142"/>
              <w:rPr>
                <w:b/>
                <w:bCs/>
              </w:rPr>
            </w:pPr>
          </w:p>
          <w:p w14:paraId="3E9849C0" w14:textId="77777777" w:rsidR="008550F3" w:rsidRDefault="008550F3" w:rsidP="00246614">
            <w:pPr>
              <w:spacing w:before="40" w:after="120"/>
              <w:ind w:right="113"/>
              <w:rPr>
                <w:b/>
                <w:bCs/>
              </w:rPr>
            </w:pPr>
          </w:p>
          <w:p w14:paraId="2EDFE2B9" w14:textId="77777777" w:rsidR="008550F3" w:rsidRDefault="008550F3" w:rsidP="00246614">
            <w:pPr>
              <w:spacing w:before="40" w:after="120"/>
              <w:ind w:right="113"/>
              <w:rPr>
                <w:b/>
                <w:bCs/>
              </w:rPr>
            </w:pPr>
          </w:p>
          <w:p w14:paraId="73B63978" w14:textId="73521440" w:rsidR="008E74CF" w:rsidRDefault="008E74CF" w:rsidP="00246614">
            <w:pPr>
              <w:spacing w:before="40" w:after="120"/>
              <w:ind w:right="113"/>
              <w:rPr>
                <w:b/>
                <w:bCs/>
              </w:rPr>
            </w:pPr>
            <w:r>
              <w:rPr>
                <w:b/>
                <w:bCs/>
              </w:rPr>
              <w:t xml:space="preserve"> 7 (d) </w:t>
            </w:r>
            <w:r w:rsidRPr="00B8395A">
              <w:rPr>
                <w:b/>
                <w:bCs/>
              </w:rPr>
              <w:t>Possible activities for the draft workplan for 2024–2026</w:t>
            </w:r>
          </w:p>
          <w:p w14:paraId="30C7ADA6" w14:textId="77777777" w:rsidR="008E74CF" w:rsidRDefault="008E74CF" w:rsidP="00824B1B">
            <w:pPr>
              <w:spacing w:before="40" w:after="120"/>
              <w:ind w:right="113"/>
              <w:rPr>
                <w:b/>
                <w:bCs/>
              </w:rPr>
            </w:pPr>
          </w:p>
          <w:p w14:paraId="775D9949" w14:textId="77777777" w:rsidR="008E74CF" w:rsidRDefault="008E74CF" w:rsidP="00824B1B">
            <w:pPr>
              <w:spacing w:before="40" w:after="120"/>
              <w:ind w:right="113"/>
              <w:rPr>
                <w:b/>
                <w:bCs/>
              </w:rPr>
            </w:pPr>
          </w:p>
          <w:p w14:paraId="5CCE7982" w14:textId="77777777" w:rsidR="008E74CF" w:rsidRDefault="008E74CF" w:rsidP="00824B1B">
            <w:pPr>
              <w:spacing w:before="40" w:after="120"/>
              <w:ind w:right="113"/>
              <w:rPr>
                <w:b/>
                <w:bCs/>
              </w:rPr>
            </w:pPr>
          </w:p>
          <w:p w14:paraId="781850F5" w14:textId="77777777" w:rsidR="008E74CF" w:rsidRDefault="008E74CF" w:rsidP="00824B1B">
            <w:pPr>
              <w:spacing w:before="40" w:after="120"/>
              <w:ind w:right="113"/>
              <w:rPr>
                <w:b/>
                <w:bCs/>
              </w:rPr>
            </w:pPr>
          </w:p>
          <w:p w14:paraId="57E6B3F3" w14:textId="77777777" w:rsidR="008E74CF" w:rsidRDefault="008E74CF" w:rsidP="00824B1B">
            <w:pPr>
              <w:spacing w:before="40" w:after="120"/>
              <w:ind w:right="113"/>
              <w:rPr>
                <w:b/>
                <w:bCs/>
              </w:rPr>
            </w:pPr>
          </w:p>
          <w:p w14:paraId="48924F50" w14:textId="77777777" w:rsidR="008E74CF" w:rsidRDefault="008E74CF" w:rsidP="00824B1B">
            <w:pPr>
              <w:spacing w:before="40" w:after="120"/>
              <w:ind w:right="113"/>
              <w:rPr>
                <w:b/>
                <w:bCs/>
              </w:rPr>
            </w:pPr>
          </w:p>
          <w:p w14:paraId="2FF98854" w14:textId="77777777" w:rsidR="008E74CF" w:rsidRDefault="008E74CF" w:rsidP="00824B1B">
            <w:pPr>
              <w:spacing w:before="40" w:after="120"/>
              <w:ind w:right="113"/>
              <w:rPr>
                <w:b/>
                <w:bCs/>
              </w:rPr>
            </w:pPr>
          </w:p>
          <w:p w14:paraId="12EFD74F" w14:textId="77777777" w:rsidR="008E74CF" w:rsidRDefault="008E74CF" w:rsidP="00824B1B">
            <w:pPr>
              <w:spacing w:before="40" w:after="120"/>
              <w:ind w:right="113"/>
              <w:rPr>
                <w:b/>
                <w:bCs/>
              </w:rPr>
            </w:pPr>
          </w:p>
          <w:p w14:paraId="01E35754" w14:textId="77777777" w:rsidR="00BD1E93" w:rsidRDefault="00BD1E93" w:rsidP="00246614">
            <w:pPr>
              <w:spacing w:before="40" w:after="120"/>
              <w:ind w:right="113"/>
              <w:rPr>
                <w:b/>
                <w:bCs/>
              </w:rPr>
            </w:pPr>
          </w:p>
          <w:p w14:paraId="700C94C8" w14:textId="77777777" w:rsidR="00BD1E93" w:rsidRDefault="00BD1E93" w:rsidP="00246614">
            <w:pPr>
              <w:spacing w:before="40" w:after="120"/>
              <w:ind w:right="113"/>
              <w:rPr>
                <w:b/>
                <w:bCs/>
              </w:rPr>
            </w:pPr>
          </w:p>
          <w:p w14:paraId="079012C0" w14:textId="77777777" w:rsidR="00BD1E93" w:rsidRDefault="00BD1E93" w:rsidP="00246614">
            <w:pPr>
              <w:spacing w:before="40" w:after="120"/>
              <w:ind w:right="113"/>
              <w:rPr>
                <w:b/>
                <w:bCs/>
              </w:rPr>
            </w:pPr>
          </w:p>
          <w:p w14:paraId="5C427CB7" w14:textId="2652D51E" w:rsidR="00BD1E93" w:rsidRDefault="00BD1E93" w:rsidP="00246614">
            <w:pPr>
              <w:spacing w:before="40" w:after="120"/>
              <w:ind w:right="113"/>
              <w:rPr>
                <w:b/>
                <w:bCs/>
              </w:rPr>
            </w:pPr>
          </w:p>
          <w:p w14:paraId="52C6A2E2" w14:textId="2963A0C7" w:rsidR="009D32A8" w:rsidRDefault="009D32A8" w:rsidP="00246614">
            <w:pPr>
              <w:spacing w:before="40" w:after="120"/>
              <w:ind w:right="113"/>
              <w:rPr>
                <w:b/>
                <w:bCs/>
              </w:rPr>
            </w:pPr>
          </w:p>
          <w:p w14:paraId="6E1BC29D" w14:textId="3A05F673" w:rsidR="009D32A8" w:rsidRDefault="009D32A8" w:rsidP="00246614">
            <w:pPr>
              <w:spacing w:before="40" w:after="120"/>
              <w:ind w:right="113"/>
              <w:rPr>
                <w:b/>
                <w:bCs/>
              </w:rPr>
            </w:pPr>
          </w:p>
          <w:p w14:paraId="11CC6588" w14:textId="77777777" w:rsidR="009D32A8" w:rsidRDefault="009D32A8" w:rsidP="00246614">
            <w:pPr>
              <w:spacing w:before="40" w:after="120"/>
              <w:ind w:right="113"/>
              <w:rPr>
                <w:b/>
                <w:bCs/>
              </w:rPr>
            </w:pPr>
          </w:p>
          <w:p w14:paraId="05E7771E" w14:textId="3D2C0181" w:rsidR="008E74CF" w:rsidRDefault="008E74CF" w:rsidP="00246614">
            <w:pPr>
              <w:spacing w:before="40" w:after="120"/>
              <w:ind w:right="113"/>
              <w:rPr>
                <w:b/>
                <w:bCs/>
              </w:rPr>
            </w:pPr>
            <w:r>
              <w:rPr>
                <w:b/>
                <w:bCs/>
              </w:rPr>
              <w:t xml:space="preserve">7 (e) </w:t>
            </w:r>
            <w:r w:rsidRPr="00824B1B">
              <w:rPr>
                <w:b/>
                <w:bCs/>
              </w:rPr>
              <w:t>Chairs of the sessions</w:t>
            </w:r>
          </w:p>
          <w:p w14:paraId="1BD17578" w14:textId="77777777" w:rsidR="008E74CF" w:rsidRDefault="008E74CF" w:rsidP="00FF36A7">
            <w:pPr>
              <w:spacing w:before="40" w:after="120"/>
              <w:ind w:right="113"/>
              <w:rPr>
                <w:b/>
                <w:bCs/>
              </w:rPr>
            </w:pPr>
          </w:p>
          <w:p w14:paraId="4D943F94" w14:textId="77777777" w:rsidR="008E74CF" w:rsidRDefault="008E74CF" w:rsidP="00FF36A7">
            <w:pPr>
              <w:spacing w:before="40" w:after="120"/>
              <w:ind w:right="113"/>
              <w:rPr>
                <w:b/>
                <w:bCs/>
              </w:rPr>
            </w:pPr>
          </w:p>
          <w:p w14:paraId="4B57F971" w14:textId="77777777" w:rsidR="008E74CF" w:rsidRDefault="008E74CF" w:rsidP="00FF36A7">
            <w:pPr>
              <w:spacing w:before="40" w:after="120"/>
              <w:ind w:right="113"/>
              <w:rPr>
                <w:b/>
                <w:bCs/>
              </w:rPr>
            </w:pPr>
          </w:p>
          <w:p w14:paraId="09093461" w14:textId="77777777" w:rsidR="008E74CF" w:rsidRDefault="008E74CF" w:rsidP="00FF36A7">
            <w:pPr>
              <w:spacing w:before="40" w:after="120"/>
              <w:ind w:right="113"/>
              <w:rPr>
                <w:b/>
                <w:bCs/>
              </w:rPr>
            </w:pPr>
          </w:p>
          <w:p w14:paraId="412B15ED" w14:textId="77777777" w:rsidR="008E74CF" w:rsidRDefault="008E74CF" w:rsidP="00FF36A7">
            <w:pPr>
              <w:spacing w:before="40" w:after="120"/>
              <w:ind w:right="113"/>
              <w:rPr>
                <w:b/>
                <w:bCs/>
              </w:rPr>
            </w:pPr>
          </w:p>
          <w:p w14:paraId="2CF4F0C7" w14:textId="77777777" w:rsidR="008E74CF" w:rsidRDefault="008E74CF" w:rsidP="00FF36A7">
            <w:pPr>
              <w:spacing w:before="40" w:after="120"/>
              <w:ind w:right="113"/>
              <w:rPr>
                <w:b/>
                <w:bCs/>
              </w:rPr>
            </w:pPr>
          </w:p>
          <w:p w14:paraId="4BC5C74D" w14:textId="77777777" w:rsidR="008E74CF" w:rsidRDefault="008E74CF" w:rsidP="00FF36A7">
            <w:pPr>
              <w:spacing w:before="40" w:after="120"/>
              <w:ind w:right="113"/>
              <w:rPr>
                <w:b/>
                <w:bCs/>
              </w:rPr>
            </w:pPr>
          </w:p>
          <w:p w14:paraId="0E9A7FF8" w14:textId="34406A07" w:rsidR="008E74CF" w:rsidRPr="00007F9B" w:rsidRDefault="008E74CF" w:rsidP="00246614">
            <w:pPr>
              <w:spacing w:before="40" w:after="120"/>
              <w:ind w:right="113"/>
              <w:rPr>
                <w:b/>
                <w:bCs/>
              </w:rPr>
            </w:pPr>
            <w:r>
              <w:rPr>
                <w:b/>
                <w:bCs/>
              </w:rPr>
              <w:t xml:space="preserve">7 (f) </w:t>
            </w:r>
            <w:r w:rsidRPr="00FF36A7">
              <w:rPr>
                <w:b/>
                <w:bCs/>
              </w:rPr>
              <w:t>Officers for the next intersessional period</w:t>
            </w:r>
          </w:p>
        </w:tc>
        <w:tc>
          <w:tcPr>
            <w:tcW w:w="3831" w:type="dxa"/>
            <w:vMerge/>
            <w:shd w:val="clear" w:color="auto" w:fill="auto"/>
          </w:tcPr>
          <w:p w14:paraId="582BFFF8" w14:textId="77777777" w:rsidR="008E74CF" w:rsidRPr="009272B1" w:rsidRDefault="008E74CF" w:rsidP="00007F9B">
            <w:pPr>
              <w:spacing w:before="40" w:after="120" w:line="240" w:lineRule="auto"/>
              <w:ind w:right="113"/>
              <w:rPr>
                <w:bCs/>
              </w:rPr>
            </w:pPr>
          </w:p>
        </w:tc>
        <w:tc>
          <w:tcPr>
            <w:tcW w:w="4656" w:type="dxa"/>
            <w:shd w:val="clear" w:color="auto" w:fill="auto"/>
          </w:tcPr>
          <w:p w14:paraId="2B07B3BF" w14:textId="75BA728B" w:rsidR="008E74CF" w:rsidRDefault="008E74CF" w:rsidP="00081DC8">
            <w:pPr>
              <w:pStyle w:val="Bullet1G"/>
              <w:numPr>
                <w:ilvl w:val="0"/>
                <w:numId w:val="0"/>
              </w:numPr>
              <w:ind w:left="142" w:right="26"/>
            </w:pPr>
            <w:r w:rsidRPr="00CB70A5">
              <w:rPr>
                <w:b/>
                <w:bCs/>
              </w:rPr>
              <w:t>The Working Group</w:t>
            </w:r>
            <w:r w:rsidRPr="002D7F74">
              <w:t xml:space="preserve"> is invited to agree on an initial list of draft decisions and documents to be prepared for the </w:t>
            </w:r>
            <w:r>
              <w:t xml:space="preserve">2023 MOP sessions and </w:t>
            </w:r>
            <w:r w:rsidRPr="002D7F74">
              <w:t>provide guidance on the</w:t>
            </w:r>
            <w:r w:rsidR="00C9015C">
              <w:t>ir</w:t>
            </w:r>
            <w:r w:rsidRPr="002D7F74">
              <w:t xml:space="preserve"> development for the Working Group to consider</w:t>
            </w:r>
            <w:r w:rsidR="00C9015C">
              <w:t xml:space="preserve"> at </w:t>
            </w:r>
            <w:r w:rsidRPr="002D7F74">
              <w:t>its next meeting (Geneva, 13–15 June 2023)</w:t>
            </w:r>
            <w:r w:rsidR="00C9015C">
              <w:t xml:space="preserve"> prior to their submission to the MOPs</w:t>
            </w:r>
            <w:r w:rsidRPr="002D7F74">
              <w:t xml:space="preserve">. </w:t>
            </w:r>
            <w:r>
              <w:t>(The Bureau will meet on 22</w:t>
            </w:r>
            <w:r w:rsidR="00C9015C">
              <w:t>–</w:t>
            </w:r>
            <w:r>
              <w:t xml:space="preserve">23 February 2023 to agree on </w:t>
            </w:r>
            <w:r w:rsidR="00C9015C">
              <w:t xml:space="preserve">initial </w:t>
            </w:r>
            <w:r>
              <w:t xml:space="preserve">draft documents). </w:t>
            </w:r>
          </w:p>
          <w:p w14:paraId="61877A61" w14:textId="42911AF5" w:rsidR="008E74CF" w:rsidRPr="00C9015C" w:rsidRDefault="008E74CF" w:rsidP="00081DC8">
            <w:pPr>
              <w:pStyle w:val="Bullet1G"/>
              <w:numPr>
                <w:ilvl w:val="0"/>
                <w:numId w:val="0"/>
              </w:numPr>
              <w:ind w:left="142" w:right="26"/>
            </w:pPr>
            <w:r w:rsidRPr="00C9015C">
              <w:t xml:space="preserve">It </w:t>
            </w:r>
            <w:r w:rsidR="00C9015C" w:rsidRPr="00C9015C">
              <w:t xml:space="preserve">may wish to </w:t>
            </w:r>
            <w:r w:rsidRPr="00C9015C">
              <w:t>contribute to th</w:t>
            </w:r>
            <w:r w:rsidR="00C9015C" w:rsidRPr="00C9015C">
              <w:t>e</w:t>
            </w:r>
            <w:r w:rsidRPr="00C9015C">
              <w:t xml:space="preserve"> preparation</w:t>
            </w:r>
            <w:r w:rsidR="00C9015C" w:rsidRPr="00C9015C">
              <w:t xml:space="preserve"> of draft documents and decisions </w:t>
            </w:r>
            <w:r w:rsidRPr="00C9015C">
              <w:t xml:space="preserve">by establishing a drafting group of volunteering Parties that would consult with the Bureau and the secretariat, </w:t>
            </w:r>
            <w:r w:rsidR="00C9015C" w:rsidRPr="00C9015C">
              <w:t>except for</w:t>
            </w:r>
            <w:r w:rsidRPr="00C9015C">
              <w:t xml:space="preserve"> the documents to be drafted by the Implementation Committee.</w:t>
            </w:r>
          </w:p>
          <w:p w14:paraId="256ECCD5" w14:textId="77777777" w:rsidR="008E74CF" w:rsidRDefault="008E74CF" w:rsidP="0036658A">
            <w:pPr>
              <w:pStyle w:val="Bullet1G"/>
              <w:numPr>
                <w:ilvl w:val="0"/>
                <w:numId w:val="0"/>
              </w:numPr>
              <w:ind w:left="142" w:right="26"/>
            </w:pPr>
            <w:r w:rsidRPr="00CB70A5">
              <w:rPr>
                <w:b/>
                <w:bCs/>
              </w:rPr>
              <w:t>The Working Group</w:t>
            </w:r>
            <w:r w:rsidRPr="007D22A0">
              <w:t xml:space="preserve"> will be invited to agree on the main messages or key focus areas of a draft declaration to be prepared</w:t>
            </w:r>
            <w:r>
              <w:t xml:space="preserve">, considering </w:t>
            </w:r>
            <w:r w:rsidRPr="007D22A0">
              <w:t xml:space="preserve">the Bureau’s suggestions </w:t>
            </w:r>
            <w:r>
              <w:t>(</w:t>
            </w:r>
            <w:r w:rsidRPr="007D22A0">
              <w:t>importance of the Convention and the Protocol as tools to boost energy transition and to ensure circular economy, low carbon economy and climate neutrality</w:t>
            </w:r>
            <w:r>
              <w:t>)</w:t>
            </w:r>
            <w:r w:rsidRPr="007D22A0">
              <w:t>.</w:t>
            </w:r>
          </w:p>
          <w:p w14:paraId="26B4C8F1" w14:textId="0C4A76AA" w:rsidR="008E74CF" w:rsidRDefault="008E74CF" w:rsidP="00CB70A5">
            <w:pPr>
              <w:pStyle w:val="Bullet1G"/>
              <w:numPr>
                <w:ilvl w:val="0"/>
                <w:numId w:val="0"/>
              </w:numPr>
              <w:ind w:left="142" w:right="26"/>
            </w:pPr>
            <w:r>
              <w:rPr>
                <w:b/>
                <w:bCs/>
              </w:rPr>
              <w:t>D</w:t>
            </w:r>
            <w:r w:rsidRPr="00CB70A5">
              <w:rPr>
                <w:b/>
                <w:bCs/>
              </w:rPr>
              <w:t>elegations</w:t>
            </w:r>
            <w:r w:rsidRPr="007D22A0">
              <w:t xml:space="preserve"> </w:t>
            </w:r>
            <w:r w:rsidR="003E0ACF">
              <w:t xml:space="preserve">are invited </w:t>
            </w:r>
            <w:r>
              <w:t>to provide their proposals in writing by 28 November 2022.</w:t>
            </w:r>
          </w:p>
          <w:p w14:paraId="008D9CEC" w14:textId="77777777" w:rsidR="008E74CF" w:rsidRPr="00BE227B" w:rsidRDefault="008E74CF" w:rsidP="00CB70A5">
            <w:pPr>
              <w:pStyle w:val="SingleTxtG"/>
              <w:ind w:left="0"/>
            </w:pPr>
          </w:p>
        </w:tc>
      </w:tr>
      <w:tr w:rsidR="00B8395A" w:rsidRPr="00930D32" w14:paraId="22460473" w14:textId="77777777" w:rsidTr="00B8395A">
        <w:trPr>
          <w:trHeight w:val="4815"/>
          <w:jc w:val="center"/>
        </w:trPr>
        <w:tc>
          <w:tcPr>
            <w:tcW w:w="1350" w:type="dxa"/>
            <w:vMerge/>
            <w:shd w:val="clear" w:color="auto" w:fill="auto"/>
          </w:tcPr>
          <w:p w14:paraId="7C3BDFFF" w14:textId="77777777" w:rsidR="00B8395A" w:rsidRPr="009272B1" w:rsidRDefault="00B8395A" w:rsidP="006A2C0F">
            <w:pPr>
              <w:spacing w:before="40" w:after="120"/>
              <w:ind w:right="113"/>
              <w:rPr>
                <w:b/>
                <w:bCs/>
              </w:rPr>
            </w:pPr>
          </w:p>
        </w:tc>
        <w:tc>
          <w:tcPr>
            <w:tcW w:w="921" w:type="dxa"/>
            <w:vMerge/>
            <w:shd w:val="clear" w:color="auto" w:fill="auto"/>
          </w:tcPr>
          <w:p w14:paraId="200D2D54" w14:textId="77777777" w:rsidR="00B8395A" w:rsidRPr="009272B1" w:rsidRDefault="00B8395A" w:rsidP="009272B1">
            <w:pPr>
              <w:spacing w:before="40" w:after="120"/>
              <w:ind w:left="170" w:right="113"/>
              <w:rPr>
                <w:bCs/>
              </w:rPr>
            </w:pPr>
          </w:p>
        </w:tc>
        <w:tc>
          <w:tcPr>
            <w:tcW w:w="1845" w:type="dxa"/>
            <w:vMerge/>
            <w:shd w:val="clear" w:color="auto" w:fill="auto"/>
          </w:tcPr>
          <w:p w14:paraId="3490B460" w14:textId="77777777" w:rsidR="00B8395A" w:rsidRPr="009272B1" w:rsidRDefault="00B8395A" w:rsidP="00343478">
            <w:pPr>
              <w:spacing w:before="40" w:after="120"/>
              <w:ind w:left="284" w:right="113" w:hanging="142"/>
              <w:rPr>
                <w:b/>
                <w:bCs/>
              </w:rPr>
            </w:pPr>
          </w:p>
        </w:tc>
        <w:tc>
          <w:tcPr>
            <w:tcW w:w="3831" w:type="dxa"/>
            <w:shd w:val="clear" w:color="auto" w:fill="auto"/>
          </w:tcPr>
          <w:p w14:paraId="2E649DF1" w14:textId="77777777" w:rsidR="00B8395A" w:rsidRPr="009272B1" w:rsidRDefault="00B8395A" w:rsidP="00B8395A">
            <w:pPr>
              <w:pStyle w:val="H23G"/>
              <w:ind w:left="142" w:firstLine="0"/>
              <w:rPr>
                <w:bCs/>
              </w:rPr>
            </w:pPr>
          </w:p>
        </w:tc>
        <w:tc>
          <w:tcPr>
            <w:tcW w:w="4656" w:type="dxa"/>
            <w:shd w:val="clear" w:color="auto" w:fill="auto"/>
          </w:tcPr>
          <w:p w14:paraId="650C02EF" w14:textId="77777777" w:rsidR="00B8395A" w:rsidRDefault="00B8395A" w:rsidP="00B8395A">
            <w:pPr>
              <w:pStyle w:val="Bullet1G"/>
              <w:numPr>
                <w:ilvl w:val="0"/>
                <w:numId w:val="0"/>
              </w:numPr>
              <w:ind w:left="142" w:right="26"/>
              <w:rPr>
                <w:bCs/>
              </w:rPr>
            </w:pPr>
            <w:r w:rsidRPr="00B8395A">
              <w:rPr>
                <w:b/>
              </w:rPr>
              <w:t>The Working Group</w:t>
            </w:r>
            <w:r w:rsidRPr="00B8395A">
              <w:rPr>
                <w:bCs/>
              </w:rPr>
              <w:t xml:space="preserve"> is expected to agree on the provisional programme </w:t>
            </w:r>
            <w:r w:rsidR="00941252">
              <w:rPr>
                <w:bCs/>
              </w:rPr>
              <w:t xml:space="preserve">for the MOP sessions </w:t>
            </w:r>
            <w:r w:rsidRPr="00B8395A">
              <w:rPr>
                <w:bCs/>
              </w:rPr>
              <w:t>and provide guidance for the preparation of a provisional annotated agenda.</w:t>
            </w:r>
          </w:p>
          <w:p w14:paraId="6C80BFAB" w14:textId="0BA8CB1D" w:rsidR="00B8395A" w:rsidRPr="00BE227B" w:rsidRDefault="00941252" w:rsidP="003E0ACF">
            <w:pPr>
              <w:pStyle w:val="Bullet1G"/>
              <w:numPr>
                <w:ilvl w:val="0"/>
                <w:numId w:val="0"/>
              </w:numPr>
              <w:ind w:left="142" w:right="26"/>
            </w:pPr>
            <w:r>
              <w:rPr>
                <w:b/>
                <w:bCs/>
              </w:rPr>
              <w:t xml:space="preserve">Delegations are invited </w:t>
            </w:r>
            <w:r w:rsidR="00B8395A" w:rsidRPr="007D22A0">
              <w:t xml:space="preserve">to make proposals for attracting high-level participation to the next sessions of the </w:t>
            </w:r>
            <w:r w:rsidR="00B8395A">
              <w:t>MOPs</w:t>
            </w:r>
            <w:r w:rsidR="00B8395A" w:rsidRPr="007D22A0">
              <w:t xml:space="preserve"> and for enriching the programme of the sessions. Considering</w:t>
            </w:r>
            <w:r w:rsidR="00B8395A">
              <w:t xml:space="preserve"> the </w:t>
            </w:r>
            <w:r w:rsidR="003E0ACF">
              <w:t xml:space="preserve">Bureau’s </w:t>
            </w:r>
            <w:r w:rsidR="00B8395A">
              <w:t>recommendations from the Bureau, the Working Group is invited to initially agree on topics for a thematic seminar and/or a panel, to be organized during the sessions’ general and/or high-level segment(s)</w:t>
            </w:r>
            <w:r w:rsidR="003E0ACF">
              <w:t xml:space="preserve"> (see item 5(b) above)</w:t>
            </w:r>
            <w:r w:rsidR="00B8395A">
              <w:t>. Aside from proposing to lead the organization of the events, d</w:t>
            </w:r>
            <w:r w:rsidR="00B8395A" w:rsidRPr="00214DCD">
              <w:t xml:space="preserve">elegations are expected to suggest speakers and moderators and to specify the contents of the </w:t>
            </w:r>
            <w:r w:rsidR="009D32A8">
              <w:t>the</w:t>
            </w:r>
            <w:r w:rsidR="00B8395A" w:rsidRPr="00214DCD">
              <w:t>matic events</w:t>
            </w:r>
            <w:r w:rsidR="00B8395A" w:rsidRPr="00B8395A">
              <w:rPr>
                <w:b/>
                <w:bCs/>
              </w:rPr>
              <w:t xml:space="preserve">. </w:t>
            </w:r>
          </w:p>
        </w:tc>
      </w:tr>
      <w:tr w:rsidR="00B8395A" w:rsidRPr="00930D32" w14:paraId="3A4320CC" w14:textId="77777777" w:rsidTr="00C669E7">
        <w:trPr>
          <w:trHeight w:val="2604"/>
          <w:jc w:val="center"/>
        </w:trPr>
        <w:tc>
          <w:tcPr>
            <w:tcW w:w="1350" w:type="dxa"/>
            <w:vMerge/>
            <w:shd w:val="clear" w:color="auto" w:fill="auto"/>
          </w:tcPr>
          <w:p w14:paraId="73257708" w14:textId="77777777" w:rsidR="00B8395A" w:rsidRPr="009272B1" w:rsidRDefault="00B8395A" w:rsidP="006A2C0F">
            <w:pPr>
              <w:spacing w:before="40" w:after="120"/>
              <w:ind w:right="113"/>
              <w:rPr>
                <w:b/>
                <w:bCs/>
              </w:rPr>
            </w:pPr>
          </w:p>
        </w:tc>
        <w:tc>
          <w:tcPr>
            <w:tcW w:w="921" w:type="dxa"/>
            <w:vMerge/>
            <w:shd w:val="clear" w:color="auto" w:fill="auto"/>
          </w:tcPr>
          <w:p w14:paraId="7F546424" w14:textId="77777777" w:rsidR="00B8395A" w:rsidRPr="009272B1" w:rsidRDefault="00B8395A" w:rsidP="009272B1">
            <w:pPr>
              <w:spacing w:before="40" w:after="120"/>
              <w:ind w:left="170" w:right="113"/>
              <w:rPr>
                <w:bCs/>
              </w:rPr>
            </w:pPr>
          </w:p>
        </w:tc>
        <w:tc>
          <w:tcPr>
            <w:tcW w:w="1845" w:type="dxa"/>
            <w:vMerge/>
            <w:shd w:val="clear" w:color="auto" w:fill="auto"/>
          </w:tcPr>
          <w:p w14:paraId="6392AB31" w14:textId="77777777" w:rsidR="00B8395A" w:rsidRPr="009272B1" w:rsidRDefault="00B8395A" w:rsidP="00343478">
            <w:pPr>
              <w:spacing w:before="40" w:after="120"/>
              <w:ind w:left="284" w:right="113" w:hanging="142"/>
              <w:rPr>
                <w:b/>
                <w:bCs/>
              </w:rPr>
            </w:pPr>
          </w:p>
        </w:tc>
        <w:tc>
          <w:tcPr>
            <w:tcW w:w="3831" w:type="dxa"/>
            <w:shd w:val="clear" w:color="auto" w:fill="auto"/>
          </w:tcPr>
          <w:p w14:paraId="796E7DAB" w14:textId="677E596D" w:rsidR="001F73EE" w:rsidRDefault="001F73EE" w:rsidP="001F73EE">
            <w:pPr>
              <w:spacing w:before="40" w:after="120" w:line="240" w:lineRule="auto"/>
              <w:ind w:right="113"/>
              <w:rPr>
                <w:bCs/>
              </w:rPr>
            </w:pPr>
            <w:r>
              <w:rPr>
                <w:bCs/>
              </w:rPr>
              <w:t>Workplan for 2021–2022 (Decision VIII/2–IV/2, annex I)</w:t>
            </w:r>
          </w:p>
          <w:p w14:paraId="0CBE6938" w14:textId="243752C1" w:rsidR="00B8395A" w:rsidRDefault="00574D20" w:rsidP="001F73EE">
            <w:pPr>
              <w:spacing w:before="40" w:after="120" w:line="240" w:lineRule="auto"/>
              <w:ind w:right="113"/>
              <w:rPr>
                <w:bCs/>
              </w:rPr>
            </w:pPr>
            <w:hyperlink r:id="rId24" w:history="1">
              <w:r w:rsidR="003E0ACF" w:rsidRPr="001F73EE">
                <w:rPr>
                  <w:rStyle w:val="Hyperlink"/>
                  <w:bCs/>
                </w:rPr>
                <w:t>Long-term strategy and the action plan for the Convention and the Protocol</w:t>
              </w:r>
              <w:r w:rsidR="001F73EE" w:rsidRPr="001F73EE">
                <w:rPr>
                  <w:rStyle w:val="Hyperlink"/>
                  <w:bCs/>
                </w:rPr>
                <w:t xml:space="preserve"> (decision VIII/3–IV/3, annex)</w:t>
              </w:r>
            </w:hyperlink>
          </w:p>
          <w:p w14:paraId="4400B16D" w14:textId="31809C3F" w:rsidR="001F73EE" w:rsidRDefault="001F73EE" w:rsidP="001F73EE">
            <w:pPr>
              <w:spacing w:before="40" w:after="120" w:line="240" w:lineRule="auto"/>
              <w:ind w:right="113"/>
              <w:rPr>
                <w:bCs/>
              </w:rPr>
            </w:pPr>
            <w:r w:rsidRPr="001F73EE">
              <w:rPr>
                <w:bCs/>
              </w:rPr>
              <w:t>Draft assessment report on identification of synergies and possible cooperation activities in marine regions (ECE/MP.EIA/WG.2/2022/INF.10)</w:t>
            </w:r>
          </w:p>
          <w:p w14:paraId="385F1830" w14:textId="77777777" w:rsidR="001F73EE" w:rsidRPr="001F73EE" w:rsidRDefault="001F73EE" w:rsidP="001F73EE">
            <w:pPr>
              <w:spacing w:before="40" w:after="120" w:line="240" w:lineRule="auto"/>
              <w:ind w:right="113"/>
              <w:rPr>
                <w:bCs/>
              </w:rPr>
            </w:pPr>
            <w:r w:rsidRPr="001F73EE">
              <w:rPr>
                <w:bCs/>
              </w:rPr>
              <w:t>Draft seventh review of the implementation of the Convention on Environmental Impact Assessment in a Transboundary Context (ECE/MP.EIA/WG.2/2022/3)</w:t>
            </w:r>
          </w:p>
          <w:p w14:paraId="2DF6DAC7" w14:textId="332FCE11" w:rsidR="001F73EE" w:rsidRDefault="001F73EE" w:rsidP="001F73EE">
            <w:pPr>
              <w:spacing w:before="40" w:after="120" w:line="240" w:lineRule="auto"/>
              <w:ind w:right="113"/>
              <w:rPr>
                <w:bCs/>
              </w:rPr>
            </w:pPr>
            <w:r w:rsidRPr="001F73EE">
              <w:rPr>
                <w:bCs/>
              </w:rPr>
              <w:t>Draft fourth review of implementation of the Protocol on Strategic Environmental Assessment (ECE/MP.EIA/WG.2/2022/4)</w:t>
            </w:r>
          </w:p>
          <w:p w14:paraId="4880F5B1" w14:textId="77777777" w:rsidR="001F73EE" w:rsidRDefault="001F73EE" w:rsidP="001F73EE">
            <w:pPr>
              <w:spacing w:before="40" w:after="120" w:line="240" w:lineRule="auto"/>
              <w:ind w:right="113"/>
              <w:rPr>
                <w:bCs/>
              </w:rPr>
            </w:pPr>
          </w:p>
          <w:p w14:paraId="587739A9" w14:textId="77777777" w:rsidR="001F73EE" w:rsidRPr="001F73EE" w:rsidRDefault="001F73EE" w:rsidP="001F73EE">
            <w:pPr>
              <w:spacing w:before="40" w:after="120" w:line="240" w:lineRule="auto"/>
              <w:ind w:right="113"/>
              <w:rPr>
                <w:bCs/>
              </w:rPr>
            </w:pPr>
          </w:p>
          <w:p w14:paraId="7FD74AD4" w14:textId="77777777" w:rsidR="00FF36A7" w:rsidRDefault="00FF36A7" w:rsidP="00FF36A7"/>
          <w:p w14:paraId="015E9DC8" w14:textId="77777777" w:rsidR="00FF36A7" w:rsidRDefault="00FF36A7" w:rsidP="00FF36A7"/>
          <w:p w14:paraId="25D7B163" w14:textId="77777777" w:rsidR="00FF36A7" w:rsidRDefault="00FF36A7" w:rsidP="00FF36A7"/>
          <w:p w14:paraId="5EBCF17D" w14:textId="77777777" w:rsidR="00FF36A7" w:rsidRDefault="00FF36A7" w:rsidP="00FF36A7"/>
          <w:p w14:paraId="11893B8A" w14:textId="77777777" w:rsidR="00FF36A7" w:rsidRDefault="00FF36A7" w:rsidP="00FF36A7"/>
          <w:p w14:paraId="58BDE750" w14:textId="77777777" w:rsidR="00FF36A7" w:rsidRDefault="00FF36A7" w:rsidP="00FF36A7"/>
          <w:p w14:paraId="085FBB29" w14:textId="77777777" w:rsidR="00FF36A7" w:rsidRDefault="00FF36A7" w:rsidP="00FF36A7"/>
          <w:p w14:paraId="5B9BD83A" w14:textId="77777777" w:rsidR="00FF36A7" w:rsidRDefault="00FF36A7" w:rsidP="00FF36A7"/>
          <w:p w14:paraId="04C31C17" w14:textId="77777777" w:rsidR="00FF36A7" w:rsidRDefault="00FF36A7" w:rsidP="00FF36A7"/>
          <w:p w14:paraId="4C194ADD" w14:textId="77777777" w:rsidR="00FF36A7" w:rsidRDefault="00FF36A7" w:rsidP="00FF36A7"/>
          <w:p w14:paraId="0159D615" w14:textId="77777777" w:rsidR="00FF36A7" w:rsidRDefault="00FF36A7" w:rsidP="00FF36A7"/>
          <w:p w14:paraId="6E769647" w14:textId="77777777" w:rsidR="00FF36A7" w:rsidRDefault="00FF36A7" w:rsidP="00FF36A7"/>
          <w:p w14:paraId="567019E7" w14:textId="77777777" w:rsidR="00FF36A7" w:rsidRDefault="00FF36A7" w:rsidP="00FF36A7"/>
          <w:p w14:paraId="259E9EE4" w14:textId="77777777" w:rsidR="00FF36A7" w:rsidRDefault="00FF36A7" w:rsidP="00FF36A7"/>
          <w:p w14:paraId="514260DA" w14:textId="77777777" w:rsidR="00FF36A7" w:rsidRDefault="00FF36A7" w:rsidP="00FF36A7"/>
          <w:p w14:paraId="7A8A64BB" w14:textId="77777777" w:rsidR="00FF36A7" w:rsidRDefault="00FF36A7" w:rsidP="00FF36A7"/>
          <w:p w14:paraId="2A475C76" w14:textId="77777777" w:rsidR="00FF36A7" w:rsidRDefault="00FF36A7" w:rsidP="00FF36A7"/>
          <w:p w14:paraId="0EB2DE88" w14:textId="77777777" w:rsidR="00FF36A7" w:rsidRDefault="00FF36A7" w:rsidP="00FF36A7"/>
          <w:p w14:paraId="7F0FBBB4" w14:textId="77777777" w:rsidR="00FF36A7" w:rsidRDefault="00FF36A7" w:rsidP="00FF36A7"/>
          <w:p w14:paraId="13772068" w14:textId="041F57FA" w:rsidR="00FF36A7" w:rsidRPr="00FF36A7" w:rsidRDefault="008E74CF" w:rsidP="00FF36A7">
            <w:r w:rsidRPr="002D7F74">
              <w:rPr>
                <w:bCs/>
              </w:rPr>
              <w:t>A list of vacancies (chairs and members) in the treaty bodies for</w:t>
            </w:r>
            <w:r>
              <w:rPr>
                <w:bCs/>
              </w:rPr>
              <w:t xml:space="preserve"> 2024–2026</w:t>
            </w:r>
            <w:r w:rsidRPr="002D7F74">
              <w:rPr>
                <w:bCs/>
              </w:rPr>
              <w:t xml:space="preserve"> (ECE/MP.EIA/WG.2/2022/INF.12)</w:t>
            </w:r>
          </w:p>
        </w:tc>
        <w:tc>
          <w:tcPr>
            <w:tcW w:w="4656" w:type="dxa"/>
            <w:shd w:val="clear" w:color="auto" w:fill="auto"/>
          </w:tcPr>
          <w:p w14:paraId="5C230162" w14:textId="6F1EF473" w:rsidR="00C973EE" w:rsidRDefault="00C973EE" w:rsidP="00491CA5">
            <w:pPr>
              <w:pStyle w:val="Bullet1G"/>
              <w:numPr>
                <w:ilvl w:val="0"/>
                <w:numId w:val="0"/>
              </w:numPr>
              <w:ind w:left="142" w:right="26"/>
            </w:pPr>
            <w:r w:rsidRPr="00824B1B">
              <w:rPr>
                <w:b/>
                <w:bCs/>
              </w:rPr>
              <w:lastRenderedPageBreak/>
              <w:t>Delegations</w:t>
            </w:r>
            <w:r>
              <w:t xml:space="preserve"> </w:t>
            </w:r>
            <w:r w:rsidRPr="00505C8B">
              <w:t>will be invited to</w:t>
            </w:r>
            <w:r>
              <w:t xml:space="preserve"> put forward proposals for workplan elements for the next intersessional period (2024–2026)</w:t>
            </w:r>
            <w:r w:rsidRPr="0096403A">
              <w:t xml:space="preserve">, </w:t>
            </w:r>
            <w:r>
              <w:t xml:space="preserve">considering </w:t>
            </w:r>
            <w:r w:rsidR="001F73EE">
              <w:t xml:space="preserve">the previous workplan for 2021–2023, as well as </w:t>
            </w:r>
            <w:r>
              <w:t xml:space="preserve">the priority objectives identified in the long-term strategy, </w:t>
            </w:r>
            <w:r w:rsidRPr="0096403A">
              <w:t>the</w:t>
            </w:r>
            <w:r>
              <w:t xml:space="preserve"> proposed possible future cooperation activities in marine regions, any weaknesses or shortcomings identified in the draft reviews of implementation of the Convention and the Protocol, </w:t>
            </w:r>
            <w:r w:rsidRPr="0096403A">
              <w:t>requests for capacity-building activities</w:t>
            </w:r>
            <w:r>
              <w:t>,</w:t>
            </w:r>
            <w:r w:rsidRPr="0096403A">
              <w:t xml:space="preserve"> </w:t>
            </w:r>
            <w:r>
              <w:t>as well as any</w:t>
            </w:r>
            <w:r w:rsidRPr="0096403A">
              <w:t xml:space="preserve"> suggestions from the Implementation Committee</w:t>
            </w:r>
            <w:r>
              <w:t xml:space="preserve"> and the Bureau</w:t>
            </w:r>
            <w:r w:rsidRPr="00546522">
              <w:t>.</w:t>
            </w:r>
          </w:p>
          <w:p w14:paraId="45F8F101" w14:textId="7F816711" w:rsidR="00C973EE" w:rsidRDefault="00C973EE" w:rsidP="00FF36A7">
            <w:pPr>
              <w:pStyle w:val="Bullet1G"/>
              <w:numPr>
                <w:ilvl w:val="0"/>
                <w:numId w:val="0"/>
              </w:numPr>
              <w:ind w:left="142" w:right="26"/>
            </w:pPr>
            <w:r w:rsidRPr="00C973EE">
              <w:rPr>
                <w:b/>
                <w:bCs/>
              </w:rPr>
              <w:t>The Working Group</w:t>
            </w:r>
            <w:r w:rsidRPr="00C973EE">
              <w:t xml:space="preserve"> is expected to comment on the proposals</w:t>
            </w:r>
            <w:r w:rsidR="00824B1B">
              <w:t xml:space="preserve"> and</w:t>
            </w:r>
            <w:r w:rsidR="001F73EE">
              <w:t xml:space="preserve"> (recalling its discussions under item 3 on financial arrangements)</w:t>
            </w:r>
            <w:r w:rsidRPr="00C973EE">
              <w:t xml:space="preserve"> to initially ensure that, for each activity in the workplan, financial and staffing resource requirements are specified, and that a corresponding lead country or organization and a source of funding </w:t>
            </w:r>
            <w:r w:rsidRPr="00C973EE">
              <w:lastRenderedPageBreak/>
              <w:t xml:space="preserve">are identified. </w:t>
            </w:r>
            <w:r w:rsidRPr="00C973EE">
              <w:rPr>
                <w:b/>
                <w:bCs/>
              </w:rPr>
              <w:t xml:space="preserve">Delegations </w:t>
            </w:r>
            <w:r w:rsidRPr="00C973EE">
              <w:t xml:space="preserve">will be invited to consider their possibilities for leading or sponsoring activities, and for hosting capacity-building or subregional cooperation events within the </w:t>
            </w:r>
            <w:r w:rsidR="00BD1E93">
              <w:t>UN</w:t>
            </w:r>
            <w:r w:rsidRPr="00C973EE">
              <w:t>ECE region or beyond</w:t>
            </w:r>
            <w:r w:rsidRPr="00C973EE">
              <w:rPr>
                <w:b/>
                <w:bCs/>
              </w:rPr>
              <w:t>. The Working Group</w:t>
            </w:r>
            <w:r w:rsidRPr="00C973EE">
              <w:t xml:space="preserve"> is also invited to consider which activities could be placed on a waiting list in the absence of funding at the current time</w:t>
            </w:r>
            <w:r w:rsidR="00FF36A7">
              <w:t>.</w:t>
            </w:r>
          </w:p>
          <w:p w14:paraId="3BB866CC" w14:textId="77777777" w:rsidR="00BD1E93" w:rsidRDefault="00BD1E93" w:rsidP="00FF36A7">
            <w:pPr>
              <w:pStyle w:val="Bullet1G"/>
              <w:numPr>
                <w:ilvl w:val="0"/>
                <w:numId w:val="0"/>
              </w:numPr>
              <w:ind w:left="139" w:right="117"/>
              <w:rPr>
                <w:b/>
                <w:bCs/>
              </w:rPr>
            </w:pPr>
          </w:p>
          <w:p w14:paraId="687A3B2E" w14:textId="148CF021" w:rsidR="00B8395A" w:rsidRPr="00491CA5" w:rsidRDefault="00B8395A" w:rsidP="00FF36A7">
            <w:pPr>
              <w:pStyle w:val="Bullet1G"/>
              <w:numPr>
                <w:ilvl w:val="0"/>
                <w:numId w:val="0"/>
              </w:numPr>
              <w:ind w:left="139" w:right="117"/>
            </w:pPr>
            <w:r w:rsidRPr="00FF36A7">
              <w:rPr>
                <w:b/>
                <w:bCs/>
              </w:rPr>
              <w:t>The Working Group</w:t>
            </w:r>
            <w:r w:rsidRPr="00FF36A7">
              <w:t xml:space="preserve"> </w:t>
            </w:r>
            <w:r w:rsidRPr="00491CA5">
              <w:t xml:space="preserve">is expected to initially discuss the chairing of the general and high-level segments of the </w:t>
            </w:r>
            <w:r w:rsidR="00BD1E93">
              <w:t xml:space="preserve">2023 MOP </w:t>
            </w:r>
            <w:r w:rsidRPr="00491CA5">
              <w:t xml:space="preserve">sessions </w:t>
            </w:r>
            <w:r w:rsidR="00BD1E93">
              <w:t>a</w:t>
            </w:r>
            <w:r w:rsidRPr="00491CA5">
              <w:t xml:space="preserve">nd put forward proposals. It is invited to note that, at its meeting in June 2022, the Bureau welcomed the availability of </w:t>
            </w:r>
            <w:r w:rsidR="00BD1E93">
              <w:t xml:space="preserve">the </w:t>
            </w:r>
            <w:r w:rsidRPr="00491CA5">
              <w:t>current</w:t>
            </w:r>
            <w:r w:rsidR="00BD1E93">
              <w:t xml:space="preserve"> Bureau </w:t>
            </w:r>
            <w:r w:rsidRPr="00491CA5">
              <w:t>for the Convention matters, representing Greece, to chair the relevant parts of the general segment of the sessions, as needed. A Chair for the Protocol matters w</w:t>
            </w:r>
            <w:r w:rsidR="00BD1E93">
              <w:t>ould</w:t>
            </w:r>
            <w:r w:rsidRPr="00491CA5">
              <w:t xml:space="preserve"> need to be nominated and elected, unless Greece ratifies the Protocol in advance of the next sessions.</w:t>
            </w:r>
          </w:p>
          <w:p w14:paraId="343D308C" w14:textId="77777777" w:rsidR="00B8395A" w:rsidRPr="00E752DF" w:rsidRDefault="00B8395A" w:rsidP="00B8395A">
            <w:pPr>
              <w:pStyle w:val="Bullet1G"/>
              <w:numPr>
                <w:ilvl w:val="0"/>
                <w:numId w:val="0"/>
              </w:numPr>
              <w:ind w:left="142" w:right="26"/>
              <w:rPr>
                <w:b/>
                <w:bCs/>
              </w:rPr>
            </w:pPr>
          </w:p>
          <w:p w14:paraId="3062DDE7" w14:textId="77777777" w:rsidR="00BD1E93" w:rsidRDefault="00FF36A7" w:rsidP="00FF36A7">
            <w:pPr>
              <w:pStyle w:val="Bullet1G"/>
              <w:numPr>
                <w:ilvl w:val="0"/>
                <w:numId w:val="0"/>
              </w:numPr>
              <w:ind w:left="142" w:right="26"/>
            </w:pPr>
            <w:r w:rsidRPr="00FF36A7">
              <w:rPr>
                <w:b/>
                <w:bCs/>
              </w:rPr>
              <w:t xml:space="preserve">The Chair </w:t>
            </w:r>
            <w:r>
              <w:t xml:space="preserve">will ask delegations to come forward with nominations for officers to be elected </w:t>
            </w:r>
            <w:r w:rsidRPr="007D22A0">
              <w:t>for the next intersessional period, that is, a Chair and Vice-Chairs of the Working Group</w:t>
            </w:r>
            <w:r w:rsidR="00BD1E93">
              <w:t xml:space="preserve">; </w:t>
            </w:r>
            <w:r w:rsidRPr="007D22A0">
              <w:t>a Chair and members of the Bureau</w:t>
            </w:r>
            <w:r w:rsidR="00BD1E93">
              <w:t>;</w:t>
            </w:r>
            <w:r w:rsidRPr="007D22A0">
              <w:t xml:space="preserve"> and four permanent and four alternate members of the Implementation Committee. </w:t>
            </w:r>
            <w:r w:rsidR="00BD1E93">
              <w:t>(Plus possible a</w:t>
            </w:r>
            <w:r w:rsidRPr="007D22A0">
              <w:t xml:space="preserve">dditional new </w:t>
            </w:r>
            <w:r w:rsidR="00BD1E93">
              <w:t xml:space="preserve">Committee </w:t>
            </w:r>
            <w:r w:rsidRPr="007D22A0">
              <w:t xml:space="preserve">members depending on whether </w:t>
            </w:r>
            <w:r w:rsidR="00BD1E93">
              <w:t xml:space="preserve">the nominated </w:t>
            </w:r>
            <w:r w:rsidRPr="007D22A0">
              <w:t>Committee members are Parties to the Protocol</w:t>
            </w:r>
            <w:r w:rsidR="00BD1E93">
              <w:t>)</w:t>
            </w:r>
            <w:r w:rsidRPr="007D22A0">
              <w:t xml:space="preserve">. </w:t>
            </w:r>
          </w:p>
          <w:p w14:paraId="2A7C46B9" w14:textId="6195DDAD" w:rsidR="00B8395A" w:rsidRPr="00E752DF" w:rsidRDefault="00FF36A7" w:rsidP="00FF36A7">
            <w:pPr>
              <w:pStyle w:val="Bullet1G"/>
              <w:numPr>
                <w:ilvl w:val="0"/>
                <w:numId w:val="0"/>
              </w:numPr>
              <w:ind w:left="142" w:right="26"/>
              <w:rPr>
                <w:b/>
                <w:bCs/>
              </w:rPr>
            </w:pPr>
            <w:r w:rsidRPr="00FF36A7">
              <w:rPr>
                <w:b/>
                <w:bCs/>
              </w:rPr>
              <w:t>The Working Group</w:t>
            </w:r>
            <w:r w:rsidRPr="007D22A0">
              <w:t xml:space="preserve"> is invited to comment on the outcomes of the Bureau’s related deliberations:</w:t>
            </w:r>
          </w:p>
          <w:p w14:paraId="2BBB3A72" w14:textId="77777777" w:rsidR="008550F3" w:rsidRDefault="00FF36A7" w:rsidP="00BD1E93">
            <w:pPr>
              <w:spacing w:after="120"/>
              <w:ind w:left="281" w:right="259"/>
              <w:jc w:val="both"/>
              <w:rPr>
                <w:lang w:eastAsia="fr-FR"/>
              </w:rPr>
            </w:pPr>
            <w:r w:rsidRPr="00FF36A7">
              <w:rPr>
                <w:lang w:eastAsia="fr-FR"/>
              </w:rPr>
              <w:t>(a)</w:t>
            </w:r>
            <w:r w:rsidRPr="00FF36A7">
              <w:rPr>
                <w:lang w:eastAsia="fr-FR"/>
              </w:rPr>
              <w:tab/>
            </w:r>
            <w:r w:rsidR="008550F3">
              <w:rPr>
                <w:lang w:eastAsia="fr-FR"/>
              </w:rPr>
              <w:t>Suggested to i</w:t>
            </w:r>
            <w:r w:rsidRPr="00FF36A7">
              <w:rPr>
                <w:lang w:eastAsia="fr-FR"/>
              </w:rPr>
              <w:t>dentif</w:t>
            </w:r>
            <w:r w:rsidR="008550F3">
              <w:rPr>
                <w:lang w:eastAsia="fr-FR"/>
              </w:rPr>
              <w:t>y P</w:t>
            </w:r>
            <w:r w:rsidRPr="00FF36A7">
              <w:rPr>
                <w:lang w:eastAsia="fr-FR"/>
              </w:rPr>
              <w:t>arties that have never or not recently been represented in the treaty bodies</w:t>
            </w:r>
          </w:p>
          <w:p w14:paraId="7CB1F534" w14:textId="48BDED9F" w:rsidR="00FF36A7" w:rsidRPr="00FF36A7" w:rsidRDefault="008550F3" w:rsidP="00BD1E93">
            <w:pPr>
              <w:spacing w:after="120"/>
              <w:ind w:left="281" w:right="259"/>
              <w:jc w:val="both"/>
              <w:rPr>
                <w:lang w:eastAsia="fr-FR"/>
              </w:rPr>
            </w:pPr>
            <w:r>
              <w:rPr>
                <w:lang w:eastAsia="fr-FR"/>
              </w:rPr>
              <w:t>(b) R</w:t>
            </w:r>
            <w:r w:rsidR="00FF36A7" w:rsidRPr="00FF36A7">
              <w:rPr>
                <w:lang w:eastAsia="fr-FR"/>
              </w:rPr>
              <w:t xml:space="preserve">ecommended </w:t>
            </w:r>
            <w:r>
              <w:rPr>
                <w:lang w:eastAsia="fr-FR"/>
              </w:rPr>
              <w:t>t</w:t>
            </w:r>
            <w:r w:rsidR="00FF36A7" w:rsidRPr="00FF36A7">
              <w:rPr>
                <w:lang w:eastAsia="fr-FR"/>
              </w:rPr>
              <w:t xml:space="preserve">hat, if required, and on an exceptional basis, travel expenses of officers from </w:t>
            </w:r>
            <w:r w:rsidR="00FF36A7" w:rsidRPr="00FF36A7">
              <w:rPr>
                <w:lang w:eastAsia="fr-FR"/>
              </w:rPr>
              <w:lastRenderedPageBreak/>
              <w:t>such countries be funded from the trust fund, although not formally eligible for financial support;</w:t>
            </w:r>
          </w:p>
          <w:p w14:paraId="5218CF77" w14:textId="5D9B0375" w:rsidR="00FF36A7" w:rsidRPr="00FF36A7" w:rsidRDefault="00FF36A7" w:rsidP="00FF36A7">
            <w:pPr>
              <w:spacing w:after="120"/>
              <w:ind w:left="281" w:right="259" w:firstLine="141"/>
              <w:jc w:val="both"/>
              <w:rPr>
                <w:lang w:eastAsia="fr-FR"/>
              </w:rPr>
            </w:pPr>
            <w:r w:rsidRPr="00FF36A7">
              <w:rPr>
                <w:lang w:eastAsia="fr-FR"/>
              </w:rPr>
              <w:t>(</w:t>
            </w:r>
            <w:r w:rsidR="008550F3">
              <w:rPr>
                <w:lang w:eastAsia="fr-FR"/>
              </w:rPr>
              <w:t>c</w:t>
            </w:r>
            <w:r w:rsidRPr="00FF36A7">
              <w:rPr>
                <w:lang w:eastAsia="fr-FR"/>
              </w:rPr>
              <w:t>)</w:t>
            </w:r>
            <w:r w:rsidRPr="00FF36A7">
              <w:rPr>
                <w:lang w:eastAsia="fr-FR"/>
              </w:rPr>
              <w:tab/>
              <w:t>Welcomed the initial expression of interest by the current Chairs of the Bureau, the Implementation Committee and the Working Group to put forward their candidacy for continuing their respective mandates in the next period;</w:t>
            </w:r>
          </w:p>
          <w:p w14:paraId="1CDBE093" w14:textId="125F268F" w:rsidR="00B8395A" w:rsidRPr="004A6E7D" w:rsidRDefault="00FF36A7" w:rsidP="004A6E7D">
            <w:pPr>
              <w:spacing w:after="120"/>
              <w:ind w:left="281" w:right="259" w:firstLine="141"/>
              <w:jc w:val="both"/>
              <w:rPr>
                <w:lang w:eastAsia="fr-FR"/>
              </w:rPr>
            </w:pPr>
            <w:r w:rsidRPr="00FF36A7">
              <w:rPr>
                <w:lang w:eastAsia="fr-FR"/>
              </w:rPr>
              <w:t>(</w:t>
            </w:r>
            <w:r w:rsidR="008550F3">
              <w:rPr>
                <w:lang w:eastAsia="fr-FR"/>
              </w:rPr>
              <w:t>d</w:t>
            </w:r>
            <w:r w:rsidRPr="00FF36A7">
              <w:rPr>
                <w:lang w:eastAsia="fr-FR"/>
              </w:rPr>
              <w:t>)</w:t>
            </w:r>
            <w:r w:rsidRPr="00FF36A7">
              <w:rPr>
                <w:lang w:eastAsia="fr-FR"/>
              </w:rPr>
              <w:tab/>
              <w:t>Agreed that Parties should be mindful of possible conflicts of interest when electing members to the Implementation Committee.</w:t>
            </w:r>
            <w:r w:rsidR="00B8395A" w:rsidRPr="00E752DF">
              <w:rPr>
                <w:b/>
                <w:bCs/>
              </w:rPr>
              <w:t xml:space="preserve"> </w:t>
            </w:r>
          </w:p>
        </w:tc>
      </w:tr>
      <w:tr w:rsidR="00C669E7" w:rsidRPr="00930D32" w14:paraId="6D77D21C" w14:textId="77777777" w:rsidTr="00C669E7">
        <w:trPr>
          <w:trHeight w:val="1535"/>
          <w:jc w:val="center"/>
        </w:trPr>
        <w:tc>
          <w:tcPr>
            <w:tcW w:w="1350" w:type="dxa"/>
            <w:tcBorders>
              <w:bottom w:val="dashSmallGap" w:sz="4" w:space="0" w:color="auto"/>
            </w:tcBorders>
            <w:shd w:val="clear" w:color="auto" w:fill="auto"/>
          </w:tcPr>
          <w:p w14:paraId="3C4E1132" w14:textId="77777777" w:rsidR="00C669E7" w:rsidRPr="00C93ED2" w:rsidRDefault="004A6E7D" w:rsidP="004A6E7D">
            <w:pPr>
              <w:spacing w:before="40" w:after="120"/>
              <w:ind w:right="113"/>
              <w:jc w:val="center"/>
              <w:rPr>
                <w:b/>
                <w:bCs/>
              </w:rPr>
            </w:pPr>
            <w:r w:rsidRPr="00C93ED2">
              <w:rPr>
                <w:b/>
                <w:bCs/>
              </w:rPr>
              <w:lastRenderedPageBreak/>
              <w:t xml:space="preserve">Wednesday, 21 December </w:t>
            </w:r>
          </w:p>
        </w:tc>
        <w:tc>
          <w:tcPr>
            <w:tcW w:w="921" w:type="dxa"/>
            <w:shd w:val="clear" w:color="auto" w:fill="auto"/>
          </w:tcPr>
          <w:p w14:paraId="19F671E6" w14:textId="77777777" w:rsidR="00C669E7" w:rsidRPr="00BE227B" w:rsidRDefault="00C93ED2" w:rsidP="009272B1">
            <w:pPr>
              <w:spacing w:before="40" w:after="120"/>
              <w:ind w:left="170" w:right="113"/>
              <w:rPr>
                <w:bCs/>
              </w:rPr>
            </w:pPr>
            <w:r>
              <w:rPr>
                <w:bCs/>
              </w:rPr>
              <w:t>10</w:t>
            </w:r>
            <w:r w:rsidR="00C669E7" w:rsidRPr="00BE227B">
              <w:rPr>
                <w:bCs/>
              </w:rPr>
              <w:t>–</w:t>
            </w:r>
            <w:r>
              <w:rPr>
                <w:bCs/>
              </w:rPr>
              <w:t>10</w:t>
            </w:r>
            <w:r w:rsidR="00C669E7" w:rsidRPr="00BE227B">
              <w:rPr>
                <w:bCs/>
              </w:rPr>
              <w:t xml:space="preserve">.30 </w:t>
            </w:r>
            <w:r>
              <w:rPr>
                <w:bCs/>
              </w:rPr>
              <w:t>a</w:t>
            </w:r>
            <w:r w:rsidR="00C669E7" w:rsidRPr="00BE227B">
              <w:rPr>
                <w:bCs/>
              </w:rPr>
              <w:t>.m.</w:t>
            </w:r>
          </w:p>
        </w:tc>
        <w:tc>
          <w:tcPr>
            <w:tcW w:w="1845" w:type="dxa"/>
            <w:shd w:val="clear" w:color="auto" w:fill="auto"/>
          </w:tcPr>
          <w:p w14:paraId="1E7C4A04" w14:textId="77777777" w:rsidR="00C669E7" w:rsidRPr="009272B1" w:rsidRDefault="00C669E7" w:rsidP="00343478">
            <w:pPr>
              <w:spacing w:before="40" w:after="120"/>
              <w:ind w:left="284" w:right="113" w:hanging="142"/>
              <w:rPr>
                <w:b/>
                <w:bCs/>
              </w:rPr>
            </w:pPr>
            <w:r w:rsidRPr="00BE227B">
              <w:rPr>
                <w:b/>
                <w:bCs/>
              </w:rPr>
              <w:t>8.</w:t>
            </w:r>
            <w:r w:rsidR="00031868">
              <w:t xml:space="preserve"> </w:t>
            </w:r>
            <w:r w:rsidR="00031868" w:rsidRPr="00031868">
              <w:rPr>
                <w:b/>
                <w:bCs/>
              </w:rPr>
              <w:t>Related events and international processes</w:t>
            </w:r>
          </w:p>
        </w:tc>
        <w:tc>
          <w:tcPr>
            <w:tcW w:w="3831" w:type="dxa"/>
            <w:shd w:val="clear" w:color="auto" w:fill="auto"/>
          </w:tcPr>
          <w:p w14:paraId="6E4D9826" w14:textId="77777777" w:rsidR="008550F3" w:rsidRPr="008550F3" w:rsidRDefault="008550F3" w:rsidP="008550F3">
            <w:pPr>
              <w:spacing w:before="40" w:after="120" w:line="240" w:lineRule="auto"/>
              <w:ind w:left="360" w:right="113"/>
              <w:rPr>
                <w:bCs/>
              </w:rPr>
            </w:pPr>
          </w:p>
          <w:p w14:paraId="21303D8B" w14:textId="124D91E7" w:rsidR="00C669E7" w:rsidRDefault="00574D20" w:rsidP="00F019C9">
            <w:pPr>
              <w:numPr>
                <w:ilvl w:val="0"/>
                <w:numId w:val="4"/>
              </w:numPr>
              <w:spacing w:before="40" w:after="120" w:line="240" w:lineRule="auto"/>
              <w:ind w:right="113"/>
              <w:rPr>
                <w:bCs/>
              </w:rPr>
            </w:pPr>
            <w:hyperlink r:id="rId25" w:history="1">
              <w:r w:rsidR="00C669E7" w:rsidRPr="00574D20">
                <w:rPr>
                  <w:rStyle w:val="Hyperlink"/>
                  <w:bCs/>
                  <w:color w:val="4472C4"/>
                  <w:u w:val="single"/>
                </w:rPr>
                <w:t>202</w:t>
              </w:r>
              <w:r w:rsidR="008550F3" w:rsidRPr="00574D20">
                <w:rPr>
                  <w:rStyle w:val="Hyperlink"/>
                  <w:bCs/>
                  <w:color w:val="4472C4"/>
                  <w:u w:val="single"/>
                </w:rPr>
                <w:t>2</w:t>
              </w:r>
              <w:r w:rsidR="00C669E7" w:rsidRPr="00574D20">
                <w:rPr>
                  <w:rStyle w:val="Hyperlink"/>
                  <w:bCs/>
                  <w:color w:val="4472C4"/>
                  <w:u w:val="single"/>
                </w:rPr>
                <w:t xml:space="preserve"> UNECE Regional Forum on Sustainable Development  </w:t>
              </w:r>
            </w:hyperlink>
            <w:r w:rsidR="00C669E7">
              <w:rPr>
                <w:bCs/>
              </w:rPr>
              <w:t xml:space="preserve"> </w:t>
            </w:r>
            <w:hyperlink r:id="rId26" w:history="1">
              <w:r w:rsidR="00C669E7" w:rsidRPr="002F7ECC">
                <w:rPr>
                  <w:rStyle w:val="Hyperlink"/>
                  <w:bCs/>
                </w:rPr>
                <w:t>https://regionalforum.unece.org/</w:t>
              </w:r>
            </w:hyperlink>
          </w:p>
          <w:p w14:paraId="52B5B8EA" w14:textId="4F2EF9A2" w:rsidR="008E5EE6" w:rsidRDefault="008E5EE6" w:rsidP="008E5EE6">
            <w:pPr>
              <w:numPr>
                <w:ilvl w:val="0"/>
                <w:numId w:val="4"/>
              </w:numPr>
              <w:spacing w:before="40" w:after="120" w:line="240" w:lineRule="auto"/>
              <w:ind w:right="113"/>
              <w:rPr>
                <w:bCs/>
              </w:rPr>
            </w:pPr>
            <w:hyperlink r:id="rId27" w:history="1">
              <w:r w:rsidRPr="008E5EE6">
                <w:rPr>
                  <w:rStyle w:val="Hyperlink"/>
                  <w:bCs/>
                  <w:color w:val="0070C0"/>
                  <w:u w:val="single"/>
                </w:rPr>
                <w:t>The Ninth "Environment for Europe" Ministerial Conference</w:t>
              </w:r>
            </w:hyperlink>
            <w:r>
              <w:rPr>
                <w:bCs/>
              </w:rPr>
              <w:t xml:space="preserve"> </w:t>
            </w:r>
            <w:r>
              <w:rPr>
                <w:bCs/>
              </w:rPr>
              <w:br/>
            </w:r>
            <w:hyperlink r:id="rId28" w:history="1">
              <w:r w:rsidR="008550F3" w:rsidRPr="00E815DE">
                <w:rPr>
                  <w:rStyle w:val="Hyperlink"/>
                  <w:bCs/>
                </w:rPr>
                <w:t>https://unece.org/nicosia-conference</w:t>
              </w:r>
            </w:hyperlink>
          </w:p>
          <w:p w14:paraId="2083C46C" w14:textId="77777777" w:rsidR="008E5EE6" w:rsidRDefault="00574D20" w:rsidP="00F019C9">
            <w:pPr>
              <w:numPr>
                <w:ilvl w:val="0"/>
                <w:numId w:val="4"/>
              </w:numPr>
              <w:spacing w:before="40" w:after="120" w:line="240" w:lineRule="auto"/>
              <w:ind w:right="113"/>
              <w:rPr>
                <w:bCs/>
                <w:color w:val="0070C0"/>
                <w:u w:val="single"/>
              </w:rPr>
            </w:pPr>
            <w:hyperlink r:id="rId29" w:history="1">
              <w:r w:rsidR="008E5EE6" w:rsidRPr="008625AB">
                <w:rPr>
                  <w:rStyle w:val="Hyperlink"/>
                  <w:bCs/>
                  <w:color w:val="0070C0"/>
                  <w:u w:val="single"/>
                </w:rPr>
                <w:t>The Working Group on Transforming the Extractive Industries for Sustainable Development</w:t>
              </w:r>
            </w:hyperlink>
            <w:r w:rsidR="008E5EE6">
              <w:rPr>
                <w:bCs/>
                <w:color w:val="0070C0"/>
                <w:u w:val="single"/>
              </w:rPr>
              <w:br/>
            </w:r>
            <w:r w:rsidR="008E5EE6" w:rsidRPr="008E5EE6">
              <w:rPr>
                <w:bCs/>
              </w:rPr>
              <w:t>https://unece.org/unece-and-sdgs/working-group-transforming-extractive-industries-sustainable-development</w:t>
            </w:r>
          </w:p>
          <w:p w14:paraId="7A132DC9" w14:textId="77777777" w:rsidR="00C669E7" w:rsidRPr="009272B1" w:rsidRDefault="00C669E7" w:rsidP="008E5EE6">
            <w:pPr>
              <w:spacing w:before="40" w:after="120" w:line="240" w:lineRule="auto"/>
              <w:ind w:left="360" w:right="113"/>
              <w:rPr>
                <w:bCs/>
              </w:rPr>
            </w:pPr>
          </w:p>
        </w:tc>
        <w:tc>
          <w:tcPr>
            <w:tcW w:w="4656" w:type="dxa"/>
            <w:tcBorders>
              <w:top w:val="dashSmallGap" w:sz="4" w:space="0" w:color="auto"/>
              <w:bottom w:val="dashSmallGap" w:sz="4" w:space="0" w:color="auto"/>
            </w:tcBorders>
            <w:shd w:val="clear" w:color="auto" w:fill="auto"/>
          </w:tcPr>
          <w:p w14:paraId="4CD06DF5" w14:textId="77777777" w:rsidR="004A6E7D" w:rsidRPr="007D2B0E" w:rsidRDefault="004A6E7D" w:rsidP="004A6E7D">
            <w:pPr>
              <w:pStyle w:val="Bullet1G"/>
              <w:numPr>
                <w:ilvl w:val="0"/>
                <w:numId w:val="0"/>
              </w:numPr>
              <w:ind w:left="142" w:right="26"/>
              <w:rPr>
                <w:bCs/>
              </w:rPr>
            </w:pPr>
            <w:r w:rsidRPr="007D2B0E">
              <w:rPr>
                <w:bCs/>
              </w:rPr>
              <w:t xml:space="preserve">The </w:t>
            </w:r>
            <w:r w:rsidRPr="002F0961">
              <w:rPr>
                <w:b/>
              </w:rPr>
              <w:t>secretariat</w:t>
            </w:r>
            <w:r w:rsidRPr="007D2B0E">
              <w:rPr>
                <w:bCs/>
              </w:rPr>
              <w:t xml:space="preserve"> will report on events of relevance to the Convention and its Protocol, including:</w:t>
            </w:r>
          </w:p>
          <w:p w14:paraId="7317263E" w14:textId="071729C0" w:rsidR="004A6E7D" w:rsidRPr="007D2B0E" w:rsidRDefault="004A6E7D" w:rsidP="004A6E7D">
            <w:pPr>
              <w:pStyle w:val="Bullet1G"/>
              <w:numPr>
                <w:ilvl w:val="0"/>
                <w:numId w:val="0"/>
              </w:numPr>
              <w:ind w:left="142" w:right="26"/>
              <w:rPr>
                <w:bCs/>
              </w:rPr>
            </w:pPr>
            <w:r w:rsidRPr="007D2B0E">
              <w:rPr>
                <w:bCs/>
              </w:rPr>
              <w:t>(a)</w:t>
            </w:r>
            <w:r w:rsidRPr="007D2B0E">
              <w:rPr>
                <w:bCs/>
              </w:rPr>
              <w:tab/>
            </w:r>
            <w:r w:rsidR="008E5EE6" w:rsidRPr="00407738">
              <w:t xml:space="preserve">Relevant outcomes of the meeting of the Regional Forum </w:t>
            </w:r>
            <w:r w:rsidR="008E5EE6">
              <w:t>on</w:t>
            </w:r>
            <w:r w:rsidR="008E5EE6" w:rsidRPr="00407738">
              <w:t xml:space="preserve"> Sustainable Development </w:t>
            </w:r>
            <w:r w:rsidR="008E5EE6">
              <w:t xml:space="preserve">for </w:t>
            </w:r>
            <w:r w:rsidR="008550F3">
              <w:t xml:space="preserve">UNECE </w:t>
            </w:r>
            <w:r w:rsidR="008E5EE6">
              <w:t xml:space="preserve">Region </w:t>
            </w:r>
            <w:r w:rsidR="008E5EE6" w:rsidRPr="00407738">
              <w:t>(Geneva, 6–7 April 2022)</w:t>
            </w:r>
            <w:r w:rsidR="008550F3">
              <w:rPr>
                <w:bCs/>
              </w:rPr>
              <w:t>, and preparations for the 2023 Regional Forum (Geneva, 29–30 March 2023)</w:t>
            </w:r>
          </w:p>
          <w:p w14:paraId="5A231B59" w14:textId="77777777" w:rsidR="004A6E7D" w:rsidRPr="007D2B0E" w:rsidRDefault="004A6E7D" w:rsidP="004A6E7D">
            <w:pPr>
              <w:pStyle w:val="Bullet1G"/>
              <w:numPr>
                <w:ilvl w:val="0"/>
                <w:numId w:val="0"/>
              </w:numPr>
              <w:ind w:left="142" w:right="26"/>
              <w:rPr>
                <w:bCs/>
              </w:rPr>
            </w:pPr>
            <w:r w:rsidRPr="007D2B0E">
              <w:rPr>
                <w:bCs/>
              </w:rPr>
              <w:t>(b)</w:t>
            </w:r>
            <w:r w:rsidRPr="007D2B0E">
              <w:rPr>
                <w:bCs/>
              </w:rPr>
              <w:tab/>
            </w:r>
            <w:r w:rsidR="008E5EE6">
              <w:t xml:space="preserve">Relevant outcomes of </w:t>
            </w:r>
            <w:r w:rsidR="008E5EE6" w:rsidRPr="00407738">
              <w:t>the Ninth Environment for Europe Ministerial Conference, including the Third High-level Meeting of Education and Environment Ministries (Nicosia, 5–7 October 2022</w:t>
            </w:r>
            <w:r w:rsidR="008E5EE6">
              <w:t>)</w:t>
            </w:r>
            <w:r w:rsidRPr="007D2B0E">
              <w:rPr>
                <w:bCs/>
              </w:rPr>
              <w:t>;</w:t>
            </w:r>
          </w:p>
          <w:p w14:paraId="0FDD04DE" w14:textId="77777777" w:rsidR="004A6E7D" w:rsidRPr="007D2B0E" w:rsidRDefault="004A6E7D" w:rsidP="004A6E7D">
            <w:pPr>
              <w:pStyle w:val="Bullet1G"/>
              <w:numPr>
                <w:ilvl w:val="0"/>
                <w:numId w:val="0"/>
              </w:numPr>
              <w:ind w:left="142" w:right="26"/>
              <w:rPr>
                <w:bCs/>
              </w:rPr>
            </w:pPr>
            <w:r w:rsidRPr="007D2B0E">
              <w:rPr>
                <w:bCs/>
              </w:rPr>
              <w:t>(c)</w:t>
            </w:r>
            <w:r w:rsidRPr="007D2B0E">
              <w:rPr>
                <w:bCs/>
              </w:rPr>
              <w:tab/>
            </w:r>
            <w:r w:rsidR="008E5EE6">
              <w:t xml:space="preserve">The </w:t>
            </w:r>
            <w:r w:rsidR="008E5EE6" w:rsidRPr="00407738">
              <w:t>Working Group on Transforming the Extractive Industries for Sustainable Development</w:t>
            </w:r>
            <w:r w:rsidR="008E5EE6">
              <w:t>,</w:t>
            </w:r>
            <w:r w:rsidR="008E5EE6" w:rsidRPr="00407738">
              <w:t xml:space="preserve"> coordinated by </w:t>
            </w:r>
            <w:r w:rsidR="008E5EE6">
              <w:t xml:space="preserve">the </w:t>
            </w:r>
            <w:r w:rsidR="008E5EE6" w:rsidRPr="00407738">
              <w:t>U</w:t>
            </w:r>
            <w:r w:rsidR="008E5EE6">
              <w:t xml:space="preserve">nited </w:t>
            </w:r>
            <w:r w:rsidR="008E5EE6" w:rsidRPr="00407738">
              <w:t>N</w:t>
            </w:r>
            <w:r w:rsidR="008E5EE6">
              <w:t xml:space="preserve">ations </w:t>
            </w:r>
            <w:r w:rsidR="008E5EE6" w:rsidRPr="00407738">
              <w:t>D</w:t>
            </w:r>
            <w:r w:rsidR="008E5EE6">
              <w:t xml:space="preserve">evelopment </w:t>
            </w:r>
            <w:r w:rsidR="008E5EE6" w:rsidRPr="00407738">
              <w:t>P</w:t>
            </w:r>
            <w:r w:rsidR="008E5EE6">
              <w:t>rogramme</w:t>
            </w:r>
            <w:r w:rsidR="008E5EE6" w:rsidRPr="00407738">
              <w:t xml:space="preserve">, </w:t>
            </w:r>
            <w:r w:rsidR="008E5EE6">
              <w:t xml:space="preserve">the </w:t>
            </w:r>
            <w:r w:rsidR="008E5EE6" w:rsidRPr="00407738">
              <w:t>U</w:t>
            </w:r>
            <w:r w:rsidR="008E5EE6">
              <w:t xml:space="preserve">nited </w:t>
            </w:r>
            <w:r w:rsidR="008E5EE6" w:rsidRPr="00407738">
              <w:t>N</w:t>
            </w:r>
            <w:r w:rsidR="008E5EE6">
              <w:t xml:space="preserve">ations </w:t>
            </w:r>
            <w:r w:rsidR="008E5EE6" w:rsidRPr="00407738">
              <w:t>E</w:t>
            </w:r>
            <w:r w:rsidR="008E5EE6">
              <w:t xml:space="preserve">nvironment </w:t>
            </w:r>
            <w:r w:rsidR="008E5EE6" w:rsidRPr="00407738">
              <w:t>P</w:t>
            </w:r>
            <w:r w:rsidR="008E5EE6">
              <w:t>rogramme</w:t>
            </w:r>
            <w:r w:rsidR="008E5EE6" w:rsidRPr="00407738">
              <w:t xml:space="preserve"> and the U</w:t>
            </w:r>
            <w:r w:rsidR="008E5EE6">
              <w:t xml:space="preserve">nited </w:t>
            </w:r>
            <w:r w:rsidR="008E5EE6" w:rsidRPr="00407738">
              <w:t>N</w:t>
            </w:r>
            <w:r w:rsidR="008E5EE6">
              <w:t>ations</w:t>
            </w:r>
            <w:r w:rsidR="008E5EE6" w:rsidRPr="00407738">
              <w:t xml:space="preserve"> </w:t>
            </w:r>
            <w:r w:rsidR="008E5EE6">
              <w:t>r</w:t>
            </w:r>
            <w:r w:rsidR="008E5EE6" w:rsidRPr="00407738">
              <w:t xml:space="preserve">egional </w:t>
            </w:r>
            <w:r w:rsidR="008E5EE6">
              <w:t>c</w:t>
            </w:r>
            <w:r w:rsidR="008E5EE6" w:rsidRPr="00407738">
              <w:t>ommissions, including ECE</w:t>
            </w:r>
            <w:r w:rsidR="008E5EE6">
              <w:t>.</w:t>
            </w:r>
          </w:p>
          <w:p w14:paraId="2D1082D4" w14:textId="77777777" w:rsidR="00C669E7" w:rsidRPr="00BE227B" w:rsidRDefault="004A6E7D" w:rsidP="004A6E7D">
            <w:pPr>
              <w:pStyle w:val="Bullet1G"/>
              <w:numPr>
                <w:ilvl w:val="0"/>
                <w:numId w:val="0"/>
              </w:numPr>
              <w:ind w:left="142" w:right="26"/>
            </w:pPr>
            <w:r w:rsidRPr="002F0961">
              <w:rPr>
                <w:b/>
              </w:rPr>
              <w:t>Delegations</w:t>
            </w:r>
            <w:r>
              <w:rPr>
                <w:bCs/>
              </w:rPr>
              <w:t xml:space="preserve"> </w:t>
            </w:r>
            <w:r w:rsidRPr="007D2B0E">
              <w:rPr>
                <w:bCs/>
              </w:rPr>
              <w:t xml:space="preserve">will be invited to </w:t>
            </w:r>
            <w:r>
              <w:rPr>
                <w:bCs/>
              </w:rPr>
              <w:t xml:space="preserve">note and </w:t>
            </w:r>
            <w:r w:rsidRPr="007D2B0E">
              <w:rPr>
                <w:bCs/>
              </w:rPr>
              <w:t>comment on the information provided.</w:t>
            </w:r>
          </w:p>
        </w:tc>
      </w:tr>
      <w:tr w:rsidR="00C669E7" w:rsidRPr="00930D32" w14:paraId="253777AE" w14:textId="77777777" w:rsidTr="00C669E7">
        <w:trPr>
          <w:jc w:val="center"/>
        </w:trPr>
        <w:tc>
          <w:tcPr>
            <w:tcW w:w="1350" w:type="dxa"/>
            <w:vMerge w:val="restart"/>
            <w:shd w:val="clear" w:color="auto" w:fill="auto"/>
          </w:tcPr>
          <w:p w14:paraId="28C466DF" w14:textId="449732B0" w:rsidR="00C669E7" w:rsidRPr="00930D32" w:rsidRDefault="00031868" w:rsidP="00FC12EA">
            <w:pPr>
              <w:spacing w:before="40" w:after="120"/>
              <w:ind w:left="143" w:right="113"/>
              <w:rPr>
                <w:b/>
                <w:bCs/>
              </w:rPr>
            </w:pPr>
            <w:r w:rsidRPr="00C93ED2">
              <w:rPr>
                <w:b/>
                <w:bCs/>
              </w:rPr>
              <w:t xml:space="preserve">Wednesday 21 </w:t>
            </w:r>
            <w:r w:rsidR="006F129C">
              <w:rPr>
                <w:b/>
                <w:bCs/>
              </w:rPr>
              <w:lastRenderedPageBreak/>
              <w:t>D</w:t>
            </w:r>
            <w:r w:rsidRPr="00C93ED2">
              <w:rPr>
                <w:b/>
                <w:bCs/>
              </w:rPr>
              <w:t>ecember</w:t>
            </w:r>
          </w:p>
        </w:tc>
        <w:tc>
          <w:tcPr>
            <w:tcW w:w="921" w:type="dxa"/>
            <w:shd w:val="clear" w:color="auto" w:fill="auto"/>
          </w:tcPr>
          <w:p w14:paraId="11AB45AB" w14:textId="77777777" w:rsidR="00C669E7" w:rsidRPr="00930D32" w:rsidRDefault="00C93ED2" w:rsidP="00FC12EA">
            <w:pPr>
              <w:spacing w:before="40" w:after="120"/>
              <w:ind w:left="170" w:right="113"/>
              <w:rPr>
                <w:bCs/>
              </w:rPr>
            </w:pPr>
            <w:r>
              <w:lastRenderedPageBreak/>
              <w:t>10.30</w:t>
            </w:r>
            <w:r w:rsidRPr="006D03BA">
              <w:t>–</w:t>
            </w:r>
            <w:r>
              <w:t>11</w:t>
            </w:r>
            <w:r w:rsidRPr="006D03BA">
              <w:t xml:space="preserve"> </w:t>
            </w:r>
            <w:r>
              <w:t>a</w:t>
            </w:r>
            <w:r w:rsidRPr="006D03BA">
              <w:t>.m.</w:t>
            </w:r>
          </w:p>
        </w:tc>
        <w:tc>
          <w:tcPr>
            <w:tcW w:w="1845" w:type="dxa"/>
            <w:shd w:val="clear" w:color="auto" w:fill="auto"/>
          </w:tcPr>
          <w:p w14:paraId="729C5DA0" w14:textId="77777777" w:rsidR="00C669E7" w:rsidRPr="00930D32" w:rsidRDefault="00031868" w:rsidP="00FC12EA">
            <w:pPr>
              <w:spacing w:before="40" w:after="120"/>
              <w:ind w:left="284" w:right="113" w:hanging="142"/>
              <w:rPr>
                <w:b/>
                <w:bCs/>
              </w:rPr>
            </w:pPr>
            <w:r>
              <w:rPr>
                <w:b/>
              </w:rPr>
              <w:t>9</w:t>
            </w:r>
            <w:r w:rsidR="00C669E7" w:rsidRPr="00930D32">
              <w:rPr>
                <w:b/>
              </w:rPr>
              <w:t>. Other business</w:t>
            </w:r>
          </w:p>
        </w:tc>
        <w:tc>
          <w:tcPr>
            <w:tcW w:w="3831" w:type="dxa"/>
            <w:shd w:val="clear" w:color="auto" w:fill="auto"/>
          </w:tcPr>
          <w:p w14:paraId="73C0BF47" w14:textId="77777777" w:rsidR="00C669E7" w:rsidRPr="00930D32" w:rsidRDefault="00C669E7" w:rsidP="00FC12EA">
            <w:pPr>
              <w:spacing w:before="40" w:after="120"/>
              <w:ind w:right="113"/>
              <w:rPr>
                <w:bCs/>
              </w:rPr>
            </w:pPr>
            <w:r w:rsidRPr="00930D32">
              <w:rPr>
                <w:bCs/>
              </w:rPr>
              <w:t>(</w:t>
            </w:r>
            <w:r w:rsidRPr="00930D32">
              <w:rPr>
                <w:bCs/>
                <w:i/>
              </w:rPr>
              <w:t>none</w:t>
            </w:r>
            <w:r w:rsidRPr="00930D32">
              <w:rPr>
                <w:bCs/>
              </w:rPr>
              <w:t>)</w:t>
            </w:r>
          </w:p>
        </w:tc>
        <w:tc>
          <w:tcPr>
            <w:tcW w:w="4656" w:type="dxa"/>
            <w:shd w:val="clear" w:color="auto" w:fill="auto"/>
          </w:tcPr>
          <w:p w14:paraId="4477063F" w14:textId="77777777" w:rsidR="00C669E7" w:rsidRPr="00930D32" w:rsidRDefault="004A6E7D" w:rsidP="004A6E7D">
            <w:pPr>
              <w:pStyle w:val="Bullet1G"/>
              <w:numPr>
                <w:ilvl w:val="0"/>
                <w:numId w:val="0"/>
              </w:numPr>
              <w:ind w:left="139" w:right="260"/>
              <w:rPr>
                <w:bCs/>
              </w:rPr>
            </w:pPr>
            <w:r w:rsidRPr="00930D32">
              <w:rPr>
                <w:bCs/>
              </w:rPr>
              <w:t>Delegations wishing to raise other business should contact the Chair and the secretariat as soon as possible ahead of the meeting.</w:t>
            </w:r>
          </w:p>
        </w:tc>
      </w:tr>
      <w:tr w:rsidR="004A6E7D" w:rsidRPr="004671AD" w14:paraId="00296FA3" w14:textId="77777777" w:rsidTr="00C669E7">
        <w:trPr>
          <w:jc w:val="center"/>
        </w:trPr>
        <w:tc>
          <w:tcPr>
            <w:tcW w:w="1350" w:type="dxa"/>
            <w:vMerge/>
            <w:shd w:val="clear" w:color="auto" w:fill="auto"/>
          </w:tcPr>
          <w:p w14:paraId="5BF70B0D" w14:textId="77777777" w:rsidR="004A6E7D" w:rsidRPr="00930D32" w:rsidRDefault="004A6E7D" w:rsidP="004A6E7D">
            <w:pPr>
              <w:spacing w:before="40" w:after="120"/>
              <w:ind w:left="143" w:right="113"/>
              <w:rPr>
                <w:b/>
                <w:bCs/>
              </w:rPr>
            </w:pPr>
          </w:p>
        </w:tc>
        <w:tc>
          <w:tcPr>
            <w:tcW w:w="921" w:type="dxa"/>
            <w:shd w:val="clear" w:color="auto" w:fill="auto"/>
          </w:tcPr>
          <w:p w14:paraId="2F6FDE72" w14:textId="77777777" w:rsidR="00C93ED2" w:rsidRDefault="00C93ED2" w:rsidP="00C93ED2">
            <w:pPr>
              <w:spacing w:before="40" w:after="120"/>
              <w:ind w:right="113"/>
              <w:rPr>
                <w:bCs/>
              </w:rPr>
            </w:pPr>
            <w:r w:rsidRPr="00C93ED2">
              <w:rPr>
                <w:bCs/>
              </w:rPr>
              <w:t>11</w:t>
            </w:r>
            <w:r>
              <w:rPr>
                <w:bCs/>
              </w:rPr>
              <w:t xml:space="preserve"> </w:t>
            </w:r>
            <w:r w:rsidRPr="00C93ED2">
              <w:rPr>
                <w:bCs/>
              </w:rPr>
              <w:t>a.m.–</w:t>
            </w:r>
          </w:p>
          <w:p w14:paraId="71B58464" w14:textId="77777777" w:rsidR="004A6E7D" w:rsidRPr="00930D32" w:rsidRDefault="00C93ED2" w:rsidP="00C93ED2">
            <w:pPr>
              <w:spacing w:before="40" w:after="120"/>
              <w:ind w:right="113"/>
              <w:rPr>
                <w:bCs/>
              </w:rPr>
            </w:pPr>
            <w:r w:rsidRPr="00C93ED2">
              <w:rPr>
                <w:bCs/>
              </w:rPr>
              <w:t>1 p.m.</w:t>
            </w:r>
          </w:p>
        </w:tc>
        <w:tc>
          <w:tcPr>
            <w:tcW w:w="1845" w:type="dxa"/>
            <w:shd w:val="clear" w:color="auto" w:fill="auto"/>
          </w:tcPr>
          <w:p w14:paraId="5BA4ED62" w14:textId="77777777" w:rsidR="004A6E7D" w:rsidRPr="00930D32" w:rsidRDefault="004A6E7D" w:rsidP="004A6E7D">
            <w:pPr>
              <w:spacing w:before="40" w:after="120"/>
              <w:ind w:left="284" w:right="113" w:hanging="142"/>
              <w:rPr>
                <w:b/>
              </w:rPr>
            </w:pPr>
            <w:r w:rsidRPr="00930D32">
              <w:rPr>
                <w:b/>
              </w:rPr>
              <w:t>1</w:t>
            </w:r>
            <w:r w:rsidR="00031868">
              <w:rPr>
                <w:b/>
              </w:rPr>
              <w:t>0</w:t>
            </w:r>
            <w:r w:rsidRPr="00930D32">
              <w:rPr>
                <w:b/>
              </w:rPr>
              <w:t>. Presentation of the main decisions taken and closing of the meeting</w:t>
            </w:r>
          </w:p>
        </w:tc>
        <w:tc>
          <w:tcPr>
            <w:tcW w:w="3831" w:type="dxa"/>
            <w:shd w:val="clear" w:color="auto" w:fill="auto"/>
          </w:tcPr>
          <w:p w14:paraId="6133A895" w14:textId="77777777" w:rsidR="004A6E7D" w:rsidRPr="00930D32" w:rsidRDefault="004A6E7D" w:rsidP="004A6E7D">
            <w:pPr>
              <w:spacing w:before="40" w:after="120"/>
              <w:ind w:right="113"/>
              <w:rPr>
                <w:bCs/>
              </w:rPr>
            </w:pPr>
          </w:p>
        </w:tc>
        <w:tc>
          <w:tcPr>
            <w:tcW w:w="4656" w:type="dxa"/>
            <w:shd w:val="clear" w:color="auto" w:fill="auto"/>
          </w:tcPr>
          <w:p w14:paraId="15D7501F" w14:textId="77777777" w:rsidR="004A6E7D" w:rsidRPr="00930D32" w:rsidRDefault="004A6E7D" w:rsidP="004A6E7D">
            <w:pPr>
              <w:pStyle w:val="Bullet1G"/>
              <w:numPr>
                <w:ilvl w:val="0"/>
                <w:numId w:val="0"/>
              </w:numPr>
              <w:ind w:left="139" w:right="260"/>
              <w:rPr>
                <w:bCs/>
              </w:rPr>
            </w:pPr>
            <w:r w:rsidRPr="00930D32">
              <w:rPr>
                <w:bCs/>
              </w:rPr>
              <w:t xml:space="preserve">The </w:t>
            </w:r>
            <w:r w:rsidRPr="00930D32">
              <w:rPr>
                <w:b/>
              </w:rPr>
              <w:t>Working Group</w:t>
            </w:r>
            <w:r w:rsidRPr="00930D32">
              <w:rPr>
                <w:b/>
                <w:bCs/>
              </w:rPr>
              <w:t xml:space="preserve"> </w:t>
            </w:r>
            <w:r w:rsidRPr="00930D32">
              <w:rPr>
                <w:bCs/>
              </w:rPr>
              <w:t>is expected to agree on the main decisions taken at the meeting.</w:t>
            </w:r>
          </w:p>
        </w:tc>
      </w:tr>
    </w:tbl>
    <w:p w14:paraId="50AC606F" w14:textId="77777777" w:rsidR="00F507EC" w:rsidRPr="002D426F" w:rsidRDefault="007D01A8" w:rsidP="009F7903">
      <w:pPr>
        <w:spacing w:before="240"/>
        <w:ind w:left="1134" w:right="1134"/>
        <w:jc w:val="center"/>
      </w:pPr>
      <w:r w:rsidRPr="002D426F">
        <w:rPr>
          <w:u w:val="single"/>
        </w:rPr>
        <w:tab/>
      </w:r>
      <w:r w:rsidRPr="002D426F">
        <w:rPr>
          <w:u w:val="single"/>
        </w:rPr>
        <w:tab/>
      </w:r>
      <w:r w:rsidRPr="002D426F">
        <w:rPr>
          <w:u w:val="single"/>
        </w:rPr>
        <w:tab/>
      </w:r>
    </w:p>
    <w:sectPr w:rsidR="00F507EC" w:rsidRPr="002D426F" w:rsidSect="00881048">
      <w:headerReference w:type="even" r:id="rId30"/>
      <w:headerReference w:type="default" r:id="rId31"/>
      <w:footerReference w:type="even" r:id="rId32"/>
      <w:footerReference w:type="default" r:id="rId33"/>
      <w:headerReference w:type="first" r:id="rId34"/>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26A3" w14:textId="77777777" w:rsidR="00574D20" w:rsidRDefault="00574D20"/>
  </w:endnote>
  <w:endnote w:type="continuationSeparator" w:id="0">
    <w:p w14:paraId="66C94424" w14:textId="77777777" w:rsidR="00574D20" w:rsidRDefault="00574D20"/>
  </w:endnote>
  <w:endnote w:type="continuationNotice" w:id="1">
    <w:p w14:paraId="3201BC36" w14:textId="77777777" w:rsidR="00574D20" w:rsidRDefault="00574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2CFD" w14:textId="77777777" w:rsidR="009A5236" w:rsidRPr="0048161B" w:rsidRDefault="009A5236" w:rsidP="0048161B">
    <w:pPr>
      <w:pStyle w:val="Footer"/>
      <w:tabs>
        <w:tab w:val="right" w:pos="9638"/>
      </w:tabs>
      <w:rPr>
        <w:sz w:val="18"/>
      </w:rPr>
    </w:pPr>
    <w:r w:rsidRPr="0048161B">
      <w:rPr>
        <w:b/>
        <w:sz w:val="18"/>
      </w:rPr>
      <w:fldChar w:fldCharType="begin"/>
    </w:r>
    <w:r w:rsidRPr="0048161B">
      <w:rPr>
        <w:b/>
        <w:sz w:val="18"/>
      </w:rPr>
      <w:instrText xml:space="preserve"> PAGE  \* MERGEFORMAT </w:instrText>
    </w:r>
    <w:r w:rsidRPr="0048161B">
      <w:rPr>
        <w:b/>
        <w:sz w:val="18"/>
      </w:rPr>
      <w:fldChar w:fldCharType="separate"/>
    </w:r>
    <w:r>
      <w:rPr>
        <w:b/>
        <w:noProof/>
        <w:sz w:val="18"/>
      </w:rPr>
      <w:t>2</w:t>
    </w:r>
    <w:r w:rsidRPr="004816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6363" w14:textId="77777777" w:rsidR="009A5236" w:rsidRPr="0048161B" w:rsidRDefault="009A5236" w:rsidP="0048161B">
    <w:pPr>
      <w:pStyle w:val="Footer"/>
      <w:tabs>
        <w:tab w:val="right" w:pos="9638"/>
      </w:tabs>
      <w:rPr>
        <w:b/>
        <w:sz w:val="18"/>
      </w:rPr>
    </w:pPr>
    <w:r>
      <w:tab/>
    </w:r>
    <w:r w:rsidRPr="0048161B">
      <w:rPr>
        <w:b/>
        <w:sz w:val="18"/>
      </w:rPr>
      <w:fldChar w:fldCharType="begin"/>
    </w:r>
    <w:r w:rsidRPr="0048161B">
      <w:rPr>
        <w:b/>
        <w:sz w:val="18"/>
      </w:rPr>
      <w:instrText xml:space="preserve"> PAGE  \* MERGEFORMAT </w:instrText>
    </w:r>
    <w:r w:rsidRPr="0048161B">
      <w:rPr>
        <w:b/>
        <w:sz w:val="18"/>
      </w:rPr>
      <w:fldChar w:fldCharType="separate"/>
    </w:r>
    <w:r>
      <w:rPr>
        <w:b/>
        <w:noProof/>
        <w:sz w:val="18"/>
      </w:rPr>
      <w:t>3</w:t>
    </w:r>
    <w:r w:rsidRPr="004816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7EF9" w14:textId="77777777" w:rsidR="009A5236" w:rsidRPr="0048161B" w:rsidRDefault="00574D20">
    <w:pPr>
      <w:pStyle w:val="Footer"/>
      <w:rPr>
        <w:sz w:val="20"/>
      </w:rPr>
    </w:pPr>
    <w:r>
      <w:rPr>
        <w:noProof/>
        <w:lang w:val="fr-FR" w:eastAsia="fr-FR"/>
      </w:rPr>
      <w:pict w14:anchorId="17266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4pt;margin-top:-9.05pt;width:73.25pt;height:18.15pt;z-index:1">
          <v:imagedata r:id="rId1" o:title="recycle_English"/>
          <w10:anchorlock/>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0FAF" w14:textId="77777777" w:rsidR="009A5236" w:rsidRPr="006E0021" w:rsidRDefault="009A5236" w:rsidP="006E00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F63D" w14:textId="77777777" w:rsidR="009A5236" w:rsidRPr="006E0021" w:rsidRDefault="009A5236" w:rsidP="006E0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8CF1" w14:textId="77777777" w:rsidR="00574D20" w:rsidRPr="000B175B" w:rsidRDefault="00574D20" w:rsidP="000B175B">
      <w:pPr>
        <w:tabs>
          <w:tab w:val="right" w:pos="2155"/>
        </w:tabs>
        <w:spacing w:after="80"/>
        <w:ind w:left="680"/>
        <w:rPr>
          <w:u w:val="single"/>
        </w:rPr>
      </w:pPr>
      <w:r>
        <w:rPr>
          <w:u w:val="single"/>
        </w:rPr>
        <w:tab/>
      </w:r>
    </w:p>
  </w:footnote>
  <w:footnote w:type="continuationSeparator" w:id="0">
    <w:p w14:paraId="7594B20A" w14:textId="77777777" w:rsidR="00574D20" w:rsidRPr="00FC68B7" w:rsidRDefault="00574D20" w:rsidP="00FC68B7">
      <w:pPr>
        <w:tabs>
          <w:tab w:val="left" w:pos="2155"/>
        </w:tabs>
        <w:spacing w:after="80"/>
        <w:ind w:left="680"/>
        <w:rPr>
          <w:u w:val="single"/>
        </w:rPr>
      </w:pPr>
      <w:r>
        <w:rPr>
          <w:u w:val="single"/>
        </w:rPr>
        <w:tab/>
      </w:r>
    </w:p>
  </w:footnote>
  <w:footnote w:type="continuationNotice" w:id="1">
    <w:p w14:paraId="7BAE9CEB" w14:textId="77777777" w:rsidR="00574D20" w:rsidRDefault="00574D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F774" w14:textId="77777777" w:rsidR="009A5236" w:rsidRPr="0048161B" w:rsidRDefault="009A5236">
    <w:pPr>
      <w:pStyle w:val="Header"/>
    </w:pPr>
    <w:r>
      <w:t>ECE/MP.EIA/IC/2010/INF.1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C8B8" w14:textId="77777777" w:rsidR="009A5236" w:rsidRPr="0048161B" w:rsidRDefault="009A5236" w:rsidP="0048161B">
    <w:pPr>
      <w:pStyle w:val="Header"/>
      <w:jc w:val="right"/>
    </w:pPr>
    <w:r>
      <w:t>ECE/MP.EIA/IC/2010/INF.1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AA99" w14:textId="77777777" w:rsidR="009A5236" w:rsidRPr="006E0021" w:rsidRDefault="00574D20" w:rsidP="006E0021">
    <w:r>
      <w:rPr>
        <w:noProof/>
        <w:lang w:val="en-US" w:eastAsia="zh-CN"/>
      </w:rPr>
      <w:pict w14:anchorId="36DEDA16">
        <v:shapetype id="_x0000_t202" coordsize="21600,21600" o:spt="202" path="m,l,21600r21600,l21600,xe">
          <v:stroke joinstyle="miter"/>
          <v:path gradientshapeok="t" o:connecttype="rect"/>
        </v:shapetype>
        <v:shape id="_x0000_s1027" type="#_x0000_t202" style="position:absolute;margin-left:771pt;margin-top:0;width:26pt;height:481.9pt;z-index:2;mso-position-horizontal-relative:page;mso-position-vertical-relative:margin" stroked="f">
          <v:textbox style="layout-flow:vertical;mso-next-textbox:#_x0000_s1027" inset="0,0,0,0">
            <w:txbxContent>
              <w:p w14:paraId="08588673" w14:textId="77777777" w:rsidR="009A5236" w:rsidRPr="001F3DE7" w:rsidRDefault="009A5236" w:rsidP="006E0021">
                <w:pPr>
                  <w:pStyle w:val="Header"/>
                </w:pPr>
                <w:r>
                  <w:t>ECE/MP.EIA/WG.2/20</w:t>
                </w:r>
                <w:r w:rsidR="00603434">
                  <w:t>22</w:t>
                </w:r>
                <w:r>
                  <w:t>/</w:t>
                </w:r>
                <w:r w:rsidRPr="001F3DE7">
                  <w:t>INF.1</w:t>
                </w:r>
              </w:p>
              <w:p w14:paraId="472AA964" w14:textId="77777777" w:rsidR="009A5236" w:rsidRDefault="009A5236"/>
            </w:txbxContent>
          </v:textbox>
          <w10:wrap anchorx="page" anchory="margin"/>
        </v:shape>
      </w:pict>
    </w:r>
    <w:r>
      <w:rPr>
        <w:noProof/>
        <w:lang w:val="en-US" w:eastAsia="zh-CN"/>
      </w:rPr>
      <w:pict w14:anchorId="1E614481">
        <v:shape id="_x0000_s1028" type="#_x0000_t202" style="position:absolute;margin-left:-34pt;margin-top:0;width:17.55pt;height:481.9pt;z-index:3;mso-position-horizontal-relative:margin;mso-position-vertical-relative:margin" stroked="f">
          <v:textbox style="layout-flow:vertical;mso-next-textbox:#_x0000_s1028" inset="0,0,0,0">
            <w:txbxContent>
              <w:p w14:paraId="0D710433" w14:textId="77777777" w:rsidR="009A5236" w:rsidRPr="0048161B" w:rsidRDefault="009A5236" w:rsidP="006E0021">
                <w:pPr>
                  <w:pStyle w:val="Footer"/>
                  <w:tabs>
                    <w:tab w:val="right" w:pos="9638"/>
                  </w:tabs>
                  <w:rPr>
                    <w:sz w:val="18"/>
                  </w:rPr>
                </w:pPr>
                <w:r w:rsidRPr="0048161B">
                  <w:rPr>
                    <w:b/>
                    <w:sz w:val="18"/>
                  </w:rPr>
                  <w:fldChar w:fldCharType="begin"/>
                </w:r>
                <w:r w:rsidRPr="0048161B">
                  <w:rPr>
                    <w:b/>
                    <w:sz w:val="18"/>
                  </w:rPr>
                  <w:instrText xml:space="preserve"> PAGE  \* MERGEFORMAT </w:instrText>
                </w:r>
                <w:r w:rsidRPr="0048161B">
                  <w:rPr>
                    <w:b/>
                    <w:sz w:val="18"/>
                  </w:rPr>
                  <w:fldChar w:fldCharType="separate"/>
                </w:r>
                <w:r>
                  <w:rPr>
                    <w:b/>
                    <w:noProof/>
                    <w:sz w:val="18"/>
                  </w:rPr>
                  <w:t>12</w:t>
                </w:r>
                <w:r w:rsidRPr="0048161B">
                  <w:rPr>
                    <w:b/>
                    <w:sz w:val="18"/>
                  </w:rPr>
                  <w:fldChar w:fldCharType="end"/>
                </w:r>
                <w:r>
                  <w:rPr>
                    <w:sz w:val="18"/>
                  </w:rPr>
                  <w:tab/>
                </w:r>
              </w:p>
              <w:p w14:paraId="43BAD6B8" w14:textId="77777777" w:rsidR="009A5236" w:rsidRDefault="009A5236"/>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2038" w14:textId="77777777" w:rsidR="009A5236" w:rsidRPr="006E0021" w:rsidRDefault="00574D20" w:rsidP="006E0021">
    <w:r>
      <w:rPr>
        <w:noProof/>
        <w:lang w:val="en-US" w:eastAsia="zh-CN"/>
      </w:rPr>
      <w:pict w14:anchorId="148DB96B">
        <v:shapetype id="_x0000_t202" coordsize="21600,21600" o:spt="202" path="m,l,21600r21600,l21600,xe">
          <v:stroke joinstyle="miter"/>
          <v:path gradientshapeok="t" o:connecttype="rect"/>
        </v:shapetype>
        <v:shape id="_x0000_s1029" type="#_x0000_t202" style="position:absolute;margin-left:771pt;margin-top:0;width:27.5pt;height:481.9pt;z-index:4;mso-position-horizontal-relative:page;mso-position-vertical-relative:margin" stroked="f">
          <v:textbox style="layout-flow:vertical;mso-next-textbox:#_x0000_s1029" inset="0,0,0,0">
            <w:txbxContent>
              <w:p w14:paraId="3F2F9D06" w14:textId="77777777" w:rsidR="009A5236" w:rsidRPr="0048161B" w:rsidRDefault="009A5236" w:rsidP="001F3DE7">
                <w:pPr>
                  <w:pStyle w:val="Header"/>
                  <w:jc w:val="right"/>
                </w:pPr>
                <w:r w:rsidRPr="001F3DE7">
                  <w:t>ECE/MP.EIA/WG.</w:t>
                </w:r>
                <w:r>
                  <w:t>2</w:t>
                </w:r>
                <w:r w:rsidRPr="001F3DE7">
                  <w:t>/20</w:t>
                </w:r>
                <w:r w:rsidR="00893571">
                  <w:t>22</w:t>
                </w:r>
                <w:r>
                  <w:t>/</w:t>
                </w:r>
                <w:r w:rsidRPr="001F3DE7">
                  <w:t>INF.1</w:t>
                </w:r>
              </w:p>
              <w:p w14:paraId="20A7CC9E" w14:textId="77777777" w:rsidR="009A5236" w:rsidRDefault="009A5236"/>
            </w:txbxContent>
          </v:textbox>
          <w10:wrap anchorx="page" anchory="margin"/>
        </v:shape>
      </w:pict>
    </w:r>
    <w:r>
      <w:rPr>
        <w:noProof/>
        <w:lang w:val="en-US" w:eastAsia="zh-CN"/>
      </w:rPr>
      <w:pict w14:anchorId="1C0F0C53">
        <v:shape id="_x0000_s1030" type="#_x0000_t202" style="position:absolute;margin-left:-34pt;margin-top:0;width:17.55pt;height:481.9pt;z-index:5;mso-position-horizontal-relative:margin;mso-position-vertical-relative:margin" stroked="f">
          <v:textbox style="layout-flow:vertical;mso-next-textbox:#_x0000_s1030" inset="0,0,0,0">
            <w:txbxContent>
              <w:p w14:paraId="19E8ED8E" w14:textId="77777777" w:rsidR="009A5236" w:rsidRPr="0048161B" w:rsidRDefault="009A5236" w:rsidP="006E0021">
                <w:pPr>
                  <w:pStyle w:val="Footer"/>
                  <w:tabs>
                    <w:tab w:val="right" w:pos="9638"/>
                  </w:tabs>
                  <w:rPr>
                    <w:b/>
                    <w:sz w:val="18"/>
                  </w:rPr>
                </w:pPr>
                <w:r>
                  <w:tab/>
                </w:r>
                <w:r w:rsidRPr="0048161B">
                  <w:rPr>
                    <w:b/>
                    <w:sz w:val="18"/>
                  </w:rPr>
                  <w:fldChar w:fldCharType="begin"/>
                </w:r>
                <w:r w:rsidRPr="0048161B">
                  <w:rPr>
                    <w:b/>
                    <w:sz w:val="18"/>
                  </w:rPr>
                  <w:instrText xml:space="preserve"> PAGE  \* MERGEFORMAT </w:instrText>
                </w:r>
                <w:r w:rsidRPr="0048161B">
                  <w:rPr>
                    <w:b/>
                    <w:sz w:val="18"/>
                  </w:rPr>
                  <w:fldChar w:fldCharType="separate"/>
                </w:r>
                <w:r>
                  <w:rPr>
                    <w:b/>
                    <w:noProof/>
                    <w:sz w:val="18"/>
                  </w:rPr>
                  <w:t>13</w:t>
                </w:r>
                <w:r w:rsidRPr="0048161B">
                  <w:rPr>
                    <w:b/>
                    <w:sz w:val="18"/>
                  </w:rPr>
                  <w:fldChar w:fldCharType="end"/>
                </w:r>
              </w:p>
              <w:p w14:paraId="17EE1A6F" w14:textId="77777777" w:rsidR="009A5236" w:rsidRDefault="009A5236"/>
            </w:txbxContent>
          </v:textbox>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07DF" w14:textId="77777777" w:rsidR="009A5236" w:rsidRDefault="009A5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31F"/>
    <w:multiLevelType w:val="hybridMultilevel"/>
    <w:tmpl w:val="17B6DF28"/>
    <w:lvl w:ilvl="0" w:tplc="018A4686">
      <w:start w:val="1"/>
      <w:numFmt w:val="lowerLetter"/>
      <w:lvlText w:val="(%1)"/>
      <w:lvlJc w:val="left"/>
      <w:pPr>
        <w:ind w:left="577" w:hanging="43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E87119B"/>
    <w:multiLevelType w:val="hybridMultilevel"/>
    <w:tmpl w:val="A43C0F44"/>
    <w:lvl w:ilvl="0" w:tplc="8C4849AC">
      <w:start w:val="1"/>
      <w:numFmt w:val="bullet"/>
      <w:pStyle w:val="Bullet1G"/>
      <w:lvlText w:val="•"/>
      <w:lvlJc w:val="left"/>
      <w:pPr>
        <w:tabs>
          <w:tab w:val="num" w:pos="720"/>
        </w:tabs>
        <w:ind w:left="720" w:hanging="360"/>
      </w:pPr>
      <w:rPr>
        <w:rFonts w:ascii="Times New Roman" w:hAnsi="Times New Roman" w:cs="Times New Roman" w:hint="default"/>
        <w:b w:val="0"/>
        <w:i w:val="0"/>
        <w:sz w:val="20"/>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C7240"/>
    <w:multiLevelType w:val="hybridMultilevel"/>
    <w:tmpl w:val="C494E3EC"/>
    <w:lvl w:ilvl="0" w:tplc="15EEBAB8">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E269F"/>
    <w:multiLevelType w:val="hybridMultilevel"/>
    <w:tmpl w:val="19B0ECF8"/>
    <w:lvl w:ilvl="0" w:tplc="748A63F4">
      <w:start w:val="7"/>
      <w:numFmt w:val="decimal"/>
      <w:lvlText w:val="%1"/>
      <w:lvlJc w:val="left"/>
      <w:pPr>
        <w:ind w:left="937" w:hanging="360"/>
      </w:pPr>
      <w:rPr>
        <w:rFonts w:hint="default"/>
      </w:rPr>
    </w:lvl>
    <w:lvl w:ilvl="1" w:tplc="08090019" w:tentative="1">
      <w:start w:val="1"/>
      <w:numFmt w:val="lowerLetter"/>
      <w:lvlText w:val="%2."/>
      <w:lvlJc w:val="left"/>
      <w:pPr>
        <w:ind w:left="1657" w:hanging="360"/>
      </w:pPr>
    </w:lvl>
    <w:lvl w:ilvl="2" w:tplc="0809001B" w:tentative="1">
      <w:start w:val="1"/>
      <w:numFmt w:val="lowerRoman"/>
      <w:lvlText w:val="%3."/>
      <w:lvlJc w:val="right"/>
      <w:pPr>
        <w:ind w:left="2377" w:hanging="180"/>
      </w:pPr>
    </w:lvl>
    <w:lvl w:ilvl="3" w:tplc="0809000F" w:tentative="1">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4" w15:restartNumberingAfterBreak="0">
    <w:nsid w:val="49E75AE8"/>
    <w:multiLevelType w:val="hybridMultilevel"/>
    <w:tmpl w:val="8DEAE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774DFD"/>
    <w:multiLevelType w:val="hybridMultilevel"/>
    <w:tmpl w:val="4BC42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6C75C6"/>
    <w:multiLevelType w:val="hybridMultilevel"/>
    <w:tmpl w:val="DBFE1C88"/>
    <w:lvl w:ilvl="0" w:tplc="3BDAA094">
      <w:start w:val="8"/>
      <w:numFmt w:val="bullet"/>
      <w:lvlText w:val="-"/>
      <w:lvlJc w:val="left"/>
      <w:pPr>
        <w:ind w:left="536" w:hanging="360"/>
      </w:pPr>
      <w:rPr>
        <w:rFonts w:ascii="Times New Roman" w:eastAsia="Times New Roman" w:hAnsi="Times New Roman" w:cs="Times New Roman"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7" w15:restartNumberingAfterBreak="0">
    <w:nsid w:val="5DF95A47"/>
    <w:multiLevelType w:val="hybridMultilevel"/>
    <w:tmpl w:val="DBCE0A26"/>
    <w:lvl w:ilvl="0" w:tplc="15EEBAB8">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62E0063F"/>
    <w:multiLevelType w:val="hybridMultilevel"/>
    <w:tmpl w:val="AF18A072"/>
    <w:lvl w:ilvl="0" w:tplc="E96EB63C">
      <w:start w:val="7"/>
      <w:numFmt w:val="decimal"/>
      <w:lvlText w:val="%1"/>
      <w:lvlJc w:val="left"/>
      <w:pPr>
        <w:ind w:left="937" w:hanging="360"/>
      </w:pPr>
      <w:rPr>
        <w:rFonts w:hint="default"/>
      </w:rPr>
    </w:lvl>
    <w:lvl w:ilvl="1" w:tplc="08090019" w:tentative="1">
      <w:start w:val="1"/>
      <w:numFmt w:val="lowerLetter"/>
      <w:lvlText w:val="%2."/>
      <w:lvlJc w:val="left"/>
      <w:pPr>
        <w:ind w:left="1657" w:hanging="360"/>
      </w:pPr>
    </w:lvl>
    <w:lvl w:ilvl="2" w:tplc="0809001B" w:tentative="1">
      <w:start w:val="1"/>
      <w:numFmt w:val="lowerRoman"/>
      <w:lvlText w:val="%3."/>
      <w:lvlJc w:val="right"/>
      <w:pPr>
        <w:ind w:left="2377" w:hanging="180"/>
      </w:pPr>
    </w:lvl>
    <w:lvl w:ilvl="3" w:tplc="0809000F" w:tentative="1">
      <w:start w:val="1"/>
      <w:numFmt w:val="decimal"/>
      <w:lvlText w:val="%4."/>
      <w:lvlJc w:val="left"/>
      <w:pPr>
        <w:ind w:left="3097" w:hanging="360"/>
      </w:pPr>
    </w:lvl>
    <w:lvl w:ilvl="4" w:tplc="08090019" w:tentative="1">
      <w:start w:val="1"/>
      <w:numFmt w:val="lowerLetter"/>
      <w:lvlText w:val="%5."/>
      <w:lvlJc w:val="left"/>
      <w:pPr>
        <w:ind w:left="3817" w:hanging="360"/>
      </w:pPr>
    </w:lvl>
    <w:lvl w:ilvl="5" w:tplc="0809001B" w:tentative="1">
      <w:start w:val="1"/>
      <w:numFmt w:val="lowerRoman"/>
      <w:lvlText w:val="%6."/>
      <w:lvlJc w:val="right"/>
      <w:pPr>
        <w:ind w:left="4537" w:hanging="180"/>
      </w:pPr>
    </w:lvl>
    <w:lvl w:ilvl="6" w:tplc="0809000F" w:tentative="1">
      <w:start w:val="1"/>
      <w:numFmt w:val="decimal"/>
      <w:lvlText w:val="%7."/>
      <w:lvlJc w:val="left"/>
      <w:pPr>
        <w:ind w:left="5257" w:hanging="360"/>
      </w:pPr>
    </w:lvl>
    <w:lvl w:ilvl="7" w:tplc="08090019" w:tentative="1">
      <w:start w:val="1"/>
      <w:numFmt w:val="lowerLetter"/>
      <w:lvlText w:val="%8."/>
      <w:lvlJc w:val="left"/>
      <w:pPr>
        <w:ind w:left="5977" w:hanging="360"/>
      </w:pPr>
    </w:lvl>
    <w:lvl w:ilvl="8" w:tplc="0809001B" w:tentative="1">
      <w:start w:val="1"/>
      <w:numFmt w:val="lowerRoman"/>
      <w:lvlText w:val="%9."/>
      <w:lvlJc w:val="right"/>
      <w:pPr>
        <w:ind w:left="6697" w:hanging="180"/>
      </w:pPr>
    </w:lvl>
  </w:abstractNum>
  <w:abstractNum w:abstractNumId="9" w15:restartNumberingAfterBreak="0">
    <w:nsid w:val="65925DC1"/>
    <w:multiLevelType w:val="hybridMultilevel"/>
    <w:tmpl w:val="ED9655A4"/>
    <w:lvl w:ilvl="0" w:tplc="8C4849AC">
      <w:start w:val="1"/>
      <w:numFmt w:val="bullet"/>
      <w:lvlText w:val="•"/>
      <w:lvlJc w:val="left"/>
      <w:pPr>
        <w:tabs>
          <w:tab w:val="num" w:pos="3005"/>
        </w:tabs>
        <w:ind w:left="3005" w:hanging="170"/>
      </w:pPr>
      <w:rPr>
        <w:rFonts w:ascii="Times New Roman" w:hAnsi="Times New Roman" w:cs="Times New Roman" w:hint="default"/>
        <w:b w:val="0"/>
        <w:i w:val="0"/>
        <w:sz w:val="20"/>
      </w:rPr>
    </w:lvl>
    <w:lvl w:ilvl="1" w:tplc="04090001">
      <w:start w:val="1"/>
      <w:numFmt w:val="bullet"/>
      <w:lvlText w:val=""/>
      <w:lvlJc w:val="left"/>
      <w:pPr>
        <w:tabs>
          <w:tab w:val="num" w:pos="1440"/>
        </w:tabs>
        <w:ind w:left="1440" w:hanging="360"/>
      </w:pPr>
      <w:rPr>
        <w:rFonts w:ascii="Symbol" w:hAnsi="Symbol" w:hint="default"/>
        <w:b w:val="0"/>
        <w:i w:val="0"/>
        <w:sz w:val="2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
  </w:num>
  <w:num w:numId="4">
    <w:abstractNumId w:val="5"/>
  </w:num>
  <w:num w:numId="5">
    <w:abstractNumId w:val="0"/>
  </w:num>
  <w:num w:numId="6">
    <w:abstractNumId w:val="8"/>
  </w:num>
  <w:num w:numId="7">
    <w:abstractNumId w:val="3"/>
  </w:num>
  <w:num w:numId="8">
    <w:abstractNumId w:val="7"/>
  </w:num>
  <w:num w:numId="9">
    <w:abstractNumId w:val="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6"/>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161B"/>
    <w:rsid w:val="00001140"/>
    <w:rsid w:val="00001DFC"/>
    <w:rsid w:val="00002A7D"/>
    <w:rsid w:val="000038A8"/>
    <w:rsid w:val="00005439"/>
    <w:rsid w:val="00006790"/>
    <w:rsid w:val="00007F9B"/>
    <w:rsid w:val="000103BE"/>
    <w:rsid w:val="00011E4C"/>
    <w:rsid w:val="000125DC"/>
    <w:rsid w:val="00013AE5"/>
    <w:rsid w:val="00016258"/>
    <w:rsid w:val="00016449"/>
    <w:rsid w:val="0002250F"/>
    <w:rsid w:val="00027624"/>
    <w:rsid w:val="0003057F"/>
    <w:rsid w:val="00031868"/>
    <w:rsid w:val="00031925"/>
    <w:rsid w:val="000322F9"/>
    <w:rsid w:val="00032ABF"/>
    <w:rsid w:val="000351A6"/>
    <w:rsid w:val="00035747"/>
    <w:rsid w:val="00036A19"/>
    <w:rsid w:val="000376CF"/>
    <w:rsid w:val="00040B93"/>
    <w:rsid w:val="000443A6"/>
    <w:rsid w:val="00044498"/>
    <w:rsid w:val="000452FC"/>
    <w:rsid w:val="00050F6B"/>
    <w:rsid w:val="00052723"/>
    <w:rsid w:val="00060709"/>
    <w:rsid w:val="00065865"/>
    <w:rsid w:val="00066135"/>
    <w:rsid w:val="000678CD"/>
    <w:rsid w:val="00072C8C"/>
    <w:rsid w:val="000767E1"/>
    <w:rsid w:val="00081CE0"/>
    <w:rsid w:val="00081DC8"/>
    <w:rsid w:val="0008307A"/>
    <w:rsid w:val="00083302"/>
    <w:rsid w:val="00083E01"/>
    <w:rsid w:val="00084D30"/>
    <w:rsid w:val="000853B3"/>
    <w:rsid w:val="00086FCF"/>
    <w:rsid w:val="00090320"/>
    <w:rsid w:val="000908A1"/>
    <w:rsid w:val="000909F2"/>
    <w:rsid w:val="0009264E"/>
    <w:rsid w:val="00092E89"/>
    <w:rsid w:val="000931C0"/>
    <w:rsid w:val="00093443"/>
    <w:rsid w:val="00095031"/>
    <w:rsid w:val="00096098"/>
    <w:rsid w:val="000A2E09"/>
    <w:rsid w:val="000A3F01"/>
    <w:rsid w:val="000A6D5E"/>
    <w:rsid w:val="000B175B"/>
    <w:rsid w:val="000B33D5"/>
    <w:rsid w:val="000B3A0F"/>
    <w:rsid w:val="000C1AA6"/>
    <w:rsid w:val="000C2258"/>
    <w:rsid w:val="000C2930"/>
    <w:rsid w:val="000C3310"/>
    <w:rsid w:val="000C464C"/>
    <w:rsid w:val="000C75F5"/>
    <w:rsid w:val="000D40A4"/>
    <w:rsid w:val="000D5D04"/>
    <w:rsid w:val="000D6364"/>
    <w:rsid w:val="000E0415"/>
    <w:rsid w:val="000E5A17"/>
    <w:rsid w:val="000E7C69"/>
    <w:rsid w:val="000F083B"/>
    <w:rsid w:val="000F4C45"/>
    <w:rsid w:val="000F5144"/>
    <w:rsid w:val="000F7715"/>
    <w:rsid w:val="00100172"/>
    <w:rsid w:val="00100699"/>
    <w:rsid w:val="001015E8"/>
    <w:rsid w:val="001019DC"/>
    <w:rsid w:val="001036E8"/>
    <w:rsid w:val="001048DF"/>
    <w:rsid w:val="00106F83"/>
    <w:rsid w:val="00113FC1"/>
    <w:rsid w:val="00117CF3"/>
    <w:rsid w:val="00120D17"/>
    <w:rsid w:val="00121E0F"/>
    <w:rsid w:val="0012336F"/>
    <w:rsid w:val="001316A7"/>
    <w:rsid w:val="001346C1"/>
    <w:rsid w:val="0013514C"/>
    <w:rsid w:val="00140AFF"/>
    <w:rsid w:val="00144282"/>
    <w:rsid w:val="00147A85"/>
    <w:rsid w:val="00150798"/>
    <w:rsid w:val="00150984"/>
    <w:rsid w:val="00151F53"/>
    <w:rsid w:val="001526B7"/>
    <w:rsid w:val="00156B99"/>
    <w:rsid w:val="00160102"/>
    <w:rsid w:val="00161025"/>
    <w:rsid w:val="00166124"/>
    <w:rsid w:val="00166D61"/>
    <w:rsid w:val="00167BE1"/>
    <w:rsid w:val="00176B81"/>
    <w:rsid w:val="00180D31"/>
    <w:rsid w:val="00181087"/>
    <w:rsid w:val="001848D5"/>
    <w:rsid w:val="00184A44"/>
    <w:rsid w:val="00184DDA"/>
    <w:rsid w:val="001856E6"/>
    <w:rsid w:val="00185940"/>
    <w:rsid w:val="001900CD"/>
    <w:rsid w:val="00191386"/>
    <w:rsid w:val="001965CF"/>
    <w:rsid w:val="0019668C"/>
    <w:rsid w:val="001A0452"/>
    <w:rsid w:val="001A7E4E"/>
    <w:rsid w:val="001B4B04"/>
    <w:rsid w:val="001B5875"/>
    <w:rsid w:val="001C4B9C"/>
    <w:rsid w:val="001C6663"/>
    <w:rsid w:val="001C7895"/>
    <w:rsid w:val="001D26DF"/>
    <w:rsid w:val="001D43A3"/>
    <w:rsid w:val="001E2A88"/>
    <w:rsid w:val="001E4FDF"/>
    <w:rsid w:val="001E6D33"/>
    <w:rsid w:val="001F1599"/>
    <w:rsid w:val="001F19C4"/>
    <w:rsid w:val="001F20BE"/>
    <w:rsid w:val="001F3DE7"/>
    <w:rsid w:val="001F61FE"/>
    <w:rsid w:val="001F73EE"/>
    <w:rsid w:val="002043F0"/>
    <w:rsid w:val="00207BE3"/>
    <w:rsid w:val="002116C8"/>
    <w:rsid w:val="00211E0B"/>
    <w:rsid w:val="002124C6"/>
    <w:rsid w:val="00212BA4"/>
    <w:rsid w:val="0021308F"/>
    <w:rsid w:val="002139BE"/>
    <w:rsid w:val="00213C23"/>
    <w:rsid w:val="00214F2E"/>
    <w:rsid w:val="002156F2"/>
    <w:rsid w:val="00221248"/>
    <w:rsid w:val="00221381"/>
    <w:rsid w:val="002302D7"/>
    <w:rsid w:val="00230B1D"/>
    <w:rsid w:val="00232575"/>
    <w:rsid w:val="00243300"/>
    <w:rsid w:val="00244882"/>
    <w:rsid w:val="002453AD"/>
    <w:rsid w:val="00246614"/>
    <w:rsid w:val="00247258"/>
    <w:rsid w:val="0025125E"/>
    <w:rsid w:val="002512EA"/>
    <w:rsid w:val="002539CE"/>
    <w:rsid w:val="00256532"/>
    <w:rsid w:val="00256E79"/>
    <w:rsid w:val="00256EE5"/>
    <w:rsid w:val="00257018"/>
    <w:rsid w:val="00257CAC"/>
    <w:rsid w:val="00261FC7"/>
    <w:rsid w:val="0026299A"/>
    <w:rsid w:val="00264549"/>
    <w:rsid w:val="002676F1"/>
    <w:rsid w:val="0027237A"/>
    <w:rsid w:val="00273D35"/>
    <w:rsid w:val="00274091"/>
    <w:rsid w:val="00277F00"/>
    <w:rsid w:val="00280441"/>
    <w:rsid w:val="00281D2B"/>
    <w:rsid w:val="00282CCA"/>
    <w:rsid w:val="00283C7D"/>
    <w:rsid w:val="002865CD"/>
    <w:rsid w:val="002877C3"/>
    <w:rsid w:val="002933D9"/>
    <w:rsid w:val="002934DA"/>
    <w:rsid w:val="002974E9"/>
    <w:rsid w:val="00297DF1"/>
    <w:rsid w:val="002A7F94"/>
    <w:rsid w:val="002B109A"/>
    <w:rsid w:val="002B1BDF"/>
    <w:rsid w:val="002B63BA"/>
    <w:rsid w:val="002B7459"/>
    <w:rsid w:val="002C158D"/>
    <w:rsid w:val="002C167E"/>
    <w:rsid w:val="002C358A"/>
    <w:rsid w:val="002C4BEF"/>
    <w:rsid w:val="002C4D96"/>
    <w:rsid w:val="002C6D45"/>
    <w:rsid w:val="002C6D9A"/>
    <w:rsid w:val="002D0438"/>
    <w:rsid w:val="002D12CB"/>
    <w:rsid w:val="002D17F4"/>
    <w:rsid w:val="002D278B"/>
    <w:rsid w:val="002D426F"/>
    <w:rsid w:val="002D43F9"/>
    <w:rsid w:val="002D48F0"/>
    <w:rsid w:val="002D6E53"/>
    <w:rsid w:val="002D77AE"/>
    <w:rsid w:val="002D7A29"/>
    <w:rsid w:val="002D7F74"/>
    <w:rsid w:val="002F046D"/>
    <w:rsid w:val="002F0961"/>
    <w:rsid w:val="002F219A"/>
    <w:rsid w:val="002F3EC1"/>
    <w:rsid w:val="002F4213"/>
    <w:rsid w:val="00301764"/>
    <w:rsid w:val="003031C0"/>
    <w:rsid w:val="00303DB3"/>
    <w:rsid w:val="00303EA2"/>
    <w:rsid w:val="00303EC6"/>
    <w:rsid w:val="0030487F"/>
    <w:rsid w:val="00304C76"/>
    <w:rsid w:val="00305630"/>
    <w:rsid w:val="003073F1"/>
    <w:rsid w:val="00307EED"/>
    <w:rsid w:val="003102A1"/>
    <w:rsid w:val="00310328"/>
    <w:rsid w:val="00314C2A"/>
    <w:rsid w:val="00320DEA"/>
    <w:rsid w:val="00321359"/>
    <w:rsid w:val="003217D2"/>
    <w:rsid w:val="003229D8"/>
    <w:rsid w:val="00325C8C"/>
    <w:rsid w:val="003277D5"/>
    <w:rsid w:val="0033118D"/>
    <w:rsid w:val="003334DB"/>
    <w:rsid w:val="0033407E"/>
    <w:rsid w:val="00334822"/>
    <w:rsid w:val="00336C97"/>
    <w:rsid w:val="00337F88"/>
    <w:rsid w:val="00340227"/>
    <w:rsid w:val="0034211A"/>
    <w:rsid w:val="00342432"/>
    <w:rsid w:val="0034329A"/>
    <w:rsid w:val="00343478"/>
    <w:rsid w:val="00343E41"/>
    <w:rsid w:val="00344536"/>
    <w:rsid w:val="00345DC4"/>
    <w:rsid w:val="00347ACF"/>
    <w:rsid w:val="003511C2"/>
    <w:rsid w:val="0035223F"/>
    <w:rsid w:val="00352D4B"/>
    <w:rsid w:val="00354A0E"/>
    <w:rsid w:val="0035638C"/>
    <w:rsid w:val="00357BAE"/>
    <w:rsid w:val="0036658A"/>
    <w:rsid w:val="00366EAB"/>
    <w:rsid w:val="00373D2A"/>
    <w:rsid w:val="00373F81"/>
    <w:rsid w:val="003764E2"/>
    <w:rsid w:val="00377F98"/>
    <w:rsid w:val="0038095B"/>
    <w:rsid w:val="00381481"/>
    <w:rsid w:val="00382597"/>
    <w:rsid w:val="00382F3D"/>
    <w:rsid w:val="00384D43"/>
    <w:rsid w:val="00385A71"/>
    <w:rsid w:val="003866E7"/>
    <w:rsid w:val="00387070"/>
    <w:rsid w:val="003917ED"/>
    <w:rsid w:val="003A3184"/>
    <w:rsid w:val="003A393B"/>
    <w:rsid w:val="003A3C2C"/>
    <w:rsid w:val="003A46BB"/>
    <w:rsid w:val="003A4EC7"/>
    <w:rsid w:val="003A63C8"/>
    <w:rsid w:val="003A7295"/>
    <w:rsid w:val="003A7A88"/>
    <w:rsid w:val="003B1F60"/>
    <w:rsid w:val="003B61F0"/>
    <w:rsid w:val="003B7170"/>
    <w:rsid w:val="003B77B6"/>
    <w:rsid w:val="003B7FD1"/>
    <w:rsid w:val="003C2386"/>
    <w:rsid w:val="003C2CC4"/>
    <w:rsid w:val="003C396A"/>
    <w:rsid w:val="003C3E6B"/>
    <w:rsid w:val="003C4D4B"/>
    <w:rsid w:val="003C5EAC"/>
    <w:rsid w:val="003C6DDA"/>
    <w:rsid w:val="003D4B23"/>
    <w:rsid w:val="003D5077"/>
    <w:rsid w:val="003D54EC"/>
    <w:rsid w:val="003D6660"/>
    <w:rsid w:val="003E0017"/>
    <w:rsid w:val="003E0ACF"/>
    <w:rsid w:val="003E2450"/>
    <w:rsid w:val="003E278A"/>
    <w:rsid w:val="003E3331"/>
    <w:rsid w:val="003E5707"/>
    <w:rsid w:val="003F0401"/>
    <w:rsid w:val="003F5100"/>
    <w:rsid w:val="003F7B00"/>
    <w:rsid w:val="00400D2B"/>
    <w:rsid w:val="00402D43"/>
    <w:rsid w:val="004067AE"/>
    <w:rsid w:val="00413520"/>
    <w:rsid w:val="0041399B"/>
    <w:rsid w:val="00414DFA"/>
    <w:rsid w:val="0042019B"/>
    <w:rsid w:val="00420959"/>
    <w:rsid w:val="00423A6D"/>
    <w:rsid w:val="00424450"/>
    <w:rsid w:val="004325CB"/>
    <w:rsid w:val="00433933"/>
    <w:rsid w:val="004348BA"/>
    <w:rsid w:val="00434A6B"/>
    <w:rsid w:val="00440A07"/>
    <w:rsid w:val="004418A8"/>
    <w:rsid w:val="00443277"/>
    <w:rsid w:val="00447BBE"/>
    <w:rsid w:val="00450EE0"/>
    <w:rsid w:val="0045132C"/>
    <w:rsid w:val="00452FFA"/>
    <w:rsid w:val="004535CB"/>
    <w:rsid w:val="004556DD"/>
    <w:rsid w:val="0045581A"/>
    <w:rsid w:val="00455D6A"/>
    <w:rsid w:val="004573BF"/>
    <w:rsid w:val="0046235E"/>
    <w:rsid w:val="00462880"/>
    <w:rsid w:val="004631E0"/>
    <w:rsid w:val="0046504E"/>
    <w:rsid w:val="004671AD"/>
    <w:rsid w:val="00474274"/>
    <w:rsid w:val="00476090"/>
    <w:rsid w:val="00476F24"/>
    <w:rsid w:val="004776BE"/>
    <w:rsid w:val="004814CE"/>
    <w:rsid w:val="0048161B"/>
    <w:rsid w:val="00481EB0"/>
    <w:rsid w:val="00482A35"/>
    <w:rsid w:val="004848F4"/>
    <w:rsid w:val="004865BC"/>
    <w:rsid w:val="00491CA5"/>
    <w:rsid w:val="00493A71"/>
    <w:rsid w:val="004A6E7D"/>
    <w:rsid w:val="004A7713"/>
    <w:rsid w:val="004B1D59"/>
    <w:rsid w:val="004B2228"/>
    <w:rsid w:val="004B2851"/>
    <w:rsid w:val="004B349D"/>
    <w:rsid w:val="004B35B2"/>
    <w:rsid w:val="004B4E8D"/>
    <w:rsid w:val="004B6634"/>
    <w:rsid w:val="004C3A04"/>
    <w:rsid w:val="004C427C"/>
    <w:rsid w:val="004C47C6"/>
    <w:rsid w:val="004C55B0"/>
    <w:rsid w:val="004C7CFE"/>
    <w:rsid w:val="004D06FE"/>
    <w:rsid w:val="004D0DF9"/>
    <w:rsid w:val="004D32EE"/>
    <w:rsid w:val="004E3D19"/>
    <w:rsid w:val="004E4658"/>
    <w:rsid w:val="004E552C"/>
    <w:rsid w:val="004E561D"/>
    <w:rsid w:val="004E5DDA"/>
    <w:rsid w:val="004F0C62"/>
    <w:rsid w:val="004F37E8"/>
    <w:rsid w:val="004F56DD"/>
    <w:rsid w:val="004F59A7"/>
    <w:rsid w:val="004F6BA0"/>
    <w:rsid w:val="004F7E42"/>
    <w:rsid w:val="00501928"/>
    <w:rsid w:val="00501AB0"/>
    <w:rsid w:val="00501BAB"/>
    <w:rsid w:val="00503BEA"/>
    <w:rsid w:val="005071E0"/>
    <w:rsid w:val="00510E8F"/>
    <w:rsid w:val="00511975"/>
    <w:rsid w:val="005132BE"/>
    <w:rsid w:val="00514118"/>
    <w:rsid w:val="00515009"/>
    <w:rsid w:val="005151FD"/>
    <w:rsid w:val="00515B6B"/>
    <w:rsid w:val="00516CA6"/>
    <w:rsid w:val="00522D8B"/>
    <w:rsid w:val="005234F2"/>
    <w:rsid w:val="00527C26"/>
    <w:rsid w:val="00532A2C"/>
    <w:rsid w:val="00533616"/>
    <w:rsid w:val="005343A8"/>
    <w:rsid w:val="00535ABA"/>
    <w:rsid w:val="0053768B"/>
    <w:rsid w:val="00541BD9"/>
    <w:rsid w:val="005420F2"/>
    <w:rsid w:val="005424AE"/>
    <w:rsid w:val="0054285C"/>
    <w:rsid w:val="00542EE0"/>
    <w:rsid w:val="00543DAA"/>
    <w:rsid w:val="00544FDB"/>
    <w:rsid w:val="005468E4"/>
    <w:rsid w:val="005535B5"/>
    <w:rsid w:val="005542A0"/>
    <w:rsid w:val="00554AD0"/>
    <w:rsid w:val="00555049"/>
    <w:rsid w:val="00555FA7"/>
    <w:rsid w:val="00561B33"/>
    <w:rsid w:val="00562A45"/>
    <w:rsid w:val="00564316"/>
    <w:rsid w:val="00566E3B"/>
    <w:rsid w:val="00567981"/>
    <w:rsid w:val="00570F13"/>
    <w:rsid w:val="00571F1A"/>
    <w:rsid w:val="0057373A"/>
    <w:rsid w:val="005739C2"/>
    <w:rsid w:val="00574D20"/>
    <w:rsid w:val="00576DEC"/>
    <w:rsid w:val="005815DF"/>
    <w:rsid w:val="00583340"/>
    <w:rsid w:val="00583F5D"/>
    <w:rsid w:val="00584173"/>
    <w:rsid w:val="00587CF9"/>
    <w:rsid w:val="00590DE9"/>
    <w:rsid w:val="005930AF"/>
    <w:rsid w:val="00594000"/>
    <w:rsid w:val="00594162"/>
    <w:rsid w:val="00594C73"/>
    <w:rsid w:val="00595520"/>
    <w:rsid w:val="00595C63"/>
    <w:rsid w:val="005A0FA5"/>
    <w:rsid w:val="005A3BC4"/>
    <w:rsid w:val="005A44B9"/>
    <w:rsid w:val="005A652E"/>
    <w:rsid w:val="005A68C2"/>
    <w:rsid w:val="005A712C"/>
    <w:rsid w:val="005A73B0"/>
    <w:rsid w:val="005B18FA"/>
    <w:rsid w:val="005B1BA0"/>
    <w:rsid w:val="005B3512"/>
    <w:rsid w:val="005B3661"/>
    <w:rsid w:val="005B3DB3"/>
    <w:rsid w:val="005B4F95"/>
    <w:rsid w:val="005B565E"/>
    <w:rsid w:val="005B6362"/>
    <w:rsid w:val="005B78DC"/>
    <w:rsid w:val="005C01B1"/>
    <w:rsid w:val="005C0AA1"/>
    <w:rsid w:val="005C39A3"/>
    <w:rsid w:val="005C3F22"/>
    <w:rsid w:val="005C4D3C"/>
    <w:rsid w:val="005C5501"/>
    <w:rsid w:val="005C5DDA"/>
    <w:rsid w:val="005D0DD1"/>
    <w:rsid w:val="005D15CA"/>
    <w:rsid w:val="005D19AC"/>
    <w:rsid w:val="005D56AC"/>
    <w:rsid w:val="005D69DD"/>
    <w:rsid w:val="005E35D5"/>
    <w:rsid w:val="005E4FC7"/>
    <w:rsid w:val="005E6E25"/>
    <w:rsid w:val="005E6EF3"/>
    <w:rsid w:val="005E74C7"/>
    <w:rsid w:val="005F120E"/>
    <w:rsid w:val="005F3066"/>
    <w:rsid w:val="005F3E61"/>
    <w:rsid w:val="005F400F"/>
    <w:rsid w:val="00603434"/>
    <w:rsid w:val="00603E98"/>
    <w:rsid w:val="00604DDD"/>
    <w:rsid w:val="0060612B"/>
    <w:rsid w:val="00606227"/>
    <w:rsid w:val="006101B9"/>
    <w:rsid w:val="006115CC"/>
    <w:rsid w:val="00611CE0"/>
    <w:rsid w:val="00611FC4"/>
    <w:rsid w:val="006176FB"/>
    <w:rsid w:val="006208A5"/>
    <w:rsid w:val="006209EC"/>
    <w:rsid w:val="006259EC"/>
    <w:rsid w:val="00625C14"/>
    <w:rsid w:val="00630DA5"/>
    <w:rsid w:val="00630FCB"/>
    <w:rsid w:val="00634754"/>
    <w:rsid w:val="00635EDE"/>
    <w:rsid w:val="00635EEA"/>
    <w:rsid w:val="00640553"/>
    <w:rsid w:val="00640B26"/>
    <w:rsid w:val="006430B2"/>
    <w:rsid w:val="006432B1"/>
    <w:rsid w:val="006460CA"/>
    <w:rsid w:val="0064660C"/>
    <w:rsid w:val="006466B7"/>
    <w:rsid w:val="006477A1"/>
    <w:rsid w:val="00656496"/>
    <w:rsid w:val="006649C0"/>
    <w:rsid w:val="00666669"/>
    <w:rsid w:val="006704CA"/>
    <w:rsid w:val="00671B4A"/>
    <w:rsid w:val="0067201D"/>
    <w:rsid w:val="006770B2"/>
    <w:rsid w:val="00683B3F"/>
    <w:rsid w:val="0069084E"/>
    <w:rsid w:val="006940E1"/>
    <w:rsid w:val="006A0ADF"/>
    <w:rsid w:val="006A2C0F"/>
    <w:rsid w:val="006A3C72"/>
    <w:rsid w:val="006A439C"/>
    <w:rsid w:val="006A4C77"/>
    <w:rsid w:val="006A6CEF"/>
    <w:rsid w:val="006A7392"/>
    <w:rsid w:val="006B03A1"/>
    <w:rsid w:val="006B18B2"/>
    <w:rsid w:val="006B41E7"/>
    <w:rsid w:val="006B5214"/>
    <w:rsid w:val="006B67D9"/>
    <w:rsid w:val="006B6B7B"/>
    <w:rsid w:val="006B7081"/>
    <w:rsid w:val="006B731F"/>
    <w:rsid w:val="006C2163"/>
    <w:rsid w:val="006C5535"/>
    <w:rsid w:val="006C709A"/>
    <w:rsid w:val="006D0589"/>
    <w:rsid w:val="006D103F"/>
    <w:rsid w:val="006D10D6"/>
    <w:rsid w:val="006D17A3"/>
    <w:rsid w:val="006D3181"/>
    <w:rsid w:val="006D4AD5"/>
    <w:rsid w:val="006D6DFC"/>
    <w:rsid w:val="006E0021"/>
    <w:rsid w:val="006E3DDE"/>
    <w:rsid w:val="006E564B"/>
    <w:rsid w:val="006E7154"/>
    <w:rsid w:val="006E7B02"/>
    <w:rsid w:val="006F129C"/>
    <w:rsid w:val="006F35FE"/>
    <w:rsid w:val="006F6DE2"/>
    <w:rsid w:val="007003AD"/>
    <w:rsid w:val="007003CD"/>
    <w:rsid w:val="0070049E"/>
    <w:rsid w:val="00701137"/>
    <w:rsid w:val="007022A1"/>
    <w:rsid w:val="00702529"/>
    <w:rsid w:val="007045F0"/>
    <w:rsid w:val="0070673F"/>
    <w:rsid w:val="0070701E"/>
    <w:rsid w:val="00711EA5"/>
    <w:rsid w:val="007124CF"/>
    <w:rsid w:val="00720503"/>
    <w:rsid w:val="00723476"/>
    <w:rsid w:val="0072632A"/>
    <w:rsid w:val="0072785D"/>
    <w:rsid w:val="00727E8E"/>
    <w:rsid w:val="00733C4F"/>
    <w:rsid w:val="00734BFB"/>
    <w:rsid w:val="007358E8"/>
    <w:rsid w:val="00736ECE"/>
    <w:rsid w:val="00740999"/>
    <w:rsid w:val="00742A58"/>
    <w:rsid w:val="00742AB6"/>
    <w:rsid w:val="00743DEE"/>
    <w:rsid w:val="0074481D"/>
    <w:rsid w:val="0074533B"/>
    <w:rsid w:val="007465D9"/>
    <w:rsid w:val="00750326"/>
    <w:rsid w:val="00751E03"/>
    <w:rsid w:val="007534FF"/>
    <w:rsid w:val="00756AF3"/>
    <w:rsid w:val="00757998"/>
    <w:rsid w:val="007601C3"/>
    <w:rsid w:val="0076110D"/>
    <w:rsid w:val="0076382A"/>
    <w:rsid w:val="007643BC"/>
    <w:rsid w:val="00767FA7"/>
    <w:rsid w:val="007710C1"/>
    <w:rsid w:val="00772D4C"/>
    <w:rsid w:val="00772E40"/>
    <w:rsid w:val="00775E50"/>
    <w:rsid w:val="00780D07"/>
    <w:rsid w:val="00781FC3"/>
    <w:rsid w:val="0078262F"/>
    <w:rsid w:val="00784CCC"/>
    <w:rsid w:val="00787CA9"/>
    <w:rsid w:val="007950B9"/>
    <w:rsid w:val="007959FE"/>
    <w:rsid w:val="00797289"/>
    <w:rsid w:val="007A0424"/>
    <w:rsid w:val="007A0CF1"/>
    <w:rsid w:val="007A2321"/>
    <w:rsid w:val="007A2F6A"/>
    <w:rsid w:val="007A76A6"/>
    <w:rsid w:val="007B06B3"/>
    <w:rsid w:val="007B65E8"/>
    <w:rsid w:val="007B6BA5"/>
    <w:rsid w:val="007B6E2A"/>
    <w:rsid w:val="007B7ABB"/>
    <w:rsid w:val="007C2324"/>
    <w:rsid w:val="007C3390"/>
    <w:rsid w:val="007C35B1"/>
    <w:rsid w:val="007C3683"/>
    <w:rsid w:val="007C42D8"/>
    <w:rsid w:val="007C4F4B"/>
    <w:rsid w:val="007C6AD5"/>
    <w:rsid w:val="007D01A8"/>
    <w:rsid w:val="007D0C5C"/>
    <w:rsid w:val="007D183F"/>
    <w:rsid w:val="007D259C"/>
    <w:rsid w:val="007D2B0E"/>
    <w:rsid w:val="007D3656"/>
    <w:rsid w:val="007D49C6"/>
    <w:rsid w:val="007D49DA"/>
    <w:rsid w:val="007D5D8D"/>
    <w:rsid w:val="007D7362"/>
    <w:rsid w:val="007E0FAF"/>
    <w:rsid w:val="007E2C37"/>
    <w:rsid w:val="007E552F"/>
    <w:rsid w:val="007F3735"/>
    <w:rsid w:val="007F5CE2"/>
    <w:rsid w:val="007F6611"/>
    <w:rsid w:val="007F67B4"/>
    <w:rsid w:val="007F6EBC"/>
    <w:rsid w:val="007F76DC"/>
    <w:rsid w:val="00800963"/>
    <w:rsid w:val="00801504"/>
    <w:rsid w:val="0080614D"/>
    <w:rsid w:val="0081023B"/>
    <w:rsid w:val="00810BAC"/>
    <w:rsid w:val="00811884"/>
    <w:rsid w:val="00812363"/>
    <w:rsid w:val="00813999"/>
    <w:rsid w:val="00815F7F"/>
    <w:rsid w:val="008175E9"/>
    <w:rsid w:val="00817B12"/>
    <w:rsid w:val="00823E27"/>
    <w:rsid w:val="008242D7"/>
    <w:rsid w:val="00824B1B"/>
    <w:rsid w:val="0082577B"/>
    <w:rsid w:val="00833676"/>
    <w:rsid w:val="00836275"/>
    <w:rsid w:val="00837858"/>
    <w:rsid w:val="00837BB4"/>
    <w:rsid w:val="00840641"/>
    <w:rsid w:val="00841EA7"/>
    <w:rsid w:val="008519DD"/>
    <w:rsid w:val="00851E8D"/>
    <w:rsid w:val="00853521"/>
    <w:rsid w:val="008550F3"/>
    <w:rsid w:val="0085620B"/>
    <w:rsid w:val="00857AE7"/>
    <w:rsid w:val="008625AB"/>
    <w:rsid w:val="00866738"/>
    <w:rsid w:val="00866893"/>
    <w:rsid w:val="00866F02"/>
    <w:rsid w:val="008673DA"/>
    <w:rsid w:val="00867D18"/>
    <w:rsid w:val="00871F9A"/>
    <w:rsid w:val="00871FD5"/>
    <w:rsid w:val="00873286"/>
    <w:rsid w:val="008758CF"/>
    <w:rsid w:val="00880840"/>
    <w:rsid w:val="00881048"/>
    <w:rsid w:val="0088172E"/>
    <w:rsid w:val="00881EFA"/>
    <w:rsid w:val="008854EE"/>
    <w:rsid w:val="00885C73"/>
    <w:rsid w:val="0088702C"/>
    <w:rsid w:val="008879CB"/>
    <w:rsid w:val="00893571"/>
    <w:rsid w:val="00893980"/>
    <w:rsid w:val="00893C73"/>
    <w:rsid w:val="00895014"/>
    <w:rsid w:val="00897574"/>
    <w:rsid w:val="008979B1"/>
    <w:rsid w:val="008A149F"/>
    <w:rsid w:val="008A4987"/>
    <w:rsid w:val="008A52CA"/>
    <w:rsid w:val="008A5653"/>
    <w:rsid w:val="008A6B25"/>
    <w:rsid w:val="008A6C4F"/>
    <w:rsid w:val="008A7949"/>
    <w:rsid w:val="008B389E"/>
    <w:rsid w:val="008C1466"/>
    <w:rsid w:val="008C2DA4"/>
    <w:rsid w:val="008C6510"/>
    <w:rsid w:val="008D045E"/>
    <w:rsid w:val="008D2188"/>
    <w:rsid w:val="008D2EFE"/>
    <w:rsid w:val="008D3F25"/>
    <w:rsid w:val="008D4D82"/>
    <w:rsid w:val="008D4F49"/>
    <w:rsid w:val="008D5A0F"/>
    <w:rsid w:val="008D6E8D"/>
    <w:rsid w:val="008E0E46"/>
    <w:rsid w:val="008E4CB8"/>
    <w:rsid w:val="008E5605"/>
    <w:rsid w:val="008E5EE6"/>
    <w:rsid w:val="008E69B6"/>
    <w:rsid w:val="008E7116"/>
    <w:rsid w:val="008E74CF"/>
    <w:rsid w:val="008E7B48"/>
    <w:rsid w:val="008F033B"/>
    <w:rsid w:val="008F0818"/>
    <w:rsid w:val="008F143B"/>
    <w:rsid w:val="008F1F54"/>
    <w:rsid w:val="008F3881"/>
    <w:rsid w:val="008F3882"/>
    <w:rsid w:val="008F4331"/>
    <w:rsid w:val="008F4B7C"/>
    <w:rsid w:val="009016B2"/>
    <w:rsid w:val="00902B53"/>
    <w:rsid w:val="00905518"/>
    <w:rsid w:val="00907DFF"/>
    <w:rsid w:val="00911002"/>
    <w:rsid w:val="00912C9F"/>
    <w:rsid w:val="00913FA2"/>
    <w:rsid w:val="009165E5"/>
    <w:rsid w:val="00926E47"/>
    <w:rsid w:val="009272B1"/>
    <w:rsid w:val="00930627"/>
    <w:rsid w:val="00930D32"/>
    <w:rsid w:val="00936977"/>
    <w:rsid w:val="009404AF"/>
    <w:rsid w:val="00941252"/>
    <w:rsid w:val="009418E5"/>
    <w:rsid w:val="00947162"/>
    <w:rsid w:val="00950FD4"/>
    <w:rsid w:val="0095616B"/>
    <w:rsid w:val="00956671"/>
    <w:rsid w:val="009610D0"/>
    <w:rsid w:val="0096375C"/>
    <w:rsid w:val="009662E6"/>
    <w:rsid w:val="0097008D"/>
    <w:rsid w:val="0097095E"/>
    <w:rsid w:val="00971AC9"/>
    <w:rsid w:val="00972BC8"/>
    <w:rsid w:val="00975230"/>
    <w:rsid w:val="009845C4"/>
    <w:rsid w:val="00984E8E"/>
    <w:rsid w:val="0098592B"/>
    <w:rsid w:val="00985CBC"/>
    <w:rsid w:val="00985FC4"/>
    <w:rsid w:val="00990766"/>
    <w:rsid w:val="00991261"/>
    <w:rsid w:val="00995B23"/>
    <w:rsid w:val="009964C4"/>
    <w:rsid w:val="009A3A2A"/>
    <w:rsid w:val="009A5236"/>
    <w:rsid w:val="009A5413"/>
    <w:rsid w:val="009A696D"/>
    <w:rsid w:val="009A781E"/>
    <w:rsid w:val="009A7B81"/>
    <w:rsid w:val="009B12B4"/>
    <w:rsid w:val="009B3EA6"/>
    <w:rsid w:val="009C02CA"/>
    <w:rsid w:val="009C0C55"/>
    <w:rsid w:val="009C2824"/>
    <w:rsid w:val="009C3489"/>
    <w:rsid w:val="009C492E"/>
    <w:rsid w:val="009C6D62"/>
    <w:rsid w:val="009D01C0"/>
    <w:rsid w:val="009D245F"/>
    <w:rsid w:val="009D312A"/>
    <w:rsid w:val="009D32A8"/>
    <w:rsid w:val="009D391D"/>
    <w:rsid w:val="009D581E"/>
    <w:rsid w:val="009D6A08"/>
    <w:rsid w:val="009D7429"/>
    <w:rsid w:val="009E0A16"/>
    <w:rsid w:val="009E0DDD"/>
    <w:rsid w:val="009E2A1C"/>
    <w:rsid w:val="009E30C7"/>
    <w:rsid w:val="009E4722"/>
    <w:rsid w:val="009E6CB7"/>
    <w:rsid w:val="009E7970"/>
    <w:rsid w:val="009F0CC2"/>
    <w:rsid w:val="009F0E33"/>
    <w:rsid w:val="009F13F4"/>
    <w:rsid w:val="009F1ABA"/>
    <w:rsid w:val="009F2EAC"/>
    <w:rsid w:val="009F57E3"/>
    <w:rsid w:val="009F6A7B"/>
    <w:rsid w:val="009F6D5B"/>
    <w:rsid w:val="009F7244"/>
    <w:rsid w:val="009F7903"/>
    <w:rsid w:val="00A02E5D"/>
    <w:rsid w:val="00A03817"/>
    <w:rsid w:val="00A05F87"/>
    <w:rsid w:val="00A06E54"/>
    <w:rsid w:val="00A0786F"/>
    <w:rsid w:val="00A10F4F"/>
    <w:rsid w:val="00A11067"/>
    <w:rsid w:val="00A13319"/>
    <w:rsid w:val="00A135E0"/>
    <w:rsid w:val="00A16FF8"/>
    <w:rsid w:val="00A1704A"/>
    <w:rsid w:val="00A17780"/>
    <w:rsid w:val="00A20E68"/>
    <w:rsid w:val="00A218FC"/>
    <w:rsid w:val="00A23E58"/>
    <w:rsid w:val="00A25E0D"/>
    <w:rsid w:val="00A27695"/>
    <w:rsid w:val="00A33F09"/>
    <w:rsid w:val="00A425EB"/>
    <w:rsid w:val="00A42863"/>
    <w:rsid w:val="00A44097"/>
    <w:rsid w:val="00A5380F"/>
    <w:rsid w:val="00A55054"/>
    <w:rsid w:val="00A57452"/>
    <w:rsid w:val="00A639CE"/>
    <w:rsid w:val="00A654FF"/>
    <w:rsid w:val="00A65B71"/>
    <w:rsid w:val="00A66CBA"/>
    <w:rsid w:val="00A7156E"/>
    <w:rsid w:val="00A72F22"/>
    <w:rsid w:val="00A733BC"/>
    <w:rsid w:val="00A748A6"/>
    <w:rsid w:val="00A7506F"/>
    <w:rsid w:val="00A75C42"/>
    <w:rsid w:val="00A76A69"/>
    <w:rsid w:val="00A82C9A"/>
    <w:rsid w:val="00A8519D"/>
    <w:rsid w:val="00A879A4"/>
    <w:rsid w:val="00A93884"/>
    <w:rsid w:val="00A97527"/>
    <w:rsid w:val="00AA0EC3"/>
    <w:rsid w:val="00AA0FF8"/>
    <w:rsid w:val="00AA13E5"/>
    <w:rsid w:val="00AA1BB9"/>
    <w:rsid w:val="00AA6D1E"/>
    <w:rsid w:val="00AB2970"/>
    <w:rsid w:val="00AC0F2C"/>
    <w:rsid w:val="00AC327D"/>
    <w:rsid w:val="00AC4163"/>
    <w:rsid w:val="00AC502A"/>
    <w:rsid w:val="00AC5923"/>
    <w:rsid w:val="00AC66F5"/>
    <w:rsid w:val="00AC76D1"/>
    <w:rsid w:val="00AD1B20"/>
    <w:rsid w:val="00AD54BD"/>
    <w:rsid w:val="00AE1D38"/>
    <w:rsid w:val="00AE3647"/>
    <w:rsid w:val="00AE752D"/>
    <w:rsid w:val="00AE7637"/>
    <w:rsid w:val="00AF0E18"/>
    <w:rsid w:val="00AF58C1"/>
    <w:rsid w:val="00AF64AF"/>
    <w:rsid w:val="00AF7047"/>
    <w:rsid w:val="00B008AF"/>
    <w:rsid w:val="00B0131A"/>
    <w:rsid w:val="00B02768"/>
    <w:rsid w:val="00B02E03"/>
    <w:rsid w:val="00B02E4A"/>
    <w:rsid w:val="00B03159"/>
    <w:rsid w:val="00B0327B"/>
    <w:rsid w:val="00B04A3F"/>
    <w:rsid w:val="00B051B5"/>
    <w:rsid w:val="00B058CB"/>
    <w:rsid w:val="00B06643"/>
    <w:rsid w:val="00B10404"/>
    <w:rsid w:val="00B10953"/>
    <w:rsid w:val="00B12F4B"/>
    <w:rsid w:val="00B137A9"/>
    <w:rsid w:val="00B13E48"/>
    <w:rsid w:val="00B15055"/>
    <w:rsid w:val="00B162F3"/>
    <w:rsid w:val="00B201D0"/>
    <w:rsid w:val="00B20A67"/>
    <w:rsid w:val="00B21BD8"/>
    <w:rsid w:val="00B25D45"/>
    <w:rsid w:val="00B30179"/>
    <w:rsid w:val="00B33BFC"/>
    <w:rsid w:val="00B35F4C"/>
    <w:rsid w:val="00B37B15"/>
    <w:rsid w:val="00B4030B"/>
    <w:rsid w:val="00B425AB"/>
    <w:rsid w:val="00B42E69"/>
    <w:rsid w:val="00B43929"/>
    <w:rsid w:val="00B44436"/>
    <w:rsid w:val="00B45C02"/>
    <w:rsid w:val="00B519FB"/>
    <w:rsid w:val="00B539E9"/>
    <w:rsid w:val="00B5512E"/>
    <w:rsid w:val="00B55B1D"/>
    <w:rsid w:val="00B601F3"/>
    <w:rsid w:val="00B64B01"/>
    <w:rsid w:val="00B67526"/>
    <w:rsid w:val="00B677B3"/>
    <w:rsid w:val="00B71B79"/>
    <w:rsid w:val="00B72A1E"/>
    <w:rsid w:val="00B73AB8"/>
    <w:rsid w:val="00B818AC"/>
    <w:rsid w:val="00B81E12"/>
    <w:rsid w:val="00B827E8"/>
    <w:rsid w:val="00B8353A"/>
    <w:rsid w:val="00B8395A"/>
    <w:rsid w:val="00B870E0"/>
    <w:rsid w:val="00B90E9D"/>
    <w:rsid w:val="00B914A9"/>
    <w:rsid w:val="00B92CCE"/>
    <w:rsid w:val="00BA3377"/>
    <w:rsid w:val="00BA339B"/>
    <w:rsid w:val="00BA63C3"/>
    <w:rsid w:val="00BA7085"/>
    <w:rsid w:val="00BB40EC"/>
    <w:rsid w:val="00BB50DE"/>
    <w:rsid w:val="00BB54B3"/>
    <w:rsid w:val="00BC1E7E"/>
    <w:rsid w:val="00BC2A35"/>
    <w:rsid w:val="00BC74E9"/>
    <w:rsid w:val="00BD0D81"/>
    <w:rsid w:val="00BD17EC"/>
    <w:rsid w:val="00BD1E93"/>
    <w:rsid w:val="00BD27C0"/>
    <w:rsid w:val="00BD4057"/>
    <w:rsid w:val="00BD6A4C"/>
    <w:rsid w:val="00BE227B"/>
    <w:rsid w:val="00BE36A9"/>
    <w:rsid w:val="00BE618E"/>
    <w:rsid w:val="00BE7BEC"/>
    <w:rsid w:val="00BF0A5A"/>
    <w:rsid w:val="00BF0E63"/>
    <w:rsid w:val="00BF1197"/>
    <w:rsid w:val="00BF12A3"/>
    <w:rsid w:val="00BF16D7"/>
    <w:rsid w:val="00BF2373"/>
    <w:rsid w:val="00BF2B0F"/>
    <w:rsid w:val="00BF2BD1"/>
    <w:rsid w:val="00BF6603"/>
    <w:rsid w:val="00BF6E25"/>
    <w:rsid w:val="00C02E49"/>
    <w:rsid w:val="00C033E9"/>
    <w:rsid w:val="00C044E2"/>
    <w:rsid w:val="00C048CB"/>
    <w:rsid w:val="00C059B7"/>
    <w:rsid w:val="00C066F3"/>
    <w:rsid w:val="00C112EC"/>
    <w:rsid w:val="00C150EC"/>
    <w:rsid w:val="00C2014F"/>
    <w:rsid w:val="00C22A61"/>
    <w:rsid w:val="00C25DE8"/>
    <w:rsid w:val="00C30F5A"/>
    <w:rsid w:val="00C31732"/>
    <w:rsid w:val="00C33653"/>
    <w:rsid w:val="00C37EF2"/>
    <w:rsid w:val="00C41A81"/>
    <w:rsid w:val="00C4293C"/>
    <w:rsid w:val="00C43C7F"/>
    <w:rsid w:val="00C45524"/>
    <w:rsid w:val="00C463DD"/>
    <w:rsid w:val="00C46AB9"/>
    <w:rsid w:val="00C5066C"/>
    <w:rsid w:val="00C52654"/>
    <w:rsid w:val="00C538C5"/>
    <w:rsid w:val="00C54664"/>
    <w:rsid w:val="00C62037"/>
    <w:rsid w:val="00C632FB"/>
    <w:rsid w:val="00C641C3"/>
    <w:rsid w:val="00C64F8A"/>
    <w:rsid w:val="00C669E7"/>
    <w:rsid w:val="00C70001"/>
    <w:rsid w:val="00C745C3"/>
    <w:rsid w:val="00C75C30"/>
    <w:rsid w:val="00C82C64"/>
    <w:rsid w:val="00C9015C"/>
    <w:rsid w:val="00C92491"/>
    <w:rsid w:val="00C92B0E"/>
    <w:rsid w:val="00C93ED2"/>
    <w:rsid w:val="00C94672"/>
    <w:rsid w:val="00C973EE"/>
    <w:rsid w:val="00C97CFD"/>
    <w:rsid w:val="00CA1D84"/>
    <w:rsid w:val="00CA24A4"/>
    <w:rsid w:val="00CA6C95"/>
    <w:rsid w:val="00CB0439"/>
    <w:rsid w:val="00CB0A07"/>
    <w:rsid w:val="00CB117A"/>
    <w:rsid w:val="00CB13BC"/>
    <w:rsid w:val="00CB348D"/>
    <w:rsid w:val="00CB6D40"/>
    <w:rsid w:val="00CB70A5"/>
    <w:rsid w:val="00CB7420"/>
    <w:rsid w:val="00CB7ECC"/>
    <w:rsid w:val="00CC1CC8"/>
    <w:rsid w:val="00CC2B21"/>
    <w:rsid w:val="00CC31CB"/>
    <w:rsid w:val="00CC3F4B"/>
    <w:rsid w:val="00CC73DA"/>
    <w:rsid w:val="00CD09DB"/>
    <w:rsid w:val="00CD178E"/>
    <w:rsid w:val="00CD2432"/>
    <w:rsid w:val="00CD46F5"/>
    <w:rsid w:val="00CD67C3"/>
    <w:rsid w:val="00CD704C"/>
    <w:rsid w:val="00CE1869"/>
    <w:rsid w:val="00CE1DE6"/>
    <w:rsid w:val="00CE2138"/>
    <w:rsid w:val="00CE2150"/>
    <w:rsid w:val="00CE2522"/>
    <w:rsid w:val="00CE284B"/>
    <w:rsid w:val="00CE4A8F"/>
    <w:rsid w:val="00CE5338"/>
    <w:rsid w:val="00CE63FA"/>
    <w:rsid w:val="00CF071D"/>
    <w:rsid w:val="00CF3914"/>
    <w:rsid w:val="00CF45CE"/>
    <w:rsid w:val="00CF4FD9"/>
    <w:rsid w:val="00CF5B62"/>
    <w:rsid w:val="00D005B0"/>
    <w:rsid w:val="00D04CA2"/>
    <w:rsid w:val="00D1010F"/>
    <w:rsid w:val="00D12E63"/>
    <w:rsid w:val="00D15B04"/>
    <w:rsid w:val="00D17EF1"/>
    <w:rsid w:val="00D2031B"/>
    <w:rsid w:val="00D20E9A"/>
    <w:rsid w:val="00D234D7"/>
    <w:rsid w:val="00D25C6F"/>
    <w:rsid w:val="00D25FE2"/>
    <w:rsid w:val="00D264AF"/>
    <w:rsid w:val="00D312FB"/>
    <w:rsid w:val="00D32D81"/>
    <w:rsid w:val="00D37DA9"/>
    <w:rsid w:val="00D406A7"/>
    <w:rsid w:val="00D417E3"/>
    <w:rsid w:val="00D43252"/>
    <w:rsid w:val="00D432E6"/>
    <w:rsid w:val="00D433C4"/>
    <w:rsid w:val="00D43EA8"/>
    <w:rsid w:val="00D44B8D"/>
    <w:rsid w:val="00D44D86"/>
    <w:rsid w:val="00D4521B"/>
    <w:rsid w:val="00D50B7D"/>
    <w:rsid w:val="00D50E19"/>
    <w:rsid w:val="00D52012"/>
    <w:rsid w:val="00D52450"/>
    <w:rsid w:val="00D54D9D"/>
    <w:rsid w:val="00D62F88"/>
    <w:rsid w:val="00D63A39"/>
    <w:rsid w:val="00D64F66"/>
    <w:rsid w:val="00D65158"/>
    <w:rsid w:val="00D67230"/>
    <w:rsid w:val="00D704E5"/>
    <w:rsid w:val="00D719B7"/>
    <w:rsid w:val="00D72727"/>
    <w:rsid w:val="00D72794"/>
    <w:rsid w:val="00D74AAD"/>
    <w:rsid w:val="00D82EBC"/>
    <w:rsid w:val="00D84B94"/>
    <w:rsid w:val="00D85688"/>
    <w:rsid w:val="00D85BD2"/>
    <w:rsid w:val="00D86C2A"/>
    <w:rsid w:val="00D86D91"/>
    <w:rsid w:val="00D90E02"/>
    <w:rsid w:val="00D91320"/>
    <w:rsid w:val="00D9334B"/>
    <w:rsid w:val="00D978C6"/>
    <w:rsid w:val="00DA00BA"/>
    <w:rsid w:val="00DA0956"/>
    <w:rsid w:val="00DA2474"/>
    <w:rsid w:val="00DA3239"/>
    <w:rsid w:val="00DA357F"/>
    <w:rsid w:val="00DA3980"/>
    <w:rsid w:val="00DA3E12"/>
    <w:rsid w:val="00DA4518"/>
    <w:rsid w:val="00DB0D7D"/>
    <w:rsid w:val="00DB0FEB"/>
    <w:rsid w:val="00DB7863"/>
    <w:rsid w:val="00DC18AD"/>
    <w:rsid w:val="00DC2485"/>
    <w:rsid w:val="00DC4CA6"/>
    <w:rsid w:val="00DC5E5E"/>
    <w:rsid w:val="00DC69C2"/>
    <w:rsid w:val="00DD6D87"/>
    <w:rsid w:val="00DD6E9B"/>
    <w:rsid w:val="00DD73D7"/>
    <w:rsid w:val="00DE013D"/>
    <w:rsid w:val="00DE17FF"/>
    <w:rsid w:val="00DE3F24"/>
    <w:rsid w:val="00DE6248"/>
    <w:rsid w:val="00DF0483"/>
    <w:rsid w:val="00DF4070"/>
    <w:rsid w:val="00DF7CAE"/>
    <w:rsid w:val="00E0065F"/>
    <w:rsid w:val="00E06F6D"/>
    <w:rsid w:val="00E105F2"/>
    <w:rsid w:val="00E13503"/>
    <w:rsid w:val="00E16304"/>
    <w:rsid w:val="00E225B2"/>
    <w:rsid w:val="00E25357"/>
    <w:rsid w:val="00E262EC"/>
    <w:rsid w:val="00E2775E"/>
    <w:rsid w:val="00E31177"/>
    <w:rsid w:val="00E311A0"/>
    <w:rsid w:val="00E40B25"/>
    <w:rsid w:val="00E40C41"/>
    <w:rsid w:val="00E41027"/>
    <w:rsid w:val="00E41E65"/>
    <w:rsid w:val="00E423C0"/>
    <w:rsid w:val="00E424CB"/>
    <w:rsid w:val="00E43B3C"/>
    <w:rsid w:val="00E44CF5"/>
    <w:rsid w:val="00E4526D"/>
    <w:rsid w:val="00E548A6"/>
    <w:rsid w:val="00E6414C"/>
    <w:rsid w:val="00E65F06"/>
    <w:rsid w:val="00E66A74"/>
    <w:rsid w:val="00E66D4B"/>
    <w:rsid w:val="00E67AED"/>
    <w:rsid w:val="00E7260F"/>
    <w:rsid w:val="00E752DF"/>
    <w:rsid w:val="00E75643"/>
    <w:rsid w:val="00E76327"/>
    <w:rsid w:val="00E7754E"/>
    <w:rsid w:val="00E7785F"/>
    <w:rsid w:val="00E80E75"/>
    <w:rsid w:val="00E85622"/>
    <w:rsid w:val="00E859C5"/>
    <w:rsid w:val="00E8702D"/>
    <w:rsid w:val="00E902F6"/>
    <w:rsid w:val="00E90F0C"/>
    <w:rsid w:val="00E911EE"/>
    <w:rsid w:val="00E916A9"/>
    <w:rsid w:val="00E916DE"/>
    <w:rsid w:val="00E925AD"/>
    <w:rsid w:val="00E9394E"/>
    <w:rsid w:val="00E944B4"/>
    <w:rsid w:val="00E95109"/>
    <w:rsid w:val="00E96630"/>
    <w:rsid w:val="00EA1945"/>
    <w:rsid w:val="00EA66D1"/>
    <w:rsid w:val="00EA685C"/>
    <w:rsid w:val="00EB02D5"/>
    <w:rsid w:val="00EB083C"/>
    <w:rsid w:val="00EB1FD8"/>
    <w:rsid w:val="00EB768B"/>
    <w:rsid w:val="00EC2BB4"/>
    <w:rsid w:val="00EC6A88"/>
    <w:rsid w:val="00EC7250"/>
    <w:rsid w:val="00EC7BFF"/>
    <w:rsid w:val="00ED18DC"/>
    <w:rsid w:val="00ED2842"/>
    <w:rsid w:val="00ED296E"/>
    <w:rsid w:val="00ED34C2"/>
    <w:rsid w:val="00ED4299"/>
    <w:rsid w:val="00ED6201"/>
    <w:rsid w:val="00ED6910"/>
    <w:rsid w:val="00ED7898"/>
    <w:rsid w:val="00ED7A2A"/>
    <w:rsid w:val="00EE0EAA"/>
    <w:rsid w:val="00EF0AB7"/>
    <w:rsid w:val="00EF1D7F"/>
    <w:rsid w:val="00EF2D67"/>
    <w:rsid w:val="00EF44B8"/>
    <w:rsid w:val="00EF6709"/>
    <w:rsid w:val="00EF7251"/>
    <w:rsid w:val="00F0137E"/>
    <w:rsid w:val="00F019C9"/>
    <w:rsid w:val="00F03A47"/>
    <w:rsid w:val="00F03E15"/>
    <w:rsid w:val="00F17460"/>
    <w:rsid w:val="00F21786"/>
    <w:rsid w:val="00F24879"/>
    <w:rsid w:val="00F25A62"/>
    <w:rsid w:val="00F2706E"/>
    <w:rsid w:val="00F305F5"/>
    <w:rsid w:val="00F317A8"/>
    <w:rsid w:val="00F31AA6"/>
    <w:rsid w:val="00F3742B"/>
    <w:rsid w:val="00F4076F"/>
    <w:rsid w:val="00F40D98"/>
    <w:rsid w:val="00F41FDB"/>
    <w:rsid w:val="00F44631"/>
    <w:rsid w:val="00F451A3"/>
    <w:rsid w:val="00F45C5E"/>
    <w:rsid w:val="00F4780D"/>
    <w:rsid w:val="00F507EC"/>
    <w:rsid w:val="00F5353D"/>
    <w:rsid w:val="00F56D63"/>
    <w:rsid w:val="00F609A9"/>
    <w:rsid w:val="00F60C0E"/>
    <w:rsid w:val="00F70D80"/>
    <w:rsid w:val="00F72469"/>
    <w:rsid w:val="00F7260D"/>
    <w:rsid w:val="00F73AAD"/>
    <w:rsid w:val="00F77825"/>
    <w:rsid w:val="00F80369"/>
    <w:rsid w:val="00F80C99"/>
    <w:rsid w:val="00F82843"/>
    <w:rsid w:val="00F829C5"/>
    <w:rsid w:val="00F82CDC"/>
    <w:rsid w:val="00F84890"/>
    <w:rsid w:val="00F857ED"/>
    <w:rsid w:val="00F867EC"/>
    <w:rsid w:val="00F86B2F"/>
    <w:rsid w:val="00F91B2B"/>
    <w:rsid w:val="00F91C45"/>
    <w:rsid w:val="00F926FB"/>
    <w:rsid w:val="00F93400"/>
    <w:rsid w:val="00F93705"/>
    <w:rsid w:val="00F945BF"/>
    <w:rsid w:val="00F94E13"/>
    <w:rsid w:val="00FB2802"/>
    <w:rsid w:val="00FB28B8"/>
    <w:rsid w:val="00FB3708"/>
    <w:rsid w:val="00FB3724"/>
    <w:rsid w:val="00FB6075"/>
    <w:rsid w:val="00FB6D4A"/>
    <w:rsid w:val="00FB6FC4"/>
    <w:rsid w:val="00FB784B"/>
    <w:rsid w:val="00FC03CD"/>
    <w:rsid w:val="00FC0646"/>
    <w:rsid w:val="00FC0CE1"/>
    <w:rsid w:val="00FC12EA"/>
    <w:rsid w:val="00FC26AF"/>
    <w:rsid w:val="00FC469D"/>
    <w:rsid w:val="00FC6786"/>
    <w:rsid w:val="00FC68B7"/>
    <w:rsid w:val="00FD02E4"/>
    <w:rsid w:val="00FD222E"/>
    <w:rsid w:val="00FD2A8C"/>
    <w:rsid w:val="00FD43F4"/>
    <w:rsid w:val="00FD75B7"/>
    <w:rsid w:val="00FE24CA"/>
    <w:rsid w:val="00FE6985"/>
    <w:rsid w:val="00FF0374"/>
    <w:rsid w:val="00FF36A7"/>
    <w:rsid w:val="00FF4515"/>
    <w:rsid w:val="00FF74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A220"/>
  <w15:chartTrackingRefBased/>
  <w15:docId w15:val="{82539CED-D775-4F7B-8610-628D644F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endnote text"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DEE"/>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48161B"/>
    <w:rPr>
      <w:b/>
      <w:sz w:val="28"/>
      <w:lang w:val="en-GB" w:eastAsia="en-US" w:bidi="ar-SA"/>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3"/>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594C73"/>
    <w:rPr>
      <w:rFonts w:ascii="Tahoma" w:hAnsi="Tahoma" w:cs="Tahoma"/>
      <w:sz w:val="16"/>
      <w:szCs w:val="16"/>
    </w:rPr>
  </w:style>
  <w:style w:type="character" w:styleId="Strong">
    <w:name w:val="Strong"/>
    <w:uiPriority w:val="22"/>
    <w:qFormat/>
    <w:rsid w:val="00E4526D"/>
    <w:rPr>
      <w:b/>
      <w:bCs/>
    </w:rPr>
  </w:style>
  <w:style w:type="paragraph" w:customStyle="1" w:styleId="Default">
    <w:name w:val="Default"/>
    <w:rsid w:val="002D12CB"/>
    <w:pPr>
      <w:autoSpaceDE w:val="0"/>
      <w:autoSpaceDN w:val="0"/>
      <w:adjustRightInd w:val="0"/>
    </w:pPr>
    <w:rPr>
      <w:color w:val="000000"/>
      <w:sz w:val="24"/>
      <w:szCs w:val="24"/>
      <w:lang w:eastAsia="en-GB"/>
    </w:rPr>
  </w:style>
  <w:style w:type="paragraph" w:customStyle="1" w:styleId="ExecutiveSummaryHeading">
    <w:name w:val="Executive Summary Heading"/>
    <w:basedOn w:val="Normal"/>
    <w:next w:val="BodyText"/>
    <w:uiPriority w:val="99"/>
    <w:rsid w:val="000C3310"/>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styleId="BodyText">
    <w:name w:val="Body Text"/>
    <w:basedOn w:val="Normal"/>
    <w:link w:val="BodyTextChar"/>
    <w:rsid w:val="000C3310"/>
    <w:pPr>
      <w:spacing w:after="120"/>
    </w:pPr>
  </w:style>
  <w:style w:type="character" w:customStyle="1" w:styleId="BodyTextChar">
    <w:name w:val="Body Text Char"/>
    <w:link w:val="BodyText"/>
    <w:rsid w:val="000C3310"/>
    <w:rPr>
      <w:lang w:eastAsia="en-US"/>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link w:val="FootnoteText"/>
    <w:rsid w:val="002933D9"/>
    <w:rPr>
      <w:sz w:val="18"/>
      <w:lang w:eastAsia="en-US"/>
    </w:rPr>
  </w:style>
  <w:style w:type="character" w:customStyle="1" w:styleId="H1GChar">
    <w:name w:val="_ H_1_G Char"/>
    <w:link w:val="H1G"/>
    <w:rsid w:val="002933D9"/>
    <w:rPr>
      <w:b/>
      <w:sz w:val="24"/>
      <w:lang w:eastAsia="en-US"/>
    </w:rPr>
  </w:style>
  <w:style w:type="paragraph" w:customStyle="1" w:styleId="bodytext0">
    <w:name w:val="bodytext"/>
    <w:basedOn w:val="Normal"/>
    <w:rsid w:val="000E5A17"/>
    <w:pPr>
      <w:suppressAutoHyphens w:val="0"/>
      <w:spacing w:before="100" w:beforeAutospacing="1" w:after="100" w:afterAutospacing="1" w:line="240" w:lineRule="auto"/>
    </w:pPr>
    <w:rPr>
      <w:sz w:val="24"/>
      <w:szCs w:val="24"/>
      <w:lang w:eastAsia="en-GB"/>
    </w:rPr>
  </w:style>
  <w:style w:type="paragraph" w:styleId="NormalWeb">
    <w:name w:val="Normal (Web)"/>
    <w:basedOn w:val="Normal"/>
    <w:uiPriority w:val="99"/>
    <w:unhideWhenUsed/>
    <w:rsid w:val="000E5A17"/>
    <w:pPr>
      <w:suppressAutoHyphens w:val="0"/>
      <w:spacing w:before="100" w:beforeAutospacing="1" w:after="100" w:afterAutospacing="1" w:line="240" w:lineRule="auto"/>
    </w:pPr>
    <w:rPr>
      <w:sz w:val="24"/>
      <w:szCs w:val="24"/>
      <w:lang w:eastAsia="en-GB"/>
    </w:rPr>
  </w:style>
  <w:style w:type="character" w:styleId="CommentReference">
    <w:name w:val="annotation reference"/>
    <w:rsid w:val="00727E8E"/>
    <w:rPr>
      <w:sz w:val="16"/>
      <w:szCs w:val="16"/>
    </w:rPr>
  </w:style>
  <w:style w:type="paragraph" w:styleId="CommentText">
    <w:name w:val="annotation text"/>
    <w:basedOn w:val="Normal"/>
    <w:link w:val="CommentTextChar"/>
    <w:rsid w:val="00727E8E"/>
  </w:style>
  <w:style w:type="character" w:customStyle="1" w:styleId="CommentTextChar">
    <w:name w:val="Comment Text Char"/>
    <w:link w:val="CommentText"/>
    <w:rsid w:val="00727E8E"/>
    <w:rPr>
      <w:lang w:eastAsia="en-US"/>
    </w:rPr>
  </w:style>
  <w:style w:type="paragraph" w:styleId="CommentSubject">
    <w:name w:val="annotation subject"/>
    <w:basedOn w:val="CommentText"/>
    <w:next w:val="CommentText"/>
    <w:link w:val="CommentSubjectChar"/>
    <w:rsid w:val="00727E8E"/>
    <w:rPr>
      <w:b/>
      <w:bCs/>
    </w:rPr>
  </w:style>
  <w:style w:type="character" w:customStyle="1" w:styleId="CommentSubjectChar">
    <w:name w:val="Comment Subject Char"/>
    <w:link w:val="CommentSubject"/>
    <w:rsid w:val="00727E8E"/>
    <w:rPr>
      <w:b/>
      <w:bCs/>
      <w:lang w:eastAsia="en-US"/>
    </w:rPr>
  </w:style>
  <w:style w:type="paragraph" w:styleId="ListParagraph">
    <w:name w:val="List Paragraph"/>
    <w:basedOn w:val="Normal"/>
    <w:uiPriority w:val="34"/>
    <w:qFormat/>
    <w:rsid w:val="00BD0D81"/>
    <w:pPr>
      <w:ind w:left="720"/>
    </w:pPr>
  </w:style>
  <w:style w:type="character" w:customStyle="1" w:styleId="SingleTxtGChar">
    <w:name w:val="_ Single Txt_G Char"/>
    <w:link w:val="SingleTxtG"/>
    <w:rsid w:val="00BD0D81"/>
    <w:rPr>
      <w:lang w:eastAsia="en-US"/>
    </w:rPr>
  </w:style>
  <w:style w:type="character" w:styleId="UnresolvedMention">
    <w:name w:val="Unresolved Mention"/>
    <w:uiPriority w:val="99"/>
    <w:semiHidden/>
    <w:unhideWhenUsed/>
    <w:rsid w:val="0026299A"/>
    <w:rPr>
      <w:color w:val="605E5C"/>
      <w:shd w:val="clear" w:color="auto" w:fill="E1DFDD"/>
    </w:rPr>
  </w:style>
  <w:style w:type="character" w:customStyle="1" w:styleId="H23GChar">
    <w:name w:val="_ H_2/3_G Char"/>
    <w:link w:val="H23G"/>
    <w:rsid w:val="00CB70A5"/>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6276">
      <w:bodyDiv w:val="1"/>
      <w:marLeft w:val="0"/>
      <w:marRight w:val="0"/>
      <w:marTop w:val="0"/>
      <w:marBottom w:val="0"/>
      <w:divBdr>
        <w:top w:val="none" w:sz="0" w:space="0" w:color="auto"/>
        <w:left w:val="none" w:sz="0" w:space="0" w:color="auto"/>
        <w:bottom w:val="none" w:sz="0" w:space="0" w:color="auto"/>
        <w:right w:val="none" w:sz="0" w:space="0" w:color="auto"/>
      </w:divBdr>
      <w:divsChild>
        <w:div w:id="33039513">
          <w:marLeft w:val="0"/>
          <w:marRight w:val="0"/>
          <w:marTop w:val="0"/>
          <w:marBottom w:val="0"/>
          <w:divBdr>
            <w:top w:val="none" w:sz="0" w:space="0" w:color="auto"/>
            <w:left w:val="none" w:sz="0" w:space="0" w:color="auto"/>
            <w:bottom w:val="none" w:sz="0" w:space="0" w:color="auto"/>
            <w:right w:val="none" w:sz="0" w:space="0" w:color="auto"/>
          </w:divBdr>
        </w:div>
        <w:div w:id="91974881">
          <w:marLeft w:val="0"/>
          <w:marRight w:val="0"/>
          <w:marTop w:val="0"/>
          <w:marBottom w:val="0"/>
          <w:divBdr>
            <w:top w:val="none" w:sz="0" w:space="0" w:color="auto"/>
            <w:left w:val="none" w:sz="0" w:space="0" w:color="auto"/>
            <w:bottom w:val="none" w:sz="0" w:space="0" w:color="auto"/>
            <w:right w:val="none" w:sz="0" w:space="0" w:color="auto"/>
          </w:divBdr>
        </w:div>
        <w:div w:id="191043560">
          <w:marLeft w:val="0"/>
          <w:marRight w:val="0"/>
          <w:marTop w:val="0"/>
          <w:marBottom w:val="0"/>
          <w:divBdr>
            <w:top w:val="none" w:sz="0" w:space="0" w:color="auto"/>
            <w:left w:val="none" w:sz="0" w:space="0" w:color="auto"/>
            <w:bottom w:val="none" w:sz="0" w:space="0" w:color="auto"/>
            <w:right w:val="none" w:sz="0" w:space="0" w:color="auto"/>
          </w:divBdr>
        </w:div>
        <w:div w:id="202450099">
          <w:marLeft w:val="0"/>
          <w:marRight w:val="0"/>
          <w:marTop w:val="0"/>
          <w:marBottom w:val="0"/>
          <w:divBdr>
            <w:top w:val="none" w:sz="0" w:space="0" w:color="auto"/>
            <w:left w:val="none" w:sz="0" w:space="0" w:color="auto"/>
            <w:bottom w:val="none" w:sz="0" w:space="0" w:color="auto"/>
            <w:right w:val="none" w:sz="0" w:space="0" w:color="auto"/>
          </w:divBdr>
        </w:div>
        <w:div w:id="379210309">
          <w:marLeft w:val="0"/>
          <w:marRight w:val="0"/>
          <w:marTop w:val="0"/>
          <w:marBottom w:val="0"/>
          <w:divBdr>
            <w:top w:val="none" w:sz="0" w:space="0" w:color="auto"/>
            <w:left w:val="none" w:sz="0" w:space="0" w:color="auto"/>
            <w:bottom w:val="none" w:sz="0" w:space="0" w:color="auto"/>
            <w:right w:val="none" w:sz="0" w:space="0" w:color="auto"/>
          </w:divBdr>
        </w:div>
        <w:div w:id="451636058">
          <w:marLeft w:val="0"/>
          <w:marRight w:val="0"/>
          <w:marTop w:val="0"/>
          <w:marBottom w:val="0"/>
          <w:divBdr>
            <w:top w:val="none" w:sz="0" w:space="0" w:color="auto"/>
            <w:left w:val="none" w:sz="0" w:space="0" w:color="auto"/>
            <w:bottom w:val="none" w:sz="0" w:space="0" w:color="auto"/>
            <w:right w:val="none" w:sz="0" w:space="0" w:color="auto"/>
          </w:divBdr>
        </w:div>
        <w:div w:id="598415676">
          <w:marLeft w:val="0"/>
          <w:marRight w:val="0"/>
          <w:marTop w:val="0"/>
          <w:marBottom w:val="0"/>
          <w:divBdr>
            <w:top w:val="none" w:sz="0" w:space="0" w:color="auto"/>
            <w:left w:val="none" w:sz="0" w:space="0" w:color="auto"/>
            <w:bottom w:val="none" w:sz="0" w:space="0" w:color="auto"/>
            <w:right w:val="none" w:sz="0" w:space="0" w:color="auto"/>
          </w:divBdr>
        </w:div>
        <w:div w:id="740369744">
          <w:marLeft w:val="0"/>
          <w:marRight w:val="0"/>
          <w:marTop w:val="0"/>
          <w:marBottom w:val="0"/>
          <w:divBdr>
            <w:top w:val="none" w:sz="0" w:space="0" w:color="auto"/>
            <w:left w:val="none" w:sz="0" w:space="0" w:color="auto"/>
            <w:bottom w:val="none" w:sz="0" w:space="0" w:color="auto"/>
            <w:right w:val="none" w:sz="0" w:space="0" w:color="auto"/>
          </w:divBdr>
        </w:div>
        <w:div w:id="855965781">
          <w:marLeft w:val="0"/>
          <w:marRight w:val="0"/>
          <w:marTop w:val="0"/>
          <w:marBottom w:val="0"/>
          <w:divBdr>
            <w:top w:val="none" w:sz="0" w:space="0" w:color="auto"/>
            <w:left w:val="none" w:sz="0" w:space="0" w:color="auto"/>
            <w:bottom w:val="none" w:sz="0" w:space="0" w:color="auto"/>
            <w:right w:val="none" w:sz="0" w:space="0" w:color="auto"/>
          </w:divBdr>
        </w:div>
        <w:div w:id="1029598761">
          <w:marLeft w:val="0"/>
          <w:marRight w:val="0"/>
          <w:marTop w:val="0"/>
          <w:marBottom w:val="0"/>
          <w:divBdr>
            <w:top w:val="none" w:sz="0" w:space="0" w:color="auto"/>
            <w:left w:val="none" w:sz="0" w:space="0" w:color="auto"/>
            <w:bottom w:val="none" w:sz="0" w:space="0" w:color="auto"/>
            <w:right w:val="none" w:sz="0" w:space="0" w:color="auto"/>
          </w:divBdr>
        </w:div>
        <w:div w:id="1205408612">
          <w:marLeft w:val="0"/>
          <w:marRight w:val="0"/>
          <w:marTop w:val="0"/>
          <w:marBottom w:val="0"/>
          <w:divBdr>
            <w:top w:val="none" w:sz="0" w:space="0" w:color="auto"/>
            <w:left w:val="none" w:sz="0" w:space="0" w:color="auto"/>
            <w:bottom w:val="none" w:sz="0" w:space="0" w:color="auto"/>
            <w:right w:val="none" w:sz="0" w:space="0" w:color="auto"/>
          </w:divBdr>
        </w:div>
        <w:div w:id="1391610872">
          <w:marLeft w:val="0"/>
          <w:marRight w:val="0"/>
          <w:marTop w:val="0"/>
          <w:marBottom w:val="0"/>
          <w:divBdr>
            <w:top w:val="none" w:sz="0" w:space="0" w:color="auto"/>
            <w:left w:val="none" w:sz="0" w:space="0" w:color="auto"/>
            <w:bottom w:val="none" w:sz="0" w:space="0" w:color="auto"/>
            <w:right w:val="none" w:sz="0" w:space="0" w:color="auto"/>
          </w:divBdr>
        </w:div>
        <w:div w:id="1457136883">
          <w:marLeft w:val="0"/>
          <w:marRight w:val="0"/>
          <w:marTop w:val="0"/>
          <w:marBottom w:val="0"/>
          <w:divBdr>
            <w:top w:val="none" w:sz="0" w:space="0" w:color="auto"/>
            <w:left w:val="none" w:sz="0" w:space="0" w:color="auto"/>
            <w:bottom w:val="none" w:sz="0" w:space="0" w:color="auto"/>
            <w:right w:val="none" w:sz="0" w:space="0" w:color="auto"/>
          </w:divBdr>
        </w:div>
        <w:div w:id="1642078197">
          <w:marLeft w:val="0"/>
          <w:marRight w:val="0"/>
          <w:marTop w:val="0"/>
          <w:marBottom w:val="0"/>
          <w:divBdr>
            <w:top w:val="none" w:sz="0" w:space="0" w:color="auto"/>
            <w:left w:val="none" w:sz="0" w:space="0" w:color="auto"/>
            <w:bottom w:val="none" w:sz="0" w:space="0" w:color="auto"/>
            <w:right w:val="none" w:sz="0" w:space="0" w:color="auto"/>
          </w:divBdr>
        </w:div>
        <w:div w:id="1648320938">
          <w:marLeft w:val="0"/>
          <w:marRight w:val="0"/>
          <w:marTop w:val="0"/>
          <w:marBottom w:val="0"/>
          <w:divBdr>
            <w:top w:val="none" w:sz="0" w:space="0" w:color="auto"/>
            <w:left w:val="none" w:sz="0" w:space="0" w:color="auto"/>
            <w:bottom w:val="none" w:sz="0" w:space="0" w:color="auto"/>
            <w:right w:val="none" w:sz="0" w:space="0" w:color="auto"/>
          </w:divBdr>
        </w:div>
        <w:div w:id="1916626953">
          <w:marLeft w:val="0"/>
          <w:marRight w:val="0"/>
          <w:marTop w:val="0"/>
          <w:marBottom w:val="0"/>
          <w:divBdr>
            <w:top w:val="none" w:sz="0" w:space="0" w:color="auto"/>
            <w:left w:val="none" w:sz="0" w:space="0" w:color="auto"/>
            <w:bottom w:val="none" w:sz="0" w:space="0" w:color="auto"/>
            <w:right w:val="none" w:sz="0" w:space="0" w:color="auto"/>
          </w:divBdr>
        </w:div>
      </w:divsChild>
    </w:div>
    <w:div w:id="231236988">
      <w:bodyDiv w:val="1"/>
      <w:marLeft w:val="0"/>
      <w:marRight w:val="0"/>
      <w:marTop w:val="0"/>
      <w:marBottom w:val="0"/>
      <w:divBdr>
        <w:top w:val="none" w:sz="0" w:space="0" w:color="auto"/>
        <w:left w:val="none" w:sz="0" w:space="0" w:color="auto"/>
        <w:bottom w:val="none" w:sz="0" w:space="0" w:color="auto"/>
        <w:right w:val="none" w:sz="0" w:space="0" w:color="auto"/>
      </w:divBdr>
    </w:div>
    <w:div w:id="557320065">
      <w:bodyDiv w:val="1"/>
      <w:marLeft w:val="0"/>
      <w:marRight w:val="0"/>
      <w:marTop w:val="0"/>
      <w:marBottom w:val="0"/>
      <w:divBdr>
        <w:top w:val="none" w:sz="0" w:space="0" w:color="auto"/>
        <w:left w:val="none" w:sz="0" w:space="0" w:color="auto"/>
        <w:bottom w:val="none" w:sz="0" w:space="0" w:color="auto"/>
        <w:right w:val="none" w:sz="0" w:space="0" w:color="auto"/>
      </w:divBdr>
      <w:divsChild>
        <w:div w:id="721517254">
          <w:marLeft w:val="0"/>
          <w:marRight w:val="0"/>
          <w:marTop w:val="0"/>
          <w:marBottom w:val="0"/>
          <w:divBdr>
            <w:top w:val="none" w:sz="0" w:space="0" w:color="auto"/>
            <w:left w:val="none" w:sz="0" w:space="0" w:color="auto"/>
            <w:bottom w:val="none" w:sz="0" w:space="0" w:color="auto"/>
            <w:right w:val="none" w:sz="0" w:space="0" w:color="auto"/>
          </w:divBdr>
        </w:div>
        <w:div w:id="796265302">
          <w:marLeft w:val="0"/>
          <w:marRight w:val="0"/>
          <w:marTop w:val="0"/>
          <w:marBottom w:val="0"/>
          <w:divBdr>
            <w:top w:val="none" w:sz="0" w:space="0" w:color="auto"/>
            <w:left w:val="none" w:sz="0" w:space="0" w:color="auto"/>
            <w:bottom w:val="none" w:sz="0" w:space="0" w:color="auto"/>
            <w:right w:val="none" w:sz="0" w:space="0" w:color="auto"/>
          </w:divBdr>
        </w:div>
        <w:div w:id="1247350530">
          <w:marLeft w:val="0"/>
          <w:marRight w:val="0"/>
          <w:marTop w:val="0"/>
          <w:marBottom w:val="0"/>
          <w:divBdr>
            <w:top w:val="none" w:sz="0" w:space="0" w:color="auto"/>
            <w:left w:val="none" w:sz="0" w:space="0" w:color="auto"/>
            <w:bottom w:val="none" w:sz="0" w:space="0" w:color="auto"/>
            <w:right w:val="none" w:sz="0" w:space="0" w:color="auto"/>
          </w:divBdr>
        </w:div>
        <w:div w:id="1471897290">
          <w:marLeft w:val="0"/>
          <w:marRight w:val="0"/>
          <w:marTop w:val="0"/>
          <w:marBottom w:val="0"/>
          <w:divBdr>
            <w:top w:val="none" w:sz="0" w:space="0" w:color="auto"/>
            <w:left w:val="none" w:sz="0" w:space="0" w:color="auto"/>
            <w:bottom w:val="none" w:sz="0" w:space="0" w:color="auto"/>
            <w:right w:val="none" w:sz="0" w:space="0" w:color="auto"/>
          </w:divBdr>
        </w:div>
        <w:div w:id="1568998362">
          <w:marLeft w:val="0"/>
          <w:marRight w:val="0"/>
          <w:marTop w:val="0"/>
          <w:marBottom w:val="0"/>
          <w:divBdr>
            <w:top w:val="none" w:sz="0" w:space="0" w:color="auto"/>
            <w:left w:val="none" w:sz="0" w:space="0" w:color="auto"/>
            <w:bottom w:val="none" w:sz="0" w:space="0" w:color="auto"/>
            <w:right w:val="none" w:sz="0" w:space="0" w:color="auto"/>
          </w:divBdr>
        </w:div>
      </w:divsChild>
    </w:div>
    <w:div w:id="1101603041">
      <w:bodyDiv w:val="1"/>
      <w:marLeft w:val="0"/>
      <w:marRight w:val="0"/>
      <w:marTop w:val="0"/>
      <w:marBottom w:val="0"/>
      <w:divBdr>
        <w:top w:val="none" w:sz="0" w:space="0" w:color="auto"/>
        <w:left w:val="none" w:sz="0" w:space="0" w:color="auto"/>
        <w:bottom w:val="none" w:sz="0" w:space="0" w:color="auto"/>
        <w:right w:val="none" w:sz="0" w:space="0" w:color="auto"/>
      </w:divBdr>
    </w:div>
    <w:div w:id="1191993377">
      <w:bodyDiv w:val="1"/>
      <w:marLeft w:val="0"/>
      <w:marRight w:val="0"/>
      <w:marTop w:val="0"/>
      <w:marBottom w:val="0"/>
      <w:divBdr>
        <w:top w:val="none" w:sz="0" w:space="0" w:color="auto"/>
        <w:left w:val="none" w:sz="0" w:space="0" w:color="auto"/>
        <w:bottom w:val="none" w:sz="0" w:space="0" w:color="auto"/>
        <w:right w:val="none" w:sz="0" w:space="0" w:color="auto"/>
      </w:divBdr>
    </w:div>
    <w:div w:id="1341077892">
      <w:bodyDiv w:val="1"/>
      <w:marLeft w:val="0"/>
      <w:marRight w:val="0"/>
      <w:marTop w:val="0"/>
      <w:marBottom w:val="0"/>
      <w:divBdr>
        <w:top w:val="none" w:sz="0" w:space="0" w:color="auto"/>
        <w:left w:val="none" w:sz="0" w:space="0" w:color="auto"/>
        <w:bottom w:val="none" w:sz="0" w:space="0" w:color="auto"/>
        <w:right w:val="none" w:sz="0" w:space="0" w:color="auto"/>
      </w:divBdr>
    </w:div>
    <w:div w:id="1430663212">
      <w:bodyDiv w:val="1"/>
      <w:marLeft w:val="0"/>
      <w:marRight w:val="0"/>
      <w:marTop w:val="0"/>
      <w:marBottom w:val="0"/>
      <w:divBdr>
        <w:top w:val="none" w:sz="0" w:space="0" w:color="auto"/>
        <w:left w:val="none" w:sz="0" w:space="0" w:color="auto"/>
        <w:bottom w:val="none" w:sz="0" w:space="0" w:color="auto"/>
        <w:right w:val="none" w:sz="0" w:space="0" w:color="auto"/>
      </w:divBdr>
      <w:divsChild>
        <w:div w:id="604121573">
          <w:marLeft w:val="0"/>
          <w:marRight w:val="0"/>
          <w:marTop w:val="0"/>
          <w:marBottom w:val="0"/>
          <w:divBdr>
            <w:top w:val="none" w:sz="0" w:space="0" w:color="auto"/>
            <w:left w:val="none" w:sz="0" w:space="0" w:color="auto"/>
            <w:bottom w:val="none" w:sz="0" w:space="0" w:color="auto"/>
            <w:right w:val="none" w:sz="0" w:space="0" w:color="auto"/>
          </w:divBdr>
        </w:div>
        <w:div w:id="789326360">
          <w:marLeft w:val="0"/>
          <w:marRight w:val="0"/>
          <w:marTop w:val="0"/>
          <w:marBottom w:val="0"/>
          <w:divBdr>
            <w:top w:val="none" w:sz="0" w:space="0" w:color="auto"/>
            <w:left w:val="none" w:sz="0" w:space="0" w:color="auto"/>
            <w:bottom w:val="none" w:sz="0" w:space="0" w:color="auto"/>
            <w:right w:val="none" w:sz="0" w:space="0" w:color="auto"/>
          </w:divBdr>
        </w:div>
        <w:div w:id="1229926415">
          <w:marLeft w:val="0"/>
          <w:marRight w:val="0"/>
          <w:marTop w:val="0"/>
          <w:marBottom w:val="0"/>
          <w:divBdr>
            <w:top w:val="none" w:sz="0" w:space="0" w:color="auto"/>
            <w:left w:val="none" w:sz="0" w:space="0" w:color="auto"/>
            <w:bottom w:val="none" w:sz="0" w:space="0" w:color="auto"/>
            <w:right w:val="none" w:sz="0" w:space="0" w:color="auto"/>
          </w:divBdr>
        </w:div>
        <w:div w:id="2048332285">
          <w:marLeft w:val="0"/>
          <w:marRight w:val="0"/>
          <w:marTop w:val="0"/>
          <w:marBottom w:val="0"/>
          <w:divBdr>
            <w:top w:val="none" w:sz="0" w:space="0" w:color="auto"/>
            <w:left w:val="none" w:sz="0" w:space="0" w:color="auto"/>
            <w:bottom w:val="none" w:sz="0" w:space="0" w:color="auto"/>
            <w:right w:val="none" w:sz="0" w:space="0" w:color="auto"/>
          </w:divBdr>
        </w:div>
      </w:divsChild>
    </w:div>
    <w:div w:id="1586646818">
      <w:bodyDiv w:val="1"/>
      <w:marLeft w:val="0"/>
      <w:marRight w:val="0"/>
      <w:marTop w:val="0"/>
      <w:marBottom w:val="0"/>
      <w:divBdr>
        <w:top w:val="none" w:sz="0" w:space="0" w:color="auto"/>
        <w:left w:val="none" w:sz="0" w:space="0" w:color="auto"/>
        <w:bottom w:val="none" w:sz="0" w:space="0" w:color="auto"/>
        <w:right w:val="none" w:sz="0" w:space="0" w:color="auto"/>
      </w:divBdr>
      <w:divsChild>
        <w:div w:id="1327049600">
          <w:marLeft w:val="0"/>
          <w:marRight w:val="150"/>
          <w:marTop w:val="0"/>
          <w:marBottom w:val="0"/>
          <w:divBdr>
            <w:top w:val="none" w:sz="0" w:space="0" w:color="auto"/>
            <w:left w:val="none" w:sz="0" w:space="0" w:color="auto"/>
            <w:bottom w:val="none" w:sz="0" w:space="0" w:color="auto"/>
            <w:right w:val="none" w:sz="0" w:space="0" w:color="auto"/>
          </w:divBdr>
        </w:div>
      </w:divsChild>
    </w:div>
    <w:div w:id="1860775058">
      <w:bodyDiv w:val="1"/>
      <w:marLeft w:val="0"/>
      <w:marRight w:val="0"/>
      <w:marTop w:val="0"/>
      <w:marBottom w:val="0"/>
      <w:divBdr>
        <w:top w:val="none" w:sz="0" w:space="0" w:color="auto"/>
        <w:left w:val="none" w:sz="0" w:space="0" w:color="auto"/>
        <w:bottom w:val="none" w:sz="0" w:space="0" w:color="auto"/>
        <w:right w:val="none" w:sz="0" w:space="0" w:color="auto"/>
      </w:divBdr>
      <w:divsChild>
        <w:div w:id="9374288">
          <w:marLeft w:val="0"/>
          <w:marRight w:val="0"/>
          <w:marTop w:val="0"/>
          <w:marBottom w:val="0"/>
          <w:divBdr>
            <w:top w:val="none" w:sz="0" w:space="0" w:color="auto"/>
            <w:left w:val="none" w:sz="0" w:space="0" w:color="auto"/>
            <w:bottom w:val="none" w:sz="0" w:space="0" w:color="auto"/>
            <w:right w:val="none" w:sz="0" w:space="0" w:color="auto"/>
          </w:divBdr>
        </w:div>
        <w:div w:id="257639032">
          <w:marLeft w:val="0"/>
          <w:marRight w:val="0"/>
          <w:marTop w:val="0"/>
          <w:marBottom w:val="0"/>
          <w:divBdr>
            <w:top w:val="none" w:sz="0" w:space="0" w:color="auto"/>
            <w:left w:val="none" w:sz="0" w:space="0" w:color="auto"/>
            <w:bottom w:val="none" w:sz="0" w:space="0" w:color="auto"/>
            <w:right w:val="none" w:sz="0" w:space="0" w:color="auto"/>
          </w:divBdr>
        </w:div>
        <w:div w:id="316302658">
          <w:marLeft w:val="0"/>
          <w:marRight w:val="0"/>
          <w:marTop w:val="0"/>
          <w:marBottom w:val="0"/>
          <w:divBdr>
            <w:top w:val="none" w:sz="0" w:space="0" w:color="auto"/>
            <w:left w:val="none" w:sz="0" w:space="0" w:color="auto"/>
            <w:bottom w:val="none" w:sz="0" w:space="0" w:color="auto"/>
            <w:right w:val="none" w:sz="0" w:space="0" w:color="auto"/>
          </w:divBdr>
        </w:div>
        <w:div w:id="322663842">
          <w:marLeft w:val="0"/>
          <w:marRight w:val="0"/>
          <w:marTop w:val="0"/>
          <w:marBottom w:val="0"/>
          <w:divBdr>
            <w:top w:val="none" w:sz="0" w:space="0" w:color="auto"/>
            <w:left w:val="none" w:sz="0" w:space="0" w:color="auto"/>
            <w:bottom w:val="none" w:sz="0" w:space="0" w:color="auto"/>
            <w:right w:val="none" w:sz="0" w:space="0" w:color="auto"/>
          </w:divBdr>
        </w:div>
        <w:div w:id="542789102">
          <w:marLeft w:val="0"/>
          <w:marRight w:val="0"/>
          <w:marTop w:val="0"/>
          <w:marBottom w:val="0"/>
          <w:divBdr>
            <w:top w:val="none" w:sz="0" w:space="0" w:color="auto"/>
            <w:left w:val="none" w:sz="0" w:space="0" w:color="auto"/>
            <w:bottom w:val="none" w:sz="0" w:space="0" w:color="auto"/>
            <w:right w:val="none" w:sz="0" w:space="0" w:color="auto"/>
          </w:divBdr>
        </w:div>
        <w:div w:id="555433494">
          <w:marLeft w:val="0"/>
          <w:marRight w:val="0"/>
          <w:marTop w:val="0"/>
          <w:marBottom w:val="0"/>
          <w:divBdr>
            <w:top w:val="none" w:sz="0" w:space="0" w:color="auto"/>
            <w:left w:val="none" w:sz="0" w:space="0" w:color="auto"/>
            <w:bottom w:val="none" w:sz="0" w:space="0" w:color="auto"/>
            <w:right w:val="none" w:sz="0" w:space="0" w:color="auto"/>
          </w:divBdr>
        </w:div>
        <w:div w:id="570775228">
          <w:marLeft w:val="0"/>
          <w:marRight w:val="0"/>
          <w:marTop w:val="0"/>
          <w:marBottom w:val="0"/>
          <w:divBdr>
            <w:top w:val="none" w:sz="0" w:space="0" w:color="auto"/>
            <w:left w:val="none" w:sz="0" w:space="0" w:color="auto"/>
            <w:bottom w:val="none" w:sz="0" w:space="0" w:color="auto"/>
            <w:right w:val="none" w:sz="0" w:space="0" w:color="auto"/>
          </w:divBdr>
        </w:div>
        <w:div w:id="711616943">
          <w:marLeft w:val="0"/>
          <w:marRight w:val="0"/>
          <w:marTop w:val="0"/>
          <w:marBottom w:val="0"/>
          <w:divBdr>
            <w:top w:val="none" w:sz="0" w:space="0" w:color="auto"/>
            <w:left w:val="none" w:sz="0" w:space="0" w:color="auto"/>
            <w:bottom w:val="none" w:sz="0" w:space="0" w:color="auto"/>
            <w:right w:val="none" w:sz="0" w:space="0" w:color="auto"/>
          </w:divBdr>
        </w:div>
        <w:div w:id="819150996">
          <w:marLeft w:val="0"/>
          <w:marRight w:val="0"/>
          <w:marTop w:val="0"/>
          <w:marBottom w:val="0"/>
          <w:divBdr>
            <w:top w:val="none" w:sz="0" w:space="0" w:color="auto"/>
            <w:left w:val="none" w:sz="0" w:space="0" w:color="auto"/>
            <w:bottom w:val="none" w:sz="0" w:space="0" w:color="auto"/>
            <w:right w:val="none" w:sz="0" w:space="0" w:color="auto"/>
          </w:divBdr>
        </w:div>
        <w:div w:id="922183908">
          <w:marLeft w:val="0"/>
          <w:marRight w:val="0"/>
          <w:marTop w:val="0"/>
          <w:marBottom w:val="0"/>
          <w:divBdr>
            <w:top w:val="none" w:sz="0" w:space="0" w:color="auto"/>
            <w:left w:val="none" w:sz="0" w:space="0" w:color="auto"/>
            <w:bottom w:val="none" w:sz="0" w:space="0" w:color="auto"/>
            <w:right w:val="none" w:sz="0" w:space="0" w:color="auto"/>
          </w:divBdr>
        </w:div>
        <w:div w:id="1001077877">
          <w:marLeft w:val="0"/>
          <w:marRight w:val="0"/>
          <w:marTop w:val="0"/>
          <w:marBottom w:val="0"/>
          <w:divBdr>
            <w:top w:val="none" w:sz="0" w:space="0" w:color="auto"/>
            <w:left w:val="none" w:sz="0" w:space="0" w:color="auto"/>
            <w:bottom w:val="none" w:sz="0" w:space="0" w:color="auto"/>
            <w:right w:val="none" w:sz="0" w:space="0" w:color="auto"/>
          </w:divBdr>
        </w:div>
        <w:div w:id="1064448456">
          <w:marLeft w:val="0"/>
          <w:marRight w:val="0"/>
          <w:marTop w:val="0"/>
          <w:marBottom w:val="0"/>
          <w:divBdr>
            <w:top w:val="none" w:sz="0" w:space="0" w:color="auto"/>
            <w:left w:val="none" w:sz="0" w:space="0" w:color="auto"/>
            <w:bottom w:val="none" w:sz="0" w:space="0" w:color="auto"/>
            <w:right w:val="none" w:sz="0" w:space="0" w:color="auto"/>
          </w:divBdr>
        </w:div>
        <w:div w:id="1689217668">
          <w:marLeft w:val="0"/>
          <w:marRight w:val="0"/>
          <w:marTop w:val="0"/>
          <w:marBottom w:val="0"/>
          <w:divBdr>
            <w:top w:val="none" w:sz="0" w:space="0" w:color="auto"/>
            <w:left w:val="none" w:sz="0" w:space="0" w:color="auto"/>
            <w:bottom w:val="none" w:sz="0" w:space="0" w:color="auto"/>
            <w:right w:val="none" w:sz="0" w:space="0" w:color="auto"/>
          </w:divBdr>
        </w:div>
        <w:div w:id="1883402895">
          <w:marLeft w:val="0"/>
          <w:marRight w:val="0"/>
          <w:marTop w:val="0"/>
          <w:marBottom w:val="0"/>
          <w:divBdr>
            <w:top w:val="none" w:sz="0" w:space="0" w:color="auto"/>
            <w:left w:val="none" w:sz="0" w:space="0" w:color="auto"/>
            <w:bottom w:val="none" w:sz="0" w:space="0" w:color="auto"/>
            <w:right w:val="none" w:sz="0" w:space="0" w:color="auto"/>
          </w:divBdr>
        </w:div>
        <w:div w:id="1922520635">
          <w:marLeft w:val="0"/>
          <w:marRight w:val="0"/>
          <w:marTop w:val="0"/>
          <w:marBottom w:val="0"/>
          <w:divBdr>
            <w:top w:val="none" w:sz="0" w:space="0" w:color="auto"/>
            <w:left w:val="none" w:sz="0" w:space="0" w:color="auto"/>
            <w:bottom w:val="none" w:sz="0" w:space="0" w:color="auto"/>
            <w:right w:val="none" w:sz="0" w:space="0" w:color="auto"/>
          </w:divBdr>
        </w:div>
        <w:div w:id="198535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unece.org/info/Environmental-Policy/Environmental-Impact-Assessment/events/368973" TargetMode="External"/><Relationship Id="rId26" Type="http://schemas.openxmlformats.org/officeDocument/2006/relationships/hyperlink" Target="https://regionalforum.unece.org/" TargetMode="External"/><Relationship Id="rId3" Type="http://schemas.openxmlformats.org/officeDocument/2006/relationships/customXml" Target="../customXml/item3.xml"/><Relationship Id="rId21" Type="http://schemas.openxmlformats.org/officeDocument/2006/relationships/hyperlink" Target="https://unece.org/project-strengthening-national-and-regional-capacities-and-cooperation-strategic-environmental"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unece.org/practical-information-delegates" TargetMode="External"/><Relationship Id="rId17" Type="http://schemas.openxmlformats.org/officeDocument/2006/relationships/footer" Target="footer3.xml"/><Relationship Id="rId25" Type="http://schemas.openxmlformats.org/officeDocument/2006/relationships/hyperlink" Target="https://regionalforum.unece.org/events/regional-forum-2022"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ece.org/environment-policyenvironmental-assessment/eu4environment" TargetMode="External"/><Relationship Id="rId29" Type="http://schemas.openxmlformats.org/officeDocument/2006/relationships/hyperlink" Target="https://unece.org/unece-and-sdgs/working-group-transforming-extractive-industries-sustainable-develop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environmental-policy/events/working-group-eia-and-sea-espoo-convention-11th-meeting" TargetMode="External"/><Relationship Id="rId24" Type="http://schemas.openxmlformats.org/officeDocument/2006/relationships/hyperlink" Target="https://unece.org/sites/default/files/2021-02/Decision_VIII-3_IV-3_Long-term_strategy_action_plan_Convention_Protocol.pdf"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unece.org/sites/default/files/2021-08/Note_on_procedural_issues_MOP8-MOPMOP4_FINAL_by_Bureau_revNov2020.pdf" TargetMode="External"/><Relationship Id="rId28" Type="http://schemas.openxmlformats.org/officeDocument/2006/relationships/hyperlink" Target="https://unece.org/nicosia-conferenc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ece.org/info/Environmental-Policy/Environmental-Impact-Assessment/events/367411"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unece.org/environment-policy/environmental-assessment" TargetMode="External"/><Relationship Id="rId27" Type="http://schemas.openxmlformats.org/officeDocument/2006/relationships/hyperlink" Target="https://unece.org/nicosia-conference" TargetMode="External"/><Relationship Id="rId30" Type="http://schemas.openxmlformats.org/officeDocument/2006/relationships/header" Target="header3.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nvoisin\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35735-0E0A-4034-87CB-8A5E2654D677}">
  <ds:schemaRefs>
    <ds:schemaRef ds:uri="http://schemas.openxmlformats.org/officeDocument/2006/bibliography"/>
  </ds:schemaRefs>
</ds:datastoreItem>
</file>

<file path=customXml/itemProps2.xml><?xml version="1.0" encoding="utf-8"?>
<ds:datastoreItem xmlns:ds="http://schemas.openxmlformats.org/officeDocument/2006/customXml" ds:itemID="{7967AF0B-B282-4F95-9B07-F61B4D252DCA}">
  <ds:schemaRefs>
    <ds:schemaRef ds:uri="http://schemas.microsoft.com/sharepoint/v3/contenttype/forms"/>
  </ds:schemaRefs>
</ds:datastoreItem>
</file>

<file path=customXml/itemProps3.xml><?xml version="1.0" encoding="utf-8"?>
<ds:datastoreItem xmlns:ds="http://schemas.openxmlformats.org/officeDocument/2006/customXml" ds:itemID="{87C12935-7C06-442F-BEE6-5AD7457E92CC}">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EA136653-982A-4CB6-B39B-75E341D1E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ECE_E.dot</Template>
  <TotalTime>4</TotalTime>
  <Pages>14</Pages>
  <Words>3724</Words>
  <Characters>22127</Characters>
  <Application>Microsoft Office Word</Application>
  <DocSecurity>0</DocSecurity>
  <Lines>1301</Lines>
  <Paragraphs>255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25596</CharactersWithSpaces>
  <SharedDoc>false</SharedDoc>
  <HLinks>
    <vt:vector size="48" baseType="variant">
      <vt:variant>
        <vt:i4>4849748</vt:i4>
      </vt:variant>
      <vt:variant>
        <vt:i4>21</vt:i4>
      </vt:variant>
      <vt:variant>
        <vt:i4>0</vt:i4>
      </vt:variant>
      <vt:variant>
        <vt:i4>5</vt:i4>
      </vt:variant>
      <vt:variant>
        <vt:lpwstr>https://unece.org/unece-and-sdgs/working-group-transforming-extractive-industries-sustainable-development</vt:lpwstr>
      </vt:variant>
      <vt:variant>
        <vt:lpwstr/>
      </vt:variant>
      <vt:variant>
        <vt:i4>6094924</vt:i4>
      </vt:variant>
      <vt:variant>
        <vt:i4>18</vt:i4>
      </vt:variant>
      <vt:variant>
        <vt:i4>0</vt:i4>
      </vt:variant>
      <vt:variant>
        <vt:i4>5</vt:i4>
      </vt:variant>
      <vt:variant>
        <vt:lpwstr>https://unece.org/nicosia-conference</vt:lpwstr>
      </vt:variant>
      <vt:variant>
        <vt:lpwstr/>
      </vt:variant>
      <vt:variant>
        <vt:i4>5570655</vt:i4>
      </vt:variant>
      <vt:variant>
        <vt:i4>15</vt:i4>
      </vt:variant>
      <vt:variant>
        <vt:i4>0</vt:i4>
      </vt:variant>
      <vt:variant>
        <vt:i4>5</vt:i4>
      </vt:variant>
      <vt:variant>
        <vt:lpwstr>https://regionalforum.unece.org/</vt:lpwstr>
      </vt:variant>
      <vt:variant>
        <vt:lpwstr/>
      </vt:variant>
      <vt:variant>
        <vt:i4>5570655</vt:i4>
      </vt:variant>
      <vt:variant>
        <vt:i4>12</vt:i4>
      </vt:variant>
      <vt:variant>
        <vt:i4>0</vt:i4>
      </vt:variant>
      <vt:variant>
        <vt:i4>5</vt:i4>
      </vt:variant>
      <vt:variant>
        <vt:lpwstr>https://regionalforum.unece.org/</vt:lpwstr>
      </vt:variant>
      <vt:variant>
        <vt:lpwstr/>
      </vt:variant>
      <vt:variant>
        <vt:i4>77</vt:i4>
      </vt:variant>
      <vt:variant>
        <vt:i4>9</vt:i4>
      </vt:variant>
      <vt:variant>
        <vt:i4>0</vt:i4>
      </vt:variant>
      <vt:variant>
        <vt:i4>5</vt:i4>
      </vt:variant>
      <vt:variant>
        <vt:lpwstr>https://unece.org/info/Environmental-Policy/Environmental-Impact-Assessment/events/367411</vt:lpwstr>
      </vt:variant>
      <vt:variant>
        <vt:lpwstr/>
      </vt:variant>
      <vt:variant>
        <vt:i4>589888</vt:i4>
      </vt:variant>
      <vt:variant>
        <vt:i4>6</vt:i4>
      </vt:variant>
      <vt:variant>
        <vt:i4>0</vt:i4>
      </vt:variant>
      <vt:variant>
        <vt:i4>5</vt:i4>
      </vt:variant>
      <vt:variant>
        <vt:lpwstr>https://unece.org/info/Environmental-Policy/Environmental-Impact-Assessment/events/368973</vt:lpwstr>
      </vt:variant>
      <vt:variant>
        <vt:lpwstr/>
      </vt:variant>
      <vt:variant>
        <vt:i4>327767</vt:i4>
      </vt:variant>
      <vt:variant>
        <vt:i4>3</vt:i4>
      </vt:variant>
      <vt:variant>
        <vt:i4>0</vt:i4>
      </vt:variant>
      <vt:variant>
        <vt:i4>5</vt:i4>
      </vt:variant>
      <vt:variant>
        <vt:lpwstr>https://unece.org/practical-information-delegates</vt:lpwstr>
      </vt:variant>
      <vt:variant>
        <vt:lpwstr/>
      </vt:variant>
      <vt:variant>
        <vt:i4>1572872</vt:i4>
      </vt:variant>
      <vt:variant>
        <vt:i4>0</vt:i4>
      </vt:variant>
      <vt:variant>
        <vt:i4>0</vt:i4>
      </vt:variant>
      <vt:variant>
        <vt:i4>5</vt:i4>
      </vt:variant>
      <vt:variant>
        <vt:lpwstr>https://unece.org/environmental-policy/events/working-group-eia-and-sea-espoo-convention-11th-meeting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Tea Aulavuo</dc:creator>
  <cp:keywords/>
  <cp:lastModifiedBy>Maricar De La Cruz</cp:lastModifiedBy>
  <cp:revision>6</cp:revision>
  <cp:lastPrinted>2022-11-02T09:23:00Z</cp:lastPrinted>
  <dcterms:created xsi:type="dcterms:W3CDTF">2022-11-15T11:22:00Z</dcterms:created>
  <dcterms:modified xsi:type="dcterms:W3CDTF">2022-11-15T11:29:00Z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0x010100B302F79B5BE87D40B73359BB004DC9B5</vt:lpwstr>
  </property>
  <property fmtid="{D5CDD505-2E9C-101B-9397-08002B2CF9AE}" pid="4" name="GrammarlyDocumentId">
    <vt:lpwstr>117ca80dca3c3c31cdba6c3ed6169ab225f57eeee19e6991404772f7a4b49036</vt:lpwstr>
  </property>
</Properties>
</file>