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EA2D43" w14:paraId="0641C666" w14:textId="77777777" w:rsidTr="00691F20">
        <w:trPr>
          <w:cantSplit/>
          <w:trHeight w:hRule="exact" w:val="851"/>
        </w:trPr>
        <w:tc>
          <w:tcPr>
            <w:tcW w:w="9639" w:type="dxa"/>
            <w:tcBorders>
              <w:bottom w:val="single" w:sz="4" w:space="0" w:color="auto"/>
            </w:tcBorders>
            <w:vAlign w:val="bottom"/>
          </w:tcPr>
          <w:p w14:paraId="059D7FF0" w14:textId="30327FB0" w:rsidR="0099001C" w:rsidRPr="00EA2D43" w:rsidRDefault="0099001C" w:rsidP="00226D9D">
            <w:pPr>
              <w:jc w:val="right"/>
              <w:rPr>
                <w:b/>
                <w:sz w:val="40"/>
                <w:szCs w:val="40"/>
              </w:rPr>
            </w:pPr>
            <w:r w:rsidRPr="00EA2D43">
              <w:rPr>
                <w:b/>
                <w:sz w:val="40"/>
                <w:szCs w:val="40"/>
              </w:rPr>
              <w:t>UN/SCE</w:t>
            </w:r>
            <w:r w:rsidR="00C27AA0">
              <w:rPr>
                <w:b/>
                <w:sz w:val="40"/>
                <w:szCs w:val="40"/>
              </w:rPr>
              <w:t>TDG</w:t>
            </w:r>
            <w:r w:rsidRPr="00EA2D43">
              <w:rPr>
                <w:b/>
                <w:sz w:val="40"/>
                <w:szCs w:val="40"/>
              </w:rPr>
              <w:t>/</w:t>
            </w:r>
            <w:r w:rsidR="007A5788">
              <w:rPr>
                <w:b/>
                <w:sz w:val="40"/>
                <w:szCs w:val="40"/>
              </w:rPr>
              <w:t>61</w:t>
            </w:r>
            <w:r w:rsidRPr="00EA2D43">
              <w:rPr>
                <w:b/>
                <w:sz w:val="40"/>
                <w:szCs w:val="40"/>
              </w:rPr>
              <w:t>/INF.</w:t>
            </w:r>
            <w:r w:rsidR="000D0389">
              <w:rPr>
                <w:b/>
                <w:sz w:val="40"/>
                <w:szCs w:val="40"/>
              </w:rPr>
              <w:t>46</w:t>
            </w:r>
          </w:p>
        </w:tc>
      </w:tr>
      <w:tr w:rsidR="0099001C" w:rsidRPr="00EA2D43" w14:paraId="3DDB8869" w14:textId="77777777" w:rsidTr="00BC2AC9">
        <w:trPr>
          <w:cantSplit/>
          <w:trHeight w:hRule="exact" w:val="2991"/>
        </w:trPr>
        <w:tc>
          <w:tcPr>
            <w:tcW w:w="9639" w:type="dxa"/>
            <w:tcBorders>
              <w:top w:val="single" w:sz="4" w:space="0" w:color="auto"/>
            </w:tcBorders>
          </w:tcPr>
          <w:p w14:paraId="2464F0FA" w14:textId="77777777" w:rsidR="00EA2D43" w:rsidRDefault="00EA2D43" w:rsidP="00EA2D43">
            <w:pPr>
              <w:spacing w:before="120"/>
              <w:rPr>
                <w:b/>
                <w:sz w:val="24"/>
                <w:szCs w:val="24"/>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14:paraId="1956AC41" w14:textId="296625B1" w:rsidR="00EA2D43" w:rsidRPr="00426C3A" w:rsidRDefault="00263951" w:rsidP="00426C3A">
            <w:pPr>
              <w:spacing w:before="120"/>
              <w:outlineLvl w:val="0"/>
              <w:rPr>
                <w:rFonts w:ascii="Helv" w:hAnsi="Helv" w:cs="Helv"/>
                <w:b/>
                <w:color w:val="000000"/>
              </w:rPr>
            </w:pPr>
            <w:r w:rsidRPr="006500BA">
              <w:rPr>
                <w:b/>
              </w:rPr>
              <w:t xml:space="preserve">Sub-Committee of Experts on the </w:t>
            </w:r>
            <w:r>
              <w:rPr>
                <w:b/>
              </w:rPr>
              <w:t>Transport of Dangerous Goods</w:t>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D17090" w:rsidRPr="00D17090">
              <w:rPr>
                <w:b/>
                <w:color w:val="000000"/>
              </w:rPr>
              <w:t>2</w:t>
            </w:r>
            <w:r w:rsidR="000D0389">
              <w:rPr>
                <w:b/>
                <w:color w:val="000000"/>
              </w:rPr>
              <w:t>8</w:t>
            </w:r>
            <w:r w:rsidR="0058529D">
              <w:rPr>
                <w:rFonts w:asciiTheme="majorBidi" w:hAnsiTheme="majorBidi" w:cstheme="majorBidi"/>
                <w:b/>
                <w:color w:val="000000"/>
              </w:rPr>
              <w:t xml:space="preserve"> </w:t>
            </w:r>
            <w:r w:rsidR="001360BD">
              <w:rPr>
                <w:rFonts w:asciiTheme="majorBidi" w:hAnsiTheme="majorBidi" w:cstheme="majorBidi"/>
                <w:b/>
                <w:color w:val="000000"/>
              </w:rPr>
              <w:t>November</w:t>
            </w:r>
            <w:r w:rsidR="007A5788">
              <w:rPr>
                <w:rFonts w:asciiTheme="majorBidi" w:hAnsiTheme="majorBidi" w:cstheme="majorBidi"/>
                <w:b/>
                <w:color w:val="000000"/>
              </w:rPr>
              <w:t xml:space="preserve"> 2022</w:t>
            </w:r>
          </w:p>
          <w:p w14:paraId="34EAFBCC" w14:textId="77777777" w:rsidR="00401917" w:rsidRPr="006500BA" w:rsidRDefault="00401917" w:rsidP="00401917">
            <w:pPr>
              <w:spacing w:before="120"/>
              <w:rPr>
                <w:b/>
              </w:rPr>
            </w:pPr>
            <w:r>
              <w:rPr>
                <w:b/>
              </w:rPr>
              <w:t xml:space="preserve">Sixty-first </w:t>
            </w:r>
            <w:r w:rsidRPr="006500BA">
              <w:rPr>
                <w:b/>
              </w:rPr>
              <w:t>session</w:t>
            </w:r>
          </w:p>
          <w:p w14:paraId="35CAA0DE" w14:textId="77777777" w:rsidR="00401917" w:rsidRPr="006500BA" w:rsidRDefault="00401917" w:rsidP="00401917">
            <w:r w:rsidRPr="006500BA">
              <w:t xml:space="preserve">Geneva, </w:t>
            </w:r>
            <w:r>
              <w:t>28 November-6 December 2022</w:t>
            </w:r>
          </w:p>
          <w:p w14:paraId="398A43BC" w14:textId="0C2EB89A" w:rsidR="00401917" w:rsidRPr="006500BA" w:rsidRDefault="00401917" w:rsidP="00401917">
            <w:r w:rsidRPr="006500BA">
              <w:t xml:space="preserve">Item </w:t>
            </w:r>
            <w:r w:rsidR="005A1FCA">
              <w:t>2 (b)</w:t>
            </w:r>
            <w:r w:rsidRPr="006500BA">
              <w:t xml:space="preserve"> of the provisional agenda</w:t>
            </w:r>
          </w:p>
          <w:p w14:paraId="49DCFCD0" w14:textId="13B8DBA2" w:rsidR="0099001C" w:rsidRPr="00EA2D43" w:rsidRDefault="004E6690" w:rsidP="004E6690">
            <w:pPr>
              <w:rPr>
                <w:highlight w:val="yellow"/>
              </w:rPr>
            </w:pPr>
            <w:r w:rsidRPr="005A1FCA">
              <w:rPr>
                <w:b/>
                <w:bCs/>
              </w:rPr>
              <w:t xml:space="preserve">Recommendations made by the Sub-Committee at its fifty-eighth, </w:t>
            </w:r>
            <w:r w:rsidRPr="005A1FCA">
              <w:rPr>
                <w:b/>
                <w:bCs/>
              </w:rPr>
              <w:br/>
              <w:t xml:space="preserve">fifty-ninth and sixtieth sessions and pending issues: </w:t>
            </w:r>
            <w:r w:rsidR="005A1FCA" w:rsidRPr="005A1FCA">
              <w:rPr>
                <w:b/>
                <w:bCs/>
              </w:rPr>
              <w:t xml:space="preserve"> </w:t>
            </w:r>
            <w:r w:rsidR="005A1FCA">
              <w:rPr>
                <w:b/>
                <w:bCs/>
              </w:rPr>
              <w:t>explosives and related matters</w:t>
            </w:r>
          </w:p>
        </w:tc>
      </w:tr>
    </w:tbl>
    <w:p w14:paraId="5A545CBC" w14:textId="399C0509" w:rsidR="00706D51" w:rsidRPr="00BC2AC9" w:rsidRDefault="00706D51" w:rsidP="00BC2AC9">
      <w:pPr>
        <w:pStyle w:val="HChG"/>
      </w:pPr>
      <w:r w:rsidRPr="00BC2AC9">
        <w:rPr>
          <w:rFonts w:eastAsia="MS Mincho"/>
        </w:rPr>
        <w:tab/>
      </w:r>
      <w:r w:rsidRPr="00BC2AC9">
        <w:rPr>
          <w:rFonts w:eastAsia="MS Mincho"/>
        </w:rPr>
        <w:tab/>
      </w:r>
      <w:r w:rsidR="001360BD">
        <w:rPr>
          <w:rFonts w:eastAsia="MS Mincho"/>
        </w:rPr>
        <w:t xml:space="preserve">Comments on </w:t>
      </w:r>
      <w:bookmarkStart w:id="0" w:name="_Hlk119683490"/>
      <w:r w:rsidR="001360BD">
        <w:rPr>
          <w:color w:val="000000"/>
          <w:sz w:val="27"/>
          <w:szCs w:val="27"/>
        </w:rPr>
        <w:t>UN/SCETDG/61/INF.6</w:t>
      </w:r>
      <w:r w:rsidR="0080116D">
        <w:rPr>
          <w:color w:val="000000"/>
          <w:sz w:val="27"/>
          <w:szCs w:val="27"/>
        </w:rPr>
        <w:t>:</w:t>
      </w:r>
      <w:r w:rsidR="001360BD">
        <w:rPr>
          <w:color w:val="000000"/>
          <w:sz w:val="27"/>
          <w:szCs w:val="27"/>
        </w:rPr>
        <w:t xml:space="preserve"> </w:t>
      </w:r>
      <w:bookmarkEnd w:id="0"/>
      <w:r w:rsidR="0080116D">
        <w:rPr>
          <w:color w:val="000000"/>
          <w:sz w:val="27"/>
          <w:szCs w:val="27"/>
        </w:rPr>
        <w:t>“</w:t>
      </w:r>
      <w:r w:rsidRPr="00BC2AC9">
        <w:rPr>
          <w:rFonts w:eastAsia="MS Mincho"/>
        </w:rPr>
        <w:t xml:space="preserve">Common position on documents </w:t>
      </w:r>
      <w:r w:rsidRPr="00BC2AC9">
        <w:t>ST/SG/AC.10/C.3/2022/63 (China) and ST/SG/AC.10/C.3/2022/58 (Cefic)</w:t>
      </w:r>
      <w:r w:rsidR="0080116D">
        <w:t>”</w:t>
      </w:r>
    </w:p>
    <w:p w14:paraId="71768A43" w14:textId="7C7C509C" w:rsidR="00706D51" w:rsidRDefault="00706D51" w:rsidP="00706D51">
      <w:pPr>
        <w:pStyle w:val="H1G"/>
        <w:spacing w:before="240" w:after="120"/>
      </w:pPr>
      <w:r>
        <w:tab/>
      </w:r>
      <w:r>
        <w:tab/>
        <w:t xml:space="preserve">Submitted by the expert from </w:t>
      </w:r>
      <w:r w:rsidR="001360BD">
        <w:t>the United Kingdom</w:t>
      </w:r>
    </w:p>
    <w:p w14:paraId="6BA310BE" w14:textId="77777777" w:rsidR="00706D51" w:rsidRDefault="00706D51" w:rsidP="00706D51">
      <w:pPr>
        <w:pStyle w:val="HChG"/>
        <w:spacing w:before="240" w:after="120"/>
        <w:rPr>
          <w:sz w:val="24"/>
          <w:szCs w:val="24"/>
        </w:rPr>
      </w:pPr>
      <w:r>
        <w:rPr>
          <w:sz w:val="24"/>
          <w:szCs w:val="24"/>
        </w:rPr>
        <w:tab/>
      </w:r>
      <w:r>
        <w:rPr>
          <w:sz w:val="24"/>
          <w:szCs w:val="24"/>
        </w:rPr>
        <w:tab/>
      </w:r>
      <w:r>
        <w:rPr>
          <w:sz w:val="24"/>
          <w:szCs w:val="24"/>
          <w:lang w:val="en-US"/>
        </w:rPr>
        <w:t xml:space="preserve">Introduction </w:t>
      </w:r>
    </w:p>
    <w:p w14:paraId="69C63225" w14:textId="09B38C5D" w:rsidR="00706D51" w:rsidRDefault="00706D51" w:rsidP="00706D51">
      <w:pPr>
        <w:pStyle w:val="SingleTxtG"/>
        <w:numPr>
          <w:ilvl w:val="0"/>
          <w:numId w:val="3"/>
        </w:numPr>
        <w:tabs>
          <w:tab w:val="left" w:pos="1701"/>
        </w:tabs>
        <w:ind w:left="1134" w:firstLine="0"/>
      </w:pPr>
      <w:r>
        <w:t xml:space="preserve">China and Cefic have both submitted proposals (see title of this document) about the assignment of special provision </w:t>
      </w:r>
      <w:r w:rsidR="0096618B">
        <w:t xml:space="preserve">(SP) </w:t>
      </w:r>
      <w:r>
        <w:t>28 to existing entries of desensitized explosives in the Dangerous Goods List</w:t>
      </w:r>
      <w:r w:rsidR="001360BD">
        <w:t xml:space="preserve"> and following joint discussion both delegations have come to </w:t>
      </w:r>
      <w:r w:rsidR="003C0DDD">
        <w:t xml:space="preserve">certain conclusion which have been detailed in </w:t>
      </w:r>
      <w:r w:rsidR="003C0DDD" w:rsidRPr="003C0DDD">
        <w:t>UN/SCETDG/61/INF.6</w:t>
      </w:r>
      <w:r w:rsidR="003C0DDD">
        <w:t>.</w:t>
      </w:r>
    </w:p>
    <w:p w14:paraId="737EAFA6" w14:textId="037AE85E" w:rsidR="00706D51" w:rsidRDefault="001360BD" w:rsidP="00706D51">
      <w:pPr>
        <w:pStyle w:val="SingleTxtG"/>
        <w:numPr>
          <w:ilvl w:val="0"/>
          <w:numId w:val="3"/>
        </w:numPr>
        <w:tabs>
          <w:tab w:val="left" w:pos="1701"/>
        </w:tabs>
        <w:ind w:left="1134" w:firstLine="0"/>
      </w:pPr>
      <w:r>
        <w:t xml:space="preserve">This document suggests revisions to the proposals made in </w:t>
      </w:r>
      <w:bookmarkStart w:id="1" w:name="_Hlk119685317"/>
      <w:r w:rsidRPr="001360BD">
        <w:t>UN/SCETDG/61/INF.6</w:t>
      </w:r>
      <w:r>
        <w:t xml:space="preserve"> </w:t>
      </w:r>
      <w:bookmarkEnd w:id="1"/>
      <w:r>
        <w:t>in order to:</w:t>
      </w:r>
    </w:p>
    <w:p w14:paraId="7EB1C3EB" w14:textId="6A0D5445" w:rsidR="001360BD" w:rsidRPr="000D0389" w:rsidRDefault="000D0389" w:rsidP="000D0389">
      <w:pPr>
        <w:pStyle w:val="SingleTxtG"/>
        <w:ind w:left="1701"/>
      </w:pPr>
      <w:r>
        <w:tab/>
        <w:t>(a)</w:t>
      </w:r>
      <w:r>
        <w:tab/>
      </w:r>
      <w:r w:rsidR="001360BD" w:rsidRPr="000D0389">
        <w:t>Simplify the application of SP 28 for persons involved in the transport chain;</w:t>
      </w:r>
    </w:p>
    <w:p w14:paraId="0ED5A384" w14:textId="7CD48B38" w:rsidR="001360BD" w:rsidRPr="000D0389" w:rsidRDefault="000D0389" w:rsidP="000D0389">
      <w:pPr>
        <w:pStyle w:val="SingleTxtG"/>
        <w:ind w:left="1701"/>
      </w:pPr>
      <w:r>
        <w:tab/>
        <w:t>(b)</w:t>
      </w:r>
      <w:r>
        <w:tab/>
      </w:r>
      <w:r w:rsidR="001360BD" w:rsidRPr="000D0389">
        <w:t>Simplify enforcement</w:t>
      </w:r>
      <w:r w:rsidR="00BB69CD" w:rsidRPr="000D0389">
        <w:t xml:space="preserve"> decisions and actions</w:t>
      </w:r>
      <w:r w:rsidR="001360BD" w:rsidRPr="000D0389">
        <w:t xml:space="preserve"> for regulatory authorities</w:t>
      </w:r>
    </w:p>
    <w:p w14:paraId="52BE8379" w14:textId="28855C7F" w:rsidR="001360BD" w:rsidRPr="000D0389" w:rsidRDefault="000D0389" w:rsidP="000D0389">
      <w:pPr>
        <w:pStyle w:val="SingleTxtG"/>
        <w:ind w:left="1701"/>
      </w:pPr>
      <w:r>
        <w:tab/>
        <w:t>(c)</w:t>
      </w:r>
      <w:r>
        <w:tab/>
      </w:r>
      <w:r w:rsidR="001360BD" w:rsidRPr="000D0389">
        <w:t>Reinforce the importance of ensuring that desensitised explosives must contain an appropriate quantity of diluent if risks are to be properly managed in the transport chain.</w:t>
      </w:r>
    </w:p>
    <w:p w14:paraId="5E2556F5" w14:textId="77777777" w:rsidR="00706D51" w:rsidRDefault="00706D51" w:rsidP="00706D51">
      <w:pPr>
        <w:pStyle w:val="HChG"/>
        <w:spacing w:before="240" w:after="120"/>
        <w:rPr>
          <w:sz w:val="24"/>
          <w:szCs w:val="24"/>
          <w:lang w:val="en-US"/>
        </w:rPr>
      </w:pPr>
      <w:r>
        <w:rPr>
          <w:sz w:val="24"/>
          <w:szCs w:val="24"/>
          <w:lang w:val="en-US"/>
        </w:rPr>
        <w:tab/>
      </w:r>
      <w:r>
        <w:rPr>
          <w:sz w:val="24"/>
          <w:szCs w:val="24"/>
          <w:lang w:val="en-US"/>
        </w:rPr>
        <w:tab/>
        <w:t>Discussion</w:t>
      </w:r>
    </w:p>
    <w:p w14:paraId="5985E552" w14:textId="1CC8CD06" w:rsidR="00706D51" w:rsidRDefault="00706D51" w:rsidP="00706D51">
      <w:pPr>
        <w:pStyle w:val="SingleTxtG"/>
        <w:numPr>
          <w:ilvl w:val="0"/>
          <w:numId w:val="3"/>
        </w:numPr>
        <w:tabs>
          <w:tab w:val="left" w:pos="1701"/>
        </w:tabs>
        <w:ind w:left="1134" w:firstLine="0"/>
      </w:pPr>
      <w:r>
        <w:tab/>
        <w:t xml:space="preserve">Both delegations </w:t>
      </w:r>
      <w:r w:rsidR="001360BD">
        <w:t xml:space="preserve">appear to agree </w:t>
      </w:r>
      <w:r>
        <w:t>SP 28</w:t>
      </w:r>
      <w:r w:rsidR="001360BD">
        <w:t xml:space="preserve"> should not apply to UN 2557, 2907, 3319 and 3344 because they appear to have a solid diluent which does not evaporate</w:t>
      </w:r>
      <w:r>
        <w:t>.</w:t>
      </w:r>
    </w:p>
    <w:p w14:paraId="00BB5F59" w14:textId="55B3D497" w:rsidR="00706D51" w:rsidRDefault="007C6D61" w:rsidP="00706D51">
      <w:pPr>
        <w:pStyle w:val="SingleTxtG"/>
        <w:numPr>
          <w:ilvl w:val="0"/>
          <w:numId w:val="3"/>
        </w:numPr>
        <w:tabs>
          <w:tab w:val="left" w:pos="1701"/>
        </w:tabs>
        <w:ind w:left="1134" w:firstLine="0"/>
      </w:pPr>
      <w:r>
        <w:t>There are however additional mechanisms that result in the concentration of a solid diluent falling such as</w:t>
      </w:r>
      <w:r w:rsidR="00040F41">
        <w:t>, for example,</w:t>
      </w:r>
      <w:r>
        <w:t xml:space="preserve"> preferential solvation by water.</w:t>
      </w:r>
    </w:p>
    <w:p w14:paraId="2F4583AB" w14:textId="0605BE27" w:rsidR="00706D51" w:rsidRDefault="007C6D61" w:rsidP="00706D51">
      <w:pPr>
        <w:pStyle w:val="SingleTxtG"/>
        <w:numPr>
          <w:ilvl w:val="0"/>
          <w:numId w:val="3"/>
        </w:numPr>
        <w:tabs>
          <w:tab w:val="left" w:pos="1701"/>
        </w:tabs>
        <w:ind w:left="1134" w:firstLine="0"/>
      </w:pPr>
      <w:r>
        <w:t>Whilst these additional mechanisms are only likely to occur where the full safeguards associated with compliance with the Model Regulations have not been complied with, the potential for them to occur and the risks that they could introduce to the transport chain should be recognised</w:t>
      </w:r>
      <w:r w:rsidR="001B3E33">
        <w:t xml:space="preserve"> and as such SP 28 </w:t>
      </w:r>
      <w:r w:rsidR="00801440">
        <w:t xml:space="preserve">should </w:t>
      </w:r>
      <w:r w:rsidR="001B3E33">
        <w:t>be assigned</w:t>
      </w:r>
      <w:r>
        <w:t>.</w:t>
      </w:r>
    </w:p>
    <w:p w14:paraId="5847833E" w14:textId="77777777" w:rsidR="00706D51" w:rsidRDefault="00706D51" w:rsidP="00706D51">
      <w:pPr>
        <w:pStyle w:val="HChG"/>
        <w:spacing w:before="240" w:after="120"/>
        <w:rPr>
          <w:sz w:val="24"/>
          <w:szCs w:val="24"/>
          <w:lang w:val="en-US"/>
        </w:rPr>
      </w:pPr>
      <w:r>
        <w:rPr>
          <w:sz w:val="24"/>
          <w:szCs w:val="24"/>
          <w:lang w:val="en-US"/>
        </w:rPr>
        <w:tab/>
      </w:r>
      <w:r>
        <w:rPr>
          <w:sz w:val="24"/>
          <w:szCs w:val="24"/>
          <w:lang w:val="en-US"/>
        </w:rPr>
        <w:tab/>
        <w:t>Proposal</w:t>
      </w:r>
    </w:p>
    <w:p w14:paraId="4A82B70E" w14:textId="5D20D74C" w:rsidR="00706D51" w:rsidRDefault="00706D51" w:rsidP="00706D51">
      <w:pPr>
        <w:pStyle w:val="SingleTxtG"/>
        <w:numPr>
          <w:ilvl w:val="0"/>
          <w:numId w:val="3"/>
        </w:numPr>
        <w:tabs>
          <w:tab w:val="left" w:pos="1701"/>
        </w:tabs>
        <w:ind w:left="1134" w:firstLine="0"/>
      </w:pPr>
      <w:r>
        <w:t>The proposals in documents ST/SG/AC.10/C.3/2022/58 and ST/SG/AC.10/C.3/ 2022/63</w:t>
      </w:r>
      <w:r w:rsidR="007C6D61">
        <w:t xml:space="preserve"> and </w:t>
      </w:r>
      <w:r w:rsidR="007C6D61" w:rsidRPr="007C6D61">
        <w:t>UN/SCETDG/61/INF.6</w:t>
      </w:r>
      <w:r>
        <w:t xml:space="preserve"> are amended as follows:</w:t>
      </w:r>
    </w:p>
    <w:p w14:paraId="64694F92" w14:textId="77777777" w:rsidR="000D0389" w:rsidRDefault="000D0389">
      <w:pPr>
        <w:suppressAutoHyphens w:val="0"/>
        <w:spacing w:line="240" w:lineRule="auto"/>
      </w:pPr>
      <w:r>
        <w:br w:type="page"/>
      </w:r>
    </w:p>
    <w:p w14:paraId="5A6335C6" w14:textId="21392529" w:rsidR="00B14E43" w:rsidRDefault="00895B8C" w:rsidP="00706D51">
      <w:pPr>
        <w:pStyle w:val="SingleTxtG"/>
        <w:numPr>
          <w:ilvl w:val="0"/>
          <w:numId w:val="3"/>
        </w:numPr>
        <w:tabs>
          <w:tab w:val="left" w:pos="1701"/>
        </w:tabs>
        <w:ind w:left="1134" w:firstLine="0"/>
      </w:pPr>
      <w:r>
        <w:lastRenderedPageBreak/>
        <w:t xml:space="preserve">In </w:t>
      </w:r>
      <w:r w:rsidR="00B14E43">
        <w:t xml:space="preserve">column 6 of </w:t>
      </w:r>
      <w:r>
        <w:t>the Dangerous Goods List in 3.2.2</w:t>
      </w:r>
      <w:r w:rsidR="008C581A">
        <w:t>:</w:t>
      </w:r>
    </w:p>
    <w:p w14:paraId="13B567DC" w14:textId="7CABE365" w:rsidR="00706D51" w:rsidRPr="000D0389" w:rsidRDefault="000D0389" w:rsidP="000D0389">
      <w:pPr>
        <w:pStyle w:val="SingleTxtG"/>
        <w:ind w:left="1701"/>
      </w:pPr>
      <w:r>
        <w:t>(</w:t>
      </w:r>
      <w:r w:rsidR="00B14E43" w:rsidRPr="000D0389">
        <w:t>a)</w:t>
      </w:r>
      <w:r>
        <w:tab/>
      </w:r>
      <w:r w:rsidR="00B14E43" w:rsidRPr="000D0389">
        <w:t>f</w:t>
      </w:r>
      <w:r w:rsidR="00706D51" w:rsidRPr="000D0389">
        <w:t>or solid desensitized explosives, assign SP 28 to UN entries 2555</w:t>
      </w:r>
      <w:r w:rsidR="00BA5F68" w:rsidRPr="000D0389">
        <w:t>,</w:t>
      </w:r>
      <w:r w:rsidR="00706D51" w:rsidRPr="000D0389">
        <w:t xml:space="preserve"> 2556</w:t>
      </w:r>
      <w:r w:rsidR="00BA5F68" w:rsidRPr="000D0389">
        <w:t>, 2907, 3319 and 3344</w:t>
      </w:r>
      <w:r w:rsidR="00B108ED" w:rsidRPr="000D0389">
        <w:t xml:space="preserve"> </w:t>
      </w:r>
      <w:r w:rsidR="004C28BE" w:rsidRPr="000D0389">
        <w:t>i.e.,</w:t>
      </w:r>
      <w:r w:rsidR="00B108ED" w:rsidRPr="000D0389">
        <w:t xml:space="preserve"> to those entries where a percentage of diluent is </w:t>
      </w:r>
      <w:r w:rsidR="004C28BE" w:rsidRPr="000D0389">
        <w:t xml:space="preserve">either </w:t>
      </w:r>
      <w:r w:rsidR="00B108ED" w:rsidRPr="000D0389">
        <w:t xml:space="preserve">specified or </w:t>
      </w:r>
      <w:r w:rsidR="004C28BE" w:rsidRPr="000D0389">
        <w:t>where a minimum percentage of diluent can be inferred</w:t>
      </w:r>
      <w:r w:rsidR="00B108ED" w:rsidRPr="000D0389">
        <w:t xml:space="preserve"> </w:t>
      </w:r>
      <w:r w:rsidR="004C28BE" w:rsidRPr="000D0389">
        <w:t xml:space="preserve">from </w:t>
      </w:r>
      <w:r w:rsidR="00B108ED" w:rsidRPr="000D0389">
        <w:t xml:space="preserve">the </w:t>
      </w:r>
      <w:r w:rsidR="00BB4A17" w:rsidRPr="000D0389">
        <w:t>n</w:t>
      </w:r>
      <w:r w:rsidR="00B108ED" w:rsidRPr="000D0389">
        <w:t>ame and description appearing</w:t>
      </w:r>
      <w:r w:rsidR="001B3E33" w:rsidRPr="000D0389">
        <w:t xml:space="preserve"> </w:t>
      </w:r>
      <w:r w:rsidR="00B14E43" w:rsidRPr="000D0389">
        <w:t>in</w:t>
      </w:r>
      <w:r w:rsidR="00B108ED" w:rsidRPr="000D0389">
        <w:t xml:space="preserve"> </w:t>
      </w:r>
      <w:r w:rsidR="00BB4A17" w:rsidRPr="000D0389">
        <w:t xml:space="preserve">column 2 </w:t>
      </w:r>
      <w:r w:rsidR="000F7D30" w:rsidRPr="000D0389">
        <w:t>of the Dangerous Goods List</w:t>
      </w:r>
      <w:r w:rsidR="001265C9">
        <w:t>;</w:t>
      </w:r>
    </w:p>
    <w:p w14:paraId="315E193F" w14:textId="514273DE" w:rsidR="00706D51" w:rsidRPr="000D0389" w:rsidRDefault="000D0389" w:rsidP="000D0389">
      <w:pPr>
        <w:pStyle w:val="SingleTxtG"/>
        <w:ind w:left="1701"/>
      </w:pPr>
      <w:r>
        <w:t>(</w:t>
      </w:r>
      <w:r w:rsidR="00B14E43" w:rsidRPr="000D0389">
        <w:t>b)</w:t>
      </w:r>
      <w:r>
        <w:tab/>
      </w:r>
      <w:r w:rsidR="00B14E43" w:rsidRPr="000D0389">
        <w:t>a</w:t>
      </w:r>
      <w:r w:rsidR="00706D51" w:rsidRPr="000D0389">
        <w:t>ssign SP</w:t>
      </w:r>
      <w:r w:rsidR="00B14E43" w:rsidRPr="000D0389">
        <w:t xml:space="preserve"> </w:t>
      </w:r>
      <w:r w:rsidR="00706D51" w:rsidRPr="000D0389">
        <w:t>28 to the following UN entries of liquid desensitized explosives: UN numbers 1204, 2059, 3064, 3343, and 3357.</w:t>
      </w:r>
    </w:p>
    <w:p w14:paraId="061835A6" w14:textId="09106D03" w:rsidR="00D45103" w:rsidRPr="00BC2AC9" w:rsidRDefault="00BC2AC9" w:rsidP="00BC2AC9">
      <w:pPr>
        <w:spacing w:before="240"/>
        <w:jc w:val="center"/>
        <w:rPr>
          <w:u w:val="single"/>
          <w:lang w:val="en-AU" w:eastAsia="en-AU"/>
        </w:rPr>
      </w:pPr>
      <w:r>
        <w:rPr>
          <w:u w:val="single"/>
          <w:lang w:val="en-AU" w:eastAsia="en-AU"/>
        </w:rPr>
        <w:tab/>
      </w:r>
      <w:r>
        <w:rPr>
          <w:u w:val="single"/>
          <w:lang w:val="en-AU" w:eastAsia="en-AU"/>
        </w:rPr>
        <w:tab/>
      </w:r>
      <w:r>
        <w:rPr>
          <w:u w:val="single"/>
          <w:lang w:val="en-AU" w:eastAsia="en-AU"/>
        </w:rPr>
        <w:tab/>
      </w:r>
    </w:p>
    <w:sectPr w:rsidR="00D45103" w:rsidRPr="00BC2AC9" w:rsidSect="0099001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01D03" w14:textId="77777777" w:rsidR="00F5044B" w:rsidRDefault="00F5044B"/>
  </w:endnote>
  <w:endnote w:type="continuationSeparator" w:id="0">
    <w:p w14:paraId="6AFD80C5" w14:textId="77777777" w:rsidR="00F5044B" w:rsidRDefault="00F5044B"/>
  </w:endnote>
  <w:endnote w:type="continuationNotice" w:id="1">
    <w:p w14:paraId="6D1E7F59" w14:textId="77777777" w:rsidR="00F5044B" w:rsidRDefault="00F504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66D8" w14:textId="77777777" w:rsidR="000D0389" w:rsidRDefault="000D0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CBFA7" w14:textId="77777777" w:rsidR="00F5044B" w:rsidRPr="000B175B" w:rsidRDefault="00F5044B" w:rsidP="000B175B">
      <w:pPr>
        <w:tabs>
          <w:tab w:val="right" w:pos="2155"/>
        </w:tabs>
        <w:spacing w:after="80"/>
        <w:ind w:left="680"/>
        <w:rPr>
          <w:u w:val="single"/>
        </w:rPr>
      </w:pPr>
      <w:r>
        <w:rPr>
          <w:u w:val="single"/>
        </w:rPr>
        <w:tab/>
      </w:r>
    </w:p>
  </w:footnote>
  <w:footnote w:type="continuationSeparator" w:id="0">
    <w:p w14:paraId="37FE9CB7" w14:textId="77777777" w:rsidR="00F5044B" w:rsidRPr="00FC68B7" w:rsidRDefault="00F5044B" w:rsidP="00FC68B7">
      <w:pPr>
        <w:tabs>
          <w:tab w:val="left" w:pos="2155"/>
        </w:tabs>
        <w:spacing w:after="80"/>
        <w:ind w:left="680"/>
        <w:rPr>
          <w:u w:val="single"/>
        </w:rPr>
      </w:pPr>
      <w:r>
        <w:rPr>
          <w:u w:val="single"/>
        </w:rPr>
        <w:tab/>
      </w:r>
    </w:p>
  </w:footnote>
  <w:footnote w:type="continuationNotice" w:id="1">
    <w:p w14:paraId="43FA0A94" w14:textId="77777777" w:rsidR="00F5044B" w:rsidRDefault="00F504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741E" w14:textId="4031EEC9" w:rsidR="006C0DC6" w:rsidRPr="0099001C" w:rsidRDefault="006C0DC6" w:rsidP="00366CA7">
    <w:pPr>
      <w:pStyle w:val="Header"/>
    </w:pPr>
    <w:r>
      <w:t>UN/SCE</w:t>
    </w:r>
    <w:r w:rsidR="00C01A22">
      <w:t>TDG</w:t>
    </w:r>
    <w:r>
      <w:t>/</w:t>
    </w:r>
    <w:r w:rsidR="000D0389">
      <w:t>61</w:t>
    </w:r>
    <w:r>
      <w:t>/INF.</w:t>
    </w:r>
    <w:r w:rsidR="000D0389">
      <w:t>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0B15" w14:textId="0BEE4C91" w:rsidR="006C0DC6" w:rsidRPr="0099001C" w:rsidRDefault="006C0DC6" w:rsidP="0099001C">
    <w:pPr>
      <w:pStyle w:val="Header"/>
      <w:jc w:val="right"/>
    </w:pPr>
    <w:r>
      <w:t>UN/SCE</w:t>
    </w:r>
    <w:r w:rsidR="00C01A22">
      <w:t>TDG</w:t>
    </w:r>
    <w:r>
      <w:t>/</w:t>
    </w:r>
    <w:r w:rsidR="00C01A22">
      <w:t>5</w:t>
    </w:r>
    <w:r w:rsidR="008E4640">
      <w:t>9</w:t>
    </w:r>
    <w:r w:rsidR="00C07F9E">
      <w:t>/</w:t>
    </w:r>
    <w:r>
      <w:t>INF.1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A5D5" w14:textId="77777777" w:rsidR="000D0389" w:rsidRDefault="000D0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FE405A"/>
    <w:multiLevelType w:val="hybridMultilevel"/>
    <w:tmpl w:val="08DE7CE6"/>
    <w:lvl w:ilvl="0" w:tplc="0407000F">
      <w:start w:val="1"/>
      <w:numFmt w:val="decimal"/>
      <w:lvlText w:val="%1."/>
      <w:lvlJc w:val="left"/>
      <w:pPr>
        <w:ind w:left="1854" w:hanging="360"/>
      </w:pPr>
    </w:lvl>
    <w:lvl w:ilvl="1" w:tplc="04070019">
      <w:start w:val="1"/>
      <w:numFmt w:val="lowerLetter"/>
      <w:lvlText w:val="%2."/>
      <w:lvlJc w:val="left"/>
      <w:pPr>
        <w:ind w:left="2574" w:hanging="360"/>
      </w:pPr>
    </w:lvl>
    <w:lvl w:ilvl="2" w:tplc="0407001B">
      <w:start w:val="1"/>
      <w:numFmt w:val="lowerRoman"/>
      <w:lvlText w:val="%3."/>
      <w:lvlJc w:val="right"/>
      <w:pPr>
        <w:ind w:left="3294" w:hanging="180"/>
      </w:pPr>
    </w:lvl>
    <w:lvl w:ilvl="3" w:tplc="0407000F">
      <w:start w:val="1"/>
      <w:numFmt w:val="decimal"/>
      <w:lvlText w:val="%4."/>
      <w:lvlJc w:val="left"/>
      <w:pPr>
        <w:ind w:left="4014" w:hanging="360"/>
      </w:pPr>
    </w:lvl>
    <w:lvl w:ilvl="4" w:tplc="04070019">
      <w:start w:val="1"/>
      <w:numFmt w:val="lowerLetter"/>
      <w:lvlText w:val="%5."/>
      <w:lvlJc w:val="left"/>
      <w:pPr>
        <w:ind w:left="4734" w:hanging="360"/>
      </w:pPr>
    </w:lvl>
    <w:lvl w:ilvl="5" w:tplc="0407001B">
      <w:start w:val="1"/>
      <w:numFmt w:val="lowerRoman"/>
      <w:lvlText w:val="%6."/>
      <w:lvlJc w:val="right"/>
      <w:pPr>
        <w:ind w:left="5454" w:hanging="180"/>
      </w:pPr>
    </w:lvl>
    <w:lvl w:ilvl="6" w:tplc="0407000F">
      <w:start w:val="1"/>
      <w:numFmt w:val="decimal"/>
      <w:lvlText w:val="%7."/>
      <w:lvlJc w:val="left"/>
      <w:pPr>
        <w:ind w:left="6174" w:hanging="360"/>
      </w:pPr>
    </w:lvl>
    <w:lvl w:ilvl="7" w:tplc="04070019">
      <w:start w:val="1"/>
      <w:numFmt w:val="lowerLetter"/>
      <w:lvlText w:val="%8."/>
      <w:lvlJc w:val="left"/>
      <w:pPr>
        <w:ind w:left="6894" w:hanging="360"/>
      </w:pPr>
    </w:lvl>
    <w:lvl w:ilvl="8" w:tplc="0407001B">
      <w:start w:val="1"/>
      <w:numFmt w:val="lowerRoman"/>
      <w:lvlText w:val="%9."/>
      <w:lvlJc w:val="right"/>
      <w:pPr>
        <w:ind w:left="7614"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42A7"/>
    <w:rsid w:val="000126D2"/>
    <w:rsid w:val="00012767"/>
    <w:rsid w:val="000137FF"/>
    <w:rsid w:val="00013D99"/>
    <w:rsid w:val="000204EA"/>
    <w:rsid w:val="0002214E"/>
    <w:rsid w:val="0003123C"/>
    <w:rsid w:val="00031CBB"/>
    <w:rsid w:val="00033B3D"/>
    <w:rsid w:val="00040F41"/>
    <w:rsid w:val="00042858"/>
    <w:rsid w:val="00043E1A"/>
    <w:rsid w:val="0004433E"/>
    <w:rsid w:val="000448F5"/>
    <w:rsid w:val="00050F6B"/>
    <w:rsid w:val="00051214"/>
    <w:rsid w:val="00054C58"/>
    <w:rsid w:val="0005512E"/>
    <w:rsid w:val="00057F51"/>
    <w:rsid w:val="000609DB"/>
    <w:rsid w:val="0006754E"/>
    <w:rsid w:val="000723E7"/>
    <w:rsid w:val="00072C8C"/>
    <w:rsid w:val="00076279"/>
    <w:rsid w:val="00076E62"/>
    <w:rsid w:val="000778B2"/>
    <w:rsid w:val="000803B3"/>
    <w:rsid w:val="00081647"/>
    <w:rsid w:val="00081F44"/>
    <w:rsid w:val="00083694"/>
    <w:rsid w:val="00083C33"/>
    <w:rsid w:val="000877CA"/>
    <w:rsid w:val="00090A51"/>
    <w:rsid w:val="000931C0"/>
    <w:rsid w:val="0009390A"/>
    <w:rsid w:val="00096CD4"/>
    <w:rsid w:val="000A0664"/>
    <w:rsid w:val="000A18E8"/>
    <w:rsid w:val="000A22EE"/>
    <w:rsid w:val="000A3E88"/>
    <w:rsid w:val="000A5146"/>
    <w:rsid w:val="000B175B"/>
    <w:rsid w:val="000B3A0F"/>
    <w:rsid w:val="000B4C96"/>
    <w:rsid w:val="000C1589"/>
    <w:rsid w:val="000C25B7"/>
    <w:rsid w:val="000C38D0"/>
    <w:rsid w:val="000C5B0B"/>
    <w:rsid w:val="000C6544"/>
    <w:rsid w:val="000C6A00"/>
    <w:rsid w:val="000D0389"/>
    <w:rsid w:val="000D191F"/>
    <w:rsid w:val="000D39F8"/>
    <w:rsid w:val="000D3B0C"/>
    <w:rsid w:val="000D7DB6"/>
    <w:rsid w:val="000E0415"/>
    <w:rsid w:val="000E1ED2"/>
    <w:rsid w:val="000E45CC"/>
    <w:rsid w:val="000E51CE"/>
    <w:rsid w:val="000F2CE1"/>
    <w:rsid w:val="000F368C"/>
    <w:rsid w:val="000F3DDC"/>
    <w:rsid w:val="000F6C7B"/>
    <w:rsid w:val="000F7D30"/>
    <w:rsid w:val="00100A9D"/>
    <w:rsid w:val="00102373"/>
    <w:rsid w:val="001035FB"/>
    <w:rsid w:val="00107042"/>
    <w:rsid w:val="00110386"/>
    <w:rsid w:val="0011098D"/>
    <w:rsid w:val="00110DF6"/>
    <w:rsid w:val="00111F3F"/>
    <w:rsid w:val="0011793B"/>
    <w:rsid w:val="00120412"/>
    <w:rsid w:val="001220B8"/>
    <w:rsid w:val="00123D08"/>
    <w:rsid w:val="001240C5"/>
    <w:rsid w:val="001265C9"/>
    <w:rsid w:val="0013106B"/>
    <w:rsid w:val="00132EE2"/>
    <w:rsid w:val="0013397C"/>
    <w:rsid w:val="001360BD"/>
    <w:rsid w:val="001362CB"/>
    <w:rsid w:val="0013641F"/>
    <w:rsid w:val="00137D36"/>
    <w:rsid w:val="00144078"/>
    <w:rsid w:val="001547CA"/>
    <w:rsid w:val="00156F3C"/>
    <w:rsid w:val="00162BF7"/>
    <w:rsid w:val="00163012"/>
    <w:rsid w:val="00163D0D"/>
    <w:rsid w:val="00165823"/>
    <w:rsid w:val="0016583F"/>
    <w:rsid w:val="00172643"/>
    <w:rsid w:val="001806E6"/>
    <w:rsid w:val="00190AEA"/>
    <w:rsid w:val="00196CD0"/>
    <w:rsid w:val="001A1B3F"/>
    <w:rsid w:val="001A2C53"/>
    <w:rsid w:val="001A3CE1"/>
    <w:rsid w:val="001A42F3"/>
    <w:rsid w:val="001B1308"/>
    <w:rsid w:val="001B1F42"/>
    <w:rsid w:val="001B3E33"/>
    <w:rsid w:val="001B4B04"/>
    <w:rsid w:val="001B7FE6"/>
    <w:rsid w:val="001C6663"/>
    <w:rsid w:val="001C7895"/>
    <w:rsid w:val="001D1E09"/>
    <w:rsid w:val="001D1E2A"/>
    <w:rsid w:val="001D26DF"/>
    <w:rsid w:val="001D5B87"/>
    <w:rsid w:val="001D6D9F"/>
    <w:rsid w:val="001E47FD"/>
    <w:rsid w:val="001E4C75"/>
    <w:rsid w:val="001E710B"/>
    <w:rsid w:val="001F20EB"/>
    <w:rsid w:val="001F3237"/>
    <w:rsid w:val="00205370"/>
    <w:rsid w:val="00206DE0"/>
    <w:rsid w:val="00211ADF"/>
    <w:rsid w:val="00211D0D"/>
    <w:rsid w:val="00211E0B"/>
    <w:rsid w:val="00226D5F"/>
    <w:rsid w:val="00226D9D"/>
    <w:rsid w:val="00234380"/>
    <w:rsid w:val="002348F4"/>
    <w:rsid w:val="0023564D"/>
    <w:rsid w:val="00236E81"/>
    <w:rsid w:val="002401EF"/>
    <w:rsid w:val="002405A7"/>
    <w:rsid w:val="00244673"/>
    <w:rsid w:val="00245F5C"/>
    <w:rsid w:val="0024624B"/>
    <w:rsid w:val="002505DA"/>
    <w:rsid w:val="002570BC"/>
    <w:rsid w:val="00257E45"/>
    <w:rsid w:val="00262488"/>
    <w:rsid w:val="00263951"/>
    <w:rsid w:val="00265671"/>
    <w:rsid w:val="00266898"/>
    <w:rsid w:val="0027313E"/>
    <w:rsid w:val="00275D77"/>
    <w:rsid w:val="00284A54"/>
    <w:rsid w:val="00285613"/>
    <w:rsid w:val="00286659"/>
    <w:rsid w:val="002976FD"/>
    <w:rsid w:val="002A4DFC"/>
    <w:rsid w:val="002A537C"/>
    <w:rsid w:val="002A5947"/>
    <w:rsid w:val="002A5A2D"/>
    <w:rsid w:val="002A7047"/>
    <w:rsid w:val="002B079A"/>
    <w:rsid w:val="002B3993"/>
    <w:rsid w:val="002B66EE"/>
    <w:rsid w:val="002B670E"/>
    <w:rsid w:val="002B6A44"/>
    <w:rsid w:val="002C133E"/>
    <w:rsid w:val="002C1386"/>
    <w:rsid w:val="002C21E5"/>
    <w:rsid w:val="002C22EC"/>
    <w:rsid w:val="002C710D"/>
    <w:rsid w:val="002D59D3"/>
    <w:rsid w:val="002E0624"/>
    <w:rsid w:val="002E6284"/>
    <w:rsid w:val="002E7C49"/>
    <w:rsid w:val="002F1024"/>
    <w:rsid w:val="002F1089"/>
    <w:rsid w:val="002F247E"/>
    <w:rsid w:val="002F3DFA"/>
    <w:rsid w:val="00305C3C"/>
    <w:rsid w:val="003073F4"/>
    <w:rsid w:val="003107FA"/>
    <w:rsid w:val="003118D4"/>
    <w:rsid w:val="003127A2"/>
    <w:rsid w:val="003140CE"/>
    <w:rsid w:val="003217B0"/>
    <w:rsid w:val="00321878"/>
    <w:rsid w:val="003229D8"/>
    <w:rsid w:val="0032442E"/>
    <w:rsid w:val="0032489E"/>
    <w:rsid w:val="003265CA"/>
    <w:rsid w:val="00334D85"/>
    <w:rsid w:val="0033745A"/>
    <w:rsid w:val="00337513"/>
    <w:rsid w:val="003376D4"/>
    <w:rsid w:val="00342302"/>
    <w:rsid w:val="003443E5"/>
    <w:rsid w:val="00350692"/>
    <w:rsid w:val="003506B8"/>
    <w:rsid w:val="00351974"/>
    <w:rsid w:val="0035264A"/>
    <w:rsid w:val="00352E14"/>
    <w:rsid w:val="00353DBA"/>
    <w:rsid w:val="003565E5"/>
    <w:rsid w:val="00360834"/>
    <w:rsid w:val="00364E58"/>
    <w:rsid w:val="00366CA7"/>
    <w:rsid w:val="0037249C"/>
    <w:rsid w:val="003819B1"/>
    <w:rsid w:val="003841B8"/>
    <w:rsid w:val="00385DF6"/>
    <w:rsid w:val="003864F3"/>
    <w:rsid w:val="0038656E"/>
    <w:rsid w:val="00387A81"/>
    <w:rsid w:val="00390529"/>
    <w:rsid w:val="0039277A"/>
    <w:rsid w:val="003937A6"/>
    <w:rsid w:val="003972E0"/>
    <w:rsid w:val="003A26B0"/>
    <w:rsid w:val="003A402E"/>
    <w:rsid w:val="003A4B23"/>
    <w:rsid w:val="003A5D05"/>
    <w:rsid w:val="003B148E"/>
    <w:rsid w:val="003B39CC"/>
    <w:rsid w:val="003B7321"/>
    <w:rsid w:val="003C0DDD"/>
    <w:rsid w:val="003C2CC4"/>
    <w:rsid w:val="003C32AD"/>
    <w:rsid w:val="003C3936"/>
    <w:rsid w:val="003C4B7F"/>
    <w:rsid w:val="003C7292"/>
    <w:rsid w:val="003C72DD"/>
    <w:rsid w:val="003D02C2"/>
    <w:rsid w:val="003D1EA9"/>
    <w:rsid w:val="003D4B23"/>
    <w:rsid w:val="003D621B"/>
    <w:rsid w:val="003E10E4"/>
    <w:rsid w:val="003E117E"/>
    <w:rsid w:val="003E1216"/>
    <w:rsid w:val="003E1B5B"/>
    <w:rsid w:val="003F0752"/>
    <w:rsid w:val="003F18A0"/>
    <w:rsid w:val="003F1ED3"/>
    <w:rsid w:val="003F29E4"/>
    <w:rsid w:val="003F4CBA"/>
    <w:rsid w:val="003F5E77"/>
    <w:rsid w:val="003F668F"/>
    <w:rsid w:val="003F6DAE"/>
    <w:rsid w:val="003F7973"/>
    <w:rsid w:val="003F7A75"/>
    <w:rsid w:val="00401917"/>
    <w:rsid w:val="0040598C"/>
    <w:rsid w:val="00410733"/>
    <w:rsid w:val="004160C6"/>
    <w:rsid w:val="004230C0"/>
    <w:rsid w:val="0042588C"/>
    <w:rsid w:val="00426C3A"/>
    <w:rsid w:val="00426C9C"/>
    <w:rsid w:val="00431C5B"/>
    <w:rsid w:val="00431EFF"/>
    <w:rsid w:val="004325CB"/>
    <w:rsid w:val="0043783F"/>
    <w:rsid w:val="00437EFC"/>
    <w:rsid w:val="004458CC"/>
    <w:rsid w:val="00446DE4"/>
    <w:rsid w:val="00451562"/>
    <w:rsid w:val="0045333F"/>
    <w:rsid w:val="00460DD9"/>
    <w:rsid w:val="0046228F"/>
    <w:rsid w:val="00467927"/>
    <w:rsid w:val="004750BF"/>
    <w:rsid w:val="004774B9"/>
    <w:rsid w:val="0048291A"/>
    <w:rsid w:val="004901B7"/>
    <w:rsid w:val="0049427E"/>
    <w:rsid w:val="00497A7B"/>
    <w:rsid w:val="004A0596"/>
    <w:rsid w:val="004A2EA2"/>
    <w:rsid w:val="004A3F42"/>
    <w:rsid w:val="004A41CA"/>
    <w:rsid w:val="004A6072"/>
    <w:rsid w:val="004A6319"/>
    <w:rsid w:val="004A6C6E"/>
    <w:rsid w:val="004A707C"/>
    <w:rsid w:val="004A7239"/>
    <w:rsid w:val="004B0E57"/>
    <w:rsid w:val="004B6733"/>
    <w:rsid w:val="004C012B"/>
    <w:rsid w:val="004C28BE"/>
    <w:rsid w:val="004C7AF7"/>
    <w:rsid w:val="004D16C5"/>
    <w:rsid w:val="004D5CB2"/>
    <w:rsid w:val="004D6E91"/>
    <w:rsid w:val="004D7EFA"/>
    <w:rsid w:val="004E09B1"/>
    <w:rsid w:val="004E449E"/>
    <w:rsid w:val="004E478E"/>
    <w:rsid w:val="004E5083"/>
    <w:rsid w:val="004E6690"/>
    <w:rsid w:val="004E674C"/>
    <w:rsid w:val="004E76F6"/>
    <w:rsid w:val="004E7DE6"/>
    <w:rsid w:val="004F1932"/>
    <w:rsid w:val="004F43E6"/>
    <w:rsid w:val="004F4B24"/>
    <w:rsid w:val="004F65C1"/>
    <w:rsid w:val="00501115"/>
    <w:rsid w:val="00501D18"/>
    <w:rsid w:val="00503228"/>
    <w:rsid w:val="00503516"/>
    <w:rsid w:val="00505384"/>
    <w:rsid w:val="00515AB9"/>
    <w:rsid w:val="00516318"/>
    <w:rsid w:val="0051748D"/>
    <w:rsid w:val="00517A1B"/>
    <w:rsid w:val="00525275"/>
    <w:rsid w:val="0052543F"/>
    <w:rsid w:val="00526E8A"/>
    <w:rsid w:val="00532EF8"/>
    <w:rsid w:val="005356FB"/>
    <w:rsid w:val="00540DD6"/>
    <w:rsid w:val="005420F2"/>
    <w:rsid w:val="005433C8"/>
    <w:rsid w:val="00545150"/>
    <w:rsid w:val="00545F1A"/>
    <w:rsid w:val="005504B6"/>
    <w:rsid w:val="00551AB9"/>
    <w:rsid w:val="00551FC6"/>
    <w:rsid w:val="00553222"/>
    <w:rsid w:val="00554D1D"/>
    <w:rsid w:val="00562548"/>
    <w:rsid w:val="00562694"/>
    <w:rsid w:val="0056627E"/>
    <w:rsid w:val="00567BC7"/>
    <w:rsid w:val="0057024D"/>
    <w:rsid w:val="00570364"/>
    <w:rsid w:val="00570CC4"/>
    <w:rsid w:val="00571FB2"/>
    <w:rsid w:val="00572B36"/>
    <w:rsid w:val="005777F3"/>
    <w:rsid w:val="0058529D"/>
    <w:rsid w:val="00585897"/>
    <w:rsid w:val="00585A18"/>
    <w:rsid w:val="00586F4A"/>
    <w:rsid w:val="005900D3"/>
    <w:rsid w:val="00592D34"/>
    <w:rsid w:val="00592FDB"/>
    <w:rsid w:val="005A0903"/>
    <w:rsid w:val="005A1E22"/>
    <w:rsid w:val="005A1FCA"/>
    <w:rsid w:val="005A503C"/>
    <w:rsid w:val="005A79B8"/>
    <w:rsid w:val="005B054C"/>
    <w:rsid w:val="005B1B47"/>
    <w:rsid w:val="005B1F1B"/>
    <w:rsid w:val="005B1F57"/>
    <w:rsid w:val="005B2C89"/>
    <w:rsid w:val="005B3DB3"/>
    <w:rsid w:val="005B408C"/>
    <w:rsid w:val="005C22AD"/>
    <w:rsid w:val="005C4858"/>
    <w:rsid w:val="005C53DB"/>
    <w:rsid w:val="005D33AB"/>
    <w:rsid w:val="005D425A"/>
    <w:rsid w:val="005D4725"/>
    <w:rsid w:val="005D529D"/>
    <w:rsid w:val="005E27AB"/>
    <w:rsid w:val="005E37E7"/>
    <w:rsid w:val="005E46D3"/>
    <w:rsid w:val="005E743D"/>
    <w:rsid w:val="005F2648"/>
    <w:rsid w:val="00600487"/>
    <w:rsid w:val="00602EE8"/>
    <w:rsid w:val="00602FF5"/>
    <w:rsid w:val="006034C6"/>
    <w:rsid w:val="00603E59"/>
    <w:rsid w:val="006055EE"/>
    <w:rsid w:val="00606679"/>
    <w:rsid w:val="00611FC4"/>
    <w:rsid w:val="00613BD9"/>
    <w:rsid w:val="006176FB"/>
    <w:rsid w:val="006218CD"/>
    <w:rsid w:val="00623353"/>
    <w:rsid w:val="006241C1"/>
    <w:rsid w:val="00624260"/>
    <w:rsid w:val="0062753C"/>
    <w:rsid w:val="00627ED0"/>
    <w:rsid w:val="00633ED0"/>
    <w:rsid w:val="00634702"/>
    <w:rsid w:val="00640B26"/>
    <w:rsid w:val="00640FD5"/>
    <w:rsid w:val="00641F8E"/>
    <w:rsid w:val="00642B1E"/>
    <w:rsid w:val="00643E18"/>
    <w:rsid w:val="0064479D"/>
    <w:rsid w:val="006545BA"/>
    <w:rsid w:val="00661F7A"/>
    <w:rsid w:val="006632CE"/>
    <w:rsid w:val="00665595"/>
    <w:rsid w:val="006666F6"/>
    <w:rsid w:val="006743E5"/>
    <w:rsid w:val="0068043C"/>
    <w:rsid w:val="006879C9"/>
    <w:rsid w:val="00687A18"/>
    <w:rsid w:val="00690159"/>
    <w:rsid w:val="00691F20"/>
    <w:rsid w:val="00693543"/>
    <w:rsid w:val="00693F47"/>
    <w:rsid w:val="00694263"/>
    <w:rsid w:val="006944AB"/>
    <w:rsid w:val="00694E7D"/>
    <w:rsid w:val="00695C1E"/>
    <w:rsid w:val="006A6EE8"/>
    <w:rsid w:val="006A7392"/>
    <w:rsid w:val="006A7757"/>
    <w:rsid w:val="006B0029"/>
    <w:rsid w:val="006B4E5D"/>
    <w:rsid w:val="006B533E"/>
    <w:rsid w:val="006B5E68"/>
    <w:rsid w:val="006B79E3"/>
    <w:rsid w:val="006C0DC6"/>
    <w:rsid w:val="006C241B"/>
    <w:rsid w:val="006C2471"/>
    <w:rsid w:val="006C36AA"/>
    <w:rsid w:val="006C3F77"/>
    <w:rsid w:val="006C41F5"/>
    <w:rsid w:val="006C52B9"/>
    <w:rsid w:val="006D2106"/>
    <w:rsid w:val="006D36D1"/>
    <w:rsid w:val="006D383D"/>
    <w:rsid w:val="006D633D"/>
    <w:rsid w:val="006E191D"/>
    <w:rsid w:val="006E20C4"/>
    <w:rsid w:val="006E2A58"/>
    <w:rsid w:val="006E2CE0"/>
    <w:rsid w:val="006E41A2"/>
    <w:rsid w:val="006E41F6"/>
    <w:rsid w:val="006E564B"/>
    <w:rsid w:val="006E7306"/>
    <w:rsid w:val="006E762C"/>
    <w:rsid w:val="006E7CEF"/>
    <w:rsid w:val="006F17B5"/>
    <w:rsid w:val="006F2413"/>
    <w:rsid w:val="00700E12"/>
    <w:rsid w:val="00702BA6"/>
    <w:rsid w:val="00706D51"/>
    <w:rsid w:val="007077BB"/>
    <w:rsid w:val="0071349F"/>
    <w:rsid w:val="00717E07"/>
    <w:rsid w:val="00720DEB"/>
    <w:rsid w:val="00720E11"/>
    <w:rsid w:val="00725594"/>
    <w:rsid w:val="0072632A"/>
    <w:rsid w:val="0073084C"/>
    <w:rsid w:val="007316E1"/>
    <w:rsid w:val="007326E1"/>
    <w:rsid w:val="00733AAE"/>
    <w:rsid w:val="00735880"/>
    <w:rsid w:val="00736209"/>
    <w:rsid w:val="007372E2"/>
    <w:rsid w:val="0074105E"/>
    <w:rsid w:val="007435D4"/>
    <w:rsid w:val="00745024"/>
    <w:rsid w:val="00745E44"/>
    <w:rsid w:val="007468B8"/>
    <w:rsid w:val="00752A06"/>
    <w:rsid w:val="00752BD5"/>
    <w:rsid w:val="0075458D"/>
    <w:rsid w:val="00754EE1"/>
    <w:rsid w:val="00763C11"/>
    <w:rsid w:val="00766D93"/>
    <w:rsid w:val="0077406B"/>
    <w:rsid w:val="007750C3"/>
    <w:rsid w:val="00780296"/>
    <w:rsid w:val="00781A60"/>
    <w:rsid w:val="00783AF2"/>
    <w:rsid w:val="00783AF8"/>
    <w:rsid w:val="0078417F"/>
    <w:rsid w:val="00786A3A"/>
    <w:rsid w:val="00787C77"/>
    <w:rsid w:val="00790122"/>
    <w:rsid w:val="00792ECE"/>
    <w:rsid w:val="007955EA"/>
    <w:rsid w:val="007A3FBD"/>
    <w:rsid w:val="007A4977"/>
    <w:rsid w:val="007A5788"/>
    <w:rsid w:val="007A6A94"/>
    <w:rsid w:val="007B0262"/>
    <w:rsid w:val="007B6BA5"/>
    <w:rsid w:val="007B7FB2"/>
    <w:rsid w:val="007C3390"/>
    <w:rsid w:val="007C4F4B"/>
    <w:rsid w:val="007C6044"/>
    <w:rsid w:val="007C6D61"/>
    <w:rsid w:val="007D6D82"/>
    <w:rsid w:val="007E18A9"/>
    <w:rsid w:val="007E6124"/>
    <w:rsid w:val="007F025F"/>
    <w:rsid w:val="007F0B83"/>
    <w:rsid w:val="007F48EF"/>
    <w:rsid w:val="007F4FCD"/>
    <w:rsid w:val="007F6611"/>
    <w:rsid w:val="0080116D"/>
    <w:rsid w:val="00801440"/>
    <w:rsid w:val="00806235"/>
    <w:rsid w:val="00812CCE"/>
    <w:rsid w:val="008151D2"/>
    <w:rsid w:val="00816933"/>
    <w:rsid w:val="0081732C"/>
    <w:rsid w:val="008175E9"/>
    <w:rsid w:val="00820370"/>
    <w:rsid w:val="0082231C"/>
    <w:rsid w:val="0082396E"/>
    <w:rsid w:val="008242D7"/>
    <w:rsid w:val="008259DF"/>
    <w:rsid w:val="00826EFF"/>
    <w:rsid w:val="00827E05"/>
    <w:rsid w:val="008311A3"/>
    <w:rsid w:val="00832795"/>
    <w:rsid w:val="008349EC"/>
    <w:rsid w:val="00834D4E"/>
    <w:rsid w:val="00836AF7"/>
    <w:rsid w:val="00847D11"/>
    <w:rsid w:val="0085028A"/>
    <w:rsid w:val="0085564A"/>
    <w:rsid w:val="0086000D"/>
    <w:rsid w:val="00862284"/>
    <w:rsid w:val="00865A21"/>
    <w:rsid w:val="00870D13"/>
    <w:rsid w:val="00871FD5"/>
    <w:rsid w:val="0087209B"/>
    <w:rsid w:val="00874FB8"/>
    <w:rsid w:val="00882090"/>
    <w:rsid w:val="008852E3"/>
    <w:rsid w:val="00887755"/>
    <w:rsid w:val="0089033B"/>
    <w:rsid w:val="00890B04"/>
    <w:rsid w:val="0089306E"/>
    <w:rsid w:val="00895B8C"/>
    <w:rsid w:val="00896186"/>
    <w:rsid w:val="00897025"/>
    <w:rsid w:val="008979B1"/>
    <w:rsid w:val="00897BD7"/>
    <w:rsid w:val="008A6B25"/>
    <w:rsid w:val="008A6C1B"/>
    <w:rsid w:val="008A6C4F"/>
    <w:rsid w:val="008A7F3B"/>
    <w:rsid w:val="008B40B7"/>
    <w:rsid w:val="008B52E8"/>
    <w:rsid w:val="008B6E26"/>
    <w:rsid w:val="008C0DD5"/>
    <w:rsid w:val="008C3353"/>
    <w:rsid w:val="008C34B0"/>
    <w:rsid w:val="008C3FFB"/>
    <w:rsid w:val="008C581A"/>
    <w:rsid w:val="008D02E6"/>
    <w:rsid w:val="008D314A"/>
    <w:rsid w:val="008D3F4B"/>
    <w:rsid w:val="008E0E46"/>
    <w:rsid w:val="008E0FB3"/>
    <w:rsid w:val="008E1F9C"/>
    <w:rsid w:val="008E4640"/>
    <w:rsid w:val="008E4C4C"/>
    <w:rsid w:val="008E4F84"/>
    <w:rsid w:val="008E573F"/>
    <w:rsid w:val="008E64AE"/>
    <w:rsid w:val="008F02B0"/>
    <w:rsid w:val="008F29C1"/>
    <w:rsid w:val="008F3CB0"/>
    <w:rsid w:val="008F583E"/>
    <w:rsid w:val="0090052B"/>
    <w:rsid w:val="00902BF1"/>
    <w:rsid w:val="0090431C"/>
    <w:rsid w:val="00907AD2"/>
    <w:rsid w:val="00910260"/>
    <w:rsid w:val="00911047"/>
    <w:rsid w:val="009134D8"/>
    <w:rsid w:val="00917321"/>
    <w:rsid w:val="00921DF8"/>
    <w:rsid w:val="00927819"/>
    <w:rsid w:val="00930308"/>
    <w:rsid w:val="00931073"/>
    <w:rsid w:val="00933D9F"/>
    <w:rsid w:val="0093545E"/>
    <w:rsid w:val="00936565"/>
    <w:rsid w:val="0094040C"/>
    <w:rsid w:val="00940847"/>
    <w:rsid w:val="0094386E"/>
    <w:rsid w:val="009440D4"/>
    <w:rsid w:val="009449FD"/>
    <w:rsid w:val="00946F0A"/>
    <w:rsid w:val="00951778"/>
    <w:rsid w:val="00952BE3"/>
    <w:rsid w:val="00956805"/>
    <w:rsid w:val="00956B99"/>
    <w:rsid w:val="00957170"/>
    <w:rsid w:val="00957AD6"/>
    <w:rsid w:val="009612BF"/>
    <w:rsid w:val="00963CBA"/>
    <w:rsid w:val="0096618B"/>
    <w:rsid w:val="0096659B"/>
    <w:rsid w:val="00966CD7"/>
    <w:rsid w:val="009715EE"/>
    <w:rsid w:val="00974146"/>
    <w:rsid w:val="00974A8D"/>
    <w:rsid w:val="00974ABE"/>
    <w:rsid w:val="00974C60"/>
    <w:rsid w:val="00974F4C"/>
    <w:rsid w:val="0098016B"/>
    <w:rsid w:val="00987072"/>
    <w:rsid w:val="0098707E"/>
    <w:rsid w:val="0099001C"/>
    <w:rsid w:val="00991261"/>
    <w:rsid w:val="009A0D5F"/>
    <w:rsid w:val="009A1082"/>
    <w:rsid w:val="009A527C"/>
    <w:rsid w:val="009A5B4A"/>
    <w:rsid w:val="009B43E1"/>
    <w:rsid w:val="009B4939"/>
    <w:rsid w:val="009B55EC"/>
    <w:rsid w:val="009B6D3A"/>
    <w:rsid w:val="009B71F3"/>
    <w:rsid w:val="009C17AC"/>
    <w:rsid w:val="009C1FAD"/>
    <w:rsid w:val="009C31E7"/>
    <w:rsid w:val="009C36B5"/>
    <w:rsid w:val="009D0EC7"/>
    <w:rsid w:val="009D0FA6"/>
    <w:rsid w:val="009D1B37"/>
    <w:rsid w:val="009D49A6"/>
    <w:rsid w:val="009D623C"/>
    <w:rsid w:val="009E72B5"/>
    <w:rsid w:val="009E7885"/>
    <w:rsid w:val="009F16FB"/>
    <w:rsid w:val="009F3106"/>
    <w:rsid w:val="009F3A17"/>
    <w:rsid w:val="009F6CAF"/>
    <w:rsid w:val="00A1355C"/>
    <w:rsid w:val="00A1427D"/>
    <w:rsid w:val="00A1649D"/>
    <w:rsid w:val="00A20AEB"/>
    <w:rsid w:val="00A25163"/>
    <w:rsid w:val="00A257FA"/>
    <w:rsid w:val="00A25BA6"/>
    <w:rsid w:val="00A3227A"/>
    <w:rsid w:val="00A3359A"/>
    <w:rsid w:val="00A35008"/>
    <w:rsid w:val="00A35AE8"/>
    <w:rsid w:val="00A40A6E"/>
    <w:rsid w:val="00A429E3"/>
    <w:rsid w:val="00A463F1"/>
    <w:rsid w:val="00A52B4E"/>
    <w:rsid w:val="00A530ED"/>
    <w:rsid w:val="00A5477E"/>
    <w:rsid w:val="00A55FB2"/>
    <w:rsid w:val="00A67424"/>
    <w:rsid w:val="00A70749"/>
    <w:rsid w:val="00A70B89"/>
    <w:rsid w:val="00A71EC0"/>
    <w:rsid w:val="00A72F22"/>
    <w:rsid w:val="00A748A6"/>
    <w:rsid w:val="00A76B9A"/>
    <w:rsid w:val="00A77E77"/>
    <w:rsid w:val="00A805EB"/>
    <w:rsid w:val="00A80877"/>
    <w:rsid w:val="00A81711"/>
    <w:rsid w:val="00A8552C"/>
    <w:rsid w:val="00A8577D"/>
    <w:rsid w:val="00A879A4"/>
    <w:rsid w:val="00A91158"/>
    <w:rsid w:val="00A94CB3"/>
    <w:rsid w:val="00A958C8"/>
    <w:rsid w:val="00AA332B"/>
    <w:rsid w:val="00AA496B"/>
    <w:rsid w:val="00AA5028"/>
    <w:rsid w:val="00AA63F2"/>
    <w:rsid w:val="00AB1332"/>
    <w:rsid w:val="00AB16DB"/>
    <w:rsid w:val="00AB3FD6"/>
    <w:rsid w:val="00AB4960"/>
    <w:rsid w:val="00AB720C"/>
    <w:rsid w:val="00AC1F45"/>
    <w:rsid w:val="00AC35ED"/>
    <w:rsid w:val="00AC4E2F"/>
    <w:rsid w:val="00AD605D"/>
    <w:rsid w:val="00AE3D8F"/>
    <w:rsid w:val="00AF22E6"/>
    <w:rsid w:val="00AF475E"/>
    <w:rsid w:val="00B10465"/>
    <w:rsid w:val="00B108ED"/>
    <w:rsid w:val="00B10CA2"/>
    <w:rsid w:val="00B14E43"/>
    <w:rsid w:val="00B1509D"/>
    <w:rsid w:val="00B172A6"/>
    <w:rsid w:val="00B17E1A"/>
    <w:rsid w:val="00B30179"/>
    <w:rsid w:val="00B325A9"/>
    <w:rsid w:val="00B339D3"/>
    <w:rsid w:val="00B33EC0"/>
    <w:rsid w:val="00B33FCC"/>
    <w:rsid w:val="00B36BD5"/>
    <w:rsid w:val="00B47B0C"/>
    <w:rsid w:val="00B47D1B"/>
    <w:rsid w:val="00B520F8"/>
    <w:rsid w:val="00B523F6"/>
    <w:rsid w:val="00B52E4E"/>
    <w:rsid w:val="00B53CBD"/>
    <w:rsid w:val="00B5742C"/>
    <w:rsid w:val="00B577F4"/>
    <w:rsid w:val="00B61246"/>
    <w:rsid w:val="00B647CA"/>
    <w:rsid w:val="00B66E5A"/>
    <w:rsid w:val="00B74353"/>
    <w:rsid w:val="00B762D3"/>
    <w:rsid w:val="00B81E12"/>
    <w:rsid w:val="00B83093"/>
    <w:rsid w:val="00B839A7"/>
    <w:rsid w:val="00B845D6"/>
    <w:rsid w:val="00B85329"/>
    <w:rsid w:val="00B87CF1"/>
    <w:rsid w:val="00B90AC5"/>
    <w:rsid w:val="00B90C56"/>
    <w:rsid w:val="00B91D03"/>
    <w:rsid w:val="00B96314"/>
    <w:rsid w:val="00B963B2"/>
    <w:rsid w:val="00B968A0"/>
    <w:rsid w:val="00BA515F"/>
    <w:rsid w:val="00BA5F68"/>
    <w:rsid w:val="00BB0F35"/>
    <w:rsid w:val="00BB129E"/>
    <w:rsid w:val="00BB4A17"/>
    <w:rsid w:val="00BB60D4"/>
    <w:rsid w:val="00BB6799"/>
    <w:rsid w:val="00BB69CD"/>
    <w:rsid w:val="00BC2AC9"/>
    <w:rsid w:val="00BC3830"/>
    <w:rsid w:val="00BC5C60"/>
    <w:rsid w:val="00BC6B7B"/>
    <w:rsid w:val="00BC7496"/>
    <w:rsid w:val="00BC74E9"/>
    <w:rsid w:val="00BD138D"/>
    <w:rsid w:val="00BD2146"/>
    <w:rsid w:val="00BD6280"/>
    <w:rsid w:val="00BE37C1"/>
    <w:rsid w:val="00BE4F74"/>
    <w:rsid w:val="00BE6017"/>
    <w:rsid w:val="00BE618E"/>
    <w:rsid w:val="00BE62C1"/>
    <w:rsid w:val="00BE6BC5"/>
    <w:rsid w:val="00BF3D59"/>
    <w:rsid w:val="00C01A22"/>
    <w:rsid w:val="00C030C9"/>
    <w:rsid w:val="00C04DFB"/>
    <w:rsid w:val="00C07F9E"/>
    <w:rsid w:val="00C10DD8"/>
    <w:rsid w:val="00C127CB"/>
    <w:rsid w:val="00C133DE"/>
    <w:rsid w:val="00C17699"/>
    <w:rsid w:val="00C1778D"/>
    <w:rsid w:val="00C2005D"/>
    <w:rsid w:val="00C225E1"/>
    <w:rsid w:val="00C23A6D"/>
    <w:rsid w:val="00C25DDD"/>
    <w:rsid w:val="00C27AA0"/>
    <w:rsid w:val="00C31CDC"/>
    <w:rsid w:val="00C32D7F"/>
    <w:rsid w:val="00C32E0D"/>
    <w:rsid w:val="00C35408"/>
    <w:rsid w:val="00C37443"/>
    <w:rsid w:val="00C41A28"/>
    <w:rsid w:val="00C44676"/>
    <w:rsid w:val="00C463DD"/>
    <w:rsid w:val="00C505B2"/>
    <w:rsid w:val="00C527B3"/>
    <w:rsid w:val="00C55437"/>
    <w:rsid w:val="00C55A7E"/>
    <w:rsid w:val="00C564FA"/>
    <w:rsid w:val="00C56E7F"/>
    <w:rsid w:val="00C63480"/>
    <w:rsid w:val="00C6468A"/>
    <w:rsid w:val="00C67B25"/>
    <w:rsid w:val="00C7172A"/>
    <w:rsid w:val="00C745C3"/>
    <w:rsid w:val="00C766BF"/>
    <w:rsid w:val="00C900CD"/>
    <w:rsid w:val="00CA1321"/>
    <w:rsid w:val="00CA2E75"/>
    <w:rsid w:val="00CA2E8B"/>
    <w:rsid w:val="00CA2F88"/>
    <w:rsid w:val="00CA390E"/>
    <w:rsid w:val="00CA56FF"/>
    <w:rsid w:val="00CA73A2"/>
    <w:rsid w:val="00CA797A"/>
    <w:rsid w:val="00CB1281"/>
    <w:rsid w:val="00CB70D1"/>
    <w:rsid w:val="00CC1344"/>
    <w:rsid w:val="00CC44E0"/>
    <w:rsid w:val="00CC4AD6"/>
    <w:rsid w:val="00CE3324"/>
    <w:rsid w:val="00CE4A8F"/>
    <w:rsid w:val="00CE4B9D"/>
    <w:rsid w:val="00CF2085"/>
    <w:rsid w:val="00CF2FA9"/>
    <w:rsid w:val="00CF5B9E"/>
    <w:rsid w:val="00CF6EE8"/>
    <w:rsid w:val="00D00141"/>
    <w:rsid w:val="00D008DB"/>
    <w:rsid w:val="00D030E1"/>
    <w:rsid w:val="00D067AA"/>
    <w:rsid w:val="00D06CD2"/>
    <w:rsid w:val="00D0737E"/>
    <w:rsid w:val="00D17090"/>
    <w:rsid w:val="00D1722D"/>
    <w:rsid w:val="00D17E6C"/>
    <w:rsid w:val="00D2031B"/>
    <w:rsid w:val="00D21980"/>
    <w:rsid w:val="00D24347"/>
    <w:rsid w:val="00D25FE2"/>
    <w:rsid w:val="00D279BB"/>
    <w:rsid w:val="00D317BB"/>
    <w:rsid w:val="00D3192B"/>
    <w:rsid w:val="00D31A35"/>
    <w:rsid w:val="00D35D8F"/>
    <w:rsid w:val="00D42106"/>
    <w:rsid w:val="00D43252"/>
    <w:rsid w:val="00D45103"/>
    <w:rsid w:val="00D54AB1"/>
    <w:rsid w:val="00D60093"/>
    <w:rsid w:val="00D61666"/>
    <w:rsid w:val="00D637C6"/>
    <w:rsid w:val="00D63AF3"/>
    <w:rsid w:val="00D655D5"/>
    <w:rsid w:val="00D71971"/>
    <w:rsid w:val="00D74E9A"/>
    <w:rsid w:val="00D77993"/>
    <w:rsid w:val="00D81879"/>
    <w:rsid w:val="00D81A2B"/>
    <w:rsid w:val="00D91C9C"/>
    <w:rsid w:val="00D978C6"/>
    <w:rsid w:val="00DA2989"/>
    <w:rsid w:val="00DA3054"/>
    <w:rsid w:val="00DA4AC8"/>
    <w:rsid w:val="00DA67AD"/>
    <w:rsid w:val="00DB2A67"/>
    <w:rsid w:val="00DB2BED"/>
    <w:rsid w:val="00DB579F"/>
    <w:rsid w:val="00DB5D0F"/>
    <w:rsid w:val="00DC3156"/>
    <w:rsid w:val="00DC3242"/>
    <w:rsid w:val="00DC410C"/>
    <w:rsid w:val="00DD5F36"/>
    <w:rsid w:val="00DD6DB6"/>
    <w:rsid w:val="00DD738F"/>
    <w:rsid w:val="00DE057D"/>
    <w:rsid w:val="00DE0580"/>
    <w:rsid w:val="00DE7C9F"/>
    <w:rsid w:val="00DF0A29"/>
    <w:rsid w:val="00DF12F7"/>
    <w:rsid w:val="00DF1FBC"/>
    <w:rsid w:val="00DF2C64"/>
    <w:rsid w:val="00DF30CC"/>
    <w:rsid w:val="00DF6813"/>
    <w:rsid w:val="00E01030"/>
    <w:rsid w:val="00E01575"/>
    <w:rsid w:val="00E023E0"/>
    <w:rsid w:val="00E027C0"/>
    <w:rsid w:val="00E02BA9"/>
    <w:rsid w:val="00E02C81"/>
    <w:rsid w:val="00E06EAB"/>
    <w:rsid w:val="00E07263"/>
    <w:rsid w:val="00E130AB"/>
    <w:rsid w:val="00E26913"/>
    <w:rsid w:val="00E329E0"/>
    <w:rsid w:val="00E369CA"/>
    <w:rsid w:val="00E405EE"/>
    <w:rsid w:val="00E4125F"/>
    <w:rsid w:val="00E41B04"/>
    <w:rsid w:val="00E43A7D"/>
    <w:rsid w:val="00E443CE"/>
    <w:rsid w:val="00E57B4F"/>
    <w:rsid w:val="00E61D33"/>
    <w:rsid w:val="00E61DE0"/>
    <w:rsid w:val="00E61F55"/>
    <w:rsid w:val="00E6200B"/>
    <w:rsid w:val="00E64376"/>
    <w:rsid w:val="00E6498A"/>
    <w:rsid w:val="00E676B4"/>
    <w:rsid w:val="00E713DC"/>
    <w:rsid w:val="00E71905"/>
    <w:rsid w:val="00E7260F"/>
    <w:rsid w:val="00E72811"/>
    <w:rsid w:val="00E80F5F"/>
    <w:rsid w:val="00E826C0"/>
    <w:rsid w:val="00E828B8"/>
    <w:rsid w:val="00E82C26"/>
    <w:rsid w:val="00E85856"/>
    <w:rsid w:val="00E85ED4"/>
    <w:rsid w:val="00E87921"/>
    <w:rsid w:val="00E87EC4"/>
    <w:rsid w:val="00E96630"/>
    <w:rsid w:val="00E96D11"/>
    <w:rsid w:val="00E97278"/>
    <w:rsid w:val="00E97F8A"/>
    <w:rsid w:val="00EA0243"/>
    <w:rsid w:val="00EA264E"/>
    <w:rsid w:val="00EA2D43"/>
    <w:rsid w:val="00EA3A41"/>
    <w:rsid w:val="00EA4CA3"/>
    <w:rsid w:val="00EA7F49"/>
    <w:rsid w:val="00EB1FE7"/>
    <w:rsid w:val="00EB3339"/>
    <w:rsid w:val="00EB430E"/>
    <w:rsid w:val="00EC2105"/>
    <w:rsid w:val="00EC326B"/>
    <w:rsid w:val="00EC3AE0"/>
    <w:rsid w:val="00EC48A8"/>
    <w:rsid w:val="00EC5C86"/>
    <w:rsid w:val="00EC65A6"/>
    <w:rsid w:val="00ED5C86"/>
    <w:rsid w:val="00ED7A2A"/>
    <w:rsid w:val="00EF09B7"/>
    <w:rsid w:val="00EF0A24"/>
    <w:rsid w:val="00EF1D7F"/>
    <w:rsid w:val="00EF3A31"/>
    <w:rsid w:val="00EF7CDC"/>
    <w:rsid w:val="00F05659"/>
    <w:rsid w:val="00F10E8A"/>
    <w:rsid w:val="00F14F1C"/>
    <w:rsid w:val="00F17440"/>
    <w:rsid w:val="00F23051"/>
    <w:rsid w:val="00F244D5"/>
    <w:rsid w:val="00F244F1"/>
    <w:rsid w:val="00F34768"/>
    <w:rsid w:val="00F359EF"/>
    <w:rsid w:val="00F366BF"/>
    <w:rsid w:val="00F36C4A"/>
    <w:rsid w:val="00F377FC"/>
    <w:rsid w:val="00F429EB"/>
    <w:rsid w:val="00F44963"/>
    <w:rsid w:val="00F5044B"/>
    <w:rsid w:val="00F52A98"/>
    <w:rsid w:val="00F52B1B"/>
    <w:rsid w:val="00F53A2D"/>
    <w:rsid w:val="00F53EDA"/>
    <w:rsid w:val="00F5718D"/>
    <w:rsid w:val="00F61158"/>
    <w:rsid w:val="00F618D8"/>
    <w:rsid w:val="00F65F0D"/>
    <w:rsid w:val="00F66BB0"/>
    <w:rsid w:val="00F707E4"/>
    <w:rsid w:val="00F70F95"/>
    <w:rsid w:val="00F73A93"/>
    <w:rsid w:val="00F75508"/>
    <w:rsid w:val="00F7753D"/>
    <w:rsid w:val="00F811D5"/>
    <w:rsid w:val="00F8280A"/>
    <w:rsid w:val="00F85F34"/>
    <w:rsid w:val="00F93A12"/>
    <w:rsid w:val="00F965D8"/>
    <w:rsid w:val="00F96ABA"/>
    <w:rsid w:val="00FA013B"/>
    <w:rsid w:val="00FA06F7"/>
    <w:rsid w:val="00FA0B28"/>
    <w:rsid w:val="00FA3A6F"/>
    <w:rsid w:val="00FA51E0"/>
    <w:rsid w:val="00FA7945"/>
    <w:rsid w:val="00FB09F9"/>
    <w:rsid w:val="00FB171A"/>
    <w:rsid w:val="00FB213D"/>
    <w:rsid w:val="00FB48D5"/>
    <w:rsid w:val="00FB5541"/>
    <w:rsid w:val="00FC3D2E"/>
    <w:rsid w:val="00FC4669"/>
    <w:rsid w:val="00FC4F4B"/>
    <w:rsid w:val="00FC68B7"/>
    <w:rsid w:val="00FC6DE3"/>
    <w:rsid w:val="00FD4F7E"/>
    <w:rsid w:val="00FD7BF6"/>
    <w:rsid w:val="00FE57F9"/>
    <w:rsid w:val="00FE6FC6"/>
    <w:rsid w:val="00FE7DCB"/>
    <w:rsid w:val="00FF0A40"/>
    <w:rsid w:val="00FF2B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21AFF420-BFB2-4A33-A6DB-D0A1E655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874FB8"/>
    <w:rPr>
      <w:sz w:val="6"/>
    </w:rPr>
  </w:style>
  <w:style w:type="paragraph" w:styleId="BalloonText">
    <w:name w:val="Balloon Text"/>
    <w:basedOn w:val="Normal"/>
    <w:link w:val="BalloonTextChar"/>
    <w:semiHidden/>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E18A9"/>
    <w:rPr>
      <w:rFonts w:ascii="Segoe UI" w:hAnsi="Segoe UI" w:cs="Segoe UI"/>
      <w:sz w:val="18"/>
      <w:szCs w:val="18"/>
      <w:lang w:eastAsia="en-US"/>
    </w:rPr>
  </w:style>
  <w:style w:type="character" w:customStyle="1" w:styleId="H1GChar">
    <w:name w:val="_ H_1_G Char"/>
    <w:link w:val="H1G"/>
    <w:qFormat/>
    <w:locked/>
    <w:rsid w:val="00706D51"/>
    <w:rPr>
      <w:b/>
      <w:sz w:val="24"/>
      <w:lang w:eastAsia="en-US"/>
    </w:rPr>
  </w:style>
  <w:style w:type="paragraph" w:styleId="Revision">
    <w:name w:val="Revision"/>
    <w:hidden/>
    <w:uiPriority w:val="99"/>
    <w:semiHidden/>
    <w:rsid w:val="000E51CE"/>
    <w:rPr>
      <w:lang w:eastAsia="en-US"/>
    </w:rPr>
  </w:style>
  <w:style w:type="paragraph" w:styleId="ListParagraph">
    <w:name w:val="List Paragraph"/>
    <w:basedOn w:val="Normal"/>
    <w:uiPriority w:val="34"/>
    <w:qFormat/>
    <w:rsid w:val="001360BD"/>
    <w:pPr>
      <w:ind w:left="720"/>
      <w:contextualSpacing/>
    </w:pPr>
  </w:style>
  <w:style w:type="paragraph" w:styleId="CommentText">
    <w:name w:val="annotation text"/>
    <w:basedOn w:val="Normal"/>
    <w:link w:val="CommentTextChar"/>
    <w:unhideWhenUsed/>
    <w:rsid w:val="001B3E33"/>
    <w:pPr>
      <w:spacing w:line="240" w:lineRule="auto"/>
    </w:pPr>
  </w:style>
  <w:style w:type="character" w:customStyle="1" w:styleId="CommentTextChar">
    <w:name w:val="Comment Text Char"/>
    <w:basedOn w:val="DefaultParagraphFont"/>
    <w:link w:val="CommentText"/>
    <w:rsid w:val="001B3E33"/>
    <w:rPr>
      <w:lang w:eastAsia="en-US"/>
    </w:rPr>
  </w:style>
  <w:style w:type="paragraph" w:styleId="CommentSubject">
    <w:name w:val="annotation subject"/>
    <w:basedOn w:val="CommentText"/>
    <w:next w:val="CommentText"/>
    <w:link w:val="CommentSubjectChar"/>
    <w:semiHidden/>
    <w:unhideWhenUsed/>
    <w:rsid w:val="001B3E33"/>
    <w:rPr>
      <w:b/>
      <w:bCs/>
    </w:rPr>
  </w:style>
  <w:style w:type="character" w:customStyle="1" w:styleId="CommentSubjectChar">
    <w:name w:val="Comment Subject Char"/>
    <w:basedOn w:val="CommentTextChar"/>
    <w:link w:val="CommentSubject"/>
    <w:semiHidden/>
    <w:rsid w:val="001B3E3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85859075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1570575683">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C351D9-8A49-438A-9189-438243675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4.xml><?xml version="1.0" encoding="utf-8"?>
<ds:datastoreItem xmlns:ds="http://schemas.openxmlformats.org/officeDocument/2006/customXml" ds:itemID="{5FAEA003-6B9F-4963-BD7F-267F75DF90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6</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Romain Hubert</cp:lastModifiedBy>
  <cp:revision>8</cp:revision>
  <cp:lastPrinted>2019-06-28T15:05:00Z</cp:lastPrinted>
  <dcterms:created xsi:type="dcterms:W3CDTF">2022-11-28T07:25:00Z</dcterms:created>
  <dcterms:modified xsi:type="dcterms:W3CDTF">2022-11-28T07:40:00Z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