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E4AF6DE"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F975A9">
              <w:rPr>
                <w:b/>
                <w:sz w:val="40"/>
                <w:szCs w:val="40"/>
              </w:rPr>
              <w:t>45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41792" w14:paraId="49111E43" w14:textId="77777777" w:rsidTr="00D73803">
        <w:tc>
          <w:tcPr>
            <w:tcW w:w="9645" w:type="dxa"/>
            <w:tcMar>
              <w:top w:w="142" w:type="dxa"/>
              <w:left w:w="108" w:type="dxa"/>
              <w:bottom w:w="142" w:type="dxa"/>
              <w:right w:w="108" w:type="dxa"/>
            </w:tcMar>
          </w:tcPr>
          <w:p w14:paraId="659610D8" w14:textId="61964D7F" w:rsidR="00645A0B" w:rsidRPr="00A41792" w:rsidRDefault="00645A0B" w:rsidP="00EE2966">
            <w:pPr>
              <w:tabs>
                <w:tab w:val="right" w:pos="9214"/>
              </w:tabs>
            </w:pPr>
            <w:r w:rsidRPr="00A41792">
              <w:rPr>
                <w:b/>
                <w:sz w:val="24"/>
                <w:szCs w:val="24"/>
              </w:rPr>
              <w:t>Committee of Experts on the Transport of Dangerous Goods</w:t>
            </w:r>
            <w:r w:rsidRPr="00A41792">
              <w:rPr>
                <w:b/>
                <w:sz w:val="24"/>
                <w:szCs w:val="24"/>
              </w:rPr>
              <w:br/>
              <w:t>and on the Globally Harmonized System of Classification</w:t>
            </w:r>
            <w:r w:rsidRPr="00A41792">
              <w:rPr>
                <w:b/>
                <w:sz w:val="24"/>
                <w:szCs w:val="24"/>
              </w:rPr>
              <w:br/>
              <w:t>and Labelling of Chemicals</w:t>
            </w:r>
            <w:r w:rsidRPr="00A41792">
              <w:rPr>
                <w:b/>
              </w:rPr>
              <w:tab/>
            </w:r>
            <w:r w:rsidR="00795C11" w:rsidRPr="00A41792">
              <w:rPr>
                <w:b/>
              </w:rPr>
              <w:t>2</w:t>
            </w:r>
            <w:r w:rsidR="00F975A9">
              <w:rPr>
                <w:b/>
              </w:rPr>
              <w:t>8</w:t>
            </w:r>
            <w:r w:rsidR="00C81FCB" w:rsidRPr="00A41792">
              <w:rPr>
                <w:b/>
              </w:rPr>
              <w:t xml:space="preserve"> </w:t>
            </w:r>
            <w:r w:rsidR="007B4B3B" w:rsidRPr="00A41792">
              <w:rPr>
                <w:b/>
              </w:rPr>
              <w:t>November</w:t>
            </w:r>
            <w:r w:rsidR="00AD7C5F" w:rsidRPr="00A41792">
              <w:rPr>
                <w:b/>
              </w:rPr>
              <w:t xml:space="preserve"> 202</w:t>
            </w:r>
            <w:r w:rsidR="00023260" w:rsidRPr="00A41792">
              <w:rPr>
                <w:b/>
              </w:rPr>
              <w:t>2</w:t>
            </w:r>
          </w:p>
        </w:tc>
      </w:tr>
      <w:tr w:rsidR="00006E29" w:rsidRPr="00A41792"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A41792" w:rsidRDefault="00006E29" w:rsidP="00D73803">
            <w:pPr>
              <w:spacing w:before="40"/>
              <w:rPr>
                <w:b/>
              </w:rPr>
            </w:pPr>
            <w:r w:rsidRPr="00A41792">
              <w:rPr>
                <w:b/>
              </w:rPr>
              <w:t>Sub-Committee of Experts on the Transport of Dangerous Goods</w:t>
            </w:r>
          </w:p>
          <w:p w14:paraId="3A7DBE22" w14:textId="4640A771" w:rsidR="00155CD1" w:rsidRPr="00A41792" w:rsidRDefault="00155CD1" w:rsidP="00155CD1">
            <w:pPr>
              <w:spacing w:before="120"/>
              <w:rPr>
                <w:b/>
              </w:rPr>
            </w:pPr>
            <w:r w:rsidRPr="00A41792">
              <w:rPr>
                <w:b/>
              </w:rPr>
              <w:t>Sixt</w:t>
            </w:r>
            <w:r w:rsidR="00992717" w:rsidRPr="00A41792">
              <w:rPr>
                <w:b/>
              </w:rPr>
              <w:t>y-first</w:t>
            </w:r>
            <w:r w:rsidRPr="00A41792">
              <w:rPr>
                <w:b/>
              </w:rPr>
              <w:t xml:space="preserve"> session</w:t>
            </w:r>
          </w:p>
          <w:p w14:paraId="04F3F725" w14:textId="74C9B4CE" w:rsidR="00155CD1" w:rsidRPr="00A41792" w:rsidRDefault="00155CD1" w:rsidP="00155CD1">
            <w:r w:rsidRPr="00A41792">
              <w:t>Geneva, 2</w:t>
            </w:r>
            <w:r w:rsidR="007B4B3B" w:rsidRPr="00A41792">
              <w:t>8</w:t>
            </w:r>
            <w:r w:rsidRPr="00A41792">
              <w:t xml:space="preserve"> </w:t>
            </w:r>
            <w:r w:rsidR="007B4B3B" w:rsidRPr="00A41792">
              <w:t xml:space="preserve">November </w:t>
            </w:r>
            <w:r w:rsidRPr="00A41792">
              <w:t>-</w:t>
            </w:r>
            <w:r w:rsidR="007B4B3B" w:rsidRPr="00A41792">
              <w:t xml:space="preserve"> </w:t>
            </w:r>
            <w:r w:rsidRPr="00A41792">
              <w:t xml:space="preserve">6 </w:t>
            </w:r>
            <w:r w:rsidR="007B4B3B" w:rsidRPr="00A41792">
              <w:t>December</w:t>
            </w:r>
            <w:r w:rsidRPr="00A41792">
              <w:t xml:space="preserve"> 2022</w:t>
            </w:r>
          </w:p>
          <w:p w14:paraId="3BDE97DE" w14:textId="3A7239EC" w:rsidR="00006E29" w:rsidRPr="00A41792" w:rsidRDefault="00211BBB" w:rsidP="009E646A">
            <w:pPr>
              <w:rPr>
                <w:b/>
              </w:rPr>
            </w:pPr>
            <w:r w:rsidRPr="00202F7A">
              <w:t xml:space="preserve">Item </w:t>
            </w:r>
            <w:r w:rsidR="003A3C95" w:rsidRPr="00202F7A">
              <w:t>3</w:t>
            </w:r>
            <w:r w:rsidRPr="00202F7A">
              <w:t xml:space="preserve"> of the provisional agenda</w:t>
            </w:r>
            <w:r w:rsidRPr="00202F7A">
              <w:br/>
            </w:r>
            <w:r w:rsidR="007744D5" w:rsidRPr="00202F7A">
              <w:rPr>
                <w:b/>
                <w:bCs/>
              </w:rPr>
              <w:t>Listing, classification and packing</w:t>
            </w:r>
          </w:p>
        </w:tc>
      </w:tr>
    </w:tbl>
    <w:p w14:paraId="1E899F95" w14:textId="6665FF5A" w:rsidR="00324058" w:rsidRPr="00A41792" w:rsidRDefault="00324058" w:rsidP="00324058">
      <w:pPr>
        <w:pStyle w:val="HChG"/>
        <w:rPr>
          <w:lang w:val="en-GB" w:eastAsia="zh-CN"/>
        </w:rPr>
      </w:pPr>
      <w:r w:rsidRPr="00A41792">
        <w:rPr>
          <w:lang w:val="en-GB" w:eastAsia="zh-CN"/>
        </w:rPr>
        <w:tab/>
      </w:r>
      <w:r w:rsidRPr="00A41792">
        <w:rPr>
          <w:lang w:val="en-GB" w:eastAsia="zh-CN"/>
        </w:rPr>
        <w:tab/>
      </w:r>
      <w:bookmarkStart w:id="0" w:name="_Hlk119064260"/>
      <w:r w:rsidR="00DF6B76" w:rsidRPr="00DF6B76">
        <w:rPr>
          <w:lang w:val="en-GB" w:eastAsia="zh-CN"/>
        </w:rPr>
        <w:t>Comments on ST/SG/AC.10/C.3/2022/70</w:t>
      </w:r>
      <w:bookmarkEnd w:id="0"/>
      <w:r w:rsidR="00DF6B76">
        <w:rPr>
          <w:lang w:val="en-GB" w:eastAsia="zh-CN"/>
        </w:rPr>
        <w:t xml:space="preserve"> – Assignment of a new UN number to lithium battery powered vehicles</w:t>
      </w:r>
    </w:p>
    <w:p w14:paraId="20BBE73B" w14:textId="4B4E7EB5" w:rsidR="00324058" w:rsidRPr="00A41792" w:rsidRDefault="00324058" w:rsidP="00324058">
      <w:pPr>
        <w:pStyle w:val="H1G"/>
        <w:rPr>
          <w:lang w:eastAsia="zh-CN"/>
        </w:rPr>
      </w:pPr>
      <w:r w:rsidRPr="00A41792">
        <w:rPr>
          <w:lang w:eastAsia="zh-CN"/>
        </w:rPr>
        <w:tab/>
      </w:r>
      <w:r w:rsidRPr="00A41792">
        <w:rPr>
          <w:lang w:eastAsia="zh-CN"/>
        </w:rPr>
        <w:tab/>
        <w:t xml:space="preserve">Transmitted by the expert from </w:t>
      </w:r>
      <w:r w:rsidR="00DF6B76">
        <w:rPr>
          <w:lang w:eastAsia="zh-CN"/>
        </w:rPr>
        <w:t>the United Kingdom</w:t>
      </w:r>
    </w:p>
    <w:p w14:paraId="63A27C93" w14:textId="77777777" w:rsidR="00324058" w:rsidRPr="00A41792" w:rsidRDefault="00324058" w:rsidP="00324058">
      <w:pPr>
        <w:pStyle w:val="HChG"/>
        <w:rPr>
          <w:lang w:val="en-GB" w:eastAsia="zh-CN"/>
        </w:rPr>
      </w:pPr>
      <w:r w:rsidRPr="00A41792">
        <w:rPr>
          <w:lang w:val="en-GB" w:eastAsia="zh-CN"/>
        </w:rPr>
        <w:tab/>
      </w:r>
      <w:r w:rsidRPr="00A41792">
        <w:rPr>
          <w:lang w:val="en-GB" w:eastAsia="zh-CN"/>
        </w:rPr>
        <w:tab/>
        <w:t>Introduction</w:t>
      </w:r>
    </w:p>
    <w:p w14:paraId="1461D79F" w14:textId="794A1CB3" w:rsidR="00DF6B76" w:rsidRPr="00202F7A" w:rsidRDefault="00324058" w:rsidP="00DF6B76">
      <w:pPr>
        <w:pStyle w:val="SingleTxtG"/>
        <w:rPr>
          <w:rFonts w:eastAsia="SimSun"/>
          <w:lang w:val="en-GB" w:eastAsia="zh-CN"/>
        </w:rPr>
      </w:pPr>
      <w:r w:rsidRPr="00A41792">
        <w:rPr>
          <w:lang w:val="en-GB" w:eastAsia="zh-CN"/>
        </w:rPr>
        <w:t>1.</w:t>
      </w:r>
      <w:r w:rsidRPr="00A41792">
        <w:rPr>
          <w:rFonts w:eastAsia="SimSun"/>
          <w:lang w:val="en-GB" w:eastAsia="zh-CN"/>
        </w:rPr>
        <w:tab/>
      </w:r>
      <w:r w:rsidR="00DF6B76" w:rsidRPr="00202F7A">
        <w:rPr>
          <w:rFonts w:eastAsia="SimSun"/>
          <w:lang w:val="en-GB" w:eastAsia="zh-CN"/>
        </w:rPr>
        <w:t xml:space="preserve">The expert from the United Kingdom supports the intention of </w:t>
      </w:r>
      <w:r w:rsidR="00F975A9" w:rsidRPr="00202F7A">
        <w:rPr>
          <w:rFonts w:eastAsia="SimSun"/>
          <w:lang w:val="en-GB" w:eastAsia="zh-CN"/>
        </w:rPr>
        <w:t>document ST/SG/AC.10/C.3/</w:t>
      </w:r>
      <w:r w:rsidR="00DF6B76" w:rsidRPr="00202F7A">
        <w:rPr>
          <w:rFonts w:eastAsia="SimSun"/>
          <w:lang w:val="en-GB" w:eastAsia="zh-CN"/>
        </w:rPr>
        <w:t>2022/70 from IATA and was grateful for the opportunity to take part in the discussions and contribute to the final draft. However, the expert from the United Kingdom believes that the proposal presented misses the opportunity for the Sub-Committee to make progress towards improving the provisions in relation to lithium batteries.</w:t>
      </w:r>
    </w:p>
    <w:p w14:paraId="01D25E33" w14:textId="21D424F3" w:rsidR="00DF6B76" w:rsidRPr="00202F7A" w:rsidRDefault="00DF6B76" w:rsidP="00DF6B76">
      <w:pPr>
        <w:pStyle w:val="SingleTxtG"/>
        <w:rPr>
          <w:rFonts w:eastAsia="SimSun"/>
          <w:lang w:val="en-GB" w:eastAsia="zh-CN"/>
        </w:rPr>
      </w:pPr>
      <w:r>
        <w:rPr>
          <w:rFonts w:eastAsia="SimSun"/>
          <w:lang w:val="en-GB" w:eastAsia="zh-CN"/>
        </w:rPr>
        <w:t>2.</w:t>
      </w:r>
      <w:r>
        <w:rPr>
          <w:rFonts w:eastAsia="SimSun"/>
          <w:lang w:val="en-GB" w:eastAsia="zh-CN"/>
        </w:rPr>
        <w:tab/>
      </w:r>
      <w:r w:rsidRPr="00202F7A">
        <w:rPr>
          <w:rFonts w:eastAsia="SimSun"/>
          <w:lang w:val="en-GB" w:eastAsia="zh-CN"/>
        </w:rPr>
        <w:t xml:space="preserve">Members of the Sub-Committee may recall ICAO previously announced their concern of the lack of granularity in relation to the transport requirements for lithium batteries in the Model Regulations and were commissioning some work with the SAE to try and improve this aspect of the regulation. Separate analysis by the experts from the United Kingdom has found that lithium batteries are treated differently to all other dangerous goods in the Model Regulations. Firstly, there are only two UN numbers covering a variety of cells and batteries which would be the equivalent of having only two UN numbers for corrosives – one for acids and one for alkalines. Secondly, only the lithium battery entries have multiple packing instructions and uniquely use </w:t>
      </w:r>
      <w:r w:rsidR="001D4A7F" w:rsidRPr="00202F7A">
        <w:rPr>
          <w:rFonts w:eastAsia="SimSun"/>
          <w:lang w:val="en-GB" w:eastAsia="zh-CN"/>
        </w:rPr>
        <w:t>s</w:t>
      </w:r>
      <w:r w:rsidRPr="00202F7A">
        <w:rPr>
          <w:rFonts w:eastAsia="SimSun"/>
          <w:lang w:val="en-GB" w:eastAsia="zh-CN"/>
        </w:rPr>
        <w:t xml:space="preserve">pecial </w:t>
      </w:r>
      <w:r w:rsidR="001D4A7F" w:rsidRPr="00202F7A">
        <w:rPr>
          <w:rFonts w:eastAsia="SimSun"/>
          <w:lang w:val="en-GB" w:eastAsia="zh-CN"/>
        </w:rPr>
        <w:t>p</w:t>
      </w:r>
      <w:r w:rsidRPr="00202F7A">
        <w:rPr>
          <w:rFonts w:eastAsia="SimSun"/>
          <w:lang w:val="en-GB" w:eastAsia="zh-CN"/>
        </w:rPr>
        <w:t xml:space="preserve">rovisions where the same </w:t>
      </w:r>
      <w:r w:rsidR="001D4A7F" w:rsidRPr="00202F7A">
        <w:rPr>
          <w:rFonts w:eastAsia="SimSun"/>
          <w:lang w:val="en-GB" w:eastAsia="zh-CN"/>
        </w:rPr>
        <w:t>s</w:t>
      </w:r>
      <w:r w:rsidRPr="00202F7A">
        <w:rPr>
          <w:rFonts w:eastAsia="SimSun"/>
          <w:lang w:val="en-GB" w:eastAsia="zh-CN"/>
        </w:rPr>
        <w:t xml:space="preserve">pecial </w:t>
      </w:r>
      <w:r w:rsidR="001D4A7F" w:rsidRPr="00202F7A">
        <w:rPr>
          <w:rFonts w:eastAsia="SimSun"/>
          <w:lang w:val="en-GB" w:eastAsia="zh-CN"/>
        </w:rPr>
        <w:t>p</w:t>
      </w:r>
      <w:r w:rsidRPr="00202F7A">
        <w:rPr>
          <w:rFonts w:eastAsia="SimSun"/>
          <w:lang w:val="en-GB" w:eastAsia="zh-CN"/>
        </w:rPr>
        <w:t>rovision applies different requirements to different UN numbers.</w:t>
      </w:r>
    </w:p>
    <w:p w14:paraId="6C656A05" w14:textId="0F074BE3" w:rsidR="00DF6B76" w:rsidRPr="00202F7A" w:rsidRDefault="00DF6B76" w:rsidP="00DF6B76">
      <w:pPr>
        <w:pStyle w:val="SingleTxtG"/>
        <w:rPr>
          <w:rFonts w:eastAsia="SimSun"/>
          <w:lang w:val="en-GB" w:eastAsia="zh-CN"/>
        </w:rPr>
      </w:pPr>
      <w:r>
        <w:rPr>
          <w:rFonts w:eastAsia="SimSun"/>
          <w:lang w:val="en-GB" w:eastAsia="zh-CN"/>
        </w:rPr>
        <w:t>3.</w:t>
      </w:r>
      <w:r>
        <w:rPr>
          <w:rFonts w:eastAsia="SimSun"/>
          <w:lang w:val="en-GB" w:eastAsia="zh-CN"/>
        </w:rPr>
        <w:tab/>
      </w:r>
      <w:r w:rsidRPr="00202F7A">
        <w:rPr>
          <w:rFonts w:eastAsia="SimSun"/>
          <w:lang w:val="en-GB" w:eastAsia="zh-CN"/>
        </w:rPr>
        <w:t xml:space="preserve">Mindful that this is the last meeting of the biennium the expert from the United Kingdom will restrict comments on </w:t>
      </w:r>
      <w:r w:rsidR="00EC675A" w:rsidRPr="00202F7A">
        <w:rPr>
          <w:rFonts w:eastAsia="SimSun"/>
          <w:lang w:val="en-GB" w:eastAsia="zh-CN"/>
        </w:rPr>
        <w:t>ST/SG/AC.10/C.3/</w:t>
      </w:r>
      <w:r w:rsidRPr="00202F7A">
        <w:rPr>
          <w:rFonts w:eastAsia="SimSun"/>
          <w:lang w:val="en-GB" w:eastAsia="zh-CN"/>
        </w:rPr>
        <w:t xml:space="preserve">2022/70 to the identification (Proper Shipping Name) issues that the IATA paper creates. Long ago, the Model Regulations were changed so that the single-entry lithium batteries became two entries, lithium ion and lithium metal. The use of ‘lithium battery’ in the proposed proper Shipping Name is thus a regression, and the inclusion in light type of ‘metal’ or ‘ion’ which does not have to appear on transport documents removes the specific battery type distinction in transport. The normal way that the Model Regulations deal with type of situation is to add N.O.S. to the proper shipping name together with special provision 274. The </w:t>
      </w:r>
      <w:r w:rsidR="00A73D8D" w:rsidRPr="00202F7A">
        <w:rPr>
          <w:rFonts w:eastAsia="SimSun"/>
          <w:lang w:val="en-GB" w:eastAsia="zh-CN"/>
        </w:rPr>
        <w:t>United Kingdom</w:t>
      </w:r>
      <w:r w:rsidRPr="00202F7A">
        <w:rPr>
          <w:rFonts w:eastAsia="SimSun"/>
          <w:lang w:val="en-GB" w:eastAsia="zh-CN"/>
        </w:rPr>
        <w:t xml:space="preserve"> presents below two alternative proposals.</w:t>
      </w:r>
    </w:p>
    <w:p w14:paraId="710E629A" w14:textId="7658A2B0" w:rsidR="00324058" w:rsidRDefault="005D2B33" w:rsidP="00F975A9">
      <w:pPr>
        <w:pStyle w:val="HChG"/>
        <w:rPr>
          <w:lang w:val="en-GB" w:eastAsia="zh-CN"/>
        </w:rPr>
      </w:pPr>
      <w:r w:rsidRPr="00A41792">
        <w:rPr>
          <w:lang w:val="en-GB" w:eastAsia="zh-CN"/>
        </w:rPr>
        <w:tab/>
      </w:r>
      <w:r w:rsidRPr="00A41792">
        <w:rPr>
          <w:lang w:val="en-GB" w:eastAsia="zh-CN"/>
        </w:rPr>
        <w:tab/>
      </w:r>
      <w:r w:rsidR="00324058" w:rsidRPr="00202F7A">
        <w:rPr>
          <w:lang w:val="en-GB"/>
        </w:rPr>
        <w:t>Proposal</w:t>
      </w:r>
      <w:r w:rsidR="00CA5EB5">
        <w:rPr>
          <w:lang w:val="en-GB"/>
        </w:rPr>
        <w:t xml:space="preserve"> 1</w:t>
      </w:r>
    </w:p>
    <w:p w14:paraId="660C8101" w14:textId="1AE1E5F7" w:rsidR="00BB0530" w:rsidRPr="00202F7A" w:rsidRDefault="00DF6B76" w:rsidP="00BB0530">
      <w:pPr>
        <w:pStyle w:val="SingleTxtG"/>
        <w:ind w:hanging="1134"/>
        <w:rPr>
          <w:lang w:val="en-GB"/>
        </w:rPr>
      </w:pPr>
      <w:r w:rsidRPr="00202F7A">
        <w:rPr>
          <w:lang w:val="en-GB" w:eastAsia="zh-CN"/>
        </w:rPr>
        <w:tab/>
      </w:r>
      <w:r w:rsidRPr="00202F7A">
        <w:rPr>
          <w:lang w:val="en-GB" w:eastAsia="zh-CN"/>
        </w:rPr>
        <w:tab/>
        <w:t>4.</w:t>
      </w:r>
      <w:r w:rsidRPr="00202F7A">
        <w:rPr>
          <w:lang w:val="en-GB" w:eastAsia="zh-CN"/>
        </w:rPr>
        <w:tab/>
      </w:r>
      <w:r w:rsidR="00BB0530" w:rsidRPr="00202F7A">
        <w:rPr>
          <w:lang w:val="en-GB"/>
        </w:rPr>
        <w:t>Add</w:t>
      </w:r>
      <w:r w:rsidR="00BB0530">
        <w:rPr>
          <w:lang w:val="en-GB"/>
        </w:rPr>
        <w:t xml:space="preserve"> </w:t>
      </w:r>
      <w:r w:rsidR="00886F7D">
        <w:rPr>
          <w:lang w:val="en-GB"/>
        </w:rPr>
        <w:t>a</w:t>
      </w:r>
      <w:r w:rsidR="00BB0530">
        <w:rPr>
          <w:lang w:val="en-GB"/>
        </w:rPr>
        <w:t xml:space="preserve"> ne</w:t>
      </w:r>
      <w:r w:rsidR="00BB0530" w:rsidRPr="00202F7A">
        <w:rPr>
          <w:lang w:val="en-GB"/>
        </w:rPr>
        <w:t>w entry to the Dangerous Goods List in Chapter 3.2</w:t>
      </w:r>
      <w:r w:rsidR="00886F7D">
        <w:rPr>
          <w:lang w:val="en-GB"/>
        </w:rPr>
        <w:t xml:space="preserve"> as follows</w:t>
      </w:r>
      <w:r w:rsidR="00BB0530" w:rsidRPr="00202F7A">
        <w:rPr>
          <w:lang w:val="en-GB"/>
        </w:rPr>
        <w:t>:</w:t>
      </w:r>
    </w:p>
    <w:p w14:paraId="08BDE7FF" w14:textId="77777777" w:rsidR="00BB0530" w:rsidRDefault="00BB0530" w:rsidP="00BB0530">
      <w:pPr>
        <w:suppressAutoHyphens w:val="0"/>
        <w:spacing w:after="160" w:line="259" w:lineRule="auto"/>
        <w:rPr>
          <w:sz w:val="24"/>
          <w:szCs w:val="24"/>
        </w:rPr>
      </w:pPr>
      <w:r>
        <w:rPr>
          <w:sz w:val="24"/>
          <w:szCs w:val="24"/>
        </w:rPr>
        <w:br w:type="page"/>
      </w:r>
    </w:p>
    <w:tbl>
      <w:tblPr>
        <w:tblStyle w:val="TableGrid"/>
        <w:tblpPr w:leftFromText="180" w:rightFromText="180" w:vertAnchor="text" w:horzAnchor="margin" w:tblpY="278"/>
        <w:tblW w:w="9776" w:type="dxa"/>
        <w:tblLayout w:type="fixed"/>
        <w:tblLook w:val="04A0" w:firstRow="1" w:lastRow="0" w:firstColumn="1" w:lastColumn="0" w:noHBand="0" w:noVBand="1"/>
      </w:tblPr>
      <w:tblGrid>
        <w:gridCol w:w="562"/>
        <w:gridCol w:w="1701"/>
        <w:gridCol w:w="567"/>
        <w:gridCol w:w="567"/>
        <w:gridCol w:w="709"/>
        <w:gridCol w:w="709"/>
        <w:gridCol w:w="567"/>
        <w:gridCol w:w="567"/>
        <w:gridCol w:w="992"/>
        <w:gridCol w:w="1134"/>
        <w:gridCol w:w="709"/>
        <w:gridCol w:w="992"/>
      </w:tblGrid>
      <w:tr w:rsidR="00BB0530" w:rsidRPr="0052658B" w14:paraId="3E4C5048" w14:textId="77777777" w:rsidTr="009E3551">
        <w:trPr>
          <w:trHeight w:val="338"/>
        </w:trPr>
        <w:tc>
          <w:tcPr>
            <w:tcW w:w="562" w:type="dxa"/>
            <w:vMerge w:val="restart"/>
            <w:vAlign w:val="center"/>
          </w:tcPr>
          <w:p w14:paraId="7879D2F0" w14:textId="77777777" w:rsidR="00BB0530" w:rsidRPr="0052658B" w:rsidRDefault="00BB0530" w:rsidP="009E3551">
            <w:pPr>
              <w:pStyle w:val="SingleTxtG"/>
              <w:ind w:left="0" w:right="19"/>
              <w:jc w:val="center"/>
              <w:rPr>
                <w:sz w:val="18"/>
                <w:szCs w:val="18"/>
                <w:lang w:val="en-GB"/>
              </w:rPr>
            </w:pPr>
            <w:r w:rsidRPr="0052658B">
              <w:rPr>
                <w:sz w:val="18"/>
                <w:szCs w:val="18"/>
                <w:lang w:val="en-GB"/>
              </w:rPr>
              <w:lastRenderedPageBreak/>
              <w:t>UN No.</w:t>
            </w:r>
          </w:p>
        </w:tc>
        <w:tc>
          <w:tcPr>
            <w:tcW w:w="1701" w:type="dxa"/>
            <w:vMerge w:val="restart"/>
            <w:vAlign w:val="center"/>
          </w:tcPr>
          <w:p w14:paraId="749E2EF4" w14:textId="77777777" w:rsidR="00BB0530" w:rsidRPr="0052658B" w:rsidRDefault="00BB0530" w:rsidP="009E3551">
            <w:pPr>
              <w:pStyle w:val="SingleTxtG"/>
              <w:ind w:left="0" w:right="139"/>
              <w:jc w:val="center"/>
              <w:rPr>
                <w:sz w:val="18"/>
                <w:szCs w:val="18"/>
                <w:lang w:val="en-GB"/>
              </w:rPr>
            </w:pPr>
            <w:r w:rsidRPr="0052658B">
              <w:rPr>
                <w:sz w:val="18"/>
                <w:szCs w:val="18"/>
                <w:lang w:val="en-GB"/>
              </w:rPr>
              <w:t>Name and description</w:t>
            </w:r>
          </w:p>
        </w:tc>
        <w:tc>
          <w:tcPr>
            <w:tcW w:w="567" w:type="dxa"/>
            <w:vMerge w:val="restart"/>
            <w:vAlign w:val="center"/>
          </w:tcPr>
          <w:p w14:paraId="737C4AE3" w14:textId="77777777" w:rsidR="00BB0530" w:rsidRPr="0052658B" w:rsidRDefault="00BB0530" w:rsidP="009E3551">
            <w:pPr>
              <w:pStyle w:val="SingleTxtG"/>
              <w:ind w:left="-57" w:right="-57"/>
              <w:jc w:val="center"/>
              <w:rPr>
                <w:sz w:val="18"/>
                <w:szCs w:val="18"/>
                <w:lang w:val="en-GB"/>
              </w:rPr>
            </w:pPr>
            <w:r w:rsidRPr="0052658B">
              <w:rPr>
                <w:sz w:val="18"/>
                <w:szCs w:val="18"/>
                <w:lang w:val="en-GB"/>
              </w:rPr>
              <w:t>Class or division</w:t>
            </w:r>
          </w:p>
        </w:tc>
        <w:tc>
          <w:tcPr>
            <w:tcW w:w="567" w:type="dxa"/>
            <w:vMerge w:val="restart"/>
            <w:vAlign w:val="center"/>
          </w:tcPr>
          <w:p w14:paraId="0251D73C"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Subsi-diary hazard</w:t>
            </w:r>
          </w:p>
        </w:tc>
        <w:tc>
          <w:tcPr>
            <w:tcW w:w="709" w:type="dxa"/>
            <w:vMerge w:val="restart"/>
            <w:vAlign w:val="center"/>
          </w:tcPr>
          <w:p w14:paraId="18BADA83" w14:textId="77777777" w:rsidR="00BB0530" w:rsidRPr="0052658B" w:rsidRDefault="00BB0530" w:rsidP="009E3551">
            <w:pPr>
              <w:pStyle w:val="SingleTxtG"/>
              <w:ind w:left="0" w:right="0"/>
              <w:jc w:val="center"/>
              <w:rPr>
                <w:sz w:val="18"/>
                <w:szCs w:val="18"/>
                <w:lang w:val="en-GB"/>
              </w:rPr>
            </w:pPr>
            <w:r w:rsidRPr="0052658B">
              <w:rPr>
                <w:sz w:val="18"/>
                <w:szCs w:val="18"/>
                <w:lang w:val="en-GB"/>
              </w:rPr>
              <w:t>UN packing group</w:t>
            </w:r>
          </w:p>
        </w:tc>
        <w:tc>
          <w:tcPr>
            <w:tcW w:w="709" w:type="dxa"/>
            <w:vMerge w:val="restart"/>
            <w:vAlign w:val="center"/>
          </w:tcPr>
          <w:p w14:paraId="535D9288" w14:textId="77777777" w:rsidR="00BB0530" w:rsidRPr="0052658B" w:rsidRDefault="00BB0530" w:rsidP="009E3551">
            <w:pPr>
              <w:pStyle w:val="SingleTxtG"/>
              <w:ind w:left="0" w:right="0"/>
              <w:jc w:val="center"/>
              <w:rPr>
                <w:sz w:val="18"/>
                <w:szCs w:val="18"/>
                <w:lang w:val="en-GB"/>
              </w:rPr>
            </w:pPr>
            <w:r w:rsidRPr="0052658B">
              <w:rPr>
                <w:sz w:val="18"/>
                <w:szCs w:val="18"/>
                <w:lang w:val="en-GB"/>
              </w:rPr>
              <w:t>Special provi-sions</w:t>
            </w:r>
          </w:p>
        </w:tc>
        <w:tc>
          <w:tcPr>
            <w:tcW w:w="1134" w:type="dxa"/>
            <w:gridSpan w:val="2"/>
            <w:vMerge w:val="restart"/>
            <w:vAlign w:val="center"/>
          </w:tcPr>
          <w:p w14:paraId="47CB4C10" w14:textId="77777777" w:rsidR="00BB0530" w:rsidRPr="0052658B" w:rsidRDefault="00BB0530" w:rsidP="009E3551">
            <w:pPr>
              <w:pStyle w:val="SingleTxtG"/>
              <w:ind w:left="0" w:right="0"/>
              <w:jc w:val="center"/>
              <w:rPr>
                <w:sz w:val="18"/>
                <w:szCs w:val="18"/>
                <w:lang w:val="en-GB"/>
              </w:rPr>
            </w:pPr>
            <w:r w:rsidRPr="0052658B">
              <w:rPr>
                <w:sz w:val="18"/>
                <w:szCs w:val="18"/>
                <w:lang w:val="en-GB"/>
              </w:rPr>
              <w:t>Limited and ex</w:t>
            </w:r>
            <w:r>
              <w:rPr>
                <w:sz w:val="18"/>
                <w:szCs w:val="18"/>
                <w:lang w:val="en-GB"/>
              </w:rPr>
              <w:t>c</w:t>
            </w:r>
            <w:r w:rsidRPr="0052658B">
              <w:rPr>
                <w:sz w:val="18"/>
                <w:szCs w:val="18"/>
                <w:lang w:val="en-GB"/>
              </w:rPr>
              <w:t>epted quantities</w:t>
            </w:r>
          </w:p>
        </w:tc>
        <w:tc>
          <w:tcPr>
            <w:tcW w:w="2126" w:type="dxa"/>
            <w:gridSpan w:val="2"/>
            <w:vAlign w:val="center"/>
          </w:tcPr>
          <w:p w14:paraId="5D31E7CA"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Packagings and IBCs</w:t>
            </w:r>
          </w:p>
        </w:tc>
        <w:tc>
          <w:tcPr>
            <w:tcW w:w="1701" w:type="dxa"/>
            <w:gridSpan w:val="2"/>
            <w:vAlign w:val="center"/>
          </w:tcPr>
          <w:p w14:paraId="5E961263" w14:textId="77777777" w:rsidR="00BB0530" w:rsidRPr="0052658B" w:rsidRDefault="00BB0530" w:rsidP="009E3551">
            <w:pPr>
              <w:pStyle w:val="SingleTxtG"/>
              <w:ind w:left="0" w:right="0"/>
              <w:jc w:val="center"/>
              <w:rPr>
                <w:sz w:val="18"/>
                <w:szCs w:val="18"/>
                <w:lang w:val="en-GB"/>
              </w:rPr>
            </w:pPr>
            <w:r w:rsidRPr="0052658B">
              <w:rPr>
                <w:sz w:val="18"/>
                <w:szCs w:val="18"/>
                <w:lang w:val="en-GB"/>
              </w:rPr>
              <w:t>Portable tanks and bulk containers</w:t>
            </w:r>
          </w:p>
        </w:tc>
      </w:tr>
      <w:tr w:rsidR="00BB0530" w:rsidRPr="0052658B" w14:paraId="6499437B" w14:textId="77777777" w:rsidTr="009E3551">
        <w:trPr>
          <w:trHeight w:val="338"/>
        </w:trPr>
        <w:tc>
          <w:tcPr>
            <w:tcW w:w="562" w:type="dxa"/>
            <w:vMerge/>
            <w:tcBorders>
              <w:bottom w:val="single" w:sz="4" w:space="0" w:color="auto"/>
            </w:tcBorders>
            <w:vAlign w:val="center"/>
          </w:tcPr>
          <w:p w14:paraId="10B0BEB7" w14:textId="77777777" w:rsidR="00BB0530" w:rsidRPr="0052658B" w:rsidRDefault="00BB0530" w:rsidP="009E3551">
            <w:pPr>
              <w:pStyle w:val="SingleTxtG"/>
              <w:ind w:left="0" w:right="19"/>
              <w:jc w:val="center"/>
              <w:rPr>
                <w:sz w:val="18"/>
                <w:szCs w:val="18"/>
                <w:lang w:val="en-GB"/>
              </w:rPr>
            </w:pPr>
          </w:p>
        </w:tc>
        <w:tc>
          <w:tcPr>
            <w:tcW w:w="1701" w:type="dxa"/>
            <w:vMerge/>
            <w:tcBorders>
              <w:bottom w:val="single" w:sz="4" w:space="0" w:color="auto"/>
            </w:tcBorders>
            <w:vAlign w:val="center"/>
          </w:tcPr>
          <w:p w14:paraId="67911CD0" w14:textId="77777777" w:rsidR="00BB0530" w:rsidRPr="0052658B" w:rsidRDefault="00BB0530" w:rsidP="009E3551">
            <w:pPr>
              <w:pStyle w:val="SingleTxtG"/>
              <w:ind w:left="0" w:right="139"/>
              <w:jc w:val="center"/>
              <w:rPr>
                <w:sz w:val="18"/>
                <w:szCs w:val="18"/>
                <w:lang w:val="en-GB"/>
              </w:rPr>
            </w:pPr>
          </w:p>
        </w:tc>
        <w:tc>
          <w:tcPr>
            <w:tcW w:w="567" w:type="dxa"/>
            <w:vMerge/>
            <w:tcBorders>
              <w:bottom w:val="single" w:sz="4" w:space="0" w:color="auto"/>
            </w:tcBorders>
            <w:vAlign w:val="center"/>
          </w:tcPr>
          <w:p w14:paraId="450B4974" w14:textId="77777777" w:rsidR="00BB0530" w:rsidRPr="0052658B" w:rsidRDefault="00BB0530" w:rsidP="009E3551">
            <w:pPr>
              <w:pStyle w:val="SingleTxtG"/>
              <w:ind w:left="0" w:right="0"/>
              <w:jc w:val="center"/>
              <w:rPr>
                <w:sz w:val="18"/>
                <w:szCs w:val="18"/>
                <w:lang w:val="en-GB"/>
              </w:rPr>
            </w:pPr>
          </w:p>
        </w:tc>
        <w:tc>
          <w:tcPr>
            <w:tcW w:w="567" w:type="dxa"/>
            <w:vMerge/>
            <w:tcBorders>
              <w:bottom w:val="single" w:sz="4" w:space="0" w:color="auto"/>
            </w:tcBorders>
            <w:vAlign w:val="center"/>
          </w:tcPr>
          <w:p w14:paraId="5D0DC493" w14:textId="77777777" w:rsidR="00BB0530" w:rsidRPr="0052658B" w:rsidRDefault="00BB0530" w:rsidP="009E3551">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743B28A5" w14:textId="77777777" w:rsidR="00BB0530" w:rsidRPr="0052658B" w:rsidRDefault="00BB0530" w:rsidP="009E3551">
            <w:pPr>
              <w:pStyle w:val="SingleTxtG"/>
              <w:ind w:left="0" w:right="0"/>
              <w:jc w:val="center"/>
              <w:rPr>
                <w:sz w:val="18"/>
                <w:szCs w:val="18"/>
                <w:lang w:val="en-GB"/>
              </w:rPr>
            </w:pPr>
          </w:p>
        </w:tc>
        <w:tc>
          <w:tcPr>
            <w:tcW w:w="709" w:type="dxa"/>
            <w:vMerge/>
            <w:tcBorders>
              <w:bottom w:val="single" w:sz="4" w:space="0" w:color="auto"/>
            </w:tcBorders>
            <w:vAlign w:val="center"/>
          </w:tcPr>
          <w:p w14:paraId="1C933BB4" w14:textId="77777777" w:rsidR="00BB0530" w:rsidRPr="0052658B" w:rsidRDefault="00BB0530" w:rsidP="009E3551">
            <w:pPr>
              <w:pStyle w:val="SingleTxtG"/>
              <w:ind w:left="0" w:right="0"/>
              <w:jc w:val="center"/>
              <w:rPr>
                <w:sz w:val="18"/>
                <w:szCs w:val="18"/>
                <w:lang w:val="en-GB"/>
              </w:rPr>
            </w:pPr>
          </w:p>
        </w:tc>
        <w:tc>
          <w:tcPr>
            <w:tcW w:w="1134" w:type="dxa"/>
            <w:gridSpan w:val="2"/>
            <w:vMerge/>
            <w:tcBorders>
              <w:bottom w:val="single" w:sz="4" w:space="0" w:color="auto"/>
            </w:tcBorders>
            <w:vAlign w:val="center"/>
          </w:tcPr>
          <w:p w14:paraId="5766224F" w14:textId="77777777" w:rsidR="00BB0530" w:rsidRPr="0052658B" w:rsidRDefault="00BB0530" w:rsidP="009E3551">
            <w:pPr>
              <w:pStyle w:val="SingleTxtG"/>
              <w:ind w:left="0" w:right="0"/>
              <w:jc w:val="center"/>
              <w:rPr>
                <w:sz w:val="18"/>
                <w:szCs w:val="18"/>
                <w:lang w:val="en-GB"/>
              </w:rPr>
            </w:pPr>
          </w:p>
        </w:tc>
        <w:tc>
          <w:tcPr>
            <w:tcW w:w="992" w:type="dxa"/>
            <w:tcBorders>
              <w:bottom w:val="single" w:sz="4" w:space="0" w:color="auto"/>
            </w:tcBorders>
            <w:vAlign w:val="center"/>
          </w:tcPr>
          <w:p w14:paraId="043F1A34"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Packing instruction</w:t>
            </w:r>
          </w:p>
        </w:tc>
        <w:tc>
          <w:tcPr>
            <w:tcW w:w="1134" w:type="dxa"/>
            <w:tcBorders>
              <w:bottom w:val="single" w:sz="4" w:space="0" w:color="auto"/>
            </w:tcBorders>
            <w:vAlign w:val="center"/>
          </w:tcPr>
          <w:p w14:paraId="03DCE6C8"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Special packing provisions</w:t>
            </w:r>
          </w:p>
        </w:tc>
        <w:tc>
          <w:tcPr>
            <w:tcW w:w="709" w:type="dxa"/>
            <w:tcBorders>
              <w:bottom w:val="single" w:sz="4" w:space="0" w:color="auto"/>
            </w:tcBorders>
            <w:vAlign w:val="center"/>
          </w:tcPr>
          <w:p w14:paraId="4C8E2860" w14:textId="77777777" w:rsidR="00BB0530" w:rsidRPr="0052658B" w:rsidRDefault="00BB0530" w:rsidP="009E3551">
            <w:pPr>
              <w:pStyle w:val="SingleTxtG"/>
              <w:ind w:left="0" w:right="0"/>
              <w:jc w:val="center"/>
              <w:rPr>
                <w:sz w:val="18"/>
                <w:szCs w:val="18"/>
                <w:lang w:val="en-GB"/>
              </w:rPr>
            </w:pPr>
            <w:r w:rsidRPr="0052658B">
              <w:rPr>
                <w:sz w:val="18"/>
                <w:szCs w:val="18"/>
                <w:lang w:val="en-GB"/>
              </w:rPr>
              <w:t>Instruc</w:t>
            </w:r>
            <w:r>
              <w:rPr>
                <w:sz w:val="18"/>
                <w:szCs w:val="18"/>
                <w:lang w:val="en-GB"/>
              </w:rPr>
              <w:t>-</w:t>
            </w:r>
            <w:r w:rsidRPr="0052658B">
              <w:rPr>
                <w:sz w:val="18"/>
                <w:szCs w:val="18"/>
                <w:lang w:val="en-GB"/>
              </w:rPr>
              <w:t>tions</w:t>
            </w:r>
          </w:p>
        </w:tc>
        <w:tc>
          <w:tcPr>
            <w:tcW w:w="992" w:type="dxa"/>
            <w:tcBorders>
              <w:bottom w:val="single" w:sz="4" w:space="0" w:color="auto"/>
            </w:tcBorders>
            <w:vAlign w:val="center"/>
          </w:tcPr>
          <w:p w14:paraId="04AFBAAD" w14:textId="77777777" w:rsidR="00BB0530" w:rsidRPr="0052658B" w:rsidRDefault="00BB0530" w:rsidP="009E3551">
            <w:pPr>
              <w:pStyle w:val="SingleTxtG"/>
              <w:ind w:left="0" w:right="0"/>
              <w:jc w:val="center"/>
              <w:rPr>
                <w:sz w:val="18"/>
                <w:szCs w:val="18"/>
                <w:lang w:val="en-GB"/>
              </w:rPr>
            </w:pPr>
            <w:r w:rsidRPr="0052658B">
              <w:rPr>
                <w:sz w:val="18"/>
                <w:szCs w:val="18"/>
                <w:lang w:val="en-GB"/>
              </w:rPr>
              <w:t>Special provisions</w:t>
            </w:r>
          </w:p>
        </w:tc>
      </w:tr>
      <w:tr w:rsidR="00BB0530" w:rsidRPr="0052658B" w14:paraId="3F1039F5" w14:textId="77777777" w:rsidTr="009E3551">
        <w:tc>
          <w:tcPr>
            <w:tcW w:w="562" w:type="dxa"/>
          </w:tcPr>
          <w:p w14:paraId="66BEAE35" w14:textId="77777777" w:rsidR="00BB0530" w:rsidRPr="0052658B" w:rsidRDefault="00BB0530" w:rsidP="009E3551">
            <w:pPr>
              <w:pStyle w:val="SingleTxtG"/>
              <w:ind w:left="0" w:right="19"/>
              <w:jc w:val="center"/>
              <w:rPr>
                <w:sz w:val="18"/>
                <w:szCs w:val="18"/>
                <w:lang w:val="en-GB"/>
              </w:rPr>
            </w:pPr>
            <w:r w:rsidRPr="0052658B">
              <w:rPr>
                <w:sz w:val="18"/>
                <w:szCs w:val="18"/>
                <w:lang w:val="en-GB"/>
              </w:rPr>
              <w:t>(1)</w:t>
            </w:r>
          </w:p>
        </w:tc>
        <w:tc>
          <w:tcPr>
            <w:tcW w:w="1701" w:type="dxa"/>
          </w:tcPr>
          <w:p w14:paraId="3C2E1001" w14:textId="77777777" w:rsidR="00BB0530" w:rsidRPr="0052658B" w:rsidRDefault="00BB0530" w:rsidP="009E3551">
            <w:pPr>
              <w:pStyle w:val="SingleTxtG"/>
              <w:ind w:left="0" w:right="19"/>
              <w:jc w:val="center"/>
              <w:rPr>
                <w:sz w:val="18"/>
                <w:szCs w:val="18"/>
                <w:lang w:val="en-GB"/>
              </w:rPr>
            </w:pPr>
            <w:r w:rsidRPr="0052658B">
              <w:rPr>
                <w:sz w:val="18"/>
                <w:szCs w:val="18"/>
                <w:lang w:val="en-GB"/>
              </w:rPr>
              <w:t>(2)</w:t>
            </w:r>
          </w:p>
        </w:tc>
        <w:tc>
          <w:tcPr>
            <w:tcW w:w="567" w:type="dxa"/>
          </w:tcPr>
          <w:p w14:paraId="4E28CDA7" w14:textId="77777777" w:rsidR="00BB0530" w:rsidRPr="0052658B" w:rsidRDefault="00BB0530" w:rsidP="009E3551">
            <w:pPr>
              <w:pStyle w:val="SingleTxtG"/>
              <w:ind w:left="0" w:right="19"/>
              <w:jc w:val="center"/>
              <w:rPr>
                <w:sz w:val="18"/>
                <w:szCs w:val="18"/>
                <w:lang w:val="en-GB"/>
              </w:rPr>
            </w:pPr>
            <w:r w:rsidRPr="0052658B">
              <w:rPr>
                <w:sz w:val="18"/>
                <w:szCs w:val="18"/>
                <w:lang w:val="en-GB"/>
              </w:rPr>
              <w:t>(3)</w:t>
            </w:r>
          </w:p>
        </w:tc>
        <w:tc>
          <w:tcPr>
            <w:tcW w:w="567" w:type="dxa"/>
          </w:tcPr>
          <w:p w14:paraId="0E6670F7" w14:textId="77777777" w:rsidR="00BB0530" w:rsidRPr="0052658B" w:rsidRDefault="00BB0530" w:rsidP="009E3551">
            <w:pPr>
              <w:pStyle w:val="SingleTxtG"/>
              <w:ind w:left="0" w:right="19"/>
              <w:jc w:val="center"/>
              <w:rPr>
                <w:sz w:val="18"/>
                <w:szCs w:val="18"/>
                <w:lang w:val="en-GB"/>
              </w:rPr>
            </w:pPr>
            <w:r w:rsidRPr="0052658B">
              <w:rPr>
                <w:sz w:val="18"/>
                <w:szCs w:val="18"/>
                <w:lang w:val="en-GB"/>
              </w:rPr>
              <w:t>(4)</w:t>
            </w:r>
          </w:p>
        </w:tc>
        <w:tc>
          <w:tcPr>
            <w:tcW w:w="709" w:type="dxa"/>
          </w:tcPr>
          <w:p w14:paraId="0B08596C" w14:textId="77777777" w:rsidR="00BB0530" w:rsidRPr="0052658B" w:rsidRDefault="00BB0530" w:rsidP="009E3551">
            <w:pPr>
              <w:pStyle w:val="SingleTxtG"/>
              <w:ind w:left="0" w:right="19"/>
              <w:jc w:val="center"/>
              <w:rPr>
                <w:sz w:val="18"/>
                <w:szCs w:val="18"/>
                <w:lang w:val="en-GB"/>
              </w:rPr>
            </w:pPr>
            <w:r w:rsidRPr="0052658B">
              <w:rPr>
                <w:sz w:val="18"/>
                <w:szCs w:val="18"/>
                <w:lang w:val="en-GB"/>
              </w:rPr>
              <w:t>(5)</w:t>
            </w:r>
          </w:p>
        </w:tc>
        <w:tc>
          <w:tcPr>
            <w:tcW w:w="709" w:type="dxa"/>
          </w:tcPr>
          <w:p w14:paraId="5A5B45B8" w14:textId="77777777" w:rsidR="00BB0530" w:rsidRPr="0052658B" w:rsidRDefault="00BB0530" w:rsidP="009E3551">
            <w:pPr>
              <w:pStyle w:val="SingleTxtG"/>
              <w:ind w:left="0" w:right="19"/>
              <w:jc w:val="center"/>
              <w:rPr>
                <w:sz w:val="18"/>
                <w:szCs w:val="18"/>
                <w:lang w:val="en-GB"/>
              </w:rPr>
            </w:pPr>
            <w:r w:rsidRPr="0052658B">
              <w:rPr>
                <w:sz w:val="18"/>
                <w:szCs w:val="18"/>
                <w:lang w:val="en-GB"/>
              </w:rPr>
              <w:t>(6)</w:t>
            </w:r>
          </w:p>
        </w:tc>
        <w:tc>
          <w:tcPr>
            <w:tcW w:w="567" w:type="dxa"/>
          </w:tcPr>
          <w:p w14:paraId="7A8E9A9A" w14:textId="77777777" w:rsidR="00BB0530" w:rsidRPr="0052658B" w:rsidRDefault="00BB0530" w:rsidP="009E3551">
            <w:pPr>
              <w:pStyle w:val="SingleTxtG"/>
              <w:ind w:left="0" w:right="19"/>
              <w:jc w:val="center"/>
              <w:rPr>
                <w:sz w:val="18"/>
                <w:szCs w:val="18"/>
                <w:lang w:val="en-GB"/>
              </w:rPr>
            </w:pPr>
            <w:r w:rsidRPr="0052658B">
              <w:rPr>
                <w:sz w:val="18"/>
                <w:szCs w:val="18"/>
                <w:lang w:val="en-GB"/>
              </w:rPr>
              <w:t>(7a)</w:t>
            </w:r>
          </w:p>
        </w:tc>
        <w:tc>
          <w:tcPr>
            <w:tcW w:w="567" w:type="dxa"/>
          </w:tcPr>
          <w:p w14:paraId="4BCE0253" w14:textId="77777777" w:rsidR="00BB0530" w:rsidRPr="0052658B" w:rsidRDefault="00BB0530" w:rsidP="009E3551">
            <w:pPr>
              <w:pStyle w:val="SingleTxtG"/>
              <w:ind w:left="0" w:right="19"/>
              <w:jc w:val="center"/>
              <w:rPr>
                <w:sz w:val="18"/>
                <w:szCs w:val="18"/>
                <w:lang w:val="en-GB"/>
              </w:rPr>
            </w:pPr>
            <w:r w:rsidRPr="0052658B">
              <w:rPr>
                <w:sz w:val="18"/>
                <w:szCs w:val="18"/>
                <w:lang w:val="en-GB"/>
              </w:rPr>
              <w:t>(7b)</w:t>
            </w:r>
          </w:p>
        </w:tc>
        <w:tc>
          <w:tcPr>
            <w:tcW w:w="992" w:type="dxa"/>
          </w:tcPr>
          <w:p w14:paraId="393C1813" w14:textId="77777777" w:rsidR="00BB0530" w:rsidRPr="0052658B" w:rsidRDefault="00BB0530" w:rsidP="009E3551">
            <w:pPr>
              <w:pStyle w:val="SingleTxtG"/>
              <w:ind w:left="0" w:right="19"/>
              <w:jc w:val="center"/>
              <w:rPr>
                <w:sz w:val="18"/>
                <w:szCs w:val="18"/>
                <w:lang w:val="en-GB"/>
              </w:rPr>
            </w:pPr>
            <w:r w:rsidRPr="0052658B">
              <w:rPr>
                <w:sz w:val="18"/>
                <w:szCs w:val="18"/>
                <w:lang w:val="en-GB"/>
              </w:rPr>
              <w:t>(8)</w:t>
            </w:r>
          </w:p>
        </w:tc>
        <w:tc>
          <w:tcPr>
            <w:tcW w:w="1134" w:type="dxa"/>
          </w:tcPr>
          <w:p w14:paraId="51745649" w14:textId="77777777" w:rsidR="00BB0530" w:rsidRPr="0052658B" w:rsidRDefault="00BB0530" w:rsidP="009E3551">
            <w:pPr>
              <w:pStyle w:val="SingleTxtG"/>
              <w:ind w:left="0" w:right="19"/>
              <w:jc w:val="center"/>
              <w:rPr>
                <w:sz w:val="18"/>
                <w:szCs w:val="18"/>
                <w:lang w:val="en-GB"/>
              </w:rPr>
            </w:pPr>
            <w:r w:rsidRPr="0052658B">
              <w:rPr>
                <w:sz w:val="18"/>
                <w:szCs w:val="18"/>
                <w:lang w:val="en-GB"/>
              </w:rPr>
              <w:t>(9)</w:t>
            </w:r>
          </w:p>
        </w:tc>
        <w:tc>
          <w:tcPr>
            <w:tcW w:w="709" w:type="dxa"/>
          </w:tcPr>
          <w:p w14:paraId="771F1000" w14:textId="77777777" w:rsidR="00BB0530" w:rsidRPr="0052658B" w:rsidRDefault="00BB0530" w:rsidP="009E3551">
            <w:pPr>
              <w:pStyle w:val="SingleTxtG"/>
              <w:ind w:left="0" w:right="19"/>
              <w:jc w:val="center"/>
              <w:rPr>
                <w:sz w:val="18"/>
                <w:szCs w:val="18"/>
                <w:lang w:val="en-GB"/>
              </w:rPr>
            </w:pPr>
            <w:r w:rsidRPr="0052658B">
              <w:rPr>
                <w:sz w:val="18"/>
                <w:szCs w:val="18"/>
                <w:lang w:val="en-GB"/>
              </w:rPr>
              <w:t>(10)</w:t>
            </w:r>
          </w:p>
        </w:tc>
        <w:tc>
          <w:tcPr>
            <w:tcW w:w="992" w:type="dxa"/>
          </w:tcPr>
          <w:p w14:paraId="7DB5B5E6" w14:textId="77777777" w:rsidR="00BB0530" w:rsidRPr="0052658B" w:rsidRDefault="00BB0530" w:rsidP="009E3551">
            <w:pPr>
              <w:pStyle w:val="SingleTxtG"/>
              <w:ind w:left="0" w:right="19"/>
              <w:jc w:val="center"/>
              <w:rPr>
                <w:sz w:val="18"/>
                <w:szCs w:val="18"/>
                <w:lang w:val="en-GB"/>
              </w:rPr>
            </w:pPr>
            <w:r w:rsidRPr="0052658B">
              <w:rPr>
                <w:sz w:val="18"/>
                <w:szCs w:val="18"/>
                <w:lang w:val="en-GB"/>
              </w:rPr>
              <w:t>(11)</w:t>
            </w:r>
          </w:p>
        </w:tc>
      </w:tr>
      <w:tr w:rsidR="00BB0530" w:rsidRPr="0052658B" w14:paraId="2796FFF1" w14:textId="77777777" w:rsidTr="009E3551">
        <w:tc>
          <w:tcPr>
            <w:tcW w:w="562" w:type="dxa"/>
            <w:tcBorders>
              <w:bottom w:val="single" w:sz="4" w:space="0" w:color="auto"/>
            </w:tcBorders>
          </w:tcPr>
          <w:p w14:paraId="6C8C3A27" w14:textId="77777777" w:rsidR="00BB0530" w:rsidRPr="0052658B" w:rsidRDefault="00BB0530" w:rsidP="009E3551">
            <w:pPr>
              <w:pStyle w:val="SingleTxtG"/>
              <w:ind w:left="-57" w:right="-57"/>
              <w:jc w:val="center"/>
              <w:rPr>
                <w:sz w:val="18"/>
                <w:szCs w:val="18"/>
                <w:lang w:val="en-GB"/>
              </w:rPr>
            </w:pPr>
            <w:r>
              <w:rPr>
                <w:sz w:val="18"/>
                <w:szCs w:val="18"/>
                <w:lang w:val="en-GB"/>
              </w:rPr>
              <w:t>35</w:t>
            </w:r>
            <w:r w:rsidRPr="0052658B">
              <w:rPr>
                <w:sz w:val="18"/>
                <w:szCs w:val="18"/>
                <w:lang w:val="en-GB"/>
              </w:rPr>
              <w:t>XX</w:t>
            </w:r>
          </w:p>
        </w:tc>
        <w:tc>
          <w:tcPr>
            <w:tcW w:w="1701" w:type="dxa"/>
            <w:tcBorders>
              <w:bottom w:val="single" w:sz="4" w:space="0" w:color="auto"/>
            </w:tcBorders>
          </w:tcPr>
          <w:p w14:paraId="5A9FD550" w14:textId="77777777" w:rsidR="00BB0530" w:rsidRPr="0052658B" w:rsidRDefault="00BB0530" w:rsidP="009E3551">
            <w:pPr>
              <w:pStyle w:val="SingleTxtG"/>
              <w:ind w:left="0" w:right="19"/>
              <w:jc w:val="left"/>
              <w:rPr>
                <w:sz w:val="18"/>
                <w:szCs w:val="18"/>
                <w:lang w:val="en-GB"/>
              </w:rPr>
            </w:pPr>
            <w:r>
              <w:rPr>
                <w:snapToGrid w:val="0"/>
                <w:sz w:val="18"/>
                <w:szCs w:val="18"/>
                <w:lang w:val="en-GB"/>
              </w:rPr>
              <w:t>VEHICLE, LITHIUM BATTERY POWERED N.O.S or VEHICLE, SODIUM ION BATTERY POWERED</w:t>
            </w:r>
          </w:p>
        </w:tc>
        <w:tc>
          <w:tcPr>
            <w:tcW w:w="567" w:type="dxa"/>
            <w:tcBorders>
              <w:bottom w:val="single" w:sz="4" w:space="0" w:color="auto"/>
            </w:tcBorders>
          </w:tcPr>
          <w:p w14:paraId="40C754AD" w14:textId="77777777" w:rsidR="00BB0530" w:rsidRPr="0052658B" w:rsidRDefault="00BB0530" w:rsidP="009E3551">
            <w:pPr>
              <w:pStyle w:val="SingleTxtG"/>
              <w:ind w:left="0" w:right="19"/>
              <w:jc w:val="center"/>
              <w:rPr>
                <w:sz w:val="18"/>
                <w:szCs w:val="18"/>
                <w:lang w:val="en-GB"/>
              </w:rPr>
            </w:pPr>
            <w:r>
              <w:rPr>
                <w:sz w:val="18"/>
                <w:szCs w:val="18"/>
                <w:lang w:val="en-GB"/>
              </w:rPr>
              <w:t>9</w:t>
            </w:r>
          </w:p>
        </w:tc>
        <w:tc>
          <w:tcPr>
            <w:tcW w:w="567" w:type="dxa"/>
            <w:tcBorders>
              <w:bottom w:val="single" w:sz="4" w:space="0" w:color="auto"/>
            </w:tcBorders>
          </w:tcPr>
          <w:p w14:paraId="3A0838EE" w14:textId="77777777" w:rsidR="00BB0530" w:rsidRPr="0052658B" w:rsidRDefault="00BB0530" w:rsidP="009E3551">
            <w:pPr>
              <w:pStyle w:val="SingleTxtG"/>
              <w:ind w:left="0" w:right="19"/>
              <w:jc w:val="center"/>
              <w:rPr>
                <w:sz w:val="18"/>
                <w:szCs w:val="18"/>
                <w:lang w:val="en-GB"/>
              </w:rPr>
            </w:pPr>
          </w:p>
        </w:tc>
        <w:tc>
          <w:tcPr>
            <w:tcW w:w="709" w:type="dxa"/>
            <w:tcBorders>
              <w:bottom w:val="single" w:sz="4" w:space="0" w:color="auto"/>
            </w:tcBorders>
          </w:tcPr>
          <w:p w14:paraId="687CD242" w14:textId="77777777" w:rsidR="00BB0530" w:rsidRPr="0052658B" w:rsidRDefault="00BB0530" w:rsidP="009E3551">
            <w:pPr>
              <w:pStyle w:val="SingleTxtG"/>
              <w:ind w:left="0" w:right="19"/>
              <w:jc w:val="center"/>
              <w:rPr>
                <w:sz w:val="18"/>
                <w:szCs w:val="18"/>
                <w:lang w:val="en-GB"/>
              </w:rPr>
            </w:pPr>
          </w:p>
        </w:tc>
        <w:tc>
          <w:tcPr>
            <w:tcW w:w="709" w:type="dxa"/>
            <w:tcBorders>
              <w:bottom w:val="single" w:sz="4" w:space="0" w:color="auto"/>
            </w:tcBorders>
          </w:tcPr>
          <w:p w14:paraId="179B18FA" w14:textId="77777777" w:rsidR="00BB0530" w:rsidRPr="00D06D15" w:rsidRDefault="00BB0530" w:rsidP="009E3551">
            <w:pPr>
              <w:pStyle w:val="SingleTxtG"/>
              <w:ind w:left="0" w:right="19"/>
              <w:jc w:val="center"/>
              <w:rPr>
                <w:sz w:val="18"/>
                <w:szCs w:val="18"/>
                <w:u w:val="single"/>
                <w:lang w:val="en-GB"/>
              </w:rPr>
            </w:pPr>
            <w:r>
              <w:rPr>
                <w:sz w:val="18"/>
                <w:szCs w:val="18"/>
                <w:lang w:val="en-GB"/>
              </w:rPr>
              <w:t>274    384</w:t>
            </w:r>
            <w:r>
              <w:rPr>
                <w:sz w:val="18"/>
                <w:szCs w:val="18"/>
                <w:lang w:val="en-GB"/>
              </w:rPr>
              <w:br/>
              <w:t>388</w:t>
            </w:r>
          </w:p>
        </w:tc>
        <w:tc>
          <w:tcPr>
            <w:tcW w:w="567" w:type="dxa"/>
            <w:tcBorders>
              <w:bottom w:val="single" w:sz="4" w:space="0" w:color="auto"/>
            </w:tcBorders>
          </w:tcPr>
          <w:p w14:paraId="3419F0FC" w14:textId="77777777" w:rsidR="00BB0530" w:rsidRPr="0052658B" w:rsidRDefault="00BB0530" w:rsidP="009E3551">
            <w:pPr>
              <w:pStyle w:val="SingleTxtG"/>
              <w:ind w:left="0" w:right="19"/>
              <w:jc w:val="center"/>
              <w:rPr>
                <w:sz w:val="18"/>
                <w:szCs w:val="18"/>
                <w:lang w:val="en-GB"/>
              </w:rPr>
            </w:pPr>
            <w:r w:rsidRPr="0052658B">
              <w:rPr>
                <w:sz w:val="18"/>
                <w:szCs w:val="18"/>
                <w:lang w:val="en-GB"/>
              </w:rPr>
              <w:t>0</w:t>
            </w:r>
          </w:p>
        </w:tc>
        <w:tc>
          <w:tcPr>
            <w:tcW w:w="567" w:type="dxa"/>
            <w:tcBorders>
              <w:bottom w:val="single" w:sz="4" w:space="0" w:color="auto"/>
            </w:tcBorders>
          </w:tcPr>
          <w:p w14:paraId="623EB5EE" w14:textId="77777777" w:rsidR="00BB0530" w:rsidRPr="0052658B" w:rsidRDefault="00BB0530" w:rsidP="009E3551">
            <w:pPr>
              <w:pStyle w:val="SingleTxtG"/>
              <w:ind w:left="0" w:right="19"/>
              <w:jc w:val="center"/>
              <w:rPr>
                <w:sz w:val="18"/>
                <w:szCs w:val="18"/>
                <w:lang w:val="en-GB"/>
              </w:rPr>
            </w:pPr>
            <w:r w:rsidRPr="0052658B">
              <w:rPr>
                <w:sz w:val="18"/>
                <w:szCs w:val="18"/>
                <w:lang w:val="en-GB"/>
              </w:rPr>
              <w:t>E0</w:t>
            </w:r>
          </w:p>
        </w:tc>
        <w:tc>
          <w:tcPr>
            <w:tcW w:w="992" w:type="dxa"/>
            <w:tcBorders>
              <w:bottom w:val="single" w:sz="4" w:space="0" w:color="auto"/>
            </w:tcBorders>
          </w:tcPr>
          <w:p w14:paraId="1AD6691E" w14:textId="77777777" w:rsidR="00BB0530" w:rsidRPr="0052658B" w:rsidRDefault="00BB0530" w:rsidP="009E3551">
            <w:pPr>
              <w:pStyle w:val="SingleTxtG"/>
              <w:ind w:left="0" w:right="19"/>
              <w:jc w:val="center"/>
              <w:rPr>
                <w:sz w:val="18"/>
                <w:szCs w:val="18"/>
                <w:lang w:val="en-GB"/>
              </w:rPr>
            </w:pPr>
            <w:r>
              <w:rPr>
                <w:sz w:val="18"/>
                <w:szCs w:val="18"/>
                <w:lang w:val="en-GB"/>
              </w:rPr>
              <w:t>P9xx</w:t>
            </w:r>
          </w:p>
        </w:tc>
        <w:tc>
          <w:tcPr>
            <w:tcW w:w="1134" w:type="dxa"/>
            <w:tcBorders>
              <w:bottom w:val="single" w:sz="4" w:space="0" w:color="auto"/>
            </w:tcBorders>
          </w:tcPr>
          <w:p w14:paraId="2E8B6ED4" w14:textId="77777777" w:rsidR="00BB0530" w:rsidRPr="0052658B" w:rsidRDefault="00BB0530" w:rsidP="009E3551">
            <w:pPr>
              <w:pStyle w:val="SingleTxtG"/>
              <w:ind w:left="0" w:right="19"/>
              <w:jc w:val="center"/>
              <w:rPr>
                <w:sz w:val="18"/>
                <w:szCs w:val="18"/>
                <w:lang w:val="en-GB"/>
              </w:rPr>
            </w:pPr>
          </w:p>
        </w:tc>
        <w:tc>
          <w:tcPr>
            <w:tcW w:w="709" w:type="dxa"/>
            <w:tcBorders>
              <w:bottom w:val="single" w:sz="4" w:space="0" w:color="auto"/>
            </w:tcBorders>
          </w:tcPr>
          <w:p w14:paraId="36278712" w14:textId="77777777" w:rsidR="00BB0530" w:rsidRPr="0052658B" w:rsidRDefault="00BB0530" w:rsidP="009E3551">
            <w:pPr>
              <w:pStyle w:val="SingleTxtG"/>
              <w:ind w:left="0" w:right="19"/>
              <w:jc w:val="center"/>
              <w:rPr>
                <w:sz w:val="18"/>
                <w:szCs w:val="18"/>
                <w:lang w:val="en-GB"/>
              </w:rPr>
            </w:pPr>
          </w:p>
        </w:tc>
        <w:tc>
          <w:tcPr>
            <w:tcW w:w="992" w:type="dxa"/>
            <w:tcBorders>
              <w:bottom w:val="single" w:sz="4" w:space="0" w:color="auto"/>
            </w:tcBorders>
          </w:tcPr>
          <w:p w14:paraId="25757F07" w14:textId="77777777" w:rsidR="00BB0530" w:rsidRPr="0052658B" w:rsidRDefault="00BB0530" w:rsidP="009E3551">
            <w:pPr>
              <w:pStyle w:val="SingleTxtG"/>
              <w:ind w:left="0" w:right="19"/>
              <w:jc w:val="center"/>
              <w:rPr>
                <w:sz w:val="18"/>
                <w:szCs w:val="18"/>
                <w:lang w:val="en-GB"/>
              </w:rPr>
            </w:pPr>
          </w:p>
        </w:tc>
      </w:tr>
    </w:tbl>
    <w:p w14:paraId="66E59691" w14:textId="77777777" w:rsidR="00BB0530" w:rsidRPr="00202F7A" w:rsidRDefault="00BB0530" w:rsidP="00BB0530">
      <w:pPr>
        <w:pStyle w:val="SingleTxtG"/>
        <w:ind w:left="0"/>
        <w:rPr>
          <w:sz w:val="24"/>
          <w:szCs w:val="24"/>
          <w:lang w:val="en-GB"/>
        </w:rPr>
      </w:pPr>
    </w:p>
    <w:p w14:paraId="4FAB80F7" w14:textId="6BFC5052" w:rsidR="00BB0530" w:rsidRPr="00202F7A" w:rsidRDefault="00BB0530" w:rsidP="00F975A9">
      <w:pPr>
        <w:pStyle w:val="SingleTxtG"/>
        <w:spacing w:before="240"/>
        <w:rPr>
          <w:lang w:val="en-GB"/>
        </w:rPr>
      </w:pPr>
      <w:r w:rsidRPr="00202F7A">
        <w:rPr>
          <w:lang w:val="en-GB"/>
        </w:rPr>
        <w:t xml:space="preserve">The rest of the proposals presented in </w:t>
      </w:r>
      <w:r w:rsidR="00886F7D" w:rsidRPr="00202F7A">
        <w:rPr>
          <w:rFonts w:eastAsia="SimSun"/>
          <w:lang w:val="en-GB" w:eastAsia="zh-CN"/>
        </w:rPr>
        <w:t>ST/SG/AC.10/C.3/</w:t>
      </w:r>
      <w:r w:rsidRPr="00202F7A">
        <w:rPr>
          <w:lang w:val="en-GB"/>
        </w:rPr>
        <w:t>2022/70 would be unchanged.</w:t>
      </w:r>
    </w:p>
    <w:p w14:paraId="0F5AAE86" w14:textId="673FF564" w:rsidR="00BB0530" w:rsidRPr="00202F7A" w:rsidRDefault="00F975A9" w:rsidP="00F975A9">
      <w:pPr>
        <w:pStyle w:val="HChG"/>
        <w:rPr>
          <w:lang w:val="en-GB"/>
        </w:rPr>
      </w:pPr>
      <w:r w:rsidRPr="00202F7A">
        <w:rPr>
          <w:lang w:val="en-GB"/>
        </w:rPr>
        <w:tab/>
      </w:r>
      <w:r w:rsidRPr="00202F7A">
        <w:rPr>
          <w:lang w:val="en-GB"/>
        </w:rPr>
        <w:tab/>
      </w:r>
      <w:r w:rsidR="00BB0530" w:rsidRPr="00202F7A">
        <w:rPr>
          <w:lang w:val="en-GB"/>
        </w:rPr>
        <w:t>Justification</w:t>
      </w:r>
    </w:p>
    <w:p w14:paraId="24E5FF5C" w14:textId="79719856" w:rsidR="00BB0530" w:rsidRPr="00202F7A" w:rsidRDefault="00BB0530" w:rsidP="00BB0530">
      <w:pPr>
        <w:pStyle w:val="SingleTxtG"/>
        <w:rPr>
          <w:lang w:val="en-GB"/>
        </w:rPr>
      </w:pPr>
      <w:r w:rsidRPr="00B91450">
        <w:rPr>
          <w:lang w:val="en-GB"/>
        </w:rPr>
        <w:t>5.</w:t>
      </w:r>
      <w:r w:rsidRPr="00B91450">
        <w:rPr>
          <w:lang w:val="en-GB"/>
        </w:rPr>
        <w:tab/>
      </w:r>
      <w:r w:rsidRPr="00202F7A">
        <w:rPr>
          <w:lang w:val="en-GB"/>
        </w:rPr>
        <w:t>Users of the Model Regulations will be familiar with N.O.S entries and SP 274. However, there is the possibility that some transporters of sodium ion batteries might get confused with the use of SP 274 when the proper shipping name of ‘Vehicle, Sodium ion battery powered’ does not include ‘N.O.S.’</w:t>
      </w:r>
    </w:p>
    <w:p w14:paraId="69047CAD" w14:textId="5C17A945" w:rsidR="00BB0530" w:rsidRPr="00F975A9" w:rsidRDefault="00BB0530" w:rsidP="00F975A9">
      <w:pPr>
        <w:pStyle w:val="SingleTxtG"/>
        <w:rPr>
          <w:lang w:val="en-GB"/>
        </w:rPr>
      </w:pPr>
      <w:r w:rsidRPr="00B91450">
        <w:rPr>
          <w:lang w:val="en-GB"/>
        </w:rPr>
        <w:t>6.</w:t>
      </w:r>
      <w:r w:rsidRPr="00B91450">
        <w:rPr>
          <w:lang w:val="en-GB"/>
        </w:rPr>
        <w:tab/>
      </w:r>
      <w:r w:rsidRPr="00202F7A">
        <w:rPr>
          <w:lang w:val="en-GB"/>
        </w:rPr>
        <w:t xml:space="preserve">However, this proposal still leaves three separate types of dangerous goods assigned to one UN number. This has two disadvantages in that users of the regulations will read (sometimes pages) of irrelevant information in relation to what they want to consign and secondly, it makes it difficult to tailor specific amendments to the relevant part of the entry. </w:t>
      </w:r>
      <w:r w:rsidRPr="00B91450">
        <w:rPr>
          <w:lang w:val="en-GB"/>
        </w:rPr>
        <w:t>Proposal 2</w:t>
      </w:r>
      <w:r w:rsidRPr="00202F7A">
        <w:rPr>
          <w:lang w:val="en-GB"/>
        </w:rPr>
        <w:t xml:space="preserve"> </w:t>
      </w:r>
      <w:r w:rsidR="00A27BEA">
        <w:rPr>
          <w:lang w:val="en-GB"/>
        </w:rPr>
        <w:t>below</w:t>
      </w:r>
      <w:r w:rsidRPr="00B91450">
        <w:rPr>
          <w:lang w:val="en-GB"/>
        </w:rPr>
        <w:t xml:space="preserve"> seeks to address these issues by listing the different types of battery powered vehicles as separate UN entries.</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9639"/>
      </w:tblGrid>
      <w:tr w:rsidR="00BB0530" w:rsidRPr="00B91450" w14:paraId="06AA7259" w14:textId="77777777" w:rsidTr="009E3551">
        <w:trPr>
          <w:trHeight w:val="851"/>
        </w:trPr>
        <w:tc>
          <w:tcPr>
            <w:tcW w:w="9639" w:type="dxa"/>
            <w:tcBorders>
              <w:top w:val="nil"/>
              <w:left w:val="nil"/>
              <w:bottom w:val="nil"/>
              <w:right w:val="nil"/>
            </w:tcBorders>
            <w:vAlign w:val="bottom"/>
          </w:tcPr>
          <w:p w14:paraId="6C2FF3D7" w14:textId="77777777" w:rsidR="00BB0530" w:rsidRPr="00B91450" w:rsidRDefault="00BB0530" w:rsidP="009E3551">
            <w:pPr>
              <w:suppressAutoHyphens w:val="0"/>
            </w:pPr>
          </w:p>
        </w:tc>
      </w:tr>
    </w:tbl>
    <w:p w14:paraId="53F181E5" w14:textId="1A3DFDE1" w:rsidR="00BB0530" w:rsidRPr="009D5E94" w:rsidRDefault="00F975A9" w:rsidP="00F975A9">
      <w:pPr>
        <w:pStyle w:val="HChG"/>
        <w:rPr>
          <w:lang w:val="fr-CH"/>
        </w:rPr>
      </w:pPr>
      <w:r w:rsidRPr="00202F7A">
        <w:rPr>
          <w:lang w:val="en-GB"/>
        </w:rPr>
        <w:tab/>
      </w:r>
      <w:r w:rsidRPr="00202F7A">
        <w:rPr>
          <w:lang w:val="en-GB"/>
        </w:rPr>
        <w:tab/>
      </w:r>
      <w:r w:rsidRPr="00202F7A">
        <w:rPr>
          <w:lang w:val="en-GB"/>
        </w:rPr>
        <w:tab/>
      </w:r>
      <w:r w:rsidR="00BB0530" w:rsidRPr="000E5A8A">
        <w:t xml:space="preserve">Proposal </w:t>
      </w:r>
      <w:r w:rsidR="009D5E94">
        <w:rPr>
          <w:lang w:val="fr-CH"/>
        </w:rPr>
        <w:t>2</w:t>
      </w:r>
    </w:p>
    <w:p w14:paraId="7311058E" w14:textId="77777777" w:rsidR="00BB0530" w:rsidRPr="00202F7A" w:rsidRDefault="00BB0530" w:rsidP="0088147B">
      <w:pPr>
        <w:pStyle w:val="SingleTxtG"/>
        <w:ind w:left="567" w:firstLine="1134"/>
        <w:rPr>
          <w:lang w:val="en-GB"/>
        </w:rPr>
      </w:pPr>
      <w:r w:rsidRPr="00202F7A">
        <w:rPr>
          <w:lang w:val="en-GB"/>
        </w:rPr>
        <w:t>Add the following new entries to the Dangerous Goods List in Chapter 3.2:</w:t>
      </w:r>
    </w:p>
    <w:tbl>
      <w:tblPr>
        <w:tblStyle w:val="TableGrid"/>
        <w:tblW w:w="9498" w:type="dxa"/>
        <w:tblInd w:w="421" w:type="dxa"/>
        <w:tblLayout w:type="fixed"/>
        <w:tblLook w:val="04A0" w:firstRow="1" w:lastRow="0" w:firstColumn="1" w:lastColumn="0" w:noHBand="0" w:noVBand="1"/>
      </w:tblPr>
      <w:tblGrid>
        <w:gridCol w:w="567"/>
        <w:gridCol w:w="1985"/>
        <w:gridCol w:w="567"/>
        <w:gridCol w:w="567"/>
        <w:gridCol w:w="709"/>
        <w:gridCol w:w="708"/>
        <w:gridCol w:w="426"/>
        <w:gridCol w:w="567"/>
        <w:gridCol w:w="850"/>
        <w:gridCol w:w="851"/>
        <w:gridCol w:w="850"/>
        <w:gridCol w:w="851"/>
      </w:tblGrid>
      <w:tr w:rsidR="00BB0530" w:rsidRPr="0052658B" w14:paraId="5C167424" w14:textId="77777777" w:rsidTr="009E3551">
        <w:trPr>
          <w:trHeight w:val="338"/>
        </w:trPr>
        <w:tc>
          <w:tcPr>
            <w:tcW w:w="567" w:type="dxa"/>
            <w:vMerge w:val="restart"/>
            <w:vAlign w:val="center"/>
          </w:tcPr>
          <w:p w14:paraId="30061CD7" w14:textId="77777777" w:rsidR="00BB0530" w:rsidRPr="0052658B" w:rsidRDefault="00BB0530" w:rsidP="009E3551">
            <w:pPr>
              <w:pStyle w:val="SingleTxtG"/>
              <w:ind w:left="0" w:right="19"/>
              <w:jc w:val="center"/>
              <w:rPr>
                <w:sz w:val="18"/>
                <w:szCs w:val="18"/>
                <w:lang w:val="en-GB"/>
              </w:rPr>
            </w:pPr>
            <w:r w:rsidRPr="0052658B">
              <w:rPr>
                <w:sz w:val="18"/>
                <w:szCs w:val="18"/>
                <w:lang w:val="en-GB"/>
              </w:rPr>
              <w:t>UN No.</w:t>
            </w:r>
          </w:p>
        </w:tc>
        <w:tc>
          <w:tcPr>
            <w:tcW w:w="1985" w:type="dxa"/>
            <w:vMerge w:val="restart"/>
            <w:vAlign w:val="center"/>
          </w:tcPr>
          <w:p w14:paraId="758D2D02" w14:textId="77777777" w:rsidR="00BB0530" w:rsidRPr="0052658B" w:rsidRDefault="00BB0530" w:rsidP="009E3551">
            <w:pPr>
              <w:pStyle w:val="SingleTxtG"/>
              <w:ind w:left="0" w:right="139"/>
              <w:jc w:val="center"/>
              <w:rPr>
                <w:sz w:val="18"/>
                <w:szCs w:val="18"/>
                <w:lang w:val="en-GB"/>
              </w:rPr>
            </w:pPr>
            <w:r w:rsidRPr="0052658B">
              <w:rPr>
                <w:sz w:val="18"/>
                <w:szCs w:val="18"/>
                <w:lang w:val="en-GB"/>
              </w:rPr>
              <w:t>Name and description</w:t>
            </w:r>
          </w:p>
        </w:tc>
        <w:tc>
          <w:tcPr>
            <w:tcW w:w="567" w:type="dxa"/>
            <w:vMerge w:val="restart"/>
            <w:vAlign w:val="center"/>
          </w:tcPr>
          <w:p w14:paraId="44049BD0" w14:textId="77777777" w:rsidR="00BB0530" w:rsidRPr="0052658B" w:rsidRDefault="00BB0530" w:rsidP="009E3551">
            <w:pPr>
              <w:pStyle w:val="SingleTxtG"/>
              <w:ind w:left="-57" w:right="-57"/>
              <w:jc w:val="center"/>
              <w:rPr>
                <w:sz w:val="18"/>
                <w:szCs w:val="18"/>
                <w:lang w:val="en-GB"/>
              </w:rPr>
            </w:pPr>
            <w:r w:rsidRPr="0052658B">
              <w:rPr>
                <w:sz w:val="18"/>
                <w:szCs w:val="18"/>
                <w:lang w:val="en-GB"/>
              </w:rPr>
              <w:t>Class or division</w:t>
            </w:r>
          </w:p>
        </w:tc>
        <w:tc>
          <w:tcPr>
            <w:tcW w:w="567" w:type="dxa"/>
            <w:vMerge w:val="restart"/>
            <w:vAlign w:val="center"/>
          </w:tcPr>
          <w:p w14:paraId="7FDA5E97"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Subsi-diary hazard</w:t>
            </w:r>
          </w:p>
        </w:tc>
        <w:tc>
          <w:tcPr>
            <w:tcW w:w="709" w:type="dxa"/>
            <w:vMerge w:val="restart"/>
            <w:vAlign w:val="center"/>
          </w:tcPr>
          <w:p w14:paraId="776BB380" w14:textId="77777777" w:rsidR="00BB0530" w:rsidRPr="0052658B" w:rsidRDefault="00BB0530" w:rsidP="009E3551">
            <w:pPr>
              <w:pStyle w:val="SingleTxtG"/>
              <w:ind w:left="0" w:right="0"/>
              <w:jc w:val="center"/>
              <w:rPr>
                <w:sz w:val="18"/>
                <w:szCs w:val="18"/>
                <w:lang w:val="en-GB"/>
              </w:rPr>
            </w:pPr>
            <w:r w:rsidRPr="0052658B">
              <w:rPr>
                <w:sz w:val="18"/>
                <w:szCs w:val="18"/>
                <w:lang w:val="en-GB"/>
              </w:rPr>
              <w:t>UN packing group</w:t>
            </w:r>
          </w:p>
        </w:tc>
        <w:tc>
          <w:tcPr>
            <w:tcW w:w="708" w:type="dxa"/>
            <w:vMerge w:val="restart"/>
            <w:vAlign w:val="center"/>
          </w:tcPr>
          <w:p w14:paraId="79D21E06" w14:textId="77777777" w:rsidR="00BB0530" w:rsidRPr="0052658B" w:rsidRDefault="00BB0530" w:rsidP="009E3551">
            <w:pPr>
              <w:pStyle w:val="SingleTxtG"/>
              <w:ind w:left="0" w:right="0"/>
              <w:jc w:val="center"/>
              <w:rPr>
                <w:sz w:val="18"/>
                <w:szCs w:val="18"/>
                <w:lang w:val="en-GB"/>
              </w:rPr>
            </w:pPr>
            <w:r w:rsidRPr="0052658B">
              <w:rPr>
                <w:sz w:val="18"/>
                <w:szCs w:val="18"/>
                <w:lang w:val="en-GB"/>
              </w:rPr>
              <w:t>Special provi-sions</w:t>
            </w:r>
          </w:p>
        </w:tc>
        <w:tc>
          <w:tcPr>
            <w:tcW w:w="993" w:type="dxa"/>
            <w:gridSpan w:val="2"/>
            <w:vMerge w:val="restart"/>
            <w:vAlign w:val="center"/>
          </w:tcPr>
          <w:p w14:paraId="0CD6B502" w14:textId="77777777" w:rsidR="00BB0530" w:rsidRPr="0052658B" w:rsidRDefault="00BB0530" w:rsidP="009E3551">
            <w:pPr>
              <w:pStyle w:val="SingleTxtG"/>
              <w:ind w:left="0" w:right="0"/>
              <w:jc w:val="center"/>
              <w:rPr>
                <w:sz w:val="18"/>
                <w:szCs w:val="18"/>
                <w:lang w:val="en-GB"/>
              </w:rPr>
            </w:pPr>
            <w:r w:rsidRPr="0052658B">
              <w:rPr>
                <w:sz w:val="18"/>
                <w:szCs w:val="18"/>
                <w:lang w:val="en-GB"/>
              </w:rPr>
              <w:t>Limited and ex</w:t>
            </w:r>
            <w:r>
              <w:rPr>
                <w:sz w:val="18"/>
                <w:szCs w:val="18"/>
                <w:lang w:val="en-GB"/>
              </w:rPr>
              <w:t>c</w:t>
            </w:r>
            <w:r w:rsidRPr="0052658B">
              <w:rPr>
                <w:sz w:val="18"/>
                <w:szCs w:val="18"/>
                <w:lang w:val="en-GB"/>
              </w:rPr>
              <w:t>epted quantities</w:t>
            </w:r>
          </w:p>
        </w:tc>
        <w:tc>
          <w:tcPr>
            <w:tcW w:w="1701" w:type="dxa"/>
            <w:gridSpan w:val="2"/>
            <w:vAlign w:val="center"/>
          </w:tcPr>
          <w:p w14:paraId="23EAC5B3"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Packagings and IBCs</w:t>
            </w:r>
          </w:p>
        </w:tc>
        <w:tc>
          <w:tcPr>
            <w:tcW w:w="1701" w:type="dxa"/>
            <w:gridSpan w:val="2"/>
            <w:vAlign w:val="center"/>
          </w:tcPr>
          <w:p w14:paraId="00AF31CF" w14:textId="77777777" w:rsidR="00BB0530" w:rsidRPr="0052658B" w:rsidRDefault="00BB0530" w:rsidP="009E3551">
            <w:pPr>
              <w:pStyle w:val="SingleTxtG"/>
              <w:ind w:left="0" w:right="0"/>
              <w:jc w:val="center"/>
              <w:rPr>
                <w:sz w:val="18"/>
                <w:szCs w:val="18"/>
                <w:lang w:val="en-GB"/>
              </w:rPr>
            </w:pPr>
            <w:r w:rsidRPr="0052658B">
              <w:rPr>
                <w:sz w:val="18"/>
                <w:szCs w:val="18"/>
                <w:lang w:val="en-GB"/>
              </w:rPr>
              <w:t>Portable tanks and bulk containers</w:t>
            </w:r>
          </w:p>
        </w:tc>
      </w:tr>
      <w:tr w:rsidR="00BB0530" w:rsidRPr="0052658B" w14:paraId="65A3D0AD" w14:textId="77777777" w:rsidTr="009E3551">
        <w:trPr>
          <w:trHeight w:val="338"/>
        </w:trPr>
        <w:tc>
          <w:tcPr>
            <w:tcW w:w="567" w:type="dxa"/>
            <w:vMerge/>
            <w:tcBorders>
              <w:bottom w:val="single" w:sz="4" w:space="0" w:color="auto"/>
            </w:tcBorders>
            <w:vAlign w:val="center"/>
          </w:tcPr>
          <w:p w14:paraId="64726DC8" w14:textId="77777777" w:rsidR="00BB0530" w:rsidRPr="0052658B" w:rsidRDefault="00BB0530" w:rsidP="009E3551">
            <w:pPr>
              <w:pStyle w:val="SingleTxtG"/>
              <w:ind w:left="0" w:right="19"/>
              <w:jc w:val="center"/>
              <w:rPr>
                <w:sz w:val="18"/>
                <w:szCs w:val="18"/>
                <w:lang w:val="en-GB"/>
              </w:rPr>
            </w:pPr>
          </w:p>
        </w:tc>
        <w:tc>
          <w:tcPr>
            <w:tcW w:w="1985" w:type="dxa"/>
            <w:vMerge/>
            <w:tcBorders>
              <w:bottom w:val="single" w:sz="4" w:space="0" w:color="auto"/>
            </w:tcBorders>
            <w:vAlign w:val="center"/>
          </w:tcPr>
          <w:p w14:paraId="14EA7BC2" w14:textId="77777777" w:rsidR="00BB0530" w:rsidRPr="0052658B" w:rsidRDefault="00BB0530" w:rsidP="009E3551">
            <w:pPr>
              <w:pStyle w:val="SingleTxtG"/>
              <w:ind w:left="0" w:right="139"/>
              <w:jc w:val="center"/>
              <w:rPr>
                <w:sz w:val="18"/>
                <w:szCs w:val="18"/>
                <w:lang w:val="en-GB"/>
              </w:rPr>
            </w:pPr>
          </w:p>
        </w:tc>
        <w:tc>
          <w:tcPr>
            <w:tcW w:w="567" w:type="dxa"/>
            <w:vMerge/>
            <w:tcBorders>
              <w:bottom w:val="single" w:sz="4" w:space="0" w:color="auto"/>
            </w:tcBorders>
            <w:vAlign w:val="center"/>
          </w:tcPr>
          <w:p w14:paraId="029A7CC0" w14:textId="77777777" w:rsidR="00BB0530" w:rsidRPr="0052658B" w:rsidRDefault="00BB0530" w:rsidP="009E3551">
            <w:pPr>
              <w:pStyle w:val="SingleTxtG"/>
              <w:ind w:left="0" w:right="0"/>
              <w:jc w:val="center"/>
              <w:rPr>
                <w:sz w:val="18"/>
                <w:szCs w:val="18"/>
                <w:lang w:val="en-GB"/>
              </w:rPr>
            </w:pPr>
          </w:p>
        </w:tc>
        <w:tc>
          <w:tcPr>
            <w:tcW w:w="567" w:type="dxa"/>
            <w:vMerge/>
            <w:tcBorders>
              <w:bottom w:val="single" w:sz="4" w:space="0" w:color="auto"/>
            </w:tcBorders>
            <w:vAlign w:val="center"/>
          </w:tcPr>
          <w:p w14:paraId="7BB078DC" w14:textId="77777777" w:rsidR="00BB0530" w:rsidRPr="0052658B" w:rsidRDefault="00BB0530" w:rsidP="009E3551">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3C198915" w14:textId="77777777" w:rsidR="00BB0530" w:rsidRPr="0052658B" w:rsidRDefault="00BB0530" w:rsidP="009E3551">
            <w:pPr>
              <w:pStyle w:val="SingleTxtG"/>
              <w:ind w:left="0" w:right="0"/>
              <w:jc w:val="center"/>
              <w:rPr>
                <w:sz w:val="18"/>
                <w:szCs w:val="18"/>
                <w:lang w:val="en-GB"/>
              </w:rPr>
            </w:pPr>
          </w:p>
        </w:tc>
        <w:tc>
          <w:tcPr>
            <w:tcW w:w="708" w:type="dxa"/>
            <w:vMerge/>
            <w:tcBorders>
              <w:bottom w:val="single" w:sz="4" w:space="0" w:color="auto"/>
            </w:tcBorders>
            <w:vAlign w:val="center"/>
          </w:tcPr>
          <w:p w14:paraId="3AACD075" w14:textId="77777777" w:rsidR="00BB0530" w:rsidRPr="0052658B" w:rsidRDefault="00BB0530" w:rsidP="009E3551">
            <w:pPr>
              <w:pStyle w:val="SingleTxtG"/>
              <w:ind w:left="0" w:right="0"/>
              <w:jc w:val="center"/>
              <w:rPr>
                <w:sz w:val="18"/>
                <w:szCs w:val="18"/>
                <w:lang w:val="en-GB"/>
              </w:rPr>
            </w:pPr>
          </w:p>
        </w:tc>
        <w:tc>
          <w:tcPr>
            <w:tcW w:w="993" w:type="dxa"/>
            <w:gridSpan w:val="2"/>
            <w:vMerge/>
            <w:tcBorders>
              <w:bottom w:val="single" w:sz="4" w:space="0" w:color="auto"/>
            </w:tcBorders>
            <w:vAlign w:val="center"/>
          </w:tcPr>
          <w:p w14:paraId="12C5EC94" w14:textId="77777777" w:rsidR="00BB0530" w:rsidRPr="0052658B" w:rsidRDefault="00BB0530" w:rsidP="009E3551">
            <w:pPr>
              <w:pStyle w:val="SingleTxtG"/>
              <w:ind w:left="0" w:right="0"/>
              <w:jc w:val="center"/>
              <w:rPr>
                <w:sz w:val="18"/>
                <w:szCs w:val="18"/>
                <w:lang w:val="en-GB"/>
              </w:rPr>
            </w:pPr>
          </w:p>
        </w:tc>
        <w:tc>
          <w:tcPr>
            <w:tcW w:w="850" w:type="dxa"/>
            <w:tcBorders>
              <w:bottom w:val="single" w:sz="4" w:space="0" w:color="auto"/>
            </w:tcBorders>
            <w:vAlign w:val="center"/>
          </w:tcPr>
          <w:p w14:paraId="4E119599"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Packing instruction</w:t>
            </w:r>
          </w:p>
        </w:tc>
        <w:tc>
          <w:tcPr>
            <w:tcW w:w="851" w:type="dxa"/>
            <w:tcBorders>
              <w:bottom w:val="single" w:sz="4" w:space="0" w:color="auto"/>
            </w:tcBorders>
            <w:vAlign w:val="center"/>
          </w:tcPr>
          <w:p w14:paraId="13A4F264" w14:textId="77777777" w:rsidR="00BB0530" w:rsidRPr="0052658B" w:rsidRDefault="00BB0530" w:rsidP="009E3551">
            <w:pPr>
              <w:pStyle w:val="SingleTxtG"/>
              <w:tabs>
                <w:tab w:val="left" w:pos="0"/>
              </w:tabs>
              <w:ind w:left="0" w:right="0"/>
              <w:jc w:val="center"/>
              <w:rPr>
                <w:sz w:val="18"/>
                <w:szCs w:val="18"/>
                <w:lang w:val="en-GB"/>
              </w:rPr>
            </w:pPr>
            <w:r w:rsidRPr="0052658B">
              <w:rPr>
                <w:sz w:val="18"/>
                <w:szCs w:val="18"/>
                <w:lang w:val="en-GB"/>
              </w:rPr>
              <w:t>Special packing provisions</w:t>
            </w:r>
          </w:p>
        </w:tc>
        <w:tc>
          <w:tcPr>
            <w:tcW w:w="850" w:type="dxa"/>
            <w:tcBorders>
              <w:bottom w:val="single" w:sz="4" w:space="0" w:color="auto"/>
            </w:tcBorders>
            <w:vAlign w:val="center"/>
          </w:tcPr>
          <w:p w14:paraId="39F397B5" w14:textId="77777777" w:rsidR="00BB0530" w:rsidRPr="0052658B" w:rsidRDefault="00BB0530" w:rsidP="009E3551">
            <w:pPr>
              <w:pStyle w:val="SingleTxtG"/>
              <w:ind w:left="0" w:right="0"/>
              <w:jc w:val="center"/>
              <w:rPr>
                <w:sz w:val="18"/>
                <w:szCs w:val="18"/>
                <w:lang w:val="en-GB"/>
              </w:rPr>
            </w:pPr>
            <w:r w:rsidRPr="0052658B">
              <w:rPr>
                <w:sz w:val="18"/>
                <w:szCs w:val="18"/>
                <w:lang w:val="en-GB"/>
              </w:rPr>
              <w:t>Instruc</w:t>
            </w:r>
            <w:r>
              <w:rPr>
                <w:sz w:val="18"/>
                <w:szCs w:val="18"/>
                <w:lang w:val="en-GB"/>
              </w:rPr>
              <w:t>-</w:t>
            </w:r>
            <w:r w:rsidRPr="0052658B">
              <w:rPr>
                <w:sz w:val="18"/>
                <w:szCs w:val="18"/>
                <w:lang w:val="en-GB"/>
              </w:rPr>
              <w:t>tions</w:t>
            </w:r>
          </w:p>
        </w:tc>
        <w:tc>
          <w:tcPr>
            <w:tcW w:w="851" w:type="dxa"/>
            <w:tcBorders>
              <w:bottom w:val="single" w:sz="4" w:space="0" w:color="auto"/>
            </w:tcBorders>
            <w:vAlign w:val="center"/>
          </w:tcPr>
          <w:p w14:paraId="510FC921" w14:textId="77777777" w:rsidR="00BB0530" w:rsidRPr="0052658B" w:rsidRDefault="00BB0530" w:rsidP="009E3551">
            <w:pPr>
              <w:pStyle w:val="SingleTxtG"/>
              <w:ind w:left="0" w:right="0"/>
              <w:jc w:val="center"/>
              <w:rPr>
                <w:sz w:val="18"/>
                <w:szCs w:val="18"/>
                <w:lang w:val="en-GB"/>
              </w:rPr>
            </w:pPr>
            <w:r w:rsidRPr="0052658B">
              <w:rPr>
                <w:sz w:val="18"/>
                <w:szCs w:val="18"/>
                <w:lang w:val="en-GB"/>
              </w:rPr>
              <w:t>Special provisions</w:t>
            </w:r>
          </w:p>
        </w:tc>
      </w:tr>
      <w:tr w:rsidR="00BB0530" w:rsidRPr="0052658B" w14:paraId="5F693265" w14:textId="77777777" w:rsidTr="009E3551">
        <w:tc>
          <w:tcPr>
            <w:tcW w:w="567" w:type="dxa"/>
          </w:tcPr>
          <w:p w14:paraId="588966F2" w14:textId="77777777" w:rsidR="00BB0530" w:rsidRPr="0052658B" w:rsidRDefault="00BB0530" w:rsidP="009E3551">
            <w:pPr>
              <w:pStyle w:val="SingleTxtG"/>
              <w:ind w:left="0" w:right="19"/>
              <w:jc w:val="center"/>
              <w:rPr>
                <w:sz w:val="18"/>
                <w:szCs w:val="18"/>
                <w:lang w:val="en-GB"/>
              </w:rPr>
            </w:pPr>
            <w:r w:rsidRPr="0052658B">
              <w:rPr>
                <w:sz w:val="18"/>
                <w:szCs w:val="18"/>
                <w:lang w:val="en-GB"/>
              </w:rPr>
              <w:t>(1)</w:t>
            </w:r>
          </w:p>
        </w:tc>
        <w:tc>
          <w:tcPr>
            <w:tcW w:w="1985" w:type="dxa"/>
          </w:tcPr>
          <w:p w14:paraId="2A3F338C" w14:textId="77777777" w:rsidR="00BB0530" w:rsidRPr="0052658B" w:rsidRDefault="00BB0530" w:rsidP="009E3551">
            <w:pPr>
              <w:pStyle w:val="SingleTxtG"/>
              <w:ind w:left="0" w:right="19"/>
              <w:jc w:val="center"/>
              <w:rPr>
                <w:sz w:val="18"/>
                <w:szCs w:val="18"/>
                <w:lang w:val="en-GB"/>
              </w:rPr>
            </w:pPr>
            <w:r w:rsidRPr="0052658B">
              <w:rPr>
                <w:sz w:val="18"/>
                <w:szCs w:val="18"/>
                <w:lang w:val="en-GB"/>
              </w:rPr>
              <w:t>(2)</w:t>
            </w:r>
          </w:p>
        </w:tc>
        <w:tc>
          <w:tcPr>
            <w:tcW w:w="567" w:type="dxa"/>
          </w:tcPr>
          <w:p w14:paraId="55A94F56" w14:textId="77777777" w:rsidR="00BB0530" w:rsidRPr="0052658B" w:rsidRDefault="00BB0530" w:rsidP="009E3551">
            <w:pPr>
              <w:pStyle w:val="SingleTxtG"/>
              <w:ind w:left="0" w:right="19"/>
              <w:jc w:val="center"/>
              <w:rPr>
                <w:sz w:val="18"/>
                <w:szCs w:val="18"/>
                <w:lang w:val="en-GB"/>
              </w:rPr>
            </w:pPr>
            <w:r w:rsidRPr="0052658B">
              <w:rPr>
                <w:sz w:val="18"/>
                <w:szCs w:val="18"/>
                <w:lang w:val="en-GB"/>
              </w:rPr>
              <w:t>(3)</w:t>
            </w:r>
          </w:p>
        </w:tc>
        <w:tc>
          <w:tcPr>
            <w:tcW w:w="567" w:type="dxa"/>
          </w:tcPr>
          <w:p w14:paraId="5B556909" w14:textId="77777777" w:rsidR="00BB0530" w:rsidRPr="0052658B" w:rsidRDefault="00BB0530" w:rsidP="009E3551">
            <w:pPr>
              <w:pStyle w:val="SingleTxtG"/>
              <w:ind w:left="0" w:right="19"/>
              <w:jc w:val="center"/>
              <w:rPr>
                <w:sz w:val="18"/>
                <w:szCs w:val="18"/>
                <w:lang w:val="en-GB"/>
              </w:rPr>
            </w:pPr>
            <w:r w:rsidRPr="0052658B">
              <w:rPr>
                <w:sz w:val="18"/>
                <w:szCs w:val="18"/>
                <w:lang w:val="en-GB"/>
              </w:rPr>
              <w:t>(4)</w:t>
            </w:r>
          </w:p>
        </w:tc>
        <w:tc>
          <w:tcPr>
            <w:tcW w:w="709" w:type="dxa"/>
          </w:tcPr>
          <w:p w14:paraId="76AB7374" w14:textId="77777777" w:rsidR="00BB0530" w:rsidRPr="0052658B" w:rsidRDefault="00BB0530" w:rsidP="009E3551">
            <w:pPr>
              <w:pStyle w:val="SingleTxtG"/>
              <w:ind w:left="0" w:right="19"/>
              <w:jc w:val="center"/>
              <w:rPr>
                <w:sz w:val="18"/>
                <w:szCs w:val="18"/>
                <w:lang w:val="en-GB"/>
              </w:rPr>
            </w:pPr>
            <w:r w:rsidRPr="0052658B">
              <w:rPr>
                <w:sz w:val="18"/>
                <w:szCs w:val="18"/>
                <w:lang w:val="en-GB"/>
              </w:rPr>
              <w:t>(5)</w:t>
            </w:r>
          </w:p>
        </w:tc>
        <w:tc>
          <w:tcPr>
            <w:tcW w:w="708" w:type="dxa"/>
          </w:tcPr>
          <w:p w14:paraId="2A792CA4" w14:textId="77777777" w:rsidR="00BB0530" w:rsidRPr="0052658B" w:rsidRDefault="00BB0530" w:rsidP="009E3551">
            <w:pPr>
              <w:pStyle w:val="SingleTxtG"/>
              <w:ind w:left="0" w:right="19"/>
              <w:jc w:val="center"/>
              <w:rPr>
                <w:sz w:val="18"/>
                <w:szCs w:val="18"/>
                <w:lang w:val="en-GB"/>
              </w:rPr>
            </w:pPr>
            <w:r w:rsidRPr="0052658B">
              <w:rPr>
                <w:sz w:val="18"/>
                <w:szCs w:val="18"/>
                <w:lang w:val="en-GB"/>
              </w:rPr>
              <w:t>(6)</w:t>
            </w:r>
          </w:p>
        </w:tc>
        <w:tc>
          <w:tcPr>
            <w:tcW w:w="426" w:type="dxa"/>
          </w:tcPr>
          <w:p w14:paraId="05B26107" w14:textId="77777777" w:rsidR="00BB0530" w:rsidRPr="0052658B" w:rsidRDefault="00BB0530" w:rsidP="009E3551">
            <w:pPr>
              <w:pStyle w:val="SingleTxtG"/>
              <w:ind w:left="0" w:right="19"/>
              <w:jc w:val="center"/>
              <w:rPr>
                <w:sz w:val="18"/>
                <w:szCs w:val="18"/>
                <w:lang w:val="en-GB"/>
              </w:rPr>
            </w:pPr>
            <w:r w:rsidRPr="0052658B">
              <w:rPr>
                <w:sz w:val="18"/>
                <w:szCs w:val="18"/>
                <w:lang w:val="en-GB"/>
              </w:rPr>
              <w:t>(7a)</w:t>
            </w:r>
          </w:p>
        </w:tc>
        <w:tc>
          <w:tcPr>
            <w:tcW w:w="567" w:type="dxa"/>
          </w:tcPr>
          <w:p w14:paraId="27410E07" w14:textId="77777777" w:rsidR="00BB0530" w:rsidRPr="0052658B" w:rsidRDefault="00BB0530" w:rsidP="009E3551">
            <w:pPr>
              <w:pStyle w:val="SingleTxtG"/>
              <w:ind w:left="0" w:right="19"/>
              <w:jc w:val="center"/>
              <w:rPr>
                <w:sz w:val="18"/>
                <w:szCs w:val="18"/>
                <w:lang w:val="en-GB"/>
              </w:rPr>
            </w:pPr>
            <w:r w:rsidRPr="0052658B">
              <w:rPr>
                <w:sz w:val="18"/>
                <w:szCs w:val="18"/>
                <w:lang w:val="en-GB"/>
              </w:rPr>
              <w:t>(7b)</w:t>
            </w:r>
          </w:p>
        </w:tc>
        <w:tc>
          <w:tcPr>
            <w:tcW w:w="850" w:type="dxa"/>
          </w:tcPr>
          <w:p w14:paraId="05C3FD23" w14:textId="77777777" w:rsidR="00BB0530" w:rsidRPr="0052658B" w:rsidRDefault="00BB0530" w:rsidP="009E3551">
            <w:pPr>
              <w:pStyle w:val="SingleTxtG"/>
              <w:ind w:left="0" w:right="19"/>
              <w:jc w:val="center"/>
              <w:rPr>
                <w:sz w:val="18"/>
                <w:szCs w:val="18"/>
                <w:lang w:val="en-GB"/>
              </w:rPr>
            </w:pPr>
            <w:r w:rsidRPr="0052658B">
              <w:rPr>
                <w:sz w:val="18"/>
                <w:szCs w:val="18"/>
                <w:lang w:val="en-GB"/>
              </w:rPr>
              <w:t>(8)</w:t>
            </w:r>
          </w:p>
        </w:tc>
        <w:tc>
          <w:tcPr>
            <w:tcW w:w="851" w:type="dxa"/>
          </w:tcPr>
          <w:p w14:paraId="4AD2CBFB" w14:textId="77777777" w:rsidR="00BB0530" w:rsidRPr="0052658B" w:rsidRDefault="00BB0530" w:rsidP="009E3551">
            <w:pPr>
              <w:pStyle w:val="SingleTxtG"/>
              <w:ind w:left="0" w:right="19"/>
              <w:jc w:val="center"/>
              <w:rPr>
                <w:sz w:val="18"/>
                <w:szCs w:val="18"/>
                <w:lang w:val="en-GB"/>
              </w:rPr>
            </w:pPr>
            <w:r w:rsidRPr="0052658B">
              <w:rPr>
                <w:sz w:val="18"/>
                <w:szCs w:val="18"/>
                <w:lang w:val="en-GB"/>
              </w:rPr>
              <w:t>(9)</w:t>
            </w:r>
          </w:p>
        </w:tc>
        <w:tc>
          <w:tcPr>
            <w:tcW w:w="850" w:type="dxa"/>
          </w:tcPr>
          <w:p w14:paraId="13E832BB" w14:textId="77777777" w:rsidR="00BB0530" w:rsidRPr="0052658B" w:rsidRDefault="00BB0530" w:rsidP="009E3551">
            <w:pPr>
              <w:pStyle w:val="SingleTxtG"/>
              <w:ind w:left="0" w:right="19"/>
              <w:jc w:val="center"/>
              <w:rPr>
                <w:sz w:val="18"/>
                <w:szCs w:val="18"/>
                <w:lang w:val="en-GB"/>
              </w:rPr>
            </w:pPr>
            <w:r w:rsidRPr="0052658B">
              <w:rPr>
                <w:sz w:val="18"/>
                <w:szCs w:val="18"/>
                <w:lang w:val="en-GB"/>
              </w:rPr>
              <w:t>(10)</w:t>
            </w:r>
          </w:p>
        </w:tc>
        <w:tc>
          <w:tcPr>
            <w:tcW w:w="851" w:type="dxa"/>
          </w:tcPr>
          <w:p w14:paraId="4DEEDB8B" w14:textId="77777777" w:rsidR="00BB0530" w:rsidRPr="0052658B" w:rsidRDefault="00BB0530" w:rsidP="009E3551">
            <w:pPr>
              <w:pStyle w:val="SingleTxtG"/>
              <w:ind w:left="0" w:right="19"/>
              <w:jc w:val="center"/>
              <w:rPr>
                <w:sz w:val="18"/>
                <w:szCs w:val="18"/>
                <w:lang w:val="en-GB"/>
              </w:rPr>
            </w:pPr>
            <w:r w:rsidRPr="0052658B">
              <w:rPr>
                <w:sz w:val="18"/>
                <w:szCs w:val="18"/>
                <w:lang w:val="en-GB"/>
              </w:rPr>
              <w:t>(11)</w:t>
            </w:r>
          </w:p>
        </w:tc>
      </w:tr>
      <w:tr w:rsidR="00BB0530" w:rsidRPr="0052658B" w14:paraId="3E34CBB6" w14:textId="77777777" w:rsidTr="009E3551">
        <w:tc>
          <w:tcPr>
            <w:tcW w:w="567" w:type="dxa"/>
          </w:tcPr>
          <w:p w14:paraId="61BF30CB" w14:textId="77777777" w:rsidR="00BB0530" w:rsidRPr="0052658B" w:rsidRDefault="00BB0530" w:rsidP="009E3551">
            <w:pPr>
              <w:pStyle w:val="SingleTxtG"/>
              <w:ind w:left="-57" w:right="-57"/>
              <w:jc w:val="center"/>
              <w:rPr>
                <w:sz w:val="18"/>
                <w:szCs w:val="18"/>
                <w:lang w:val="en-GB"/>
              </w:rPr>
            </w:pPr>
            <w:r>
              <w:rPr>
                <w:sz w:val="18"/>
                <w:szCs w:val="18"/>
                <w:lang w:val="en-GB"/>
              </w:rPr>
              <w:t>35</w:t>
            </w:r>
            <w:r w:rsidRPr="0052658B">
              <w:rPr>
                <w:sz w:val="18"/>
                <w:szCs w:val="18"/>
                <w:lang w:val="en-GB"/>
              </w:rPr>
              <w:t>XX</w:t>
            </w:r>
          </w:p>
        </w:tc>
        <w:tc>
          <w:tcPr>
            <w:tcW w:w="1985" w:type="dxa"/>
          </w:tcPr>
          <w:p w14:paraId="7EBFCF5B" w14:textId="77777777" w:rsidR="00BB0530" w:rsidRPr="0052658B" w:rsidRDefault="00BB0530" w:rsidP="009E3551">
            <w:pPr>
              <w:pStyle w:val="SingleTxtG"/>
              <w:ind w:left="0" w:right="19"/>
              <w:jc w:val="left"/>
              <w:rPr>
                <w:sz w:val="18"/>
                <w:szCs w:val="18"/>
                <w:lang w:val="en-GB"/>
              </w:rPr>
            </w:pPr>
            <w:r>
              <w:rPr>
                <w:snapToGrid w:val="0"/>
                <w:sz w:val="18"/>
                <w:szCs w:val="18"/>
                <w:lang w:val="en-GB"/>
              </w:rPr>
              <w:t xml:space="preserve">VEHICLE, LITHIUM-ION BATTERY POWERED  </w:t>
            </w:r>
          </w:p>
        </w:tc>
        <w:tc>
          <w:tcPr>
            <w:tcW w:w="567" w:type="dxa"/>
          </w:tcPr>
          <w:p w14:paraId="1F82E0AE" w14:textId="77777777" w:rsidR="00BB0530" w:rsidRPr="0052658B" w:rsidRDefault="00BB0530" w:rsidP="009E3551">
            <w:pPr>
              <w:pStyle w:val="SingleTxtG"/>
              <w:ind w:left="0" w:right="19"/>
              <w:jc w:val="center"/>
              <w:rPr>
                <w:sz w:val="18"/>
                <w:szCs w:val="18"/>
                <w:lang w:val="en-GB"/>
              </w:rPr>
            </w:pPr>
            <w:r>
              <w:rPr>
                <w:sz w:val="18"/>
                <w:szCs w:val="18"/>
                <w:lang w:val="en-GB"/>
              </w:rPr>
              <w:t>9</w:t>
            </w:r>
          </w:p>
        </w:tc>
        <w:tc>
          <w:tcPr>
            <w:tcW w:w="567" w:type="dxa"/>
          </w:tcPr>
          <w:p w14:paraId="7AF2282F" w14:textId="77777777" w:rsidR="00BB0530" w:rsidRPr="0052658B" w:rsidRDefault="00BB0530" w:rsidP="009E3551">
            <w:pPr>
              <w:pStyle w:val="SingleTxtG"/>
              <w:ind w:left="0" w:right="19"/>
              <w:jc w:val="center"/>
              <w:rPr>
                <w:sz w:val="18"/>
                <w:szCs w:val="18"/>
                <w:lang w:val="en-GB"/>
              </w:rPr>
            </w:pPr>
          </w:p>
        </w:tc>
        <w:tc>
          <w:tcPr>
            <w:tcW w:w="709" w:type="dxa"/>
          </w:tcPr>
          <w:p w14:paraId="36FC7D06" w14:textId="77777777" w:rsidR="00BB0530" w:rsidRPr="0052658B" w:rsidRDefault="00BB0530" w:rsidP="009E3551">
            <w:pPr>
              <w:pStyle w:val="SingleTxtG"/>
              <w:ind w:left="0" w:right="19"/>
              <w:jc w:val="center"/>
              <w:rPr>
                <w:sz w:val="18"/>
                <w:szCs w:val="18"/>
                <w:lang w:val="en-GB"/>
              </w:rPr>
            </w:pPr>
          </w:p>
        </w:tc>
        <w:tc>
          <w:tcPr>
            <w:tcW w:w="708" w:type="dxa"/>
          </w:tcPr>
          <w:p w14:paraId="0F552307" w14:textId="77777777" w:rsidR="00BB0530" w:rsidRPr="00D06D15" w:rsidRDefault="00BB0530" w:rsidP="009E3551">
            <w:pPr>
              <w:pStyle w:val="SingleTxtG"/>
              <w:ind w:left="0" w:right="19"/>
              <w:jc w:val="center"/>
              <w:rPr>
                <w:sz w:val="18"/>
                <w:szCs w:val="18"/>
                <w:u w:val="single"/>
                <w:lang w:val="en-GB"/>
              </w:rPr>
            </w:pPr>
            <w:r>
              <w:rPr>
                <w:sz w:val="18"/>
                <w:szCs w:val="18"/>
                <w:lang w:val="en-GB"/>
              </w:rPr>
              <w:t>384</w:t>
            </w:r>
            <w:r>
              <w:rPr>
                <w:sz w:val="18"/>
                <w:szCs w:val="18"/>
                <w:lang w:val="en-GB"/>
              </w:rPr>
              <w:br/>
              <w:t>388</w:t>
            </w:r>
          </w:p>
        </w:tc>
        <w:tc>
          <w:tcPr>
            <w:tcW w:w="426" w:type="dxa"/>
          </w:tcPr>
          <w:p w14:paraId="502D80D5" w14:textId="77777777" w:rsidR="00BB0530" w:rsidRPr="0052658B" w:rsidRDefault="00BB0530" w:rsidP="009E3551">
            <w:pPr>
              <w:pStyle w:val="SingleTxtG"/>
              <w:ind w:left="0" w:right="19"/>
              <w:jc w:val="center"/>
              <w:rPr>
                <w:sz w:val="18"/>
                <w:szCs w:val="18"/>
                <w:lang w:val="en-GB"/>
              </w:rPr>
            </w:pPr>
            <w:r w:rsidRPr="0052658B">
              <w:rPr>
                <w:sz w:val="18"/>
                <w:szCs w:val="18"/>
                <w:lang w:val="en-GB"/>
              </w:rPr>
              <w:t>0</w:t>
            </w:r>
          </w:p>
        </w:tc>
        <w:tc>
          <w:tcPr>
            <w:tcW w:w="567" w:type="dxa"/>
          </w:tcPr>
          <w:p w14:paraId="7CB45B8B" w14:textId="77777777" w:rsidR="00BB0530" w:rsidRPr="0052658B" w:rsidRDefault="00BB0530" w:rsidP="009E3551">
            <w:pPr>
              <w:pStyle w:val="SingleTxtG"/>
              <w:ind w:left="0" w:right="19"/>
              <w:jc w:val="center"/>
              <w:rPr>
                <w:sz w:val="18"/>
                <w:szCs w:val="18"/>
                <w:lang w:val="en-GB"/>
              </w:rPr>
            </w:pPr>
            <w:r w:rsidRPr="0052658B">
              <w:rPr>
                <w:sz w:val="18"/>
                <w:szCs w:val="18"/>
                <w:lang w:val="en-GB"/>
              </w:rPr>
              <w:t>E0</w:t>
            </w:r>
          </w:p>
        </w:tc>
        <w:tc>
          <w:tcPr>
            <w:tcW w:w="850" w:type="dxa"/>
          </w:tcPr>
          <w:p w14:paraId="2E28E07A" w14:textId="77777777" w:rsidR="00BB0530" w:rsidRPr="0052658B" w:rsidRDefault="00BB0530" w:rsidP="009E3551">
            <w:pPr>
              <w:pStyle w:val="SingleTxtG"/>
              <w:ind w:left="0" w:right="19"/>
              <w:jc w:val="center"/>
              <w:rPr>
                <w:sz w:val="18"/>
                <w:szCs w:val="18"/>
                <w:lang w:val="en-GB"/>
              </w:rPr>
            </w:pPr>
            <w:r>
              <w:rPr>
                <w:sz w:val="18"/>
                <w:szCs w:val="18"/>
                <w:lang w:val="en-GB"/>
              </w:rPr>
              <w:t>P9xx</w:t>
            </w:r>
          </w:p>
        </w:tc>
        <w:tc>
          <w:tcPr>
            <w:tcW w:w="851" w:type="dxa"/>
          </w:tcPr>
          <w:p w14:paraId="71388142" w14:textId="77777777" w:rsidR="00BB0530" w:rsidRPr="0052658B" w:rsidRDefault="00BB0530" w:rsidP="009E3551">
            <w:pPr>
              <w:pStyle w:val="SingleTxtG"/>
              <w:ind w:left="0" w:right="19"/>
              <w:jc w:val="center"/>
              <w:rPr>
                <w:sz w:val="18"/>
                <w:szCs w:val="18"/>
                <w:lang w:val="en-GB"/>
              </w:rPr>
            </w:pPr>
          </w:p>
        </w:tc>
        <w:tc>
          <w:tcPr>
            <w:tcW w:w="850" w:type="dxa"/>
          </w:tcPr>
          <w:p w14:paraId="1FC3B21F" w14:textId="77777777" w:rsidR="00BB0530" w:rsidRPr="0052658B" w:rsidRDefault="00BB0530" w:rsidP="009E3551">
            <w:pPr>
              <w:pStyle w:val="SingleTxtG"/>
              <w:ind w:left="0" w:right="19"/>
              <w:jc w:val="center"/>
              <w:rPr>
                <w:sz w:val="18"/>
                <w:szCs w:val="18"/>
                <w:lang w:val="en-GB"/>
              </w:rPr>
            </w:pPr>
          </w:p>
        </w:tc>
        <w:tc>
          <w:tcPr>
            <w:tcW w:w="851" w:type="dxa"/>
          </w:tcPr>
          <w:p w14:paraId="31950D87" w14:textId="77777777" w:rsidR="00BB0530" w:rsidRPr="0052658B" w:rsidRDefault="00BB0530" w:rsidP="009E3551">
            <w:pPr>
              <w:pStyle w:val="SingleTxtG"/>
              <w:ind w:left="0" w:right="19"/>
              <w:jc w:val="center"/>
              <w:rPr>
                <w:sz w:val="18"/>
                <w:szCs w:val="18"/>
                <w:lang w:val="en-GB"/>
              </w:rPr>
            </w:pPr>
          </w:p>
        </w:tc>
      </w:tr>
      <w:tr w:rsidR="00BB0530" w:rsidRPr="0052658B" w14:paraId="645AFD63" w14:textId="77777777" w:rsidTr="009E3551">
        <w:tc>
          <w:tcPr>
            <w:tcW w:w="567" w:type="dxa"/>
          </w:tcPr>
          <w:p w14:paraId="0A77CC87" w14:textId="77777777" w:rsidR="00BB0530" w:rsidRPr="00202F7A" w:rsidRDefault="00BB0530" w:rsidP="009E3551">
            <w:pPr>
              <w:pStyle w:val="SingleTxtG"/>
              <w:ind w:left="-57" w:right="-57"/>
              <w:jc w:val="center"/>
              <w:rPr>
                <w:sz w:val="18"/>
                <w:szCs w:val="18"/>
                <w:lang w:val="en-GB"/>
              </w:rPr>
            </w:pPr>
            <w:r w:rsidRPr="00202F7A">
              <w:rPr>
                <w:sz w:val="18"/>
                <w:szCs w:val="18"/>
                <w:lang w:val="en-GB"/>
              </w:rPr>
              <w:t>35xy</w:t>
            </w:r>
          </w:p>
        </w:tc>
        <w:tc>
          <w:tcPr>
            <w:tcW w:w="1985" w:type="dxa"/>
          </w:tcPr>
          <w:p w14:paraId="30EE0E7E" w14:textId="77777777" w:rsidR="00BB0530" w:rsidRPr="00202F7A" w:rsidRDefault="00BB0530" w:rsidP="009E3551">
            <w:pPr>
              <w:pStyle w:val="SingleTxtG"/>
              <w:ind w:left="0" w:right="19"/>
              <w:jc w:val="left"/>
              <w:rPr>
                <w:snapToGrid w:val="0"/>
                <w:sz w:val="18"/>
                <w:szCs w:val="18"/>
                <w:lang w:val="en-GB"/>
              </w:rPr>
            </w:pPr>
            <w:r>
              <w:rPr>
                <w:snapToGrid w:val="0"/>
                <w:sz w:val="18"/>
                <w:szCs w:val="18"/>
                <w:lang w:val="en-GB"/>
              </w:rPr>
              <w:t>VEHICLE, LITHIUM METAL BATTERY POWERED</w:t>
            </w:r>
          </w:p>
        </w:tc>
        <w:tc>
          <w:tcPr>
            <w:tcW w:w="567" w:type="dxa"/>
          </w:tcPr>
          <w:p w14:paraId="37AEBB23" w14:textId="77777777" w:rsidR="00BB0530" w:rsidRPr="00202F7A" w:rsidRDefault="00BB0530" w:rsidP="009E3551">
            <w:pPr>
              <w:pStyle w:val="SingleTxtG"/>
              <w:ind w:left="0" w:right="19"/>
              <w:jc w:val="center"/>
              <w:rPr>
                <w:sz w:val="18"/>
                <w:szCs w:val="18"/>
                <w:lang w:val="en-GB"/>
              </w:rPr>
            </w:pPr>
            <w:r w:rsidRPr="00202F7A">
              <w:rPr>
                <w:sz w:val="18"/>
                <w:szCs w:val="18"/>
                <w:lang w:val="en-GB"/>
              </w:rPr>
              <w:t>9</w:t>
            </w:r>
          </w:p>
        </w:tc>
        <w:tc>
          <w:tcPr>
            <w:tcW w:w="567" w:type="dxa"/>
          </w:tcPr>
          <w:p w14:paraId="454DEC81" w14:textId="77777777" w:rsidR="00BB0530" w:rsidRPr="00202F7A" w:rsidRDefault="00BB0530" w:rsidP="009E3551">
            <w:pPr>
              <w:pStyle w:val="SingleTxtG"/>
              <w:ind w:left="0" w:right="19"/>
              <w:jc w:val="center"/>
              <w:rPr>
                <w:sz w:val="18"/>
                <w:szCs w:val="18"/>
                <w:lang w:val="en-GB"/>
              </w:rPr>
            </w:pPr>
          </w:p>
        </w:tc>
        <w:tc>
          <w:tcPr>
            <w:tcW w:w="709" w:type="dxa"/>
          </w:tcPr>
          <w:p w14:paraId="5976F2F1" w14:textId="77777777" w:rsidR="00BB0530" w:rsidRPr="00202F7A" w:rsidRDefault="00BB0530" w:rsidP="009E3551">
            <w:pPr>
              <w:pStyle w:val="SingleTxtG"/>
              <w:ind w:left="0" w:right="19"/>
              <w:jc w:val="center"/>
              <w:rPr>
                <w:sz w:val="18"/>
                <w:szCs w:val="18"/>
                <w:lang w:val="en-GB"/>
              </w:rPr>
            </w:pPr>
          </w:p>
        </w:tc>
        <w:tc>
          <w:tcPr>
            <w:tcW w:w="708" w:type="dxa"/>
          </w:tcPr>
          <w:p w14:paraId="4352FED6" w14:textId="77777777" w:rsidR="00BB0530" w:rsidRPr="00202F7A" w:rsidRDefault="00BB0530" w:rsidP="009E3551">
            <w:pPr>
              <w:pStyle w:val="SingleTxtG"/>
              <w:ind w:left="0" w:right="19"/>
              <w:jc w:val="center"/>
              <w:rPr>
                <w:sz w:val="18"/>
                <w:szCs w:val="18"/>
                <w:lang w:val="en-GB"/>
              </w:rPr>
            </w:pPr>
            <w:r w:rsidRPr="00202F7A">
              <w:rPr>
                <w:sz w:val="18"/>
                <w:szCs w:val="18"/>
                <w:lang w:val="en-GB"/>
              </w:rPr>
              <w:t>384    388</w:t>
            </w:r>
          </w:p>
        </w:tc>
        <w:tc>
          <w:tcPr>
            <w:tcW w:w="426" w:type="dxa"/>
          </w:tcPr>
          <w:p w14:paraId="6207382C" w14:textId="77777777" w:rsidR="00BB0530" w:rsidRPr="00202F7A" w:rsidRDefault="00BB0530" w:rsidP="009E3551">
            <w:pPr>
              <w:pStyle w:val="SingleTxtG"/>
              <w:ind w:left="0" w:right="19"/>
              <w:jc w:val="center"/>
              <w:rPr>
                <w:sz w:val="18"/>
                <w:szCs w:val="18"/>
                <w:lang w:val="en-GB"/>
              </w:rPr>
            </w:pPr>
            <w:r w:rsidRPr="00202F7A">
              <w:rPr>
                <w:sz w:val="18"/>
                <w:szCs w:val="18"/>
                <w:lang w:val="en-GB"/>
              </w:rPr>
              <w:t>0</w:t>
            </w:r>
          </w:p>
        </w:tc>
        <w:tc>
          <w:tcPr>
            <w:tcW w:w="567" w:type="dxa"/>
          </w:tcPr>
          <w:p w14:paraId="4A02E76B" w14:textId="77777777" w:rsidR="00BB0530" w:rsidRPr="00202F7A" w:rsidRDefault="00BB0530" w:rsidP="009E3551">
            <w:pPr>
              <w:pStyle w:val="SingleTxtG"/>
              <w:ind w:left="0" w:right="19"/>
              <w:jc w:val="center"/>
              <w:rPr>
                <w:sz w:val="18"/>
                <w:szCs w:val="18"/>
                <w:lang w:val="en-GB"/>
              </w:rPr>
            </w:pPr>
            <w:r w:rsidRPr="00202F7A">
              <w:rPr>
                <w:sz w:val="18"/>
                <w:szCs w:val="18"/>
                <w:lang w:val="en-GB"/>
              </w:rPr>
              <w:t>E0</w:t>
            </w:r>
          </w:p>
        </w:tc>
        <w:tc>
          <w:tcPr>
            <w:tcW w:w="850" w:type="dxa"/>
          </w:tcPr>
          <w:p w14:paraId="6C74E23D" w14:textId="77777777" w:rsidR="00BB0530" w:rsidRPr="00202F7A" w:rsidRDefault="00BB0530" w:rsidP="009E3551">
            <w:pPr>
              <w:pStyle w:val="SingleTxtG"/>
              <w:ind w:left="0" w:right="19"/>
              <w:jc w:val="center"/>
              <w:rPr>
                <w:sz w:val="18"/>
                <w:szCs w:val="18"/>
                <w:lang w:val="en-GB"/>
              </w:rPr>
            </w:pPr>
            <w:r w:rsidRPr="00202F7A">
              <w:rPr>
                <w:sz w:val="18"/>
                <w:szCs w:val="18"/>
                <w:lang w:val="en-GB"/>
              </w:rPr>
              <w:t>P9xx</w:t>
            </w:r>
          </w:p>
        </w:tc>
        <w:tc>
          <w:tcPr>
            <w:tcW w:w="851" w:type="dxa"/>
          </w:tcPr>
          <w:p w14:paraId="5B182D5A" w14:textId="77777777" w:rsidR="00BB0530" w:rsidRPr="00202F7A" w:rsidRDefault="00BB0530" w:rsidP="009E3551">
            <w:pPr>
              <w:pStyle w:val="SingleTxtG"/>
              <w:ind w:left="0" w:right="19"/>
              <w:jc w:val="center"/>
              <w:rPr>
                <w:sz w:val="18"/>
                <w:szCs w:val="18"/>
                <w:lang w:val="en-GB"/>
              </w:rPr>
            </w:pPr>
          </w:p>
        </w:tc>
        <w:tc>
          <w:tcPr>
            <w:tcW w:w="850" w:type="dxa"/>
          </w:tcPr>
          <w:p w14:paraId="4990C4D0" w14:textId="77777777" w:rsidR="00BB0530" w:rsidRPr="00202F7A" w:rsidRDefault="00BB0530" w:rsidP="009E3551">
            <w:pPr>
              <w:pStyle w:val="SingleTxtG"/>
              <w:ind w:left="0" w:right="19"/>
              <w:jc w:val="center"/>
              <w:rPr>
                <w:sz w:val="18"/>
                <w:szCs w:val="18"/>
                <w:lang w:val="en-GB"/>
              </w:rPr>
            </w:pPr>
          </w:p>
        </w:tc>
        <w:tc>
          <w:tcPr>
            <w:tcW w:w="851" w:type="dxa"/>
          </w:tcPr>
          <w:p w14:paraId="51DB47B6" w14:textId="77777777" w:rsidR="00BB0530" w:rsidRPr="00202F7A" w:rsidRDefault="00BB0530" w:rsidP="009E3551">
            <w:pPr>
              <w:pStyle w:val="SingleTxtG"/>
              <w:ind w:left="0" w:right="19"/>
              <w:jc w:val="center"/>
              <w:rPr>
                <w:sz w:val="18"/>
                <w:szCs w:val="18"/>
                <w:lang w:val="en-GB"/>
              </w:rPr>
            </w:pPr>
          </w:p>
        </w:tc>
      </w:tr>
      <w:tr w:rsidR="00BB0530" w:rsidRPr="0052658B" w14:paraId="0F0C03BF" w14:textId="77777777" w:rsidTr="009E3551">
        <w:tc>
          <w:tcPr>
            <w:tcW w:w="567" w:type="dxa"/>
            <w:tcBorders>
              <w:bottom w:val="single" w:sz="4" w:space="0" w:color="auto"/>
            </w:tcBorders>
          </w:tcPr>
          <w:p w14:paraId="11B7AADD" w14:textId="77777777" w:rsidR="00BB0530" w:rsidRPr="00202F7A" w:rsidRDefault="00BB0530" w:rsidP="009E3551">
            <w:pPr>
              <w:pStyle w:val="SingleTxtG"/>
              <w:ind w:left="-57" w:right="-57"/>
              <w:jc w:val="center"/>
              <w:rPr>
                <w:sz w:val="18"/>
                <w:szCs w:val="18"/>
                <w:lang w:val="en-GB"/>
              </w:rPr>
            </w:pPr>
            <w:r w:rsidRPr="00202F7A">
              <w:rPr>
                <w:sz w:val="18"/>
                <w:szCs w:val="18"/>
                <w:lang w:val="en-GB"/>
              </w:rPr>
              <w:t>35xz</w:t>
            </w:r>
          </w:p>
        </w:tc>
        <w:tc>
          <w:tcPr>
            <w:tcW w:w="1985" w:type="dxa"/>
            <w:tcBorders>
              <w:bottom w:val="single" w:sz="4" w:space="0" w:color="auto"/>
            </w:tcBorders>
          </w:tcPr>
          <w:p w14:paraId="4E22A957" w14:textId="77777777" w:rsidR="00BB0530" w:rsidRPr="00202F7A" w:rsidRDefault="00BB0530" w:rsidP="009E3551">
            <w:pPr>
              <w:pStyle w:val="SingleTxtG"/>
              <w:ind w:left="0" w:right="19"/>
              <w:jc w:val="left"/>
              <w:rPr>
                <w:snapToGrid w:val="0"/>
                <w:sz w:val="18"/>
                <w:szCs w:val="18"/>
                <w:lang w:val="en-GB"/>
              </w:rPr>
            </w:pPr>
            <w:r>
              <w:rPr>
                <w:snapToGrid w:val="0"/>
                <w:sz w:val="18"/>
                <w:szCs w:val="18"/>
                <w:lang w:val="en-GB"/>
              </w:rPr>
              <w:t>VEHICLE, SODIUM ION BATTERY POWERED</w:t>
            </w:r>
          </w:p>
        </w:tc>
        <w:tc>
          <w:tcPr>
            <w:tcW w:w="567" w:type="dxa"/>
            <w:tcBorders>
              <w:bottom w:val="single" w:sz="4" w:space="0" w:color="auto"/>
            </w:tcBorders>
          </w:tcPr>
          <w:p w14:paraId="22C74C45" w14:textId="77777777" w:rsidR="00BB0530" w:rsidRPr="00202F7A" w:rsidRDefault="00BB0530" w:rsidP="009E3551">
            <w:pPr>
              <w:pStyle w:val="SingleTxtG"/>
              <w:ind w:left="0" w:right="19"/>
              <w:jc w:val="center"/>
              <w:rPr>
                <w:sz w:val="18"/>
                <w:szCs w:val="18"/>
                <w:lang w:val="en-GB"/>
              </w:rPr>
            </w:pPr>
            <w:r w:rsidRPr="00202F7A">
              <w:rPr>
                <w:sz w:val="18"/>
                <w:szCs w:val="18"/>
                <w:lang w:val="en-GB"/>
              </w:rPr>
              <w:t>9</w:t>
            </w:r>
          </w:p>
        </w:tc>
        <w:tc>
          <w:tcPr>
            <w:tcW w:w="567" w:type="dxa"/>
            <w:tcBorders>
              <w:bottom w:val="single" w:sz="4" w:space="0" w:color="auto"/>
            </w:tcBorders>
          </w:tcPr>
          <w:p w14:paraId="52C5A87D" w14:textId="77777777" w:rsidR="00BB0530" w:rsidRPr="00202F7A" w:rsidRDefault="00BB0530" w:rsidP="009E3551">
            <w:pPr>
              <w:pStyle w:val="SingleTxtG"/>
              <w:ind w:left="0" w:right="19"/>
              <w:jc w:val="center"/>
              <w:rPr>
                <w:sz w:val="18"/>
                <w:szCs w:val="18"/>
                <w:lang w:val="en-GB"/>
              </w:rPr>
            </w:pPr>
          </w:p>
        </w:tc>
        <w:tc>
          <w:tcPr>
            <w:tcW w:w="709" w:type="dxa"/>
            <w:tcBorders>
              <w:bottom w:val="single" w:sz="4" w:space="0" w:color="auto"/>
            </w:tcBorders>
          </w:tcPr>
          <w:p w14:paraId="03DDB0CF" w14:textId="77777777" w:rsidR="00BB0530" w:rsidRPr="00202F7A" w:rsidRDefault="00BB0530" w:rsidP="009E3551">
            <w:pPr>
              <w:pStyle w:val="SingleTxtG"/>
              <w:ind w:left="0" w:right="19"/>
              <w:jc w:val="center"/>
              <w:rPr>
                <w:sz w:val="18"/>
                <w:szCs w:val="18"/>
                <w:lang w:val="en-GB"/>
              </w:rPr>
            </w:pPr>
          </w:p>
        </w:tc>
        <w:tc>
          <w:tcPr>
            <w:tcW w:w="708" w:type="dxa"/>
            <w:tcBorders>
              <w:bottom w:val="single" w:sz="4" w:space="0" w:color="auto"/>
            </w:tcBorders>
          </w:tcPr>
          <w:p w14:paraId="6AD4B02A" w14:textId="77777777" w:rsidR="00BB0530" w:rsidRPr="00202F7A" w:rsidRDefault="00BB0530" w:rsidP="009E3551">
            <w:pPr>
              <w:pStyle w:val="SingleTxtG"/>
              <w:ind w:left="0" w:right="19"/>
              <w:jc w:val="center"/>
              <w:rPr>
                <w:sz w:val="18"/>
                <w:szCs w:val="18"/>
                <w:lang w:val="en-GB"/>
              </w:rPr>
            </w:pPr>
            <w:r w:rsidRPr="00202F7A">
              <w:rPr>
                <w:sz w:val="18"/>
                <w:szCs w:val="18"/>
                <w:lang w:val="en-GB"/>
              </w:rPr>
              <w:t>384    388      39x</w:t>
            </w:r>
          </w:p>
        </w:tc>
        <w:tc>
          <w:tcPr>
            <w:tcW w:w="426" w:type="dxa"/>
            <w:tcBorders>
              <w:bottom w:val="single" w:sz="4" w:space="0" w:color="auto"/>
            </w:tcBorders>
          </w:tcPr>
          <w:p w14:paraId="7C773995" w14:textId="77777777" w:rsidR="00BB0530" w:rsidRPr="00202F7A" w:rsidRDefault="00BB0530" w:rsidP="009E3551">
            <w:pPr>
              <w:pStyle w:val="SingleTxtG"/>
              <w:ind w:left="0" w:right="19"/>
              <w:jc w:val="center"/>
              <w:rPr>
                <w:sz w:val="18"/>
                <w:szCs w:val="18"/>
                <w:lang w:val="en-GB"/>
              </w:rPr>
            </w:pPr>
            <w:r w:rsidRPr="00202F7A">
              <w:rPr>
                <w:sz w:val="18"/>
                <w:szCs w:val="18"/>
                <w:lang w:val="en-GB"/>
              </w:rPr>
              <w:t>0</w:t>
            </w:r>
          </w:p>
        </w:tc>
        <w:tc>
          <w:tcPr>
            <w:tcW w:w="567" w:type="dxa"/>
            <w:tcBorders>
              <w:bottom w:val="single" w:sz="4" w:space="0" w:color="auto"/>
            </w:tcBorders>
          </w:tcPr>
          <w:p w14:paraId="04E912ED" w14:textId="77777777" w:rsidR="00BB0530" w:rsidRPr="00202F7A" w:rsidRDefault="00BB0530" w:rsidP="009E3551">
            <w:pPr>
              <w:pStyle w:val="SingleTxtG"/>
              <w:ind w:left="0" w:right="19"/>
              <w:jc w:val="center"/>
              <w:rPr>
                <w:sz w:val="18"/>
                <w:szCs w:val="18"/>
                <w:lang w:val="en-GB"/>
              </w:rPr>
            </w:pPr>
            <w:r w:rsidRPr="00202F7A">
              <w:rPr>
                <w:sz w:val="18"/>
                <w:szCs w:val="18"/>
                <w:lang w:val="en-GB"/>
              </w:rPr>
              <w:t>E0</w:t>
            </w:r>
          </w:p>
        </w:tc>
        <w:tc>
          <w:tcPr>
            <w:tcW w:w="850" w:type="dxa"/>
            <w:tcBorders>
              <w:bottom w:val="single" w:sz="4" w:space="0" w:color="auto"/>
            </w:tcBorders>
          </w:tcPr>
          <w:p w14:paraId="7C87C312" w14:textId="77777777" w:rsidR="00BB0530" w:rsidRPr="00202F7A" w:rsidRDefault="00BB0530" w:rsidP="009E3551">
            <w:pPr>
              <w:pStyle w:val="SingleTxtG"/>
              <w:ind w:left="0" w:right="19"/>
              <w:jc w:val="center"/>
              <w:rPr>
                <w:sz w:val="18"/>
                <w:szCs w:val="18"/>
                <w:lang w:val="en-GB"/>
              </w:rPr>
            </w:pPr>
            <w:r w:rsidRPr="00202F7A">
              <w:rPr>
                <w:sz w:val="18"/>
                <w:szCs w:val="18"/>
                <w:lang w:val="en-GB"/>
              </w:rPr>
              <w:t>P9xx</w:t>
            </w:r>
          </w:p>
        </w:tc>
        <w:tc>
          <w:tcPr>
            <w:tcW w:w="851" w:type="dxa"/>
            <w:tcBorders>
              <w:bottom w:val="single" w:sz="4" w:space="0" w:color="auto"/>
            </w:tcBorders>
          </w:tcPr>
          <w:p w14:paraId="7F53737C" w14:textId="77777777" w:rsidR="00BB0530" w:rsidRPr="00202F7A" w:rsidRDefault="00BB0530" w:rsidP="009E3551">
            <w:pPr>
              <w:pStyle w:val="SingleTxtG"/>
              <w:ind w:left="0" w:right="19"/>
              <w:jc w:val="center"/>
              <w:rPr>
                <w:sz w:val="18"/>
                <w:szCs w:val="18"/>
                <w:lang w:val="en-GB"/>
              </w:rPr>
            </w:pPr>
          </w:p>
        </w:tc>
        <w:tc>
          <w:tcPr>
            <w:tcW w:w="850" w:type="dxa"/>
            <w:tcBorders>
              <w:bottom w:val="single" w:sz="4" w:space="0" w:color="auto"/>
            </w:tcBorders>
          </w:tcPr>
          <w:p w14:paraId="3F825641" w14:textId="77777777" w:rsidR="00BB0530" w:rsidRPr="00202F7A" w:rsidRDefault="00BB0530" w:rsidP="009E3551">
            <w:pPr>
              <w:pStyle w:val="SingleTxtG"/>
              <w:ind w:left="0" w:right="19"/>
              <w:jc w:val="center"/>
              <w:rPr>
                <w:sz w:val="18"/>
                <w:szCs w:val="18"/>
                <w:lang w:val="en-GB"/>
              </w:rPr>
            </w:pPr>
          </w:p>
        </w:tc>
        <w:tc>
          <w:tcPr>
            <w:tcW w:w="851" w:type="dxa"/>
            <w:tcBorders>
              <w:bottom w:val="single" w:sz="4" w:space="0" w:color="auto"/>
            </w:tcBorders>
          </w:tcPr>
          <w:p w14:paraId="0633DF59" w14:textId="77777777" w:rsidR="00BB0530" w:rsidRPr="00202F7A" w:rsidRDefault="00BB0530" w:rsidP="009E3551">
            <w:pPr>
              <w:pStyle w:val="SingleTxtG"/>
              <w:ind w:left="0" w:right="19"/>
              <w:jc w:val="center"/>
              <w:rPr>
                <w:sz w:val="18"/>
                <w:szCs w:val="18"/>
                <w:lang w:val="en-GB"/>
              </w:rPr>
            </w:pPr>
          </w:p>
        </w:tc>
      </w:tr>
    </w:tbl>
    <w:p w14:paraId="5AF86285" w14:textId="77777777" w:rsidR="00BB0530" w:rsidRDefault="00BB0530" w:rsidP="00BB0530"/>
    <w:p w14:paraId="05E861A3" w14:textId="77777777" w:rsidR="00BB0530" w:rsidRPr="00202F7A" w:rsidRDefault="00BB0530" w:rsidP="00A22ECA">
      <w:pPr>
        <w:pStyle w:val="SingleTxtG"/>
        <w:ind w:left="1701"/>
        <w:rPr>
          <w:lang w:val="en-GB"/>
        </w:rPr>
      </w:pPr>
      <w:r w:rsidRPr="00202F7A">
        <w:rPr>
          <w:lang w:val="en-GB"/>
        </w:rPr>
        <w:t>Add a new Special Provision to Chapter 3.3 as follows:</w:t>
      </w:r>
    </w:p>
    <w:p w14:paraId="09AC410D" w14:textId="1903F478" w:rsidR="00BB0530" w:rsidRPr="00202F7A" w:rsidRDefault="00BB0530" w:rsidP="00A22ECA">
      <w:pPr>
        <w:pStyle w:val="SingleTxtG"/>
        <w:ind w:left="1701"/>
        <w:rPr>
          <w:lang w:val="en-GB"/>
        </w:rPr>
      </w:pPr>
      <w:r w:rsidRPr="00202F7A">
        <w:rPr>
          <w:lang w:val="en-GB"/>
        </w:rPr>
        <w:t>“SP39x</w:t>
      </w:r>
      <w:r w:rsidR="00E71411">
        <w:rPr>
          <w:lang w:val="en-GB"/>
        </w:rPr>
        <w:tab/>
      </w:r>
      <w:r w:rsidRPr="00202F7A">
        <w:rPr>
          <w:lang w:val="en-GB"/>
        </w:rPr>
        <w:t>This entry is not subject to other provisions of these Regulations other than the requirement for a transport document, when the batteries covered by this entry have a 0% state of charge and the battery is fitted with a short circuit device. The transport document shall state “Not Dangerous Goods, transported in accordance with Special Provision SP39x.”</w:t>
      </w:r>
    </w:p>
    <w:p w14:paraId="48F6D6DD" w14:textId="653092A8" w:rsidR="00B91450" w:rsidRPr="00202F7A" w:rsidRDefault="00B91450" w:rsidP="0081588A">
      <w:pPr>
        <w:pStyle w:val="SingleTxtG"/>
        <w:rPr>
          <w:lang w:val="en-GB"/>
        </w:rPr>
      </w:pPr>
      <w:r w:rsidRPr="00202F7A">
        <w:rPr>
          <w:lang w:val="en-GB"/>
        </w:rPr>
        <w:tab/>
        <w:t>7.</w:t>
      </w:r>
      <w:r w:rsidRPr="00202F7A">
        <w:rPr>
          <w:lang w:val="en-GB"/>
        </w:rPr>
        <w:tab/>
        <w:t xml:space="preserve">In keeping with intent to leave other matters until the next biennium, the other proposals presented in </w:t>
      </w:r>
      <w:r w:rsidR="0074544F" w:rsidRPr="00202F7A">
        <w:rPr>
          <w:rFonts w:eastAsia="SimSun"/>
          <w:lang w:val="en-GB" w:eastAsia="zh-CN"/>
        </w:rPr>
        <w:t>ST/SG/AC.10/C.3/</w:t>
      </w:r>
      <w:r w:rsidRPr="00202F7A">
        <w:rPr>
          <w:lang w:val="en-GB"/>
        </w:rPr>
        <w:t>2022/70 stand</w:t>
      </w:r>
      <w:r w:rsidR="00DA558E">
        <w:rPr>
          <w:lang w:val="en-GB"/>
        </w:rPr>
        <w:t>,</w:t>
      </w:r>
      <w:r w:rsidRPr="00202F7A">
        <w:rPr>
          <w:lang w:val="en-GB"/>
        </w:rPr>
        <w:t xml:space="preserve"> except that as a consequence of Proposal 2 of this paper, where there were 2 entries proposed for the index, there will now be 3 and each will have a different UN number instead of the same. In the amended Special Provisions, all 3 new UN entries will have to be listed rather than the one with the list of names.</w:t>
      </w:r>
    </w:p>
    <w:p w14:paraId="72A873A0" w14:textId="207C0EFD" w:rsidR="00BB0530" w:rsidRPr="00202F7A" w:rsidRDefault="0081588A" w:rsidP="0081588A">
      <w:pPr>
        <w:pStyle w:val="HChG"/>
        <w:rPr>
          <w:lang w:val="en-GB"/>
        </w:rPr>
      </w:pPr>
      <w:r w:rsidRPr="00202F7A">
        <w:rPr>
          <w:lang w:val="en-GB"/>
        </w:rPr>
        <w:tab/>
      </w:r>
      <w:r w:rsidRPr="00202F7A">
        <w:rPr>
          <w:lang w:val="en-GB"/>
        </w:rPr>
        <w:tab/>
      </w:r>
      <w:r w:rsidR="00BB0530" w:rsidRPr="00202F7A">
        <w:rPr>
          <w:lang w:val="en-GB"/>
        </w:rPr>
        <w:t>Justification</w:t>
      </w:r>
    </w:p>
    <w:p w14:paraId="7FD5AF6C" w14:textId="56E36F20" w:rsidR="00BB0530" w:rsidRPr="00202F7A" w:rsidRDefault="00B91450" w:rsidP="0081588A">
      <w:pPr>
        <w:pStyle w:val="SingleTxtG"/>
        <w:rPr>
          <w:lang w:val="en-GB"/>
        </w:rPr>
      </w:pPr>
      <w:r>
        <w:rPr>
          <w:lang w:val="en-GB"/>
        </w:rPr>
        <w:t>8</w:t>
      </w:r>
      <w:r w:rsidRPr="00B91450">
        <w:rPr>
          <w:lang w:val="en-GB"/>
        </w:rPr>
        <w:t>.</w:t>
      </w:r>
      <w:r w:rsidRPr="00B91450">
        <w:rPr>
          <w:lang w:val="en-GB"/>
        </w:rPr>
        <w:tab/>
      </w:r>
      <w:r w:rsidR="00BB0530" w:rsidRPr="00202F7A">
        <w:rPr>
          <w:lang w:val="en-GB"/>
        </w:rPr>
        <w:t xml:space="preserve">Proposal </w:t>
      </w:r>
      <w:r w:rsidR="00E562C5">
        <w:rPr>
          <w:lang w:val="en-GB"/>
        </w:rPr>
        <w:t>2</w:t>
      </w:r>
      <w:r w:rsidR="00BB0530" w:rsidRPr="00202F7A">
        <w:rPr>
          <w:lang w:val="en-GB"/>
        </w:rPr>
        <w:t xml:space="preserve"> splits the entry into the three different types of batteries that may be used in vehicles found in the Model Regulations and also includes a specific additional Special Provision for sodium ion powered vehicles.</w:t>
      </w:r>
      <w:r w:rsidR="00BB0530" w:rsidRPr="00B91450">
        <w:rPr>
          <w:lang w:val="en-GB"/>
        </w:rPr>
        <w:t xml:space="preserve"> This would allow for any </w:t>
      </w:r>
      <w:r w:rsidRPr="00B91450">
        <w:rPr>
          <w:lang w:val="en-GB"/>
        </w:rPr>
        <w:t xml:space="preserve">future </w:t>
      </w:r>
      <w:r w:rsidR="00BB0530" w:rsidRPr="00B91450">
        <w:rPr>
          <w:lang w:val="en-GB"/>
        </w:rPr>
        <w:t>specific transport arrangements for each battery type easier to</w:t>
      </w:r>
      <w:r w:rsidR="00BB0530" w:rsidRPr="00202F7A">
        <w:rPr>
          <w:lang w:val="en-GB"/>
        </w:rPr>
        <w:t xml:space="preserve"> </w:t>
      </w:r>
      <w:r w:rsidRPr="00B91450">
        <w:rPr>
          <w:lang w:val="en-GB"/>
        </w:rPr>
        <w:t>address.</w:t>
      </w:r>
    </w:p>
    <w:p w14:paraId="7A29E5C3" w14:textId="4FE95A85" w:rsidR="00DF6B76" w:rsidRPr="00202F7A" w:rsidRDefault="0081588A" w:rsidP="0081588A">
      <w:pPr>
        <w:spacing w:before="240"/>
        <w:jc w:val="center"/>
        <w:rPr>
          <w:u w:val="single"/>
        </w:rPr>
      </w:pPr>
      <w:r>
        <w:rPr>
          <w:u w:val="single"/>
        </w:rPr>
        <w:tab/>
      </w:r>
      <w:r>
        <w:rPr>
          <w:u w:val="single"/>
        </w:rPr>
        <w:tab/>
      </w:r>
      <w:r>
        <w:rPr>
          <w:u w:val="single"/>
        </w:rPr>
        <w:tab/>
      </w:r>
    </w:p>
    <w:sectPr w:rsidR="00DF6B76" w:rsidRPr="00202F7A" w:rsidSect="00E47BE9">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58AA" w14:textId="77777777" w:rsidR="008B1254" w:rsidRDefault="008B1254"/>
  </w:endnote>
  <w:endnote w:type="continuationSeparator" w:id="0">
    <w:p w14:paraId="5E3708CE" w14:textId="77777777" w:rsidR="008B1254" w:rsidRDefault="008B1254"/>
  </w:endnote>
  <w:endnote w:type="continuationNotice" w:id="1">
    <w:p w14:paraId="0BD47A3D" w14:textId="77777777" w:rsidR="008B1254" w:rsidRDefault="008B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0167" w14:textId="77777777" w:rsidR="008B1254" w:rsidRPr="000B175B" w:rsidRDefault="008B1254" w:rsidP="000B175B">
      <w:pPr>
        <w:tabs>
          <w:tab w:val="right" w:pos="2155"/>
        </w:tabs>
        <w:spacing w:after="80"/>
        <w:ind w:left="680"/>
        <w:rPr>
          <w:u w:val="single"/>
        </w:rPr>
      </w:pPr>
      <w:r>
        <w:rPr>
          <w:u w:val="single"/>
        </w:rPr>
        <w:tab/>
      </w:r>
    </w:p>
  </w:footnote>
  <w:footnote w:type="continuationSeparator" w:id="0">
    <w:p w14:paraId="78FA6629" w14:textId="77777777" w:rsidR="008B1254" w:rsidRPr="00FC68B7" w:rsidRDefault="008B1254" w:rsidP="00FC68B7">
      <w:pPr>
        <w:tabs>
          <w:tab w:val="left" w:pos="2155"/>
        </w:tabs>
        <w:spacing w:after="80"/>
        <w:ind w:left="680"/>
        <w:rPr>
          <w:u w:val="single"/>
        </w:rPr>
      </w:pPr>
      <w:r>
        <w:rPr>
          <w:u w:val="single"/>
        </w:rPr>
        <w:tab/>
      </w:r>
    </w:p>
  </w:footnote>
  <w:footnote w:type="continuationNotice" w:id="1">
    <w:p w14:paraId="39857932" w14:textId="77777777" w:rsidR="008B1254" w:rsidRDefault="008B1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3BBB8542"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88147B">
      <w:rPr>
        <w:b/>
        <w:bCs/>
        <w:sz w:val="18"/>
        <w:szCs w:val="18"/>
      </w:rPr>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944" w14:textId="34267E33" w:rsidR="001E435D" w:rsidRPr="001E435D" w:rsidRDefault="0066373E" w:rsidP="00BB0530">
    <w:pPr>
      <w:pBdr>
        <w:bottom w:val="single" w:sz="4" w:space="1" w:color="auto"/>
      </w:pBdr>
      <w:jc w:val="right"/>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1E435D">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1E3B79B3" id="Text Box 6" o:spid="_x0000_s1028" type="#_x0000_t202" style="position:absolute;left:0;text-align:left;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r w:rsidR="0088147B">
      <w:rPr>
        <w:b/>
        <w:bCs/>
        <w:sz w:val="18"/>
        <w:szCs w:val="18"/>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2662"/>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5D4B"/>
    <w:rsid w:val="000C6242"/>
    <w:rsid w:val="000C6F83"/>
    <w:rsid w:val="000C717F"/>
    <w:rsid w:val="000C74D9"/>
    <w:rsid w:val="000D0B8F"/>
    <w:rsid w:val="000D148B"/>
    <w:rsid w:val="000D2F4D"/>
    <w:rsid w:val="000D42DC"/>
    <w:rsid w:val="000D481F"/>
    <w:rsid w:val="000D52B8"/>
    <w:rsid w:val="000D6D97"/>
    <w:rsid w:val="000D7083"/>
    <w:rsid w:val="000D7830"/>
    <w:rsid w:val="000E0415"/>
    <w:rsid w:val="000E4391"/>
    <w:rsid w:val="000E5A8A"/>
    <w:rsid w:val="000E772F"/>
    <w:rsid w:val="000F0347"/>
    <w:rsid w:val="000F24D4"/>
    <w:rsid w:val="000F2570"/>
    <w:rsid w:val="000F390C"/>
    <w:rsid w:val="000F52D6"/>
    <w:rsid w:val="000F6A20"/>
    <w:rsid w:val="001016F4"/>
    <w:rsid w:val="0010319F"/>
    <w:rsid w:val="0010461A"/>
    <w:rsid w:val="00105D75"/>
    <w:rsid w:val="00106665"/>
    <w:rsid w:val="001100AD"/>
    <w:rsid w:val="00110B29"/>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A7F"/>
    <w:rsid w:val="001D4B2D"/>
    <w:rsid w:val="001D4E70"/>
    <w:rsid w:val="001D59AA"/>
    <w:rsid w:val="001D678A"/>
    <w:rsid w:val="001D6C84"/>
    <w:rsid w:val="001D74D0"/>
    <w:rsid w:val="001E02C0"/>
    <w:rsid w:val="001E435D"/>
    <w:rsid w:val="001E797C"/>
    <w:rsid w:val="001E7EF2"/>
    <w:rsid w:val="001E7FB0"/>
    <w:rsid w:val="001F42BD"/>
    <w:rsid w:val="001F4998"/>
    <w:rsid w:val="002015A3"/>
    <w:rsid w:val="00202F7A"/>
    <w:rsid w:val="002062DE"/>
    <w:rsid w:val="00206921"/>
    <w:rsid w:val="00207304"/>
    <w:rsid w:val="00211ADE"/>
    <w:rsid w:val="00211B12"/>
    <w:rsid w:val="00211B28"/>
    <w:rsid w:val="00211BBB"/>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6EC"/>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2D2"/>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3F2F"/>
    <w:rsid w:val="002F4CCA"/>
    <w:rsid w:val="002F683C"/>
    <w:rsid w:val="002F68FD"/>
    <w:rsid w:val="00300D6E"/>
    <w:rsid w:val="003020DE"/>
    <w:rsid w:val="00304599"/>
    <w:rsid w:val="003047A5"/>
    <w:rsid w:val="003107FA"/>
    <w:rsid w:val="00313AC2"/>
    <w:rsid w:val="00313B8C"/>
    <w:rsid w:val="00315D73"/>
    <w:rsid w:val="00316FF9"/>
    <w:rsid w:val="003173F6"/>
    <w:rsid w:val="003207C3"/>
    <w:rsid w:val="00321300"/>
    <w:rsid w:val="00321716"/>
    <w:rsid w:val="003229D8"/>
    <w:rsid w:val="0032308B"/>
    <w:rsid w:val="00323710"/>
    <w:rsid w:val="00323E88"/>
    <w:rsid w:val="00324058"/>
    <w:rsid w:val="003244D9"/>
    <w:rsid w:val="00327D0A"/>
    <w:rsid w:val="00330815"/>
    <w:rsid w:val="00330A4E"/>
    <w:rsid w:val="003335B8"/>
    <w:rsid w:val="00334498"/>
    <w:rsid w:val="00334C9A"/>
    <w:rsid w:val="00335ECF"/>
    <w:rsid w:val="003365EB"/>
    <w:rsid w:val="00337873"/>
    <w:rsid w:val="00337A32"/>
    <w:rsid w:val="00340E2C"/>
    <w:rsid w:val="003434C1"/>
    <w:rsid w:val="003458F2"/>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3C95"/>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579"/>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5E"/>
    <w:rsid w:val="004065DD"/>
    <w:rsid w:val="00406A80"/>
    <w:rsid w:val="00406AC5"/>
    <w:rsid w:val="00406CD4"/>
    <w:rsid w:val="00410600"/>
    <w:rsid w:val="004108CE"/>
    <w:rsid w:val="00420C02"/>
    <w:rsid w:val="00420F4B"/>
    <w:rsid w:val="004248D6"/>
    <w:rsid w:val="00425D60"/>
    <w:rsid w:val="00427126"/>
    <w:rsid w:val="00430086"/>
    <w:rsid w:val="00430918"/>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632"/>
    <w:rsid w:val="00502F8B"/>
    <w:rsid w:val="00504855"/>
    <w:rsid w:val="005079ED"/>
    <w:rsid w:val="00507CF1"/>
    <w:rsid w:val="005108F5"/>
    <w:rsid w:val="00510DBD"/>
    <w:rsid w:val="005128AD"/>
    <w:rsid w:val="00512E84"/>
    <w:rsid w:val="00512ED9"/>
    <w:rsid w:val="005134A0"/>
    <w:rsid w:val="00513BBD"/>
    <w:rsid w:val="0051414C"/>
    <w:rsid w:val="00522177"/>
    <w:rsid w:val="00524A7B"/>
    <w:rsid w:val="00525CB3"/>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121D"/>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68F3"/>
    <w:rsid w:val="005C7BB9"/>
    <w:rsid w:val="005D0C6C"/>
    <w:rsid w:val="005D1BB4"/>
    <w:rsid w:val="005D2A88"/>
    <w:rsid w:val="005D2B33"/>
    <w:rsid w:val="005D5E8B"/>
    <w:rsid w:val="005D6410"/>
    <w:rsid w:val="005D73AA"/>
    <w:rsid w:val="005E010D"/>
    <w:rsid w:val="005E03F6"/>
    <w:rsid w:val="005E0BF6"/>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1DC6"/>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4302"/>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3DC"/>
    <w:rsid w:val="006A63E3"/>
    <w:rsid w:val="006A7392"/>
    <w:rsid w:val="006B0E17"/>
    <w:rsid w:val="006B1148"/>
    <w:rsid w:val="006B1C55"/>
    <w:rsid w:val="006B4AE9"/>
    <w:rsid w:val="006C062C"/>
    <w:rsid w:val="006C0D34"/>
    <w:rsid w:val="006C251B"/>
    <w:rsid w:val="006C2F7E"/>
    <w:rsid w:val="006C794D"/>
    <w:rsid w:val="006D2FD6"/>
    <w:rsid w:val="006D3560"/>
    <w:rsid w:val="006E314E"/>
    <w:rsid w:val="006E3B65"/>
    <w:rsid w:val="006E4E78"/>
    <w:rsid w:val="006E4ECA"/>
    <w:rsid w:val="006E564B"/>
    <w:rsid w:val="006E6DC4"/>
    <w:rsid w:val="006F056B"/>
    <w:rsid w:val="006F1068"/>
    <w:rsid w:val="006F6835"/>
    <w:rsid w:val="006F6C5B"/>
    <w:rsid w:val="006F7AB5"/>
    <w:rsid w:val="006F7F89"/>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544F"/>
    <w:rsid w:val="0074697D"/>
    <w:rsid w:val="007510F5"/>
    <w:rsid w:val="007519AF"/>
    <w:rsid w:val="007539DC"/>
    <w:rsid w:val="00754324"/>
    <w:rsid w:val="00754F09"/>
    <w:rsid w:val="00755EBE"/>
    <w:rsid w:val="00757C56"/>
    <w:rsid w:val="00760F75"/>
    <w:rsid w:val="00761619"/>
    <w:rsid w:val="0076177C"/>
    <w:rsid w:val="00762A08"/>
    <w:rsid w:val="00763AE6"/>
    <w:rsid w:val="00763C33"/>
    <w:rsid w:val="00766322"/>
    <w:rsid w:val="00767272"/>
    <w:rsid w:val="00767680"/>
    <w:rsid w:val="00770621"/>
    <w:rsid w:val="00770BCD"/>
    <w:rsid w:val="00771904"/>
    <w:rsid w:val="00773353"/>
    <w:rsid w:val="00773ED7"/>
    <w:rsid w:val="00774129"/>
    <w:rsid w:val="007744D5"/>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5C11"/>
    <w:rsid w:val="00796F36"/>
    <w:rsid w:val="007979BB"/>
    <w:rsid w:val="007A0385"/>
    <w:rsid w:val="007A2C35"/>
    <w:rsid w:val="007A2CDB"/>
    <w:rsid w:val="007A334C"/>
    <w:rsid w:val="007A44D6"/>
    <w:rsid w:val="007A5C51"/>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F49"/>
    <w:rsid w:val="007E277E"/>
    <w:rsid w:val="007E4BD3"/>
    <w:rsid w:val="007E56C4"/>
    <w:rsid w:val="007E5D7C"/>
    <w:rsid w:val="007F0AB9"/>
    <w:rsid w:val="007F10BF"/>
    <w:rsid w:val="007F1C41"/>
    <w:rsid w:val="007F2A54"/>
    <w:rsid w:val="007F4F5C"/>
    <w:rsid w:val="007F5104"/>
    <w:rsid w:val="007F6611"/>
    <w:rsid w:val="007F67C2"/>
    <w:rsid w:val="00800024"/>
    <w:rsid w:val="008037A2"/>
    <w:rsid w:val="008070A1"/>
    <w:rsid w:val="008071B7"/>
    <w:rsid w:val="00810041"/>
    <w:rsid w:val="00810A91"/>
    <w:rsid w:val="00815160"/>
    <w:rsid w:val="0081588A"/>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03C5"/>
    <w:rsid w:val="00871FD5"/>
    <w:rsid w:val="00872FA8"/>
    <w:rsid w:val="00873395"/>
    <w:rsid w:val="00881213"/>
    <w:rsid w:val="0088147B"/>
    <w:rsid w:val="00882AC1"/>
    <w:rsid w:val="008830CC"/>
    <w:rsid w:val="00883985"/>
    <w:rsid w:val="00885070"/>
    <w:rsid w:val="00885A20"/>
    <w:rsid w:val="00886201"/>
    <w:rsid w:val="00886F7D"/>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1254"/>
    <w:rsid w:val="008B33B1"/>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37E74"/>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48DF"/>
    <w:rsid w:val="009D568C"/>
    <w:rsid w:val="009D5E94"/>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2ECA"/>
    <w:rsid w:val="00A233BB"/>
    <w:rsid w:val="00A235F1"/>
    <w:rsid w:val="00A23F62"/>
    <w:rsid w:val="00A2460E"/>
    <w:rsid w:val="00A26774"/>
    <w:rsid w:val="00A27BEA"/>
    <w:rsid w:val="00A34B00"/>
    <w:rsid w:val="00A35D0C"/>
    <w:rsid w:val="00A3777A"/>
    <w:rsid w:val="00A378DF"/>
    <w:rsid w:val="00A41792"/>
    <w:rsid w:val="00A43B2F"/>
    <w:rsid w:val="00A43D4D"/>
    <w:rsid w:val="00A44269"/>
    <w:rsid w:val="00A44779"/>
    <w:rsid w:val="00A46641"/>
    <w:rsid w:val="00A471D2"/>
    <w:rsid w:val="00A50077"/>
    <w:rsid w:val="00A50E28"/>
    <w:rsid w:val="00A51E0E"/>
    <w:rsid w:val="00A53982"/>
    <w:rsid w:val="00A54CA8"/>
    <w:rsid w:val="00A54FD6"/>
    <w:rsid w:val="00A559E2"/>
    <w:rsid w:val="00A60196"/>
    <w:rsid w:val="00A6116D"/>
    <w:rsid w:val="00A6199C"/>
    <w:rsid w:val="00A61CB2"/>
    <w:rsid w:val="00A622AF"/>
    <w:rsid w:val="00A65F4A"/>
    <w:rsid w:val="00A65F93"/>
    <w:rsid w:val="00A66636"/>
    <w:rsid w:val="00A72ECB"/>
    <w:rsid w:val="00A72F22"/>
    <w:rsid w:val="00A73472"/>
    <w:rsid w:val="00A736C0"/>
    <w:rsid w:val="00A73D8D"/>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A6E1D"/>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450"/>
    <w:rsid w:val="00B91B40"/>
    <w:rsid w:val="00B91CC3"/>
    <w:rsid w:val="00B92A0C"/>
    <w:rsid w:val="00B93068"/>
    <w:rsid w:val="00B934CF"/>
    <w:rsid w:val="00B9477C"/>
    <w:rsid w:val="00B94ACE"/>
    <w:rsid w:val="00BA2D3C"/>
    <w:rsid w:val="00BA589A"/>
    <w:rsid w:val="00BA5D79"/>
    <w:rsid w:val="00BA7D2E"/>
    <w:rsid w:val="00BB02D9"/>
    <w:rsid w:val="00BB0530"/>
    <w:rsid w:val="00BB176D"/>
    <w:rsid w:val="00BB3B28"/>
    <w:rsid w:val="00BB3CA8"/>
    <w:rsid w:val="00BC34DA"/>
    <w:rsid w:val="00BC43AB"/>
    <w:rsid w:val="00BC5CA8"/>
    <w:rsid w:val="00BC74E9"/>
    <w:rsid w:val="00BD2077"/>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4923"/>
    <w:rsid w:val="00C16AC3"/>
    <w:rsid w:val="00C17563"/>
    <w:rsid w:val="00C176C9"/>
    <w:rsid w:val="00C218A4"/>
    <w:rsid w:val="00C2364D"/>
    <w:rsid w:val="00C23889"/>
    <w:rsid w:val="00C246E2"/>
    <w:rsid w:val="00C31519"/>
    <w:rsid w:val="00C3230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0E75"/>
    <w:rsid w:val="00C81212"/>
    <w:rsid w:val="00C81FCB"/>
    <w:rsid w:val="00C84FF1"/>
    <w:rsid w:val="00C87478"/>
    <w:rsid w:val="00C91180"/>
    <w:rsid w:val="00C92761"/>
    <w:rsid w:val="00C93C11"/>
    <w:rsid w:val="00C94244"/>
    <w:rsid w:val="00C971F6"/>
    <w:rsid w:val="00C974CD"/>
    <w:rsid w:val="00CA0397"/>
    <w:rsid w:val="00CA049C"/>
    <w:rsid w:val="00CA22D6"/>
    <w:rsid w:val="00CA381C"/>
    <w:rsid w:val="00CA5EB5"/>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6B3"/>
    <w:rsid w:val="00CE2D21"/>
    <w:rsid w:val="00CE33D5"/>
    <w:rsid w:val="00CE4083"/>
    <w:rsid w:val="00CE46BA"/>
    <w:rsid w:val="00CE4A8F"/>
    <w:rsid w:val="00CE4F64"/>
    <w:rsid w:val="00CE52AD"/>
    <w:rsid w:val="00CE74ED"/>
    <w:rsid w:val="00CF02AD"/>
    <w:rsid w:val="00CF282A"/>
    <w:rsid w:val="00CF4FE1"/>
    <w:rsid w:val="00CF5A01"/>
    <w:rsid w:val="00CF6F32"/>
    <w:rsid w:val="00CF721E"/>
    <w:rsid w:val="00CF778D"/>
    <w:rsid w:val="00D01017"/>
    <w:rsid w:val="00D0401B"/>
    <w:rsid w:val="00D0631B"/>
    <w:rsid w:val="00D06C3A"/>
    <w:rsid w:val="00D13057"/>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558E"/>
    <w:rsid w:val="00DA6620"/>
    <w:rsid w:val="00DA67AD"/>
    <w:rsid w:val="00DA7D8F"/>
    <w:rsid w:val="00DB39FA"/>
    <w:rsid w:val="00DB7A95"/>
    <w:rsid w:val="00DC20AB"/>
    <w:rsid w:val="00DC425E"/>
    <w:rsid w:val="00DD11C5"/>
    <w:rsid w:val="00DD1B12"/>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DF6B76"/>
    <w:rsid w:val="00DF7EC1"/>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19F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2C5"/>
    <w:rsid w:val="00E5644E"/>
    <w:rsid w:val="00E5691C"/>
    <w:rsid w:val="00E56B35"/>
    <w:rsid w:val="00E577C9"/>
    <w:rsid w:val="00E60641"/>
    <w:rsid w:val="00E6082E"/>
    <w:rsid w:val="00E60903"/>
    <w:rsid w:val="00E615B2"/>
    <w:rsid w:val="00E631BA"/>
    <w:rsid w:val="00E631FE"/>
    <w:rsid w:val="00E63481"/>
    <w:rsid w:val="00E63DE8"/>
    <w:rsid w:val="00E6613A"/>
    <w:rsid w:val="00E71411"/>
    <w:rsid w:val="00E7260F"/>
    <w:rsid w:val="00E730D8"/>
    <w:rsid w:val="00E7398C"/>
    <w:rsid w:val="00E76A55"/>
    <w:rsid w:val="00E77A32"/>
    <w:rsid w:val="00E81230"/>
    <w:rsid w:val="00E817A9"/>
    <w:rsid w:val="00E82A4A"/>
    <w:rsid w:val="00E8535A"/>
    <w:rsid w:val="00E859FF"/>
    <w:rsid w:val="00E86272"/>
    <w:rsid w:val="00E864BE"/>
    <w:rsid w:val="00E876E0"/>
    <w:rsid w:val="00E90647"/>
    <w:rsid w:val="00E90B62"/>
    <w:rsid w:val="00E9396C"/>
    <w:rsid w:val="00E93FFF"/>
    <w:rsid w:val="00E94A9C"/>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75A"/>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0B38"/>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1696"/>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975A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09CC"/>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uiPriority w:val="99"/>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 w:type="character" w:customStyle="1" w:styleId="st">
    <w:name w:val="st"/>
    <w:basedOn w:val="DefaultParagraphFont"/>
    <w:rsid w:val="003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3</Pages>
  <Words>888</Words>
  <Characters>5065</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5942</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9</cp:revision>
  <cp:lastPrinted>2022-11-16T15:14:00Z</cp:lastPrinted>
  <dcterms:created xsi:type="dcterms:W3CDTF">2022-11-27T16:33:00Z</dcterms:created>
  <dcterms:modified xsi:type="dcterms:W3CDTF">2022-11-28T07:08:00Z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