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5D9DB0D"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837B25">
              <w:rPr>
                <w:b/>
                <w:sz w:val="40"/>
                <w:szCs w:val="40"/>
              </w:rPr>
              <w:t>2</w:t>
            </w:r>
            <w:r w:rsidR="00EB04FF">
              <w:rPr>
                <w:b/>
                <w:sz w:val="40"/>
                <w:szCs w:val="40"/>
              </w:rPr>
              <w:t>3</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604CBC" w14:paraId="49111E43" w14:textId="77777777" w:rsidTr="00D73803">
        <w:tc>
          <w:tcPr>
            <w:tcW w:w="9645" w:type="dxa"/>
            <w:tcMar>
              <w:top w:w="142" w:type="dxa"/>
              <w:left w:w="108" w:type="dxa"/>
              <w:bottom w:w="142" w:type="dxa"/>
              <w:right w:w="108" w:type="dxa"/>
            </w:tcMar>
          </w:tcPr>
          <w:p w14:paraId="659610D8" w14:textId="2A1C664D" w:rsidR="00645A0B" w:rsidRPr="00604CBC" w:rsidRDefault="00645A0B" w:rsidP="00EE2966">
            <w:pPr>
              <w:tabs>
                <w:tab w:val="right" w:pos="9214"/>
              </w:tabs>
            </w:pPr>
            <w:r w:rsidRPr="00604CBC">
              <w:rPr>
                <w:b/>
                <w:sz w:val="24"/>
                <w:szCs w:val="24"/>
              </w:rPr>
              <w:t>Committee of Experts on the Transport of Dangerous Goods</w:t>
            </w:r>
            <w:r w:rsidRPr="00604CBC">
              <w:rPr>
                <w:b/>
                <w:sz w:val="24"/>
                <w:szCs w:val="24"/>
              </w:rPr>
              <w:br/>
              <w:t>and on the Globally Harmonized System of Classification</w:t>
            </w:r>
            <w:r w:rsidRPr="00604CBC">
              <w:rPr>
                <w:b/>
                <w:sz w:val="24"/>
                <w:szCs w:val="24"/>
              </w:rPr>
              <w:br/>
              <w:t>and Labelling of Chemicals</w:t>
            </w:r>
            <w:r w:rsidRPr="00604CBC">
              <w:rPr>
                <w:b/>
              </w:rPr>
              <w:tab/>
            </w:r>
            <w:r w:rsidR="00513BBD" w:rsidRPr="00604CBC">
              <w:rPr>
                <w:b/>
              </w:rPr>
              <w:t>14</w:t>
            </w:r>
            <w:r w:rsidR="00C81FCB" w:rsidRPr="00604CBC">
              <w:rPr>
                <w:b/>
              </w:rPr>
              <w:t xml:space="preserve"> </w:t>
            </w:r>
            <w:r w:rsidR="007B4B3B" w:rsidRPr="00604CBC">
              <w:rPr>
                <w:b/>
              </w:rPr>
              <w:t>November</w:t>
            </w:r>
            <w:r w:rsidR="00AD7C5F" w:rsidRPr="00604CBC">
              <w:rPr>
                <w:b/>
              </w:rPr>
              <w:t xml:space="preserve"> 202</w:t>
            </w:r>
            <w:r w:rsidR="00023260" w:rsidRPr="00604CBC">
              <w:rPr>
                <w:b/>
              </w:rPr>
              <w:t>2</w:t>
            </w:r>
          </w:p>
        </w:tc>
      </w:tr>
      <w:tr w:rsidR="00006E29" w:rsidRPr="00604CBC"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604CBC" w:rsidRDefault="00006E29" w:rsidP="00D73803">
            <w:pPr>
              <w:spacing w:before="40"/>
              <w:rPr>
                <w:b/>
              </w:rPr>
            </w:pPr>
            <w:r w:rsidRPr="00604CBC">
              <w:rPr>
                <w:b/>
              </w:rPr>
              <w:t>Sub-Committee of Experts on the Transport of Dangerous Goods</w:t>
            </w:r>
          </w:p>
          <w:p w14:paraId="3A7DBE22" w14:textId="4640A771" w:rsidR="00155CD1" w:rsidRPr="00604CBC" w:rsidRDefault="00155CD1" w:rsidP="00155CD1">
            <w:pPr>
              <w:spacing w:before="120"/>
              <w:rPr>
                <w:b/>
              </w:rPr>
            </w:pPr>
            <w:r w:rsidRPr="00604CBC">
              <w:rPr>
                <w:b/>
              </w:rPr>
              <w:t>Sixt</w:t>
            </w:r>
            <w:r w:rsidR="00992717" w:rsidRPr="00604CBC">
              <w:rPr>
                <w:b/>
              </w:rPr>
              <w:t>y-first</w:t>
            </w:r>
            <w:r w:rsidRPr="00604CBC">
              <w:rPr>
                <w:b/>
              </w:rPr>
              <w:t xml:space="preserve"> session</w:t>
            </w:r>
          </w:p>
          <w:p w14:paraId="04F3F725" w14:textId="74C9B4CE" w:rsidR="00155CD1" w:rsidRPr="00604CBC" w:rsidRDefault="00155CD1" w:rsidP="00155CD1">
            <w:r w:rsidRPr="00604CBC">
              <w:t>Geneva, 2</w:t>
            </w:r>
            <w:r w:rsidR="007B4B3B" w:rsidRPr="00604CBC">
              <w:t>8</w:t>
            </w:r>
            <w:r w:rsidRPr="00604CBC">
              <w:t xml:space="preserve"> </w:t>
            </w:r>
            <w:r w:rsidR="007B4B3B" w:rsidRPr="00604CBC">
              <w:t xml:space="preserve">November </w:t>
            </w:r>
            <w:r w:rsidRPr="00604CBC">
              <w:t>-</w:t>
            </w:r>
            <w:r w:rsidR="007B4B3B" w:rsidRPr="00604CBC">
              <w:t xml:space="preserve"> </w:t>
            </w:r>
            <w:r w:rsidRPr="00604CBC">
              <w:t xml:space="preserve">6 </w:t>
            </w:r>
            <w:r w:rsidR="007B4B3B" w:rsidRPr="00604CBC">
              <w:t>December</w:t>
            </w:r>
            <w:r w:rsidRPr="00604CBC">
              <w:t xml:space="preserve"> 2022</w:t>
            </w:r>
          </w:p>
          <w:p w14:paraId="3BDE97DE" w14:textId="006186A1" w:rsidR="00006E29" w:rsidRPr="00604CBC" w:rsidRDefault="00155CD1" w:rsidP="009E646A">
            <w:pPr>
              <w:rPr>
                <w:b/>
              </w:rPr>
            </w:pPr>
            <w:r w:rsidRPr="00604CBC">
              <w:t xml:space="preserve">Item </w:t>
            </w:r>
            <w:r w:rsidR="00F51E28" w:rsidRPr="00604CBC">
              <w:t>3</w:t>
            </w:r>
            <w:r w:rsidRPr="00604CBC">
              <w:t xml:space="preserve"> of the provisional agenda</w:t>
            </w:r>
            <w:r w:rsidR="009E646A" w:rsidRPr="00604CBC">
              <w:br/>
            </w:r>
            <w:r w:rsidR="009E646A" w:rsidRPr="00604CBC">
              <w:rPr>
                <w:b/>
                <w:bCs/>
              </w:rPr>
              <w:t>Listing, classification and packing</w:t>
            </w:r>
          </w:p>
        </w:tc>
      </w:tr>
    </w:tbl>
    <w:p w14:paraId="78B3A753" w14:textId="706083B9" w:rsidR="00F51E28" w:rsidRPr="00604CBC" w:rsidRDefault="009E646A" w:rsidP="009E646A">
      <w:pPr>
        <w:pStyle w:val="HChG"/>
        <w:rPr>
          <w:lang w:val="en-GB"/>
        </w:rPr>
      </w:pPr>
      <w:r w:rsidRPr="00604CBC">
        <w:rPr>
          <w:lang w:val="en-GB"/>
        </w:rPr>
        <w:tab/>
      </w:r>
      <w:r w:rsidRPr="00604CBC">
        <w:rPr>
          <w:lang w:val="en-GB"/>
        </w:rPr>
        <w:tab/>
      </w:r>
      <w:r w:rsidR="00F51E28" w:rsidRPr="00604CBC">
        <w:rPr>
          <w:lang w:val="en-GB"/>
        </w:rPr>
        <w:t>Present and future products in the Liquified Petroleum Gas industry, amendment of UN Numbers, discussion points and proposals – Alternative proposal</w:t>
      </w:r>
    </w:p>
    <w:p w14:paraId="373DA73E" w14:textId="204C4C00" w:rsidR="00F51E28" w:rsidRPr="00604CBC" w:rsidRDefault="009E646A" w:rsidP="009E646A">
      <w:pPr>
        <w:pStyle w:val="H1G"/>
        <w:rPr>
          <w:sz w:val="12"/>
          <w:szCs w:val="12"/>
        </w:rPr>
      </w:pPr>
      <w:r w:rsidRPr="00604CBC">
        <w:tab/>
      </w:r>
      <w:r w:rsidRPr="00604CBC">
        <w:tab/>
      </w:r>
      <w:r w:rsidR="00F51E28" w:rsidRPr="00604CBC">
        <w:t>Submitted by the World LPG Association and Liquid Gas Europe</w:t>
      </w:r>
      <w:r w:rsidR="00F51E28" w:rsidRPr="00604CBC">
        <w:rPr>
          <w:sz w:val="12"/>
          <w:szCs w:val="12"/>
        </w:rPr>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10A91" w:rsidRPr="00604CBC" w14:paraId="09EC7588" w14:textId="77777777" w:rsidTr="005A43F4">
        <w:trPr>
          <w:jc w:val="center"/>
        </w:trPr>
        <w:tc>
          <w:tcPr>
            <w:tcW w:w="9629" w:type="dxa"/>
            <w:shd w:val="clear" w:color="auto" w:fill="auto"/>
          </w:tcPr>
          <w:p w14:paraId="17A75820" w14:textId="77777777" w:rsidR="00810A91" w:rsidRPr="00604CBC" w:rsidRDefault="00810A91" w:rsidP="006E5E26">
            <w:pPr>
              <w:spacing w:before="240" w:after="120"/>
              <w:ind w:left="255"/>
              <w:rPr>
                <w:i/>
                <w:sz w:val="24"/>
              </w:rPr>
            </w:pPr>
            <w:r w:rsidRPr="00604CBC">
              <w:rPr>
                <w:i/>
                <w:sz w:val="24"/>
              </w:rPr>
              <w:t>Summary</w:t>
            </w:r>
          </w:p>
        </w:tc>
      </w:tr>
      <w:tr w:rsidR="005A43F4" w:rsidRPr="00604CBC" w14:paraId="070B9296" w14:textId="77777777" w:rsidTr="005A43F4">
        <w:trPr>
          <w:jc w:val="center"/>
        </w:trPr>
        <w:tc>
          <w:tcPr>
            <w:tcW w:w="9629" w:type="dxa"/>
            <w:shd w:val="clear" w:color="auto" w:fill="auto"/>
          </w:tcPr>
          <w:p w14:paraId="29489C66" w14:textId="7D846170" w:rsidR="005A43F4" w:rsidRPr="00604CBC" w:rsidRDefault="005A43F4" w:rsidP="005A43F4">
            <w:pPr>
              <w:tabs>
                <w:tab w:val="left" w:pos="3260"/>
              </w:tabs>
              <w:spacing w:after="120"/>
              <w:ind w:left="3260" w:right="1134" w:hanging="2126"/>
              <w:jc w:val="both"/>
            </w:pPr>
            <w:r w:rsidRPr="00604CBC">
              <w:rPr>
                <w:b/>
              </w:rPr>
              <w:t xml:space="preserve">Executive summary: </w:t>
            </w:r>
            <w:r w:rsidRPr="00604CBC">
              <w:tab/>
            </w:r>
            <w:r w:rsidR="00843E0E" w:rsidRPr="00604CBC">
              <w:t>Document</w:t>
            </w:r>
            <w:r w:rsidRPr="00604CBC">
              <w:t xml:space="preserve"> ST/SG/AC.10/C.3/2022/53 set out proposals to amend the definitions of UN 1075 and UN 1965.</w:t>
            </w:r>
          </w:p>
          <w:p w14:paraId="4F6594D5" w14:textId="05DBFF2E" w:rsidR="005A43F4" w:rsidRPr="00604CBC" w:rsidRDefault="005A43F4" w:rsidP="005A43F4">
            <w:pPr>
              <w:pStyle w:val="SingleTxtG"/>
              <w:ind w:left="3253"/>
              <w:rPr>
                <w:lang w:val="en-GB"/>
              </w:rPr>
            </w:pPr>
            <w:r w:rsidRPr="00604CBC">
              <w:rPr>
                <w:lang w:val="en-GB"/>
              </w:rPr>
              <w:t xml:space="preserve">This supplementary informal </w:t>
            </w:r>
            <w:r w:rsidR="002E3E3A" w:rsidRPr="00604CBC">
              <w:rPr>
                <w:lang w:val="en-GB"/>
              </w:rPr>
              <w:t>document</w:t>
            </w:r>
            <w:r w:rsidRPr="00604CBC">
              <w:rPr>
                <w:lang w:val="en-GB"/>
              </w:rPr>
              <w:t xml:space="preserve"> provides an alternative proposal/approach, by adding a new Special Provision </w:t>
            </w:r>
            <w:r w:rsidR="008F59FD" w:rsidRPr="00604CBC">
              <w:rPr>
                <w:lang w:val="en-GB"/>
              </w:rPr>
              <w:t xml:space="preserve">(SP) </w:t>
            </w:r>
            <w:r w:rsidRPr="00604CBC">
              <w:rPr>
                <w:lang w:val="en-GB"/>
              </w:rPr>
              <w:t>in 3.3.1 and referencing that SP against the two entries in the Dangerous Goods List in Chapter 3.2.</w:t>
            </w:r>
          </w:p>
        </w:tc>
      </w:tr>
      <w:tr w:rsidR="005A43F4" w:rsidRPr="00604CBC" w14:paraId="335B562D" w14:textId="77777777" w:rsidTr="005A43F4">
        <w:trPr>
          <w:jc w:val="center"/>
        </w:trPr>
        <w:tc>
          <w:tcPr>
            <w:tcW w:w="9629" w:type="dxa"/>
            <w:shd w:val="clear" w:color="auto" w:fill="auto"/>
          </w:tcPr>
          <w:p w14:paraId="05B6F183" w14:textId="62D33155" w:rsidR="005A43F4" w:rsidRPr="00604CBC" w:rsidRDefault="005A43F4" w:rsidP="005A43F4">
            <w:pPr>
              <w:tabs>
                <w:tab w:val="left" w:pos="3260"/>
              </w:tabs>
              <w:ind w:left="3260" w:right="1134" w:hanging="2126"/>
            </w:pPr>
            <w:r w:rsidRPr="00604CBC">
              <w:rPr>
                <w:b/>
              </w:rPr>
              <w:t>Action to be taken</w:t>
            </w:r>
            <w:r w:rsidRPr="00604CBC">
              <w:rPr>
                <w:b/>
              </w:rPr>
              <w:tab/>
            </w:r>
            <w:r w:rsidRPr="00604CBC">
              <w:rPr>
                <w:bCs/>
              </w:rPr>
              <w:t xml:space="preserve">Informal exchange of views on this second option of adding a Special Provision to these two UN numbers to cover the addition of </w:t>
            </w:r>
            <w:r w:rsidR="00EE5608" w:rsidRPr="00604CBC">
              <w:rPr>
                <w:bCs/>
              </w:rPr>
              <w:t>dimethyl ether (</w:t>
            </w:r>
            <w:r w:rsidRPr="00604CBC">
              <w:rPr>
                <w:bCs/>
              </w:rPr>
              <w:t>DME</w:t>
            </w:r>
            <w:r w:rsidR="00EE5608" w:rsidRPr="00604CBC">
              <w:rPr>
                <w:bCs/>
              </w:rPr>
              <w:t>)</w:t>
            </w:r>
            <w:r w:rsidRPr="00604CBC">
              <w:rPr>
                <w:bCs/>
              </w:rPr>
              <w:t xml:space="preserve"> and, in preparation of a formal detailed proposal </w:t>
            </w:r>
            <w:r w:rsidR="003E6D10" w:rsidRPr="00604CBC">
              <w:rPr>
                <w:bCs/>
              </w:rPr>
              <w:t>at</w:t>
            </w:r>
            <w:r w:rsidRPr="00604CBC">
              <w:rPr>
                <w:bCs/>
              </w:rPr>
              <w:t xml:space="preserve"> the next session</w:t>
            </w:r>
            <w:r w:rsidRPr="00604CBC">
              <w:t>.</w:t>
            </w:r>
          </w:p>
          <w:p w14:paraId="62034AD9" w14:textId="77777777" w:rsidR="005A43F4" w:rsidRPr="00604CBC" w:rsidRDefault="005A43F4" w:rsidP="005A43F4"/>
        </w:tc>
      </w:tr>
      <w:tr w:rsidR="005A43F4" w:rsidRPr="00604CBC" w14:paraId="170EDF0A" w14:textId="77777777" w:rsidTr="005A43F4">
        <w:trPr>
          <w:jc w:val="center"/>
        </w:trPr>
        <w:tc>
          <w:tcPr>
            <w:tcW w:w="9629" w:type="dxa"/>
            <w:shd w:val="clear" w:color="auto" w:fill="auto"/>
          </w:tcPr>
          <w:p w14:paraId="308F31FD" w14:textId="47860B79" w:rsidR="005A43F4" w:rsidRPr="00604CBC" w:rsidRDefault="005A43F4" w:rsidP="005A43F4">
            <w:pPr>
              <w:tabs>
                <w:tab w:val="left" w:pos="3260"/>
              </w:tabs>
              <w:ind w:left="3260" w:right="1134" w:hanging="2126"/>
              <w:rPr>
                <w:b/>
              </w:rPr>
            </w:pPr>
            <w:r w:rsidRPr="00604CBC">
              <w:rPr>
                <w:b/>
              </w:rPr>
              <w:t>Related document</w:t>
            </w:r>
            <w:r w:rsidR="00603450" w:rsidRPr="00604CBC">
              <w:rPr>
                <w:b/>
              </w:rPr>
              <w:t>(s)</w:t>
            </w:r>
            <w:r w:rsidRPr="00604CBC">
              <w:rPr>
                <w:b/>
              </w:rPr>
              <w:t>:</w:t>
            </w:r>
            <w:r w:rsidRPr="00604CBC">
              <w:rPr>
                <w:b/>
              </w:rPr>
              <w:tab/>
            </w:r>
            <w:r w:rsidRPr="00604CBC">
              <w:t>ST/SG/AC.10/C.3/2022/53</w:t>
            </w:r>
          </w:p>
          <w:p w14:paraId="1E35F543" w14:textId="77777777" w:rsidR="005A43F4" w:rsidRPr="00604CBC" w:rsidRDefault="005A43F4" w:rsidP="005A43F4">
            <w:pPr>
              <w:tabs>
                <w:tab w:val="left" w:pos="3260"/>
              </w:tabs>
              <w:ind w:left="3260" w:right="1134" w:hanging="2126"/>
              <w:rPr>
                <w:b/>
              </w:rPr>
            </w:pPr>
          </w:p>
        </w:tc>
      </w:tr>
    </w:tbl>
    <w:p w14:paraId="401BB7E4" w14:textId="479DFFF9" w:rsidR="00227F62" w:rsidRPr="00604CBC" w:rsidRDefault="00227F62" w:rsidP="00227F62">
      <w:pPr>
        <w:pStyle w:val="HChG"/>
        <w:rPr>
          <w:lang w:val="en-GB"/>
        </w:rPr>
      </w:pPr>
      <w:r w:rsidRPr="00604CBC">
        <w:rPr>
          <w:lang w:val="en-GB"/>
        </w:rPr>
        <w:tab/>
      </w:r>
      <w:r w:rsidRPr="00604CBC">
        <w:rPr>
          <w:lang w:val="en-GB"/>
        </w:rPr>
        <w:tab/>
        <w:t>Background</w:t>
      </w:r>
    </w:p>
    <w:p w14:paraId="25055AA9" w14:textId="25DD8FF5" w:rsidR="00227F62" w:rsidRPr="00604CBC" w:rsidRDefault="00227F62" w:rsidP="00227F62">
      <w:pPr>
        <w:pStyle w:val="SingleTxtG"/>
        <w:rPr>
          <w:lang w:val="en-GB"/>
        </w:rPr>
      </w:pPr>
      <w:r w:rsidRPr="00604CBC">
        <w:rPr>
          <w:lang w:val="en-GB"/>
        </w:rPr>
        <w:tab/>
        <w:t>1.</w:t>
      </w:r>
      <w:r w:rsidRPr="00604CBC">
        <w:rPr>
          <w:lang w:val="en-GB"/>
        </w:rPr>
        <w:tab/>
        <w:t>Document ST/SG/AC.10/C.3/2022/53 contains the background information on the way that the LPG industry is changing and adapting to meet its renewables goals.</w:t>
      </w:r>
    </w:p>
    <w:p w14:paraId="4B53A8F9" w14:textId="33974AB1" w:rsidR="00227F62" w:rsidRPr="00604CBC" w:rsidRDefault="00227F62" w:rsidP="00227F62">
      <w:pPr>
        <w:pStyle w:val="HChG"/>
        <w:rPr>
          <w:lang w:val="en-GB"/>
        </w:rPr>
      </w:pPr>
      <w:r w:rsidRPr="00604CBC">
        <w:rPr>
          <w:lang w:val="en-GB"/>
        </w:rPr>
        <w:tab/>
      </w:r>
      <w:r w:rsidRPr="00604CBC">
        <w:rPr>
          <w:lang w:val="en-GB"/>
        </w:rPr>
        <w:tab/>
        <w:t>Proposal</w:t>
      </w:r>
    </w:p>
    <w:p w14:paraId="2C6CF47E" w14:textId="2D2D1F18" w:rsidR="00227F62" w:rsidRPr="00604CBC" w:rsidRDefault="005E268D" w:rsidP="00227F62">
      <w:pPr>
        <w:pStyle w:val="SingleTxtG"/>
        <w:rPr>
          <w:lang w:val="en-GB"/>
        </w:rPr>
      </w:pPr>
      <w:r w:rsidRPr="00604CBC">
        <w:rPr>
          <w:lang w:val="en-GB"/>
        </w:rPr>
        <w:tab/>
        <w:t>2.</w:t>
      </w:r>
      <w:r w:rsidRPr="00604CBC">
        <w:rPr>
          <w:lang w:val="en-GB"/>
        </w:rPr>
        <w:tab/>
      </w:r>
      <w:r w:rsidR="00683277" w:rsidRPr="00604CBC">
        <w:rPr>
          <w:lang w:val="en-GB"/>
        </w:rPr>
        <w:t>Document</w:t>
      </w:r>
      <w:r w:rsidR="00227F62" w:rsidRPr="00604CBC">
        <w:rPr>
          <w:lang w:val="en-GB"/>
        </w:rPr>
        <w:t xml:space="preserve"> ST/SG/AC.10/C.3/2022/53 set out a proposal for amendment of the descriptions of UN 1075 PETROLEUM GASES, LIQUEFIED and UN 1965 HYDROCARBON GASE MIXTURES, LIQUEFIED, N.O.S. This information paper contains an alternative proposal, which is to add a new Special Provision to Chapter 3.3 (3.3.1) and to reference that new Special Provision against the entries for UN 1075 and UN 1965 in the Dangerous Good List in Chapter 3.2 (3.2.2).</w:t>
      </w:r>
    </w:p>
    <w:p w14:paraId="6AEC507A" w14:textId="60682AED" w:rsidR="00227F62" w:rsidRPr="00604CBC" w:rsidRDefault="005E268D" w:rsidP="005E268D">
      <w:pPr>
        <w:pStyle w:val="SingleTxtG"/>
        <w:rPr>
          <w:lang w:val="en-GB"/>
        </w:rPr>
      </w:pPr>
      <w:r w:rsidRPr="00604CBC">
        <w:rPr>
          <w:lang w:val="en-GB"/>
        </w:rPr>
        <w:tab/>
        <w:t>3.</w:t>
      </w:r>
      <w:r w:rsidRPr="00604CBC">
        <w:rPr>
          <w:lang w:val="en-GB"/>
        </w:rPr>
        <w:tab/>
      </w:r>
      <w:r w:rsidR="00227F62" w:rsidRPr="00604CBC">
        <w:rPr>
          <w:lang w:val="en-GB"/>
        </w:rPr>
        <w:t>Amend the Dangerous Goods List in 3.2.2 as follows:</w:t>
      </w:r>
    </w:p>
    <w:tbl>
      <w:tblPr>
        <w:tblStyle w:val="TableGrid"/>
        <w:tblpPr w:leftFromText="180" w:rightFromText="180" w:vertAnchor="page" w:horzAnchor="margin" w:tblpXSpec="center" w:tblpY="1487"/>
        <w:tblW w:w="0" w:type="auto"/>
        <w:tblLook w:val="04A0" w:firstRow="1" w:lastRow="0" w:firstColumn="1" w:lastColumn="0" w:noHBand="0" w:noVBand="1"/>
      </w:tblPr>
      <w:tblGrid>
        <w:gridCol w:w="846"/>
        <w:gridCol w:w="2835"/>
        <w:gridCol w:w="992"/>
        <w:gridCol w:w="992"/>
        <w:gridCol w:w="993"/>
        <w:gridCol w:w="1050"/>
      </w:tblGrid>
      <w:tr w:rsidR="00114ECE" w:rsidRPr="00604CBC" w14:paraId="4468C6D2" w14:textId="77777777" w:rsidTr="00114ECE">
        <w:trPr>
          <w:trHeight w:val="844"/>
        </w:trPr>
        <w:tc>
          <w:tcPr>
            <w:tcW w:w="846" w:type="dxa"/>
            <w:vAlign w:val="center"/>
          </w:tcPr>
          <w:p w14:paraId="6D545CD6" w14:textId="77777777" w:rsidR="00114ECE" w:rsidRPr="00604CBC" w:rsidRDefault="00114ECE" w:rsidP="00114ECE">
            <w:pPr>
              <w:pStyle w:val="Default"/>
              <w:ind w:right="131"/>
              <w:jc w:val="center"/>
              <w:rPr>
                <w:b/>
                <w:bCs/>
                <w:sz w:val="20"/>
                <w:szCs w:val="20"/>
                <w:lang w:val="en-GB"/>
              </w:rPr>
            </w:pPr>
            <w:r w:rsidRPr="00604CBC">
              <w:rPr>
                <w:b/>
                <w:bCs/>
                <w:sz w:val="20"/>
                <w:szCs w:val="20"/>
                <w:lang w:val="en-GB"/>
              </w:rPr>
              <w:lastRenderedPageBreak/>
              <w:t>UN</w:t>
            </w:r>
          </w:p>
          <w:p w14:paraId="587A73AE" w14:textId="77777777" w:rsidR="00114ECE" w:rsidRPr="00604CBC" w:rsidRDefault="00114ECE" w:rsidP="00114ECE">
            <w:pPr>
              <w:pStyle w:val="Default"/>
              <w:ind w:right="131"/>
              <w:jc w:val="center"/>
              <w:rPr>
                <w:b/>
                <w:bCs/>
                <w:sz w:val="20"/>
                <w:szCs w:val="20"/>
                <w:lang w:val="en-GB"/>
              </w:rPr>
            </w:pPr>
            <w:r w:rsidRPr="00604CBC">
              <w:rPr>
                <w:b/>
                <w:bCs/>
                <w:sz w:val="20"/>
                <w:szCs w:val="20"/>
                <w:lang w:val="en-GB"/>
              </w:rPr>
              <w:t>No.</w:t>
            </w:r>
          </w:p>
        </w:tc>
        <w:tc>
          <w:tcPr>
            <w:tcW w:w="2835" w:type="dxa"/>
            <w:vAlign w:val="center"/>
          </w:tcPr>
          <w:p w14:paraId="6CB4B073" w14:textId="77777777" w:rsidR="00114ECE" w:rsidRPr="00604CBC" w:rsidRDefault="00114ECE" w:rsidP="00114ECE">
            <w:pPr>
              <w:pStyle w:val="Default"/>
              <w:ind w:right="129"/>
              <w:jc w:val="center"/>
              <w:rPr>
                <w:b/>
                <w:bCs/>
                <w:sz w:val="20"/>
                <w:szCs w:val="20"/>
                <w:lang w:val="en-GB"/>
              </w:rPr>
            </w:pPr>
            <w:r w:rsidRPr="00604CBC">
              <w:rPr>
                <w:b/>
                <w:bCs/>
                <w:sz w:val="20"/>
                <w:szCs w:val="20"/>
                <w:lang w:val="en-GB"/>
              </w:rPr>
              <w:t>Name and description</w:t>
            </w:r>
          </w:p>
        </w:tc>
        <w:tc>
          <w:tcPr>
            <w:tcW w:w="992" w:type="dxa"/>
            <w:vAlign w:val="center"/>
          </w:tcPr>
          <w:p w14:paraId="6AE22E9A" w14:textId="77777777" w:rsidR="00114ECE" w:rsidRPr="00604CBC" w:rsidRDefault="00114ECE" w:rsidP="00114ECE">
            <w:pPr>
              <w:pStyle w:val="Default"/>
              <w:tabs>
                <w:tab w:val="left" w:pos="1126"/>
              </w:tabs>
              <w:spacing w:before="240"/>
              <w:ind w:right="-6"/>
              <w:jc w:val="center"/>
              <w:rPr>
                <w:b/>
                <w:bCs/>
                <w:sz w:val="20"/>
                <w:szCs w:val="20"/>
                <w:lang w:val="en-GB"/>
              </w:rPr>
            </w:pPr>
            <w:r w:rsidRPr="00604CBC">
              <w:rPr>
                <w:b/>
                <w:bCs/>
                <w:sz w:val="20"/>
                <w:szCs w:val="20"/>
                <w:lang w:val="en-GB"/>
              </w:rPr>
              <w:t>Class or division</w:t>
            </w:r>
          </w:p>
        </w:tc>
        <w:tc>
          <w:tcPr>
            <w:tcW w:w="992" w:type="dxa"/>
            <w:vAlign w:val="center"/>
          </w:tcPr>
          <w:p w14:paraId="0222A97C" w14:textId="77777777" w:rsidR="00114ECE" w:rsidRPr="00604CBC" w:rsidRDefault="00114ECE" w:rsidP="00114ECE">
            <w:pPr>
              <w:pStyle w:val="Default"/>
              <w:spacing w:before="240"/>
              <w:jc w:val="center"/>
              <w:rPr>
                <w:b/>
                <w:bCs/>
                <w:sz w:val="20"/>
                <w:szCs w:val="20"/>
                <w:lang w:val="en-GB"/>
              </w:rPr>
            </w:pPr>
            <w:r w:rsidRPr="00604CBC">
              <w:rPr>
                <w:b/>
                <w:bCs/>
                <w:sz w:val="20"/>
                <w:szCs w:val="20"/>
                <w:lang w:val="en-GB"/>
              </w:rPr>
              <w:t>Subsidiary hazard</w:t>
            </w:r>
          </w:p>
        </w:tc>
        <w:tc>
          <w:tcPr>
            <w:tcW w:w="993" w:type="dxa"/>
            <w:vAlign w:val="center"/>
          </w:tcPr>
          <w:p w14:paraId="06CC9DF1" w14:textId="77777777" w:rsidR="00114ECE" w:rsidRPr="00604CBC" w:rsidRDefault="00114ECE" w:rsidP="00114ECE">
            <w:pPr>
              <w:pStyle w:val="Default"/>
              <w:spacing w:before="240"/>
              <w:ind w:right="72"/>
              <w:jc w:val="center"/>
              <w:rPr>
                <w:b/>
                <w:bCs/>
                <w:sz w:val="20"/>
                <w:szCs w:val="20"/>
                <w:lang w:val="en-GB"/>
              </w:rPr>
            </w:pPr>
            <w:r w:rsidRPr="00604CBC">
              <w:rPr>
                <w:b/>
                <w:bCs/>
                <w:sz w:val="20"/>
                <w:szCs w:val="20"/>
                <w:lang w:val="en-GB"/>
              </w:rPr>
              <w:t>UN packing group</w:t>
            </w:r>
          </w:p>
        </w:tc>
        <w:tc>
          <w:tcPr>
            <w:tcW w:w="1050" w:type="dxa"/>
            <w:vAlign w:val="center"/>
          </w:tcPr>
          <w:p w14:paraId="72D3DA40" w14:textId="77777777" w:rsidR="00114ECE" w:rsidRPr="00604CBC" w:rsidRDefault="00114ECE" w:rsidP="00114ECE">
            <w:pPr>
              <w:pStyle w:val="Default"/>
              <w:spacing w:before="240"/>
              <w:ind w:left="69" w:right="131" w:hanging="69"/>
              <w:jc w:val="center"/>
              <w:rPr>
                <w:b/>
                <w:bCs/>
                <w:sz w:val="20"/>
                <w:szCs w:val="20"/>
                <w:lang w:val="en-GB"/>
              </w:rPr>
            </w:pPr>
            <w:r w:rsidRPr="00604CBC">
              <w:rPr>
                <w:b/>
                <w:bCs/>
                <w:sz w:val="20"/>
                <w:szCs w:val="20"/>
                <w:lang w:val="en-GB"/>
              </w:rPr>
              <w:t>Special provision</w:t>
            </w:r>
          </w:p>
        </w:tc>
      </w:tr>
      <w:tr w:rsidR="00114ECE" w:rsidRPr="00604CBC" w14:paraId="48F93663" w14:textId="77777777" w:rsidTr="00114ECE">
        <w:trPr>
          <w:trHeight w:val="432"/>
        </w:trPr>
        <w:tc>
          <w:tcPr>
            <w:tcW w:w="846" w:type="dxa"/>
            <w:vAlign w:val="center"/>
          </w:tcPr>
          <w:p w14:paraId="02A0417B" w14:textId="77777777" w:rsidR="00114ECE" w:rsidRPr="00604CBC" w:rsidRDefault="00114ECE" w:rsidP="00114ECE">
            <w:pPr>
              <w:pStyle w:val="Default"/>
              <w:jc w:val="center"/>
              <w:rPr>
                <w:b/>
                <w:bCs/>
                <w:sz w:val="20"/>
                <w:szCs w:val="20"/>
                <w:lang w:val="en-GB"/>
              </w:rPr>
            </w:pPr>
            <w:r w:rsidRPr="00604CBC">
              <w:rPr>
                <w:b/>
                <w:bCs/>
                <w:sz w:val="20"/>
                <w:szCs w:val="20"/>
                <w:lang w:val="en-GB"/>
              </w:rPr>
              <w:t>(1)</w:t>
            </w:r>
          </w:p>
        </w:tc>
        <w:tc>
          <w:tcPr>
            <w:tcW w:w="2835" w:type="dxa"/>
            <w:vAlign w:val="center"/>
          </w:tcPr>
          <w:p w14:paraId="58FCC155" w14:textId="77777777" w:rsidR="00114ECE" w:rsidRPr="00604CBC" w:rsidRDefault="00114ECE" w:rsidP="00114ECE">
            <w:pPr>
              <w:pStyle w:val="Default"/>
              <w:ind w:right="424"/>
              <w:jc w:val="center"/>
              <w:rPr>
                <w:b/>
                <w:bCs/>
                <w:sz w:val="20"/>
                <w:szCs w:val="20"/>
                <w:lang w:val="en-GB"/>
              </w:rPr>
            </w:pPr>
            <w:r w:rsidRPr="00604CBC">
              <w:rPr>
                <w:b/>
                <w:bCs/>
                <w:sz w:val="20"/>
                <w:szCs w:val="20"/>
                <w:lang w:val="en-GB"/>
              </w:rPr>
              <w:t>(2)</w:t>
            </w:r>
          </w:p>
        </w:tc>
        <w:tc>
          <w:tcPr>
            <w:tcW w:w="992" w:type="dxa"/>
            <w:vAlign w:val="center"/>
          </w:tcPr>
          <w:p w14:paraId="7391B5D1" w14:textId="77777777" w:rsidR="00114ECE" w:rsidRPr="00604CBC" w:rsidRDefault="00114ECE" w:rsidP="00114ECE">
            <w:pPr>
              <w:pStyle w:val="Default"/>
              <w:jc w:val="center"/>
              <w:rPr>
                <w:b/>
                <w:bCs/>
                <w:sz w:val="20"/>
                <w:szCs w:val="20"/>
                <w:lang w:val="en-GB"/>
              </w:rPr>
            </w:pPr>
            <w:r w:rsidRPr="00604CBC">
              <w:rPr>
                <w:b/>
                <w:bCs/>
                <w:sz w:val="20"/>
                <w:szCs w:val="20"/>
                <w:lang w:val="en-GB"/>
              </w:rPr>
              <w:t>(3)</w:t>
            </w:r>
          </w:p>
        </w:tc>
        <w:tc>
          <w:tcPr>
            <w:tcW w:w="992" w:type="dxa"/>
            <w:vAlign w:val="center"/>
          </w:tcPr>
          <w:p w14:paraId="37F8FEE6" w14:textId="77777777" w:rsidR="00114ECE" w:rsidRPr="00604CBC" w:rsidRDefault="00114ECE" w:rsidP="00114ECE">
            <w:pPr>
              <w:pStyle w:val="Default"/>
              <w:jc w:val="center"/>
              <w:rPr>
                <w:b/>
                <w:bCs/>
                <w:sz w:val="20"/>
                <w:szCs w:val="20"/>
                <w:lang w:val="en-GB"/>
              </w:rPr>
            </w:pPr>
            <w:r w:rsidRPr="00604CBC">
              <w:rPr>
                <w:b/>
                <w:bCs/>
                <w:sz w:val="20"/>
                <w:szCs w:val="20"/>
                <w:lang w:val="en-GB"/>
              </w:rPr>
              <w:t>(4)</w:t>
            </w:r>
          </w:p>
        </w:tc>
        <w:tc>
          <w:tcPr>
            <w:tcW w:w="993" w:type="dxa"/>
            <w:vAlign w:val="center"/>
          </w:tcPr>
          <w:p w14:paraId="66578DA7" w14:textId="77777777" w:rsidR="00114ECE" w:rsidRPr="00604CBC" w:rsidRDefault="00114ECE" w:rsidP="00114ECE">
            <w:pPr>
              <w:pStyle w:val="Default"/>
              <w:jc w:val="center"/>
              <w:rPr>
                <w:b/>
                <w:bCs/>
                <w:sz w:val="20"/>
                <w:szCs w:val="20"/>
                <w:lang w:val="en-GB"/>
              </w:rPr>
            </w:pPr>
            <w:r w:rsidRPr="00604CBC">
              <w:rPr>
                <w:b/>
                <w:bCs/>
                <w:sz w:val="20"/>
                <w:szCs w:val="20"/>
                <w:lang w:val="en-GB"/>
              </w:rPr>
              <w:t>(5)</w:t>
            </w:r>
          </w:p>
        </w:tc>
        <w:tc>
          <w:tcPr>
            <w:tcW w:w="1050" w:type="dxa"/>
            <w:vAlign w:val="center"/>
          </w:tcPr>
          <w:p w14:paraId="47E2202D" w14:textId="77777777" w:rsidR="00114ECE" w:rsidRPr="00604CBC" w:rsidRDefault="00114ECE" w:rsidP="00114ECE">
            <w:pPr>
              <w:pStyle w:val="Default"/>
              <w:ind w:right="56"/>
              <w:jc w:val="center"/>
              <w:rPr>
                <w:b/>
                <w:bCs/>
                <w:sz w:val="20"/>
                <w:szCs w:val="20"/>
                <w:lang w:val="en-GB"/>
              </w:rPr>
            </w:pPr>
            <w:r w:rsidRPr="00604CBC">
              <w:rPr>
                <w:b/>
                <w:bCs/>
                <w:sz w:val="20"/>
                <w:szCs w:val="20"/>
                <w:lang w:val="en-GB"/>
              </w:rPr>
              <w:t>(6)</w:t>
            </w:r>
          </w:p>
        </w:tc>
      </w:tr>
      <w:tr w:rsidR="00114ECE" w:rsidRPr="00604CBC" w14:paraId="7D4622ED" w14:textId="77777777" w:rsidTr="00114ECE">
        <w:tc>
          <w:tcPr>
            <w:tcW w:w="846" w:type="dxa"/>
          </w:tcPr>
          <w:p w14:paraId="1BA85E37" w14:textId="77777777" w:rsidR="00114ECE" w:rsidRPr="00604CBC" w:rsidRDefault="00114ECE" w:rsidP="00114ECE">
            <w:pPr>
              <w:pStyle w:val="Default"/>
              <w:jc w:val="center"/>
              <w:rPr>
                <w:sz w:val="20"/>
                <w:szCs w:val="20"/>
                <w:lang w:val="en-GB"/>
              </w:rPr>
            </w:pPr>
            <w:r w:rsidRPr="00604CBC">
              <w:rPr>
                <w:sz w:val="20"/>
                <w:szCs w:val="20"/>
                <w:lang w:val="en-GB"/>
              </w:rPr>
              <w:t>1075</w:t>
            </w:r>
          </w:p>
        </w:tc>
        <w:tc>
          <w:tcPr>
            <w:tcW w:w="2835" w:type="dxa"/>
          </w:tcPr>
          <w:p w14:paraId="25332D30" w14:textId="77777777" w:rsidR="00114ECE" w:rsidRPr="00604CBC" w:rsidRDefault="00114ECE" w:rsidP="00114ECE">
            <w:pPr>
              <w:pStyle w:val="Default"/>
              <w:rPr>
                <w:sz w:val="20"/>
                <w:szCs w:val="20"/>
                <w:lang w:val="en-GB"/>
              </w:rPr>
            </w:pPr>
            <w:r w:rsidRPr="00604CBC">
              <w:rPr>
                <w:sz w:val="20"/>
                <w:szCs w:val="20"/>
                <w:lang w:val="en-GB"/>
              </w:rPr>
              <w:t>PETROLEUM GASES, LIQUEFIED</w:t>
            </w:r>
          </w:p>
        </w:tc>
        <w:tc>
          <w:tcPr>
            <w:tcW w:w="992" w:type="dxa"/>
          </w:tcPr>
          <w:p w14:paraId="37594FAC" w14:textId="77777777" w:rsidR="00114ECE" w:rsidRPr="00604CBC" w:rsidRDefault="00114ECE" w:rsidP="00114ECE">
            <w:pPr>
              <w:pStyle w:val="Default"/>
              <w:ind w:right="-6"/>
              <w:jc w:val="center"/>
              <w:rPr>
                <w:sz w:val="20"/>
                <w:szCs w:val="20"/>
                <w:lang w:val="en-GB"/>
              </w:rPr>
            </w:pPr>
            <w:r w:rsidRPr="00604CBC">
              <w:rPr>
                <w:sz w:val="20"/>
                <w:szCs w:val="20"/>
                <w:lang w:val="en-GB"/>
              </w:rPr>
              <w:t>2.1</w:t>
            </w:r>
          </w:p>
        </w:tc>
        <w:tc>
          <w:tcPr>
            <w:tcW w:w="992" w:type="dxa"/>
          </w:tcPr>
          <w:p w14:paraId="78524D07" w14:textId="77777777" w:rsidR="00114ECE" w:rsidRPr="00604CBC" w:rsidRDefault="00114ECE" w:rsidP="00114ECE">
            <w:pPr>
              <w:pStyle w:val="Default"/>
              <w:ind w:right="424"/>
              <w:jc w:val="center"/>
              <w:rPr>
                <w:sz w:val="20"/>
                <w:szCs w:val="20"/>
                <w:lang w:val="en-GB"/>
              </w:rPr>
            </w:pPr>
          </w:p>
        </w:tc>
        <w:tc>
          <w:tcPr>
            <w:tcW w:w="993" w:type="dxa"/>
          </w:tcPr>
          <w:p w14:paraId="0861F3B1" w14:textId="77777777" w:rsidR="00114ECE" w:rsidRPr="00604CBC" w:rsidRDefault="00114ECE" w:rsidP="00114ECE">
            <w:pPr>
              <w:pStyle w:val="Default"/>
              <w:ind w:right="424"/>
              <w:jc w:val="center"/>
              <w:rPr>
                <w:sz w:val="20"/>
                <w:szCs w:val="20"/>
                <w:lang w:val="en-GB"/>
              </w:rPr>
            </w:pPr>
          </w:p>
        </w:tc>
        <w:tc>
          <w:tcPr>
            <w:tcW w:w="1050" w:type="dxa"/>
          </w:tcPr>
          <w:p w14:paraId="30CE8161" w14:textId="5606F090" w:rsidR="00114ECE" w:rsidRPr="00604CBC" w:rsidRDefault="00114ECE" w:rsidP="00114ECE">
            <w:pPr>
              <w:pStyle w:val="Default"/>
              <w:jc w:val="center"/>
              <w:rPr>
                <w:sz w:val="20"/>
                <w:szCs w:val="20"/>
                <w:u w:val="single"/>
                <w:lang w:val="en-GB"/>
              </w:rPr>
            </w:pPr>
            <w:r w:rsidRPr="00604CBC">
              <w:rPr>
                <w:sz w:val="20"/>
                <w:szCs w:val="20"/>
                <w:lang w:val="en-GB"/>
              </w:rPr>
              <w:t>392</w:t>
            </w:r>
            <w:r w:rsidR="006C5995" w:rsidRPr="00604CBC">
              <w:rPr>
                <w:sz w:val="20"/>
                <w:szCs w:val="20"/>
                <w:lang w:val="en-GB"/>
              </w:rPr>
              <w:t>,</w:t>
            </w:r>
            <w:r w:rsidRPr="00604CBC">
              <w:rPr>
                <w:sz w:val="20"/>
                <w:szCs w:val="20"/>
                <w:lang w:val="en-GB"/>
              </w:rPr>
              <w:t xml:space="preserve"> </w:t>
            </w:r>
            <w:r w:rsidRPr="00604CBC">
              <w:rPr>
                <w:sz w:val="20"/>
                <w:szCs w:val="20"/>
                <w:u w:val="single"/>
                <w:lang w:val="en-GB"/>
              </w:rPr>
              <w:t>XXX</w:t>
            </w:r>
          </w:p>
        </w:tc>
      </w:tr>
      <w:tr w:rsidR="00114ECE" w:rsidRPr="00604CBC" w14:paraId="4613DA9B" w14:textId="77777777" w:rsidTr="00114ECE">
        <w:tc>
          <w:tcPr>
            <w:tcW w:w="846" w:type="dxa"/>
          </w:tcPr>
          <w:p w14:paraId="06B6E340" w14:textId="77777777" w:rsidR="00114ECE" w:rsidRPr="00604CBC" w:rsidRDefault="00114ECE" w:rsidP="00114ECE">
            <w:pPr>
              <w:pStyle w:val="Default"/>
              <w:tabs>
                <w:tab w:val="left" w:pos="840"/>
              </w:tabs>
              <w:jc w:val="center"/>
              <w:rPr>
                <w:sz w:val="20"/>
                <w:szCs w:val="20"/>
                <w:lang w:val="en-GB"/>
              </w:rPr>
            </w:pPr>
            <w:r w:rsidRPr="00604CBC">
              <w:rPr>
                <w:sz w:val="20"/>
                <w:szCs w:val="20"/>
                <w:lang w:val="en-GB"/>
              </w:rPr>
              <w:t>1965</w:t>
            </w:r>
          </w:p>
        </w:tc>
        <w:tc>
          <w:tcPr>
            <w:tcW w:w="2835" w:type="dxa"/>
          </w:tcPr>
          <w:p w14:paraId="3138B92F" w14:textId="77777777" w:rsidR="00114ECE" w:rsidRPr="00604CBC" w:rsidRDefault="00114ECE" w:rsidP="00114ECE">
            <w:pPr>
              <w:pStyle w:val="Default"/>
              <w:rPr>
                <w:sz w:val="20"/>
                <w:szCs w:val="20"/>
                <w:lang w:val="en-GB"/>
              </w:rPr>
            </w:pPr>
            <w:r w:rsidRPr="00604CBC">
              <w:rPr>
                <w:sz w:val="20"/>
                <w:szCs w:val="20"/>
                <w:lang w:val="en-GB"/>
              </w:rPr>
              <w:t>HYDROCARBON GAS MIXTURE, LIQUEFIED, N.O.S.</w:t>
            </w:r>
          </w:p>
        </w:tc>
        <w:tc>
          <w:tcPr>
            <w:tcW w:w="992" w:type="dxa"/>
          </w:tcPr>
          <w:p w14:paraId="68251CFC" w14:textId="77777777" w:rsidR="00114ECE" w:rsidRPr="00604CBC" w:rsidRDefault="00114ECE" w:rsidP="00114ECE">
            <w:pPr>
              <w:pStyle w:val="Default"/>
              <w:jc w:val="center"/>
              <w:rPr>
                <w:sz w:val="20"/>
                <w:szCs w:val="20"/>
                <w:lang w:val="en-GB"/>
              </w:rPr>
            </w:pPr>
            <w:r w:rsidRPr="00604CBC">
              <w:rPr>
                <w:sz w:val="20"/>
                <w:szCs w:val="20"/>
                <w:lang w:val="en-GB"/>
              </w:rPr>
              <w:t>2.1</w:t>
            </w:r>
          </w:p>
        </w:tc>
        <w:tc>
          <w:tcPr>
            <w:tcW w:w="992" w:type="dxa"/>
          </w:tcPr>
          <w:p w14:paraId="72D5D260" w14:textId="77777777" w:rsidR="00114ECE" w:rsidRPr="00604CBC" w:rsidRDefault="00114ECE" w:rsidP="00114ECE">
            <w:pPr>
              <w:pStyle w:val="Default"/>
              <w:ind w:right="424"/>
              <w:jc w:val="center"/>
              <w:rPr>
                <w:sz w:val="20"/>
                <w:szCs w:val="20"/>
                <w:lang w:val="en-GB"/>
              </w:rPr>
            </w:pPr>
          </w:p>
        </w:tc>
        <w:tc>
          <w:tcPr>
            <w:tcW w:w="993" w:type="dxa"/>
          </w:tcPr>
          <w:p w14:paraId="0FF49D1F" w14:textId="77777777" w:rsidR="00114ECE" w:rsidRPr="00604CBC" w:rsidRDefault="00114ECE" w:rsidP="00114ECE">
            <w:pPr>
              <w:pStyle w:val="Default"/>
              <w:ind w:right="424"/>
              <w:jc w:val="center"/>
              <w:rPr>
                <w:sz w:val="20"/>
                <w:szCs w:val="20"/>
                <w:lang w:val="en-GB"/>
              </w:rPr>
            </w:pPr>
          </w:p>
        </w:tc>
        <w:tc>
          <w:tcPr>
            <w:tcW w:w="1050" w:type="dxa"/>
          </w:tcPr>
          <w:p w14:paraId="363C65A2" w14:textId="77777777" w:rsidR="00114ECE" w:rsidRPr="00604CBC" w:rsidRDefault="00114ECE" w:rsidP="00114ECE">
            <w:pPr>
              <w:pStyle w:val="Default"/>
              <w:ind w:right="56"/>
              <w:jc w:val="center"/>
              <w:rPr>
                <w:sz w:val="20"/>
                <w:szCs w:val="20"/>
                <w:u w:val="single"/>
                <w:lang w:val="en-GB"/>
              </w:rPr>
            </w:pPr>
            <w:r w:rsidRPr="00604CBC">
              <w:rPr>
                <w:sz w:val="20"/>
                <w:szCs w:val="20"/>
                <w:lang w:val="en-GB"/>
              </w:rPr>
              <w:t xml:space="preserve">274, 392, </w:t>
            </w:r>
            <w:r w:rsidRPr="00604CBC">
              <w:rPr>
                <w:sz w:val="20"/>
                <w:szCs w:val="20"/>
                <w:u w:val="single"/>
                <w:lang w:val="en-GB"/>
              </w:rPr>
              <w:t>XXX</w:t>
            </w:r>
          </w:p>
        </w:tc>
      </w:tr>
    </w:tbl>
    <w:p w14:paraId="10DCEE2F" w14:textId="7299F9F4" w:rsidR="00227F62" w:rsidRPr="00604CBC" w:rsidRDefault="00114ECE" w:rsidP="00046FAB">
      <w:pPr>
        <w:pStyle w:val="SingleTxtG"/>
        <w:spacing w:before="240"/>
        <w:rPr>
          <w:lang w:val="en-GB"/>
        </w:rPr>
      </w:pPr>
      <w:r w:rsidRPr="00604CBC">
        <w:rPr>
          <w:lang w:val="en-GB"/>
        </w:rPr>
        <w:tab/>
        <w:t>4.</w:t>
      </w:r>
      <w:r w:rsidRPr="00604CBC">
        <w:rPr>
          <w:lang w:val="en-GB"/>
        </w:rPr>
        <w:tab/>
      </w:r>
      <w:r w:rsidR="00227F62" w:rsidRPr="00604CBC">
        <w:rPr>
          <w:lang w:val="en-GB"/>
        </w:rPr>
        <w:t>Add a new Special Provision ’XXX’ in 3.3.1:</w:t>
      </w:r>
    </w:p>
    <w:p w14:paraId="06AA348E" w14:textId="607F87C3" w:rsidR="00227F62" w:rsidRPr="00604CBC" w:rsidRDefault="00604CBC" w:rsidP="00513BBD">
      <w:pPr>
        <w:pStyle w:val="SingleTxtG"/>
        <w:tabs>
          <w:tab w:val="left" w:pos="2977"/>
        </w:tabs>
        <w:ind w:left="1701"/>
        <w:rPr>
          <w:lang w:val="en-GB"/>
        </w:rPr>
      </w:pPr>
      <w:r>
        <w:rPr>
          <w:lang w:val="en-GB"/>
        </w:rPr>
        <w:t>“</w:t>
      </w:r>
      <w:r w:rsidR="00227F62" w:rsidRPr="00604CBC">
        <w:rPr>
          <w:lang w:val="en-GB"/>
        </w:rPr>
        <w:t>XXX</w:t>
      </w:r>
      <w:r w:rsidR="00227F62" w:rsidRPr="00604CBC">
        <w:rPr>
          <w:lang w:val="en-GB"/>
        </w:rPr>
        <w:tab/>
      </w:r>
      <w:r w:rsidR="00046FAB" w:rsidRPr="00604CBC">
        <w:rPr>
          <w:lang w:val="en-GB"/>
        </w:rPr>
        <w:t>T</w:t>
      </w:r>
      <w:r w:rsidR="00227F62" w:rsidRPr="00604CBC">
        <w:rPr>
          <w:lang w:val="en-GB"/>
        </w:rPr>
        <w:t>his substance may contain hydrocarbon gases from non-petroleum sources and may also contain up to XX</w:t>
      </w:r>
      <w:r w:rsidR="00C5795A">
        <w:rPr>
          <w:lang w:val="en-GB"/>
        </w:rPr>
        <w:t xml:space="preserve"> </w:t>
      </w:r>
      <w:r w:rsidR="00227F62" w:rsidRPr="00604CBC">
        <w:rPr>
          <w:lang w:val="en-GB"/>
        </w:rPr>
        <w:t>% by mass of UN 1033 DIMETHYL ETHER.</w:t>
      </w:r>
      <w:r w:rsidR="002D0075">
        <w:rPr>
          <w:lang w:val="en-GB"/>
        </w:rPr>
        <w:t>”</w:t>
      </w:r>
    </w:p>
    <w:p w14:paraId="4AAED6E5" w14:textId="410A8728" w:rsidR="00227F62" w:rsidRPr="00604CBC" w:rsidRDefault="00227F62" w:rsidP="00E5228C">
      <w:pPr>
        <w:pStyle w:val="SingleTxtG"/>
        <w:rPr>
          <w:lang w:val="en-GB"/>
        </w:rPr>
      </w:pPr>
      <w:r w:rsidRPr="00604CBC">
        <w:rPr>
          <w:lang w:val="en-GB"/>
        </w:rPr>
        <w:t xml:space="preserve">Note - The quantity XX of DME, i.e. the drop-in level of DME in the LPG/DME blend, allowing full compatibility with existing LPG infrastructure equipment and appliances, without any impact to safety, is expected to be in the range of 10 % to 20 %. Ongoing research has already confirmed full compatibility at 10 % by mass, and this figure is expected to increase with the completion of the research work. This will be firmly defined and formally submitted for the June/July 2023 </w:t>
      </w:r>
      <w:r w:rsidR="00E64D43">
        <w:rPr>
          <w:lang w:val="en-GB"/>
        </w:rPr>
        <w:t>session</w:t>
      </w:r>
      <w:r w:rsidRPr="00604CBC">
        <w:rPr>
          <w:lang w:val="en-GB"/>
        </w:rPr>
        <w:t xml:space="preserve"> for final approval.</w:t>
      </w:r>
    </w:p>
    <w:p w14:paraId="5CC56A5A" w14:textId="2CB6A0BB" w:rsidR="00227F62" w:rsidRPr="00604CBC" w:rsidRDefault="00046FAB" w:rsidP="00046FAB">
      <w:pPr>
        <w:pStyle w:val="HChG"/>
        <w:rPr>
          <w:lang w:val="en-GB"/>
        </w:rPr>
      </w:pPr>
      <w:r w:rsidRPr="00604CBC">
        <w:rPr>
          <w:lang w:val="en-GB"/>
        </w:rPr>
        <w:tab/>
      </w:r>
      <w:r w:rsidRPr="00604CBC">
        <w:rPr>
          <w:lang w:val="en-GB"/>
        </w:rPr>
        <w:tab/>
      </w:r>
      <w:r w:rsidRPr="00604CBC">
        <w:rPr>
          <w:lang w:val="en-GB"/>
        </w:rPr>
        <w:tab/>
      </w:r>
      <w:r w:rsidR="00227F62" w:rsidRPr="00604CBC">
        <w:rPr>
          <w:lang w:val="en-GB"/>
        </w:rPr>
        <w:t>Safety implications</w:t>
      </w:r>
    </w:p>
    <w:p w14:paraId="0C5C278B" w14:textId="36E97137" w:rsidR="00227F62" w:rsidRPr="00604CBC" w:rsidRDefault="00817020" w:rsidP="00046FAB">
      <w:pPr>
        <w:pStyle w:val="SingleTxtG"/>
        <w:rPr>
          <w:b/>
          <w:bCs/>
          <w:lang w:val="en-GB"/>
        </w:rPr>
      </w:pPr>
      <w:r w:rsidRPr="00604CBC">
        <w:rPr>
          <w:lang w:val="en-GB"/>
        </w:rPr>
        <w:tab/>
        <w:t>5.</w:t>
      </w:r>
      <w:r w:rsidRPr="00604CBC">
        <w:rPr>
          <w:lang w:val="en-GB"/>
        </w:rPr>
        <w:tab/>
      </w:r>
      <w:r w:rsidR="00227F62" w:rsidRPr="00604CBC">
        <w:rPr>
          <w:lang w:val="en-GB"/>
        </w:rPr>
        <w:t xml:space="preserve">No safety implications are foreseen from the proposal. The LPG industry has the opinion that safety in the transport of the proposed LPG/DME blend will not be affected or changed compared to conventional LPG. Also see Annex I of </w:t>
      </w:r>
      <w:r w:rsidR="00660029">
        <w:rPr>
          <w:lang w:val="en-GB"/>
        </w:rPr>
        <w:t>document</w:t>
      </w:r>
      <w:r w:rsidR="00227F62" w:rsidRPr="00604CBC">
        <w:rPr>
          <w:lang w:val="en-GB"/>
        </w:rPr>
        <w:t xml:space="preserve"> ST/SG/AC.10/C.3/2022/53 for the pressure temperature curves for DME, butane, propane and butane/propane mixtures.</w:t>
      </w:r>
    </w:p>
    <w:p w14:paraId="5DE267FB" w14:textId="508D4D15" w:rsidR="00EB04FF" w:rsidRPr="00D612AE" w:rsidRDefault="00D612AE" w:rsidP="00D612AE">
      <w:pPr>
        <w:spacing w:before="240"/>
        <w:jc w:val="center"/>
        <w:rPr>
          <w:u w:val="single"/>
        </w:rPr>
      </w:pPr>
      <w:r>
        <w:rPr>
          <w:u w:val="single"/>
        </w:rPr>
        <w:tab/>
      </w:r>
      <w:r>
        <w:rPr>
          <w:u w:val="single"/>
        </w:rPr>
        <w:tab/>
      </w:r>
      <w:r>
        <w:rPr>
          <w:u w:val="single"/>
        </w:rPr>
        <w:tab/>
      </w:r>
    </w:p>
    <w:sectPr w:rsidR="00EB04FF" w:rsidRPr="00D612AE"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677A" w14:textId="77777777" w:rsidR="00FC4029" w:rsidRDefault="00FC4029"/>
  </w:endnote>
  <w:endnote w:type="continuationSeparator" w:id="0">
    <w:p w14:paraId="586B5816" w14:textId="77777777" w:rsidR="00FC4029" w:rsidRDefault="00FC4029"/>
  </w:endnote>
  <w:endnote w:type="continuationNotice" w:id="1">
    <w:p w14:paraId="293E4C43" w14:textId="77777777" w:rsidR="00FC4029" w:rsidRDefault="00FC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3459" w14:textId="77777777" w:rsidR="00E6082E" w:rsidRDefault="00E6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B553" w14:textId="77777777" w:rsidR="00FC4029" w:rsidRPr="000B175B" w:rsidRDefault="00FC4029" w:rsidP="000B175B">
      <w:pPr>
        <w:tabs>
          <w:tab w:val="right" w:pos="2155"/>
        </w:tabs>
        <w:spacing w:after="80"/>
        <w:ind w:left="680"/>
        <w:rPr>
          <w:u w:val="single"/>
        </w:rPr>
      </w:pPr>
      <w:r>
        <w:rPr>
          <w:u w:val="single"/>
        </w:rPr>
        <w:tab/>
      </w:r>
    </w:p>
  </w:footnote>
  <w:footnote w:type="continuationSeparator" w:id="0">
    <w:p w14:paraId="73A3AF74" w14:textId="77777777" w:rsidR="00FC4029" w:rsidRPr="00FC68B7" w:rsidRDefault="00FC4029" w:rsidP="00FC68B7">
      <w:pPr>
        <w:tabs>
          <w:tab w:val="left" w:pos="2155"/>
        </w:tabs>
        <w:spacing w:after="80"/>
        <w:ind w:left="680"/>
        <w:rPr>
          <w:u w:val="single"/>
        </w:rPr>
      </w:pPr>
      <w:r>
        <w:rPr>
          <w:u w:val="single"/>
        </w:rPr>
        <w:tab/>
      </w:r>
    </w:p>
  </w:footnote>
  <w:footnote w:type="continuationNotice" w:id="1">
    <w:p w14:paraId="29CF0084" w14:textId="77777777" w:rsidR="00FC4029" w:rsidRDefault="00FC4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29733349"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234CD4">
      <w:rPr>
        <w:b/>
        <w:bCs/>
        <w:sz w:val="18"/>
        <w:szCs w:val="18"/>
      </w:rPr>
      <w:t>2</w:t>
    </w:r>
    <w:r w:rsidR="00E6082E">
      <w:rPr>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08E7AEE5"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22</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2EB6"/>
    <w:rsid w:val="000133C5"/>
    <w:rsid w:val="00017D24"/>
    <w:rsid w:val="00020C62"/>
    <w:rsid w:val="000216CC"/>
    <w:rsid w:val="00023260"/>
    <w:rsid w:val="000277D3"/>
    <w:rsid w:val="000300D1"/>
    <w:rsid w:val="00030940"/>
    <w:rsid w:val="00033414"/>
    <w:rsid w:val="0003375D"/>
    <w:rsid w:val="00043180"/>
    <w:rsid w:val="00045941"/>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3A0F"/>
    <w:rsid w:val="000B4919"/>
    <w:rsid w:val="000B5C4C"/>
    <w:rsid w:val="000B6848"/>
    <w:rsid w:val="000B6AD1"/>
    <w:rsid w:val="000B7AF2"/>
    <w:rsid w:val="000C1ED8"/>
    <w:rsid w:val="000C304D"/>
    <w:rsid w:val="000C5D4B"/>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518B1"/>
    <w:rsid w:val="00153A36"/>
    <w:rsid w:val="00155CD1"/>
    <w:rsid w:val="00160990"/>
    <w:rsid w:val="00161334"/>
    <w:rsid w:val="0016160D"/>
    <w:rsid w:val="00161886"/>
    <w:rsid w:val="001633FB"/>
    <w:rsid w:val="00163A1B"/>
    <w:rsid w:val="00163C3D"/>
    <w:rsid w:val="001641F1"/>
    <w:rsid w:val="00165735"/>
    <w:rsid w:val="00167786"/>
    <w:rsid w:val="00170E07"/>
    <w:rsid w:val="0017489D"/>
    <w:rsid w:val="001766C3"/>
    <w:rsid w:val="001802FD"/>
    <w:rsid w:val="00180633"/>
    <w:rsid w:val="00181019"/>
    <w:rsid w:val="0018152F"/>
    <w:rsid w:val="0018162F"/>
    <w:rsid w:val="0018168F"/>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74D0"/>
    <w:rsid w:val="001E02C0"/>
    <w:rsid w:val="001E435D"/>
    <w:rsid w:val="001E797C"/>
    <w:rsid w:val="001E7EF2"/>
    <w:rsid w:val="001F42BD"/>
    <w:rsid w:val="002015A3"/>
    <w:rsid w:val="002062DE"/>
    <w:rsid w:val="00207304"/>
    <w:rsid w:val="00211B12"/>
    <w:rsid w:val="00211B28"/>
    <w:rsid w:val="00211E0B"/>
    <w:rsid w:val="00212F0D"/>
    <w:rsid w:val="0021481D"/>
    <w:rsid w:val="00216B28"/>
    <w:rsid w:val="00220B70"/>
    <w:rsid w:val="00221589"/>
    <w:rsid w:val="00221AC2"/>
    <w:rsid w:val="00222D64"/>
    <w:rsid w:val="00224CD9"/>
    <w:rsid w:val="0022517A"/>
    <w:rsid w:val="00227F62"/>
    <w:rsid w:val="002309A7"/>
    <w:rsid w:val="0023231C"/>
    <w:rsid w:val="00234CD4"/>
    <w:rsid w:val="00235381"/>
    <w:rsid w:val="002363DF"/>
    <w:rsid w:val="00237475"/>
    <w:rsid w:val="00237785"/>
    <w:rsid w:val="00240C56"/>
    <w:rsid w:val="00241178"/>
    <w:rsid w:val="00241466"/>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C2E9A"/>
    <w:rsid w:val="002C3322"/>
    <w:rsid w:val="002C73F7"/>
    <w:rsid w:val="002C7F25"/>
    <w:rsid w:val="002D0075"/>
    <w:rsid w:val="002D2D04"/>
    <w:rsid w:val="002D44DB"/>
    <w:rsid w:val="002D5A85"/>
    <w:rsid w:val="002D5C7D"/>
    <w:rsid w:val="002D6739"/>
    <w:rsid w:val="002E0A8B"/>
    <w:rsid w:val="002E1E8E"/>
    <w:rsid w:val="002E35BB"/>
    <w:rsid w:val="002E3E3A"/>
    <w:rsid w:val="002E5C1D"/>
    <w:rsid w:val="002F4CCA"/>
    <w:rsid w:val="002F683C"/>
    <w:rsid w:val="002F68FD"/>
    <w:rsid w:val="00300D6E"/>
    <w:rsid w:val="003020DE"/>
    <w:rsid w:val="003107FA"/>
    <w:rsid w:val="00313AC2"/>
    <w:rsid w:val="00313B8C"/>
    <w:rsid w:val="00315D73"/>
    <w:rsid w:val="00316FF9"/>
    <w:rsid w:val="003173F6"/>
    <w:rsid w:val="00321716"/>
    <w:rsid w:val="003229D8"/>
    <w:rsid w:val="0032308B"/>
    <w:rsid w:val="00323710"/>
    <w:rsid w:val="00323E88"/>
    <w:rsid w:val="003244D9"/>
    <w:rsid w:val="00327D0A"/>
    <w:rsid w:val="00330815"/>
    <w:rsid w:val="00330A4E"/>
    <w:rsid w:val="003335B8"/>
    <w:rsid w:val="00334C9A"/>
    <w:rsid w:val="003365EB"/>
    <w:rsid w:val="00337873"/>
    <w:rsid w:val="00337A32"/>
    <w:rsid w:val="00340E2C"/>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23B5"/>
    <w:rsid w:val="003D293B"/>
    <w:rsid w:val="003D4B23"/>
    <w:rsid w:val="003D7684"/>
    <w:rsid w:val="003E430A"/>
    <w:rsid w:val="003E6A6E"/>
    <w:rsid w:val="003E6D10"/>
    <w:rsid w:val="003F23A4"/>
    <w:rsid w:val="003F3A21"/>
    <w:rsid w:val="003F3A8A"/>
    <w:rsid w:val="003F54D8"/>
    <w:rsid w:val="003F5B52"/>
    <w:rsid w:val="00400408"/>
    <w:rsid w:val="004021B7"/>
    <w:rsid w:val="0040343F"/>
    <w:rsid w:val="00403EC6"/>
    <w:rsid w:val="004053B0"/>
    <w:rsid w:val="00406A80"/>
    <w:rsid w:val="00406AC5"/>
    <w:rsid w:val="00406CD4"/>
    <w:rsid w:val="00410600"/>
    <w:rsid w:val="004108CE"/>
    <w:rsid w:val="00420C02"/>
    <w:rsid w:val="00420F4B"/>
    <w:rsid w:val="004248D6"/>
    <w:rsid w:val="00430086"/>
    <w:rsid w:val="00430918"/>
    <w:rsid w:val="004317D1"/>
    <w:rsid w:val="00431E22"/>
    <w:rsid w:val="004325CB"/>
    <w:rsid w:val="00432F4D"/>
    <w:rsid w:val="0043630C"/>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22C0"/>
    <w:rsid w:val="0048304D"/>
    <w:rsid w:val="00484A9B"/>
    <w:rsid w:val="00487248"/>
    <w:rsid w:val="0049065C"/>
    <w:rsid w:val="0049211A"/>
    <w:rsid w:val="00492AF9"/>
    <w:rsid w:val="00494C77"/>
    <w:rsid w:val="0049605A"/>
    <w:rsid w:val="004960CC"/>
    <w:rsid w:val="00497291"/>
    <w:rsid w:val="00497711"/>
    <w:rsid w:val="004A004F"/>
    <w:rsid w:val="004A08B2"/>
    <w:rsid w:val="004A3C15"/>
    <w:rsid w:val="004A4072"/>
    <w:rsid w:val="004A52F4"/>
    <w:rsid w:val="004B25F8"/>
    <w:rsid w:val="004B2C9D"/>
    <w:rsid w:val="004B5939"/>
    <w:rsid w:val="004B73D6"/>
    <w:rsid w:val="004B7537"/>
    <w:rsid w:val="004C39D0"/>
    <w:rsid w:val="004C4F1A"/>
    <w:rsid w:val="004C687B"/>
    <w:rsid w:val="004C6D6D"/>
    <w:rsid w:val="004C790E"/>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4855"/>
    <w:rsid w:val="00507CF1"/>
    <w:rsid w:val="005108F5"/>
    <w:rsid w:val="00510DBD"/>
    <w:rsid w:val="005128AD"/>
    <w:rsid w:val="00512E84"/>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E8C"/>
    <w:rsid w:val="005434D7"/>
    <w:rsid w:val="005466BE"/>
    <w:rsid w:val="005470EF"/>
    <w:rsid w:val="005475D4"/>
    <w:rsid w:val="00551C82"/>
    <w:rsid w:val="00552CEE"/>
    <w:rsid w:val="005542EC"/>
    <w:rsid w:val="00555CDB"/>
    <w:rsid w:val="00555FEA"/>
    <w:rsid w:val="00561B6D"/>
    <w:rsid w:val="00562D45"/>
    <w:rsid w:val="005637A1"/>
    <w:rsid w:val="00563D61"/>
    <w:rsid w:val="0056615B"/>
    <w:rsid w:val="00567DFB"/>
    <w:rsid w:val="00571DAA"/>
    <w:rsid w:val="00572049"/>
    <w:rsid w:val="0057371B"/>
    <w:rsid w:val="005759F6"/>
    <w:rsid w:val="00576675"/>
    <w:rsid w:val="0058129D"/>
    <w:rsid w:val="00587020"/>
    <w:rsid w:val="00590144"/>
    <w:rsid w:val="005909D1"/>
    <w:rsid w:val="00590FF7"/>
    <w:rsid w:val="0059131E"/>
    <w:rsid w:val="0059340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7BB9"/>
    <w:rsid w:val="005D0C6C"/>
    <w:rsid w:val="005D1BB4"/>
    <w:rsid w:val="005D2A88"/>
    <w:rsid w:val="005D5E8B"/>
    <w:rsid w:val="005D6410"/>
    <w:rsid w:val="005D73AA"/>
    <w:rsid w:val="005E010D"/>
    <w:rsid w:val="005E03F6"/>
    <w:rsid w:val="005E0BF6"/>
    <w:rsid w:val="005E268D"/>
    <w:rsid w:val="005E28E0"/>
    <w:rsid w:val="005E3563"/>
    <w:rsid w:val="005E3AAD"/>
    <w:rsid w:val="005E5946"/>
    <w:rsid w:val="005E64CA"/>
    <w:rsid w:val="005E75CA"/>
    <w:rsid w:val="005F3A39"/>
    <w:rsid w:val="005F5C2F"/>
    <w:rsid w:val="005F6B8A"/>
    <w:rsid w:val="005F6EEB"/>
    <w:rsid w:val="005F7BB1"/>
    <w:rsid w:val="00602490"/>
    <w:rsid w:val="00603450"/>
    <w:rsid w:val="00603E3C"/>
    <w:rsid w:val="00604CBC"/>
    <w:rsid w:val="00604E90"/>
    <w:rsid w:val="0060673A"/>
    <w:rsid w:val="00610060"/>
    <w:rsid w:val="00611DFE"/>
    <w:rsid w:val="00611FC4"/>
    <w:rsid w:val="00612812"/>
    <w:rsid w:val="006147E0"/>
    <w:rsid w:val="0061532A"/>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5A0B"/>
    <w:rsid w:val="00646165"/>
    <w:rsid w:val="006500BA"/>
    <w:rsid w:val="006506DB"/>
    <w:rsid w:val="00660029"/>
    <w:rsid w:val="00661EBA"/>
    <w:rsid w:val="00662121"/>
    <w:rsid w:val="00662E09"/>
    <w:rsid w:val="0066373E"/>
    <w:rsid w:val="00670CF0"/>
    <w:rsid w:val="006719CA"/>
    <w:rsid w:val="00675F87"/>
    <w:rsid w:val="00677B0C"/>
    <w:rsid w:val="0068105A"/>
    <w:rsid w:val="00683277"/>
    <w:rsid w:val="00683BEF"/>
    <w:rsid w:val="00684326"/>
    <w:rsid w:val="0068461F"/>
    <w:rsid w:val="006870AE"/>
    <w:rsid w:val="00690CD6"/>
    <w:rsid w:val="00695A7C"/>
    <w:rsid w:val="00696BE8"/>
    <w:rsid w:val="006A098A"/>
    <w:rsid w:val="006A0B8F"/>
    <w:rsid w:val="006A3932"/>
    <w:rsid w:val="006A4684"/>
    <w:rsid w:val="006A53DC"/>
    <w:rsid w:val="006A63E3"/>
    <w:rsid w:val="006A7392"/>
    <w:rsid w:val="006B0E17"/>
    <w:rsid w:val="006B1148"/>
    <w:rsid w:val="006B1C55"/>
    <w:rsid w:val="006B4AE9"/>
    <w:rsid w:val="006C062C"/>
    <w:rsid w:val="006C0D34"/>
    <w:rsid w:val="006C251B"/>
    <w:rsid w:val="006C2F7E"/>
    <w:rsid w:val="006C5995"/>
    <w:rsid w:val="006C794D"/>
    <w:rsid w:val="006D3560"/>
    <w:rsid w:val="006E314E"/>
    <w:rsid w:val="006E3B65"/>
    <w:rsid w:val="006E4E78"/>
    <w:rsid w:val="006E564B"/>
    <w:rsid w:val="006E6DC4"/>
    <w:rsid w:val="006F056B"/>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02"/>
    <w:rsid w:val="007B2BA8"/>
    <w:rsid w:val="007B4133"/>
    <w:rsid w:val="007B4B3B"/>
    <w:rsid w:val="007B5F32"/>
    <w:rsid w:val="007B6BA5"/>
    <w:rsid w:val="007B7E1E"/>
    <w:rsid w:val="007C2C0D"/>
    <w:rsid w:val="007C3162"/>
    <w:rsid w:val="007C3390"/>
    <w:rsid w:val="007C3FB9"/>
    <w:rsid w:val="007C4F4B"/>
    <w:rsid w:val="007C644D"/>
    <w:rsid w:val="007D1406"/>
    <w:rsid w:val="007D2AB7"/>
    <w:rsid w:val="007D2AC1"/>
    <w:rsid w:val="007D384C"/>
    <w:rsid w:val="007D52C7"/>
    <w:rsid w:val="007D5760"/>
    <w:rsid w:val="007D7BC6"/>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3AB2"/>
    <w:rsid w:val="00843E0E"/>
    <w:rsid w:val="00846809"/>
    <w:rsid w:val="00846900"/>
    <w:rsid w:val="008518D5"/>
    <w:rsid w:val="00852D14"/>
    <w:rsid w:val="00855553"/>
    <w:rsid w:val="00857789"/>
    <w:rsid w:val="0086107D"/>
    <w:rsid w:val="0086227C"/>
    <w:rsid w:val="0086247E"/>
    <w:rsid w:val="00864251"/>
    <w:rsid w:val="00864339"/>
    <w:rsid w:val="00864D7A"/>
    <w:rsid w:val="00865528"/>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591"/>
    <w:rsid w:val="008979B1"/>
    <w:rsid w:val="008A0B75"/>
    <w:rsid w:val="008A1542"/>
    <w:rsid w:val="008A2734"/>
    <w:rsid w:val="008A275E"/>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727"/>
    <w:rsid w:val="008E1DAE"/>
    <w:rsid w:val="008E295A"/>
    <w:rsid w:val="008E464A"/>
    <w:rsid w:val="008E49EC"/>
    <w:rsid w:val="008F2101"/>
    <w:rsid w:val="008F2D9A"/>
    <w:rsid w:val="008F44B8"/>
    <w:rsid w:val="008F504A"/>
    <w:rsid w:val="008F59FD"/>
    <w:rsid w:val="008F5C0B"/>
    <w:rsid w:val="0090092A"/>
    <w:rsid w:val="009045EE"/>
    <w:rsid w:val="00904EBC"/>
    <w:rsid w:val="0090535C"/>
    <w:rsid w:val="009067E0"/>
    <w:rsid w:val="00906C3D"/>
    <w:rsid w:val="00912044"/>
    <w:rsid w:val="00913164"/>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70059"/>
    <w:rsid w:val="009701ED"/>
    <w:rsid w:val="009710AB"/>
    <w:rsid w:val="00972A01"/>
    <w:rsid w:val="00980BD7"/>
    <w:rsid w:val="009813C8"/>
    <w:rsid w:val="00982F08"/>
    <w:rsid w:val="00983D3C"/>
    <w:rsid w:val="00984471"/>
    <w:rsid w:val="00985F37"/>
    <w:rsid w:val="009879EA"/>
    <w:rsid w:val="0099044A"/>
    <w:rsid w:val="009908A5"/>
    <w:rsid w:val="0099124E"/>
    <w:rsid w:val="00991261"/>
    <w:rsid w:val="00991CC2"/>
    <w:rsid w:val="00992717"/>
    <w:rsid w:val="009953D5"/>
    <w:rsid w:val="0099672D"/>
    <w:rsid w:val="009972C0"/>
    <w:rsid w:val="009A1D29"/>
    <w:rsid w:val="009A4130"/>
    <w:rsid w:val="009A65D9"/>
    <w:rsid w:val="009B35B5"/>
    <w:rsid w:val="009B5591"/>
    <w:rsid w:val="009C487D"/>
    <w:rsid w:val="009C4B76"/>
    <w:rsid w:val="009C5690"/>
    <w:rsid w:val="009C6394"/>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71D2"/>
    <w:rsid w:val="00A50077"/>
    <w:rsid w:val="00A53982"/>
    <w:rsid w:val="00A54CA8"/>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6710"/>
    <w:rsid w:val="00B013E6"/>
    <w:rsid w:val="00B01795"/>
    <w:rsid w:val="00B036FE"/>
    <w:rsid w:val="00B04D66"/>
    <w:rsid w:val="00B0539C"/>
    <w:rsid w:val="00B0672A"/>
    <w:rsid w:val="00B06AAF"/>
    <w:rsid w:val="00B10C19"/>
    <w:rsid w:val="00B1157C"/>
    <w:rsid w:val="00B1501F"/>
    <w:rsid w:val="00B22971"/>
    <w:rsid w:val="00B26710"/>
    <w:rsid w:val="00B26B3C"/>
    <w:rsid w:val="00B26FB9"/>
    <w:rsid w:val="00B30179"/>
    <w:rsid w:val="00B304E1"/>
    <w:rsid w:val="00B313E7"/>
    <w:rsid w:val="00B3317B"/>
    <w:rsid w:val="00B37554"/>
    <w:rsid w:val="00B37AAE"/>
    <w:rsid w:val="00B410E2"/>
    <w:rsid w:val="00B41384"/>
    <w:rsid w:val="00B4398E"/>
    <w:rsid w:val="00B45BCD"/>
    <w:rsid w:val="00B46383"/>
    <w:rsid w:val="00B4742F"/>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D79"/>
    <w:rsid w:val="00BB02D9"/>
    <w:rsid w:val="00BB176D"/>
    <w:rsid w:val="00BB3B28"/>
    <w:rsid w:val="00BB3CA8"/>
    <w:rsid w:val="00BC43AB"/>
    <w:rsid w:val="00BC5CA8"/>
    <w:rsid w:val="00BC74E9"/>
    <w:rsid w:val="00BD2077"/>
    <w:rsid w:val="00BD3308"/>
    <w:rsid w:val="00BD6E0D"/>
    <w:rsid w:val="00BE0F75"/>
    <w:rsid w:val="00BE1FF8"/>
    <w:rsid w:val="00BE382C"/>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37D5"/>
    <w:rsid w:val="00C5795A"/>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93C"/>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74ED"/>
    <w:rsid w:val="00CF02AD"/>
    <w:rsid w:val="00CF4FE1"/>
    <w:rsid w:val="00CF6F32"/>
    <w:rsid w:val="00CF721E"/>
    <w:rsid w:val="00CF778D"/>
    <w:rsid w:val="00D01017"/>
    <w:rsid w:val="00D0401B"/>
    <w:rsid w:val="00D0631B"/>
    <w:rsid w:val="00D06C3A"/>
    <w:rsid w:val="00D13057"/>
    <w:rsid w:val="00D1397C"/>
    <w:rsid w:val="00D164BA"/>
    <w:rsid w:val="00D16C2F"/>
    <w:rsid w:val="00D179E7"/>
    <w:rsid w:val="00D2031B"/>
    <w:rsid w:val="00D24A58"/>
    <w:rsid w:val="00D25E8C"/>
    <w:rsid w:val="00D25FE2"/>
    <w:rsid w:val="00D27E89"/>
    <w:rsid w:val="00D33540"/>
    <w:rsid w:val="00D35123"/>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6631"/>
    <w:rsid w:val="00DE7267"/>
    <w:rsid w:val="00DF0A4D"/>
    <w:rsid w:val="00DF3039"/>
    <w:rsid w:val="00DF38E0"/>
    <w:rsid w:val="00DF3A04"/>
    <w:rsid w:val="00DF4518"/>
    <w:rsid w:val="00DF69A6"/>
    <w:rsid w:val="00E07210"/>
    <w:rsid w:val="00E10531"/>
    <w:rsid w:val="00E1094B"/>
    <w:rsid w:val="00E130AB"/>
    <w:rsid w:val="00E13D99"/>
    <w:rsid w:val="00E14C7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5228C"/>
    <w:rsid w:val="00E5271B"/>
    <w:rsid w:val="00E52EB0"/>
    <w:rsid w:val="00E54352"/>
    <w:rsid w:val="00E5644E"/>
    <w:rsid w:val="00E5691C"/>
    <w:rsid w:val="00E56B35"/>
    <w:rsid w:val="00E577C9"/>
    <w:rsid w:val="00E60641"/>
    <w:rsid w:val="00E6082E"/>
    <w:rsid w:val="00E60903"/>
    <w:rsid w:val="00E631BA"/>
    <w:rsid w:val="00E631FE"/>
    <w:rsid w:val="00E63481"/>
    <w:rsid w:val="00E63DE8"/>
    <w:rsid w:val="00E64D43"/>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48C4"/>
    <w:rsid w:val="00EA772F"/>
    <w:rsid w:val="00EB04FF"/>
    <w:rsid w:val="00EB141A"/>
    <w:rsid w:val="00EB2AE3"/>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6BFD"/>
    <w:rsid w:val="00EC755A"/>
    <w:rsid w:val="00ED1956"/>
    <w:rsid w:val="00ED2B14"/>
    <w:rsid w:val="00ED3508"/>
    <w:rsid w:val="00ED3965"/>
    <w:rsid w:val="00ED3F6F"/>
    <w:rsid w:val="00ED769C"/>
    <w:rsid w:val="00ED7A2A"/>
    <w:rsid w:val="00ED7B73"/>
    <w:rsid w:val="00EE2966"/>
    <w:rsid w:val="00EE4D59"/>
    <w:rsid w:val="00EE5608"/>
    <w:rsid w:val="00EE6612"/>
    <w:rsid w:val="00EE73C3"/>
    <w:rsid w:val="00EE7D6E"/>
    <w:rsid w:val="00EF1D7F"/>
    <w:rsid w:val="00EF37F3"/>
    <w:rsid w:val="00EF4AAC"/>
    <w:rsid w:val="00EF5645"/>
    <w:rsid w:val="00F01C57"/>
    <w:rsid w:val="00F0292E"/>
    <w:rsid w:val="00F03FA2"/>
    <w:rsid w:val="00F04733"/>
    <w:rsid w:val="00F05283"/>
    <w:rsid w:val="00F0579D"/>
    <w:rsid w:val="00F07537"/>
    <w:rsid w:val="00F07E12"/>
    <w:rsid w:val="00F1150D"/>
    <w:rsid w:val="00F11BD9"/>
    <w:rsid w:val="00F1200D"/>
    <w:rsid w:val="00F143A3"/>
    <w:rsid w:val="00F14F86"/>
    <w:rsid w:val="00F164C7"/>
    <w:rsid w:val="00F21A22"/>
    <w:rsid w:val="00F22553"/>
    <w:rsid w:val="00F22D71"/>
    <w:rsid w:val="00F257D1"/>
    <w:rsid w:val="00F277D6"/>
    <w:rsid w:val="00F30A8A"/>
    <w:rsid w:val="00F30D06"/>
    <w:rsid w:val="00F34267"/>
    <w:rsid w:val="00F34765"/>
    <w:rsid w:val="00F3574D"/>
    <w:rsid w:val="00F35BFF"/>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829E7"/>
    <w:rsid w:val="00F86EE1"/>
    <w:rsid w:val="00F87B50"/>
    <w:rsid w:val="00F9439A"/>
    <w:rsid w:val="00FA00A0"/>
    <w:rsid w:val="00FA02CA"/>
    <w:rsid w:val="00FA032F"/>
    <w:rsid w:val="00FA3FB7"/>
    <w:rsid w:val="00FB2CDB"/>
    <w:rsid w:val="00FB415C"/>
    <w:rsid w:val="00FB5A37"/>
    <w:rsid w:val="00FB7793"/>
    <w:rsid w:val="00FC18AA"/>
    <w:rsid w:val="00FC215C"/>
    <w:rsid w:val="00FC3E63"/>
    <w:rsid w:val="00FC4029"/>
    <w:rsid w:val="00FC6351"/>
    <w:rsid w:val="00FC68B7"/>
    <w:rsid w:val="00FC6F97"/>
    <w:rsid w:val="00FD1B38"/>
    <w:rsid w:val="00FD33DA"/>
    <w:rsid w:val="00FD3C5D"/>
    <w:rsid w:val="00FD3E70"/>
    <w:rsid w:val="00FD6B2B"/>
    <w:rsid w:val="00FD7394"/>
    <w:rsid w:val="00FD76B4"/>
    <w:rsid w:val="00FE31B8"/>
    <w:rsid w:val="00FE326D"/>
    <w:rsid w:val="00FE3EEA"/>
    <w:rsid w:val="00FF03BB"/>
    <w:rsid w:val="00FF071A"/>
    <w:rsid w:val="00FF2D01"/>
    <w:rsid w:val="00FF51FB"/>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2</Pages>
  <Words>482</Words>
  <Characters>2752</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3228</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33</cp:revision>
  <cp:lastPrinted>2022-06-24T00:37:00Z</cp:lastPrinted>
  <dcterms:created xsi:type="dcterms:W3CDTF">2022-11-13T16:35:00Z</dcterms:created>
  <dcterms:modified xsi:type="dcterms:W3CDTF">2022-11-13T18:09:00Z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