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9639"/>
      </w:tblGrid>
      <w:tr w:rsidR="00AC145F" w14:paraId="30250B15" w14:textId="77777777" w:rsidTr="00815180">
        <w:trPr>
          <w:trHeight w:val="851"/>
        </w:trPr>
        <w:tc>
          <w:tcPr>
            <w:tcW w:w="9639" w:type="dxa"/>
            <w:tcBorders>
              <w:top w:val="nil"/>
              <w:left w:val="nil"/>
              <w:bottom w:val="single" w:sz="4" w:space="0" w:color="auto"/>
              <w:right w:val="nil"/>
            </w:tcBorders>
            <w:vAlign w:val="bottom"/>
          </w:tcPr>
          <w:p w14:paraId="1FD10121" w14:textId="47F63BA9" w:rsidR="00AC145F" w:rsidRPr="00DE3EC0" w:rsidRDefault="006F67F2" w:rsidP="00FC5C7E">
            <w:pPr>
              <w:jc w:val="right"/>
            </w:pPr>
            <w:r w:rsidRPr="00EA2D43">
              <w:rPr>
                <w:b/>
                <w:sz w:val="40"/>
                <w:szCs w:val="40"/>
              </w:rPr>
              <w:t>UN/SCE</w:t>
            </w:r>
            <w:r>
              <w:rPr>
                <w:b/>
                <w:sz w:val="40"/>
                <w:szCs w:val="40"/>
              </w:rPr>
              <w:t>TDG</w:t>
            </w:r>
            <w:r w:rsidRPr="00EA2D43">
              <w:rPr>
                <w:b/>
                <w:sz w:val="40"/>
                <w:szCs w:val="40"/>
              </w:rPr>
              <w:t>/</w:t>
            </w:r>
            <w:r>
              <w:rPr>
                <w:b/>
                <w:sz w:val="40"/>
                <w:szCs w:val="40"/>
              </w:rPr>
              <w:t>61</w:t>
            </w:r>
            <w:r w:rsidRPr="00EA2D43">
              <w:rPr>
                <w:b/>
                <w:sz w:val="40"/>
                <w:szCs w:val="40"/>
              </w:rPr>
              <w:t>/INF.</w:t>
            </w:r>
            <w:r>
              <w:rPr>
                <w:b/>
                <w:sz w:val="40"/>
                <w:szCs w:val="40"/>
              </w:rPr>
              <w:t>1</w:t>
            </w:r>
            <w:r w:rsidR="002005D9">
              <w:rPr>
                <w:b/>
                <w:sz w:val="40"/>
                <w:szCs w:val="40"/>
              </w:rPr>
              <w:t>1</w:t>
            </w:r>
          </w:p>
        </w:tc>
      </w:tr>
    </w:tbl>
    <w:p w14:paraId="66ABE2C6" w14:textId="77777777" w:rsidR="005A7D18" w:rsidRPr="006500BA" w:rsidRDefault="005A7D18" w:rsidP="005A7D18">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B27AB28" w14:textId="719C7A6E" w:rsidR="005A7D18" w:rsidRPr="006500BA" w:rsidRDefault="005A7D18" w:rsidP="005A7D18">
      <w:pPr>
        <w:spacing w:before="120"/>
        <w:rPr>
          <w:rFonts w:ascii="Helv" w:hAnsi="Helv" w:cs="Helv"/>
          <w:b/>
          <w:color w:val="000000"/>
        </w:rPr>
      </w:pPr>
      <w:r w:rsidRPr="006500BA">
        <w:rPr>
          <w:b/>
        </w:rPr>
        <w:t xml:space="preserve">Sub-Committee of Experts on the </w:t>
      </w:r>
      <w:r>
        <w:rPr>
          <w:b/>
        </w:rPr>
        <w:t>Transport of Dangerous Goods</w:t>
      </w:r>
      <w:r>
        <w:rPr>
          <w:b/>
        </w:rPr>
        <w:tab/>
      </w:r>
      <w:r>
        <w:rPr>
          <w:b/>
        </w:rPr>
        <w:tab/>
      </w:r>
      <w:r>
        <w:rPr>
          <w:b/>
        </w:rPr>
        <w:tab/>
      </w:r>
      <w:r>
        <w:rPr>
          <w:b/>
        </w:rPr>
        <w:tab/>
      </w:r>
      <w:r>
        <w:rPr>
          <w:b/>
        </w:rPr>
        <w:tab/>
        <w:t>2</w:t>
      </w:r>
      <w:r w:rsidR="002005D9">
        <w:rPr>
          <w:b/>
        </w:rPr>
        <w:t>8</w:t>
      </w:r>
      <w:r>
        <w:rPr>
          <w:b/>
        </w:rPr>
        <w:t xml:space="preserve"> October 2022</w:t>
      </w:r>
    </w:p>
    <w:p w14:paraId="6BDE0694" w14:textId="77777777" w:rsidR="005A7D18" w:rsidRPr="006500BA" w:rsidRDefault="005A7D18" w:rsidP="005A7D18">
      <w:pPr>
        <w:spacing w:before="120"/>
        <w:rPr>
          <w:b/>
        </w:rPr>
      </w:pPr>
      <w:r>
        <w:rPr>
          <w:b/>
        </w:rPr>
        <w:t xml:space="preserve">Sixty-first </w:t>
      </w:r>
      <w:r w:rsidRPr="006500BA">
        <w:rPr>
          <w:b/>
        </w:rPr>
        <w:t>session</w:t>
      </w:r>
    </w:p>
    <w:p w14:paraId="3FAF4F15" w14:textId="77777777" w:rsidR="005A7D18" w:rsidRPr="006500BA" w:rsidRDefault="005A7D18" w:rsidP="005A7D18">
      <w:r w:rsidRPr="006500BA">
        <w:t xml:space="preserve">Geneva, </w:t>
      </w:r>
      <w:r>
        <w:t xml:space="preserve">28 November – 6 December 2022 </w:t>
      </w:r>
    </w:p>
    <w:p w14:paraId="4379A116" w14:textId="77777777" w:rsidR="005A7D18" w:rsidRPr="006500BA" w:rsidRDefault="005A7D18" w:rsidP="005A7D18">
      <w:r w:rsidRPr="006500BA">
        <w:t xml:space="preserve">Item </w:t>
      </w:r>
      <w:r>
        <w:t>3</w:t>
      </w:r>
      <w:r w:rsidRPr="006500BA">
        <w:t xml:space="preserve"> of the provisional agenda</w:t>
      </w:r>
    </w:p>
    <w:p w14:paraId="2C259545" w14:textId="77777777" w:rsidR="005A7D18" w:rsidRDefault="005A7D18" w:rsidP="005A7D18">
      <w:pPr>
        <w:rPr>
          <w:b/>
          <w:bCs/>
        </w:rPr>
      </w:pPr>
      <w:r w:rsidRPr="002A55A6">
        <w:rPr>
          <w:b/>
          <w:bCs/>
        </w:rPr>
        <w:t>Listing, classification and packing</w:t>
      </w:r>
    </w:p>
    <w:p w14:paraId="3DE33BBC" w14:textId="593E04BA" w:rsidR="00846B31" w:rsidRPr="00BB2CEF" w:rsidRDefault="00846B31" w:rsidP="00713096">
      <w:pPr>
        <w:pStyle w:val="HChG"/>
        <w:spacing w:before="240" w:after="120"/>
      </w:pPr>
      <w:r w:rsidRPr="00BB2CEF">
        <w:tab/>
      </w:r>
      <w:r w:rsidRPr="00BB2CEF">
        <w:tab/>
      </w:r>
      <w:r>
        <w:t xml:space="preserve">Spanish language version of </w:t>
      </w:r>
      <w:r w:rsidR="00EB5B37">
        <w:t>special provision</w:t>
      </w:r>
      <w:r w:rsidR="00B50F83">
        <w:t>s</w:t>
      </w:r>
      <w:r w:rsidR="00EB5B37">
        <w:t xml:space="preserve"> </w:t>
      </w:r>
      <w:r>
        <w:t>283 and 371</w:t>
      </w:r>
      <w:r w:rsidR="00B50F83">
        <w:t xml:space="preserve"> </w:t>
      </w:r>
      <w:r w:rsidR="00B50F83">
        <w:t>–</w:t>
      </w:r>
      <w:r>
        <w:t xml:space="preserve">Comments on </w:t>
      </w:r>
      <w:r w:rsidR="0032202D">
        <w:t xml:space="preserve">document </w:t>
      </w:r>
      <w:r>
        <w:t>ST/SG/AC.10/C.3/2022/64</w:t>
      </w:r>
    </w:p>
    <w:p w14:paraId="51776F11" w14:textId="3B484B28" w:rsidR="00846B31" w:rsidRPr="00BB2CEF" w:rsidRDefault="00846B31" w:rsidP="00713096">
      <w:pPr>
        <w:pStyle w:val="H1G"/>
        <w:spacing w:before="240" w:after="120"/>
      </w:pPr>
      <w:r w:rsidRPr="00BB2CEF">
        <w:tab/>
      </w:r>
      <w:r w:rsidRPr="00BB2CEF">
        <w:tab/>
      </w:r>
      <w:r>
        <w:t>Transmitted by the expert from Spain</w:t>
      </w:r>
    </w:p>
    <w:p w14:paraId="6DECBBDC" w14:textId="77777777" w:rsidR="00846B31" w:rsidRPr="00BB2CEF" w:rsidRDefault="00846B31" w:rsidP="00713096">
      <w:pPr>
        <w:pStyle w:val="HChG"/>
        <w:spacing w:before="240" w:after="120"/>
      </w:pPr>
      <w:r w:rsidRPr="00BB2CEF">
        <w:tab/>
      </w:r>
      <w:r w:rsidRPr="00BB2CEF">
        <w:tab/>
        <w:t>Introduction</w:t>
      </w:r>
    </w:p>
    <w:p w14:paraId="2DEFDB36" w14:textId="4A4C70F6" w:rsidR="00846B31" w:rsidRDefault="00846B31" w:rsidP="00846B31">
      <w:pPr>
        <w:pStyle w:val="SingleTxtG"/>
      </w:pPr>
      <w:r>
        <w:tab/>
        <w:t>1.</w:t>
      </w:r>
      <w:r>
        <w:tab/>
        <w:t xml:space="preserve">Document </w:t>
      </w:r>
      <w:r w:rsidR="00891910">
        <w:t>ST/SG/AC.10/C.3/</w:t>
      </w:r>
      <w:r>
        <w:t xml:space="preserve">2022/64 proposes some amendments on special provisions </w:t>
      </w:r>
      <w:r w:rsidR="00B42A18">
        <w:t xml:space="preserve">(SP) </w:t>
      </w:r>
      <w:r>
        <w:t>283 and 371. When reviewing these, the current Spanish language version of these special revisions has been analysed. Specifically, we note an ambiguous translation of the expression “to rocket” in both special provisions.</w:t>
      </w:r>
    </w:p>
    <w:p w14:paraId="65B97CDC" w14:textId="77777777" w:rsidR="00846B31" w:rsidRDefault="00846B31" w:rsidP="00846B31">
      <w:pPr>
        <w:pStyle w:val="SingleTxtG"/>
      </w:pPr>
      <w:r>
        <w:t>2.</w:t>
      </w:r>
      <w:r>
        <w:tab/>
        <w:t>“To rocket” has been used as a verb only twice in the Model Regulations, only in these special provisions.</w:t>
      </w:r>
    </w:p>
    <w:p w14:paraId="17F7E063" w14:textId="42117EBE" w:rsidR="00846B31" w:rsidRDefault="00846B31" w:rsidP="00846B31">
      <w:pPr>
        <w:pStyle w:val="SingleTxtG"/>
      </w:pPr>
      <w:r>
        <w:t>3.</w:t>
      </w:r>
      <w:r>
        <w:tab/>
        <w:t>The Spanish language version of this expression has been translated as follows:</w:t>
      </w:r>
    </w:p>
    <w:tbl>
      <w:tblPr>
        <w:tblStyle w:val="TableGrid"/>
        <w:tblW w:w="0" w:type="auto"/>
        <w:tblInd w:w="1134" w:type="dxa"/>
        <w:tblLook w:val="04A0" w:firstRow="1" w:lastRow="0" w:firstColumn="1" w:lastColumn="0" w:noHBand="0" w:noVBand="1"/>
      </w:tblPr>
      <w:tblGrid>
        <w:gridCol w:w="2547"/>
        <w:gridCol w:w="2410"/>
        <w:gridCol w:w="2409"/>
      </w:tblGrid>
      <w:tr w:rsidR="00846B31" w14:paraId="38377C21" w14:textId="77777777" w:rsidTr="00101728">
        <w:tc>
          <w:tcPr>
            <w:tcW w:w="2547" w:type="dxa"/>
          </w:tcPr>
          <w:p w14:paraId="7D481C26" w14:textId="77777777" w:rsidR="00846B31" w:rsidRPr="00993B84" w:rsidRDefault="00846B31" w:rsidP="00101728">
            <w:pPr>
              <w:pStyle w:val="SingleTxtG"/>
              <w:spacing w:after="0"/>
              <w:ind w:left="0" w:right="0"/>
              <w:jc w:val="center"/>
              <w:rPr>
                <w:b/>
                <w:bCs/>
              </w:rPr>
            </w:pPr>
            <w:r w:rsidRPr="00993B84">
              <w:rPr>
                <w:b/>
                <w:bCs/>
              </w:rPr>
              <w:t>Regulation</w:t>
            </w:r>
          </w:p>
        </w:tc>
        <w:tc>
          <w:tcPr>
            <w:tcW w:w="2410" w:type="dxa"/>
          </w:tcPr>
          <w:p w14:paraId="526CDF81" w14:textId="77777777" w:rsidR="00846B31" w:rsidRPr="00993B84" w:rsidRDefault="00846B31" w:rsidP="00101728">
            <w:pPr>
              <w:pStyle w:val="SingleTxtG"/>
              <w:spacing w:after="0"/>
              <w:ind w:left="0" w:right="0"/>
              <w:jc w:val="center"/>
              <w:rPr>
                <w:b/>
                <w:bCs/>
              </w:rPr>
            </w:pPr>
            <w:r w:rsidRPr="00993B84">
              <w:rPr>
                <w:b/>
                <w:bCs/>
              </w:rPr>
              <w:t>SP 283</w:t>
            </w:r>
          </w:p>
        </w:tc>
        <w:tc>
          <w:tcPr>
            <w:tcW w:w="2409" w:type="dxa"/>
          </w:tcPr>
          <w:p w14:paraId="35C741E3" w14:textId="77777777" w:rsidR="00846B31" w:rsidRPr="00993B84" w:rsidRDefault="00846B31" w:rsidP="00101728">
            <w:pPr>
              <w:pStyle w:val="SingleTxtG"/>
              <w:spacing w:after="0"/>
              <w:ind w:left="0" w:right="0"/>
              <w:jc w:val="center"/>
              <w:rPr>
                <w:b/>
                <w:bCs/>
              </w:rPr>
            </w:pPr>
            <w:r w:rsidRPr="00993B84">
              <w:rPr>
                <w:b/>
                <w:bCs/>
              </w:rPr>
              <w:t>SP</w:t>
            </w:r>
            <w:r>
              <w:rPr>
                <w:b/>
                <w:bCs/>
              </w:rPr>
              <w:t xml:space="preserve"> </w:t>
            </w:r>
            <w:r w:rsidRPr="00993B84">
              <w:rPr>
                <w:b/>
                <w:bCs/>
              </w:rPr>
              <w:t>371</w:t>
            </w:r>
          </w:p>
        </w:tc>
      </w:tr>
      <w:tr w:rsidR="00846B31" w14:paraId="01E59C71" w14:textId="77777777" w:rsidTr="00101728">
        <w:tc>
          <w:tcPr>
            <w:tcW w:w="2547" w:type="dxa"/>
          </w:tcPr>
          <w:p w14:paraId="43A1CF96" w14:textId="77777777" w:rsidR="00846B31" w:rsidRDefault="00846B31" w:rsidP="00101728">
            <w:pPr>
              <w:pStyle w:val="SingleTxtG"/>
              <w:spacing w:after="0"/>
              <w:ind w:left="0" w:right="0"/>
            </w:pPr>
            <w:r>
              <w:t>Model Regulations (English)</w:t>
            </w:r>
          </w:p>
        </w:tc>
        <w:tc>
          <w:tcPr>
            <w:tcW w:w="2410" w:type="dxa"/>
          </w:tcPr>
          <w:p w14:paraId="31A57FEA" w14:textId="77777777" w:rsidR="00846B31" w:rsidRDefault="00846B31" w:rsidP="00101728">
            <w:pPr>
              <w:pStyle w:val="SingleTxtG"/>
              <w:spacing w:after="0"/>
              <w:ind w:left="0" w:right="0"/>
            </w:pPr>
            <w:r>
              <w:t>To rocket</w:t>
            </w:r>
          </w:p>
        </w:tc>
        <w:tc>
          <w:tcPr>
            <w:tcW w:w="2409" w:type="dxa"/>
          </w:tcPr>
          <w:p w14:paraId="3529065B" w14:textId="77777777" w:rsidR="00846B31" w:rsidRDefault="00846B31" w:rsidP="00101728">
            <w:pPr>
              <w:pStyle w:val="SingleTxtG"/>
              <w:spacing w:after="0"/>
              <w:ind w:left="0" w:right="0"/>
            </w:pPr>
            <w:r>
              <w:t>To rocket</w:t>
            </w:r>
          </w:p>
        </w:tc>
      </w:tr>
      <w:tr w:rsidR="00846B31" w14:paraId="7887788D" w14:textId="77777777" w:rsidTr="00101728">
        <w:tc>
          <w:tcPr>
            <w:tcW w:w="2547" w:type="dxa"/>
          </w:tcPr>
          <w:p w14:paraId="60AF442F" w14:textId="77777777" w:rsidR="00846B31" w:rsidRDefault="00846B31" w:rsidP="00101728">
            <w:pPr>
              <w:pStyle w:val="SingleTxtG"/>
              <w:spacing w:after="0"/>
              <w:ind w:left="0" w:right="0"/>
            </w:pPr>
            <w:r>
              <w:t>Model Regulations (Spanish)</w:t>
            </w:r>
          </w:p>
        </w:tc>
        <w:tc>
          <w:tcPr>
            <w:tcW w:w="2410" w:type="dxa"/>
          </w:tcPr>
          <w:p w14:paraId="3ED7B491" w14:textId="77777777" w:rsidR="00846B31" w:rsidRDefault="00846B31" w:rsidP="00101728">
            <w:pPr>
              <w:pStyle w:val="SingleTxtG"/>
              <w:spacing w:after="0"/>
              <w:ind w:left="0" w:right="0"/>
            </w:pPr>
            <w:r>
              <w:t>Partir como un cohete</w:t>
            </w:r>
          </w:p>
        </w:tc>
        <w:tc>
          <w:tcPr>
            <w:tcW w:w="2409" w:type="dxa"/>
          </w:tcPr>
          <w:p w14:paraId="7436E1F5" w14:textId="77777777" w:rsidR="00846B31" w:rsidRDefault="00846B31" w:rsidP="00101728">
            <w:pPr>
              <w:pStyle w:val="SingleTxtG"/>
              <w:spacing w:after="0"/>
              <w:ind w:left="0" w:right="0"/>
            </w:pPr>
            <w:r>
              <w:t>Haya proyección</w:t>
            </w:r>
          </w:p>
        </w:tc>
      </w:tr>
      <w:tr w:rsidR="00846B31" w14:paraId="11CF14DA" w14:textId="77777777" w:rsidTr="00101728">
        <w:tc>
          <w:tcPr>
            <w:tcW w:w="2547" w:type="dxa"/>
          </w:tcPr>
          <w:p w14:paraId="00289F81" w14:textId="77777777" w:rsidR="00846B31" w:rsidRDefault="00846B31" w:rsidP="00101728">
            <w:pPr>
              <w:pStyle w:val="SingleTxtG"/>
              <w:spacing w:after="0"/>
              <w:ind w:left="0" w:right="0"/>
            </w:pPr>
            <w:r>
              <w:t>TI (ICAO)</w:t>
            </w:r>
          </w:p>
        </w:tc>
        <w:tc>
          <w:tcPr>
            <w:tcW w:w="2410" w:type="dxa"/>
          </w:tcPr>
          <w:p w14:paraId="317BC918" w14:textId="77777777" w:rsidR="00846B31" w:rsidRDefault="00846B31" w:rsidP="00101728">
            <w:pPr>
              <w:pStyle w:val="SingleTxtG"/>
              <w:spacing w:after="0"/>
              <w:ind w:left="0" w:right="0"/>
            </w:pPr>
            <w:r>
              <w:t>Se propulse</w:t>
            </w:r>
          </w:p>
        </w:tc>
        <w:tc>
          <w:tcPr>
            <w:tcW w:w="2409" w:type="dxa"/>
          </w:tcPr>
          <w:p w14:paraId="74DE5E28" w14:textId="77777777" w:rsidR="00846B31" w:rsidRDefault="00846B31" w:rsidP="00101728">
            <w:pPr>
              <w:pStyle w:val="SingleTxtG"/>
              <w:spacing w:after="0"/>
              <w:ind w:left="0" w:right="0"/>
            </w:pPr>
            <w:r>
              <w:t>Haya proyección</w:t>
            </w:r>
          </w:p>
        </w:tc>
      </w:tr>
      <w:tr w:rsidR="00846B31" w14:paraId="1DD2E629" w14:textId="77777777" w:rsidTr="00101728">
        <w:tc>
          <w:tcPr>
            <w:tcW w:w="2547" w:type="dxa"/>
          </w:tcPr>
          <w:p w14:paraId="505FAD76" w14:textId="77777777" w:rsidR="00846B31" w:rsidRDefault="00846B31" w:rsidP="00101728">
            <w:pPr>
              <w:pStyle w:val="SingleTxtG"/>
              <w:spacing w:after="0"/>
              <w:ind w:left="0" w:right="0"/>
            </w:pPr>
            <w:r>
              <w:t>IMDG Code (OMI)</w:t>
            </w:r>
          </w:p>
        </w:tc>
        <w:tc>
          <w:tcPr>
            <w:tcW w:w="2410" w:type="dxa"/>
          </w:tcPr>
          <w:p w14:paraId="018E5F8A" w14:textId="77777777" w:rsidR="00846B31" w:rsidRDefault="00846B31" w:rsidP="00101728">
            <w:pPr>
              <w:pStyle w:val="SingleTxtG"/>
              <w:spacing w:after="0"/>
              <w:ind w:left="0" w:right="0"/>
            </w:pPr>
            <w:r>
              <w:t>Partir como un cohete</w:t>
            </w:r>
          </w:p>
        </w:tc>
        <w:tc>
          <w:tcPr>
            <w:tcW w:w="2409" w:type="dxa"/>
          </w:tcPr>
          <w:p w14:paraId="4DF3D22D" w14:textId="77777777" w:rsidR="00846B31" w:rsidRDefault="00846B31" w:rsidP="00101728">
            <w:pPr>
              <w:pStyle w:val="SingleTxtG"/>
              <w:spacing w:after="0"/>
              <w:ind w:left="0" w:right="0"/>
            </w:pPr>
            <w:r>
              <w:t>Haya proyección</w:t>
            </w:r>
          </w:p>
        </w:tc>
      </w:tr>
      <w:tr w:rsidR="00846B31" w14:paraId="0868CD9E" w14:textId="77777777" w:rsidTr="00101728">
        <w:tc>
          <w:tcPr>
            <w:tcW w:w="2547" w:type="dxa"/>
          </w:tcPr>
          <w:p w14:paraId="3ED481B8" w14:textId="77777777" w:rsidR="00846B31" w:rsidRDefault="00846B31" w:rsidP="00101728">
            <w:pPr>
              <w:pStyle w:val="SingleTxtG"/>
              <w:spacing w:after="0"/>
              <w:ind w:left="0" w:right="0"/>
            </w:pPr>
            <w:r>
              <w:t>ADR</w:t>
            </w:r>
          </w:p>
        </w:tc>
        <w:tc>
          <w:tcPr>
            <w:tcW w:w="2410" w:type="dxa"/>
          </w:tcPr>
          <w:p w14:paraId="79814CFA" w14:textId="77777777" w:rsidR="00846B31" w:rsidRDefault="00846B31" w:rsidP="00101728">
            <w:pPr>
              <w:pStyle w:val="SingleTxtG"/>
              <w:spacing w:after="0"/>
              <w:ind w:left="0" w:right="0"/>
            </w:pPr>
            <w:r>
              <w:t>Fundirse</w:t>
            </w:r>
          </w:p>
        </w:tc>
        <w:tc>
          <w:tcPr>
            <w:tcW w:w="2409" w:type="dxa"/>
          </w:tcPr>
          <w:p w14:paraId="70730A8E" w14:textId="77777777" w:rsidR="00846B31" w:rsidRDefault="00846B31" w:rsidP="00101728">
            <w:pPr>
              <w:pStyle w:val="SingleTxtG"/>
              <w:spacing w:after="0"/>
              <w:ind w:left="0" w:right="0"/>
            </w:pPr>
            <w:r>
              <w:t>Salir disparado</w:t>
            </w:r>
          </w:p>
        </w:tc>
      </w:tr>
      <w:tr w:rsidR="00846B31" w14:paraId="095B7013" w14:textId="77777777" w:rsidTr="00101728">
        <w:tc>
          <w:tcPr>
            <w:tcW w:w="2547" w:type="dxa"/>
          </w:tcPr>
          <w:p w14:paraId="37A4ECC2" w14:textId="77777777" w:rsidR="00846B31" w:rsidRDefault="00846B31" w:rsidP="00101728">
            <w:pPr>
              <w:pStyle w:val="SingleTxtG"/>
              <w:spacing w:after="0"/>
              <w:ind w:left="0" w:right="0"/>
            </w:pPr>
            <w:r>
              <w:t>RID</w:t>
            </w:r>
          </w:p>
        </w:tc>
        <w:tc>
          <w:tcPr>
            <w:tcW w:w="2410" w:type="dxa"/>
          </w:tcPr>
          <w:p w14:paraId="4D1B9775" w14:textId="77777777" w:rsidR="00846B31" w:rsidRDefault="00846B31" w:rsidP="00101728">
            <w:pPr>
              <w:pStyle w:val="SingleTxtG"/>
              <w:spacing w:after="0"/>
              <w:ind w:left="0" w:right="0"/>
            </w:pPr>
            <w:r>
              <w:t>Fundirse</w:t>
            </w:r>
          </w:p>
        </w:tc>
        <w:tc>
          <w:tcPr>
            <w:tcW w:w="2409" w:type="dxa"/>
          </w:tcPr>
          <w:p w14:paraId="368E3A32" w14:textId="77777777" w:rsidR="00846B31" w:rsidRDefault="00846B31" w:rsidP="00101728">
            <w:pPr>
              <w:pStyle w:val="SingleTxtG"/>
              <w:spacing w:after="0"/>
              <w:ind w:left="0" w:right="0"/>
            </w:pPr>
            <w:r>
              <w:t>Haya proyección</w:t>
            </w:r>
          </w:p>
        </w:tc>
      </w:tr>
    </w:tbl>
    <w:p w14:paraId="2BE405CE" w14:textId="77777777" w:rsidR="00846B31" w:rsidRDefault="00846B31" w:rsidP="00713096">
      <w:pPr>
        <w:pStyle w:val="SingleTxtG"/>
        <w:spacing w:before="120"/>
      </w:pPr>
      <w:r>
        <w:t>4.</w:t>
      </w:r>
      <w:r>
        <w:tab/>
        <w:t>Specifically for SP 283, the language used is very ambiguous, as “partir como un cohete” can mean both “start to move like a rocket” or “break like a rocket”; the different texts adopted for the different regulations clearly show that the text is not easily understood.</w:t>
      </w:r>
    </w:p>
    <w:p w14:paraId="65BF760B" w14:textId="2B7B49B6" w:rsidR="00846B31" w:rsidRPr="00421BBB" w:rsidRDefault="00846B31" w:rsidP="00846B31">
      <w:pPr>
        <w:pStyle w:val="SingleTxtG"/>
      </w:pPr>
      <w:r w:rsidRPr="00421BBB">
        <w:t>5.</w:t>
      </w:r>
      <w:r w:rsidRPr="00421BBB">
        <w:tab/>
      </w:r>
      <w:r w:rsidR="00AA0E3C">
        <w:t>Spain</w:t>
      </w:r>
      <w:r w:rsidRPr="00421BBB">
        <w:t xml:space="preserve"> propose</w:t>
      </w:r>
      <w:r w:rsidR="00AA0E3C">
        <w:t>s</w:t>
      </w:r>
      <w:r w:rsidRPr="00421BBB">
        <w:t xml:space="preserve"> to use in both special provisions the text “salir despedido”, as this text is the wording which most clearly conveys the meaning of “to rocket”.</w:t>
      </w:r>
    </w:p>
    <w:p w14:paraId="7D206566" w14:textId="77777777" w:rsidR="00846B31" w:rsidRDefault="00846B31" w:rsidP="00846B31">
      <w:pPr>
        <w:pStyle w:val="HChG"/>
        <w:ind w:firstLine="0"/>
      </w:pPr>
      <w:r>
        <w:t>Proposal</w:t>
      </w:r>
    </w:p>
    <w:p w14:paraId="5EDEFF5A" w14:textId="3D8866A5" w:rsidR="00846B31" w:rsidRPr="00421BBB" w:rsidRDefault="00846B31" w:rsidP="00846B31">
      <w:pPr>
        <w:pStyle w:val="SingleTxtG"/>
      </w:pPr>
      <w:r w:rsidRPr="00C2606E">
        <w:t>6.</w:t>
      </w:r>
      <w:r w:rsidRPr="00421BBB">
        <w:tab/>
      </w:r>
      <w:r w:rsidR="00AA0E3C">
        <w:t>Spain</w:t>
      </w:r>
      <w:r w:rsidRPr="00421BBB">
        <w:t xml:space="preserve"> propose</w:t>
      </w:r>
      <w:r w:rsidR="00AA0E3C">
        <w:t>s</w:t>
      </w:r>
      <w:r w:rsidRPr="00421BBB">
        <w:t xml:space="preserve"> to amend SP 283 e) and the last sentence of SP 371 (1) f), in its Spanish language version, to read as follows:</w:t>
      </w:r>
    </w:p>
    <w:p w14:paraId="2BF6FEEE" w14:textId="335E3678" w:rsidR="00846B31" w:rsidRPr="00421BBB" w:rsidRDefault="0077119D" w:rsidP="00713096">
      <w:pPr>
        <w:pStyle w:val="SingleTxtG"/>
        <w:ind w:left="1701"/>
        <w:rPr>
          <w:lang w:val="es-ES"/>
        </w:rPr>
      </w:pPr>
      <w:r>
        <w:rPr>
          <w:lang w:val="es-ES"/>
        </w:rPr>
        <w:t>“</w:t>
      </w:r>
      <w:r w:rsidR="00846B31" w:rsidRPr="00421BBB">
        <w:rPr>
          <w:lang w:val="es-ES"/>
        </w:rPr>
        <w:t xml:space="preserve">SP 283 e) El modelo tipo haya sido sometido a un ensayo de incendio que demuestre que el artículo pierde la presión mediante un precinto degradable al fuego o cualquier otro dispositivo para reducir la presión interna, de manera que el objeto no se fragmente ni </w:t>
      </w:r>
      <w:r w:rsidR="00846B31" w:rsidRPr="00421BBB">
        <w:rPr>
          <w:strike/>
          <w:lang w:val="es-ES"/>
        </w:rPr>
        <w:t>pueda partir como un cohete</w:t>
      </w:r>
      <w:r w:rsidR="00846B31" w:rsidRPr="00421BBB">
        <w:rPr>
          <w:lang w:val="es-ES"/>
        </w:rPr>
        <w:t xml:space="preserve"> </w:t>
      </w:r>
      <w:r w:rsidR="00846B31" w:rsidRPr="00421BBB">
        <w:rPr>
          <w:b/>
          <w:bCs/>
          <w:lang w:val="es-ES"/>
        </w:rPr>
        <w:t>salga despedido</w:t>
      </w:r>
      <w:r w:rsidR="00846B31" w:rsidRPr="00421BBB">
        <w:rPr>
          <w:lang w:val="es-ES"/>
        </w:rPr>
        <w:t>.</w:t>
      </w:r>
      <w:r>
        <w:rPr>
          <w:lang w:val="es-ES"/>
        </w:rPr>
        <w:t>”</w:t>
      </w:r>
    </w:p>
    <w:p w14:paraId="3D9EC521" w14:textId="15E76EB8" w:rsidR="00846B31" w:rsidRPr="00421BBB" w:rsidRDefault="0077119D" w:rsidP="00713096">
      <w:pPr>
        <w:pStyle w:val="SingleTxtG"/>
        <w:ind w:left="1701"/>
        <w:rPr>
          <w:lang w:val="es-ES"/>
        </w:rPr>
      </w:pPr>
      <w:r>
        <w:rPr>
          <w:lang w:val="es-ES"/>
        </w:rPr>
        <w:t>“</w:t>
      </w:r>
      <w:r w:rsidR="00846B31" w:rsidRPr="00421BBB">
        <w:rPr>
          <w:lang w:val="es-ES"/>
        </w:rPr>
        <w:t>SP 371 (1) f)</w:t>
      </w:r>
      <w:r w:rsidR="00444B85">
        <w:rPr>
          <w:lang w:val="es-ES"/>
        </w:rPr>
        <w:t xml:space="preserve"> </w:t>
      </w:r>
      <w:r w:rsidR="00846B31" w:rsidRPr="00421BBB">
        <w:rPr>
          <w:lang w:val="es-ES"/>
        </w:rPr>
        <w:t xml:space="preserve">Se demostrará que el artículo reduce su presión mediante un precinto degradable al fuego o cualquier otro dispositivo para reducir la presión interna, de modo tal que el recipiente a presión no se fragmente y que no </w:t>
      </w:r>
      <w:r w:rsidR="00846B31" w:rsidRPr="00421BBB">
        <w:rPr>
          <w:b/>
          <w:bCs/>
          <w:lang w:val="es-ES"/>
        </w:rPr>
        <w:t>salga despedido</w:t>
      </w:r>
      <w:r w:rsidR="00846B31" w:rsidRPr="00421BBB">
        <w:rPr>
          <w:lang w:val="es-ES"/>
        </w:rPr>
        <w:t xml:space="preserve"> </w:t>
      </w:r>
      <w:r w:rsidR="00846B31" w:rsidRPr="00421BBB">
        <w:rPr>
          <w:strike/>
          <w:lang w:val="es-ES"/>
        </w:rPr>
        <w:t>haya proyección</w:t>
      </w:r>
      <w:r w:rsidR="00846B31" w:rsidRPr="00421BBB">
        <w:rPr>
          <w:lang w:val="es-ES"/>
        </w:rPr>
        <w:t xml:space="preserve"> </w:t>
      </w:r>
      <w:r w:rsidR="00846B31" w:rsidRPr="00421BBB">
        <w:rPr>
          <w:strike/>
          <w:lang w:val="es-ES"/>
        </w:rPr>
        <w:t>d</w:t>
      </w:r>
      <w:r w:rsidR="00846B31" w:rsidRPr="00421BBB">
        <w:rPr>
          <w:lang w:val="es-ES"/>
        </w:rPr>
        <w:t xml:space="preserve">el artículo o </w:t>
      </w:r>
      <w:r w:rsidR="00846B31" w:rsidRPr="00421BBB">
        <w:rPr>
          <w:strike/>
          <w:lang w:val="es-ES"/>
        </w:rPr>
        <w:t>de</w:t>
      </w:r>
      <w:r w:rsidR="00846B31" w:rsidRPr="00421BBB">
        <w:rPr>
          <w:lang w:val="es-ES"/>
        </w:rPr>
        <w:t xml:space="preserve"> fragmentos de este a más de 10 m.</w:t>
      </w:r>
      <w:r>
        <w:rPr>
          <w:lang w:val="es-ES"/>
        </w:rPr>
        <w:t>”</w:t>
      </w:r>
    </w:p>
    <w:p w14:paraId="0EFD6692" w14:textId="4873C7EE" w:rsidR="00846B31" w:rsidRPr="006942E1" w:rsidRDefault="00846B31" w:rsidP="00846B31">
      <w:pPr>
        <w:pStyle w:val="SingleTxtG"/>
      </w:pPr>
      <w:r>
        <w:t>7.</w:t>
      </w:r>
      <w:r>
        <w:tab/>
        <w:t xml:space="preserve">These amendments are complimentary to those proposed in </w:t>
      </w:r>
      <w:r w:rsidR="00B21A43">
        <w:t>d</w:t>
      </w:r>
      <w:r w:rsidR="00DA0C22">
        <w:t>ocument ST/SG/AC.10/C.3/</w:t>
      </w:r>
      <w:r>
        <w:t>2022/64.</w:t>
      </w:r>
    </w:p>
    <w:p w14:paraId="09E191A0" w14:textId="6E56A4D7" w:rsidR="00D12556" w:rsidRPr="00713096" w:rsidRDefault="00713096" w:rsidP="00713096">
      <w:pPr>
        <w:spacing w:before="240"/>
        <w:jc w:val="center"/>
        <w:rPr>
          <w:u w:val="single"/>
        </w:rPr>
      </w:pPr>
      <w:r>
        <w:rPr>
          <w:u w:val="single"/>
        </w:rPr>
        <w:tab/>
      </w:r>
      <w:r>
        <w:rPr>
          <w:u w:val="single"/>
        </w:rPr>
        <w:tab/>
      </w:r>
      <w:r>
        <w:rPr>
          <w:u w:val="single"/>
        </w:rPr>
        <w:tab/>
      </w:r>
    </w:p>
    <w:sectPr w:rsidR="00D12556" w:rsidRPr="00713096" w:rsidSect="00FC5C7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1DF2" w14:textId="77777777" w:rsidR="00FC5C7E" w:rsidRDefault="00FC5C7E"/>
  </w:endnote>
  <w:endnote w:type="continuationSeparator" w:id="0">
    <w:p w14:paraId="7102408C" w14:textId="77777777" w:rsidR="00FC5C7E" w:rsidRDefault="00FC5C7E"/>
  </w:endnote>
  <w:endnote w:type="continuationNotice" w:id="1">
    <w:p w14:paraId="24A53276" w14:textId="77777777" w:rsidR="00FC5C7E" w:rsidRDefault="00FC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B3B2" w14:textId="1805719F" w:rsidR="00FC5C7E" w:rsidRPr="00FC5C7E" w:rsidRDefault="00FC5C7E" w:rsidP="00FC5C7E">
    <w:pPr>
      <w:pStyle w:val="Footer"/>
      <w:tabs>
        <w:tab w:val="right" w:pos="9638"/>
      </w:tabs>
      <w:rPr>
        <w:sz w:val="18"/>
      </w:rPr>
    </w:pPr>
    <w:r w:rsidRPr="00FC5C7E">
      <w:rPr>
        <w:b/>
        <w:sz w:val="18"/>
      </w:rPr>
      <w:fldChar w:fldCharType="begin"/>
    </w:r>
    <w:r w:rsidRPr="00FC5C7E">
      <w:rPr>
        <w:b/>
        <w:sz w:val="18"/>
      </w:rPr>
      <w:instrText xml:space="preserve"> PAGE  \* MERGEFORMAT </w:instrText>
    </w:r>
    <w:r w:rsidRPr="00FC5C7E">
      <w:rPr>
        <w:b/>
        <w:sz w:val="18"/>
      </w:rPr>
      <w:fldChar w:fldCharType="separate"/>
    </w:r>
    <w:r w:rsidRPr="00FC5C7E">
      <w:rPr>
        <w:b/>
        <w:noProof/>
        <w:sz w:val="18"/>
      </w:rPr>
      <w:t>2</w:t>
    </w:r>
    <w:r w:rsidRPr="00FC5C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7517" w14:textId="46135708" w:rsidR="00FC5C7E" w:rsidRPr="00FC5C7E" w:rsidRDefault="00FC5C7E" w:rsidP="00FC5C7E">
    <w:pPr>
      <w:pStyle w:val="Footer"/>
      <w:tabs>
        <w:tab w:val="right" w:pos="9638"/>
      </w:tabs>
      <w:rPr>
        <w:b/>
        <w:sz w:val="18"/>
      </w:rPr>
    </w:pPr>
    <w:r>
      <w:tab/>
    </w:r>
    <w:r w:rsidRPr="00FC5C7E">
      <w:rPr>
        <w:b/>
        <w:sz w:val="18"/>
      </w:rPr>
      <w:fldChar w:fldCharType="begin"/>
    </w:r>
    <w:r w:rsidRPr="00FC5C7E">
      <w:rPr>
        <w:b/>
        <w:sz w:val="18"/>
      </w:rPr>
      <w:instrText xml:space="preserve"> PAGE  \* MERGEFORMAT </w:instrText>
    </w:r>
    <w:r w:rsidRPr="00FC5C7E">
      <w:rPr>
        <w:b/>
        <w:sz w:val="18"/>
      </w:rPr>
      <w:fldChar w:fldCharType="separate"/>
    </w:r>
    <w:r w:rsidRPr="00FC5C7E">
      <w:rPr>
        <w:b/>
        <w:noProof/>
        <w:sz w:val="18"/>
      </w:rPr>
      <w:t>3</w:t>
    </w:r>
    <w:r w:rsidRPr="00FC5C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5A06" w14:textId="77777777" w:rsidR="00503228" w:rsidRPr="00FC5C7E" w:rsidRDefault="001F3AED">
    <w:r>
      <w:rPr>
        <w:noProof/>
        <w:lang w:val="fr-CH" w:eastAsia="fr-CH"/>
      </w:rPr>
      <w:drawing>
        <wp:anchor distT="0" distB="0" distL="114300" distR="114300" simplePos="0" relativeHeight="251657728" behindDoc="0" locked="1" layoutInCell="1" allowOverlap="1" wp14:anchorId="047FB829" wp14:editId="32C8B072">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AF6B" w14:textId="77777777" w:rsidR="00FC5C7E" w:rsidRPr="000B175B" w:rsidRDefault="00FC5C7E" w:rsidP="000B175B">
      <w:pPr>
        <w:tabs>
          <w:tab w:val="right" w:pos="2155"/>
        </w:tabs>
        <w:spacing w:after="80"/>
        <w:ind w:left="680"/>
        <w:rPr>
          <w:u w:val="single"/>
        </w:rPr>
      </w:pPr>
      <w:r>
        <w:rPr>
          <w:u w:val="single"/>
        </w:rPr>
        <w:tab/>
      </w:r>
    </w:p>
  </w:footnote>
  <w:footnote w:type="continuationSeparator" w:id="0">
    <w:p w14:paraId="3B49A832" w14:textId="77777777" w:rsidR="00FC5C7E" w:rsidRPr="00FC68B7" w:rsidRDefault="00FC5C7E" w:rsidP="00FC68B7">
      <w:pPr>
        <w:tabs>
          <w:tab w:val="left" w:pos="2155"/>
        </w:tabs>
        <w:spacing w:after="80"/>
        <w:ind w:left="680"/>
        <w:rPr>
          <w:u w:val="single"/>
        </w:rPr>
      </w:pPr>
      <w:r>
        <w:rPr>
          <w:u w:val="single"/>
        </w:rPr>
        <w:tab/>
      </w:r>
    </w:p>
  </w:footnote>
  <w:footnote w:type="continuationNotice" w:id="1">
    <w:p w14:paraId="3C0D5BA8" w14:textId="77777777" w:rsidR="00FC5C7E" w:rsidRDefault="00FC5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ADC9" w14:textId="1AEF8B2B" w:rsidR="00FC5C7E" w:rsidRPr="00FC5C7E" w:rsidRDefault="005054D3">
    <w:pPr>
      <w:pStyle w:val="Header"/>
    </w:pPr>
    <w:r>
      <w:t>UN</w:t>
    </w:r>
    <w:r w:rsidR="00081555">
      <w:t>/</w:t>
    </w:r>
    <w:r>
      <w:t>SCETDG</w:t>
    </w:r>
    <w:r w:rsidR="00081555">
      <w:t>/61/INF.10</w:t>
    </w:r>
    <w:r w:rsidR="00081555" w:rsidRPr="00FC5C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E58" w14:textId="174D0DF1" w:rsidR="00FC5C7E" w:rsidRPr="00FC5C7E" w:rsidRDefault="00081555" w:rsidP="00FC5C7E">
    <w:pPr>
      <w:pStyle w:val="Header"/>
      <w:jc w:val="right"/>
    </w:pPr>
    <w:r>
      <w:t>UN/SCETDG/61/INF.10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E58A" w14:textId="77777777" w:rsidR="005054D3" w:rsidRDefault="005054D3" w:rsidP="0036728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1C451D"/>
    <w:multiLevelType w:val="hybridMultilevel"/>
    <w:tmpl w:val="72CA1C50"/>
    <w:lvl w:ilvl="0" w:tplc="9042AB26">
      <w:start w:val="1"/>
      <w:numFmt w:val="decimal"/>
      <w:lvlText w:val="%1."/>
      <w:lvlJc w:val="left"/>
      <w:pPr>
        <w:ind w:left="1905" w:hanging="360"/>
      </w:pPr>
      <w:rPr>
        <w:b w:val="0"/>
        <w:bCs w:val="0"/>
        <w:sz w:val="20"/>
        <w:szCs w:val="20"/>
      </w:rPr>
    </w:lvl>
    <w:lvl w:ilvl="1" w:tplc="04070019" w:tentative="1">
      <w:start w:val="1"/>
      <w:numFmt w:val="lowerLetter"/>
      <w:lvlText w:val="%2."/>
      <w:lvlJc w:val="left"/>
      <w:pPr>
        <w:ind w:left="2625" w:hanging="360"/>
      </w:pPr>
    </w:lvl>
    <w:lvl w:ilvl="2" w:tplc="0407001B" w:tentative="1">
      <w:start w:val="1"/>
      <w:numFmt w:val="lowerRoman"/>
      <w:lvlText w:val="%3."/>
      <w:lvlJc w:val="right"/>
      <w:pPr>
        <w:ind w:left="3345" w:hanging="180"/>
      </w:pPr>
    </w:lvl>
    <w:lvl w:ilvl="3" w:tplc="0407000F" w:tentative="1">
      <w:start w:val="1"/>
      <w:numFmt w:val="decimal"/>
      <w:lvlText w:val="%4."/>
      <w:lvlJc w:val="left"/>
      <w:pPr>
        <w:ind w:left="4065" w:hanging="360"/>
      </w:pPr>
    </w:lvl>
    <w:lvl w:ilvl="4" w:tplc="04070019" w:tentative="1">
      <w:start w:val="1"/>
      <w:numFmt w:val="lowerLetter"/>
      <w:lvlText w:val="%5."/>
      <w:lvlJc w:val="left"/>
      <w:pPr>
        <w:ind w:left="4785" w:hanging="360"/>
      </w:pPr>
    </w:lvl>
    <w:lvl w:ilvl="5" w:tplc="0407001B" w:tentative="1">
      <w:start w:val="1"/>
      <w:numFmt w:val="lowerRoman"/>
      <w:lvlText w:val="%6."/>
      <w:lvlJc w:val="right"/>
      <w:pPr>
        <w:ind w:left="5505" w:hanging="180"/>
      </w:pPr>
    </w:lvl>
    <w:lvl w:ilvl="6" w:tplc="0407000F" w:tentative="1">
      <w:start w:val="1"/>
      <w:numFmt w:val="decimal"/>
      <w:lvlText w:val="%7."/>
      <w:lvlJc w:val="left"/>
      <w:pPr>
        <w:ind w:left="6225" w:hanging="360"/>
      </w:pPr>
    </w:lvl>
    <w:lvl w:ilvl="7" w:tplc="04070019" w:tentative="1">
      <w:start w:val="1"/>
      <w:numFmt w:val="lowerLetter"/>
      <w:lvlText w:val="%8."/>
      <w:lvlJc w:val="left"/>
      <w:pPr>
        <w:ind w:left="6945" w:hanging="360"/>
      </w:pPr>
    </w:lvl>
    <w:lvl w:ilvl="8" w:tplc="0407001B" w:tentative="1">
      <w:start w:val="1"/>
      <w:numFmt w:val="lowerRoman"/>
      <w:lvlText w:val="%9."/>
      <w:lvlJc w:val="right"/>
      <w:pPr>
        <w:ind w:left="7665"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9E2FB9"/>
    <w:multiLevelType w:val="hybridMultilevel"/>
    <w:tmpl w:val="5D3634AC"/>
    <w:lvl w:ilvl="0" w:tplc="D5B400F4">
      <w:start w:val="1"/>
      <w:numFmt w:val="decimal"/>
      <w:lvlText w:val="%1."/>
      <w:lvlJc w:val="left"/>
      <w:pPr>
        <w:ind w:left="1905" w:hanging="360"/>
      </w:pPr>
      <w:rPr>
        <w:b w:val="0"/>
        <w:bCs w:val="0"/>
      </w:rPr>
    </w:lvl>
    <w:lvl w:ilvl="1" w:tplc="04070019" w:tentative="1">
      <w:start w:val="1"/>
      <w:numFmt w:val="lowerLetter"/>
      <w:lvlText w:val="%2."/>
      <w:lvlJc w:val="left"/>
      <w:pPr>
        <w:ind w:left="2625" w:hanging="360"/>
      </w:pPr>
    </w:lvl>
    <w:lvl w:ilvl="2" w:tplc="0407001B" w:tentative="1">
      <w:start w:val="1"/>
      <w:numFmt w:val="lowerRoman"/>
      <w:lvlText w:val="%3."/>
      <w:lvlJc w:val="right"/>
      <w:pPr>
        <w:ind w:left="3345" w:hanging="180"/>
      </w:pPr>
    </w:lvl>
    <w:lvl w:ilvl="3" w:tplc="0407000F" w:tentative="1">
      <w:start w:val="1"/>
      <w:numFmt w:val="decimal"/>
      <w:lvlText w:val="%4."/>
      <w:lvlJc w:val="left"/>
      <w:pPr>
        <w:ind w:left="4065" w:hanging="360"/>
      </w:pPr>
    </w:lvl>
    <w:lvl w:ilvl="4" w:tplc="04070019" w:tentative="1">
      <w:start w:val="1"/>
      <w:numFmt w:val="lowerLetter"/>
      <w:lvlText w:val="%5."/>
      <w:lvlJc w:val="left"/>
      <w:pPr>
        <w:ind w:left="4785" w:hanging="360"/>
      </w:pPr>
    </w:lvl>
    <w:lvl w:ilvl="5" w:tplc="0407001B" w:tentative="1">
      <w:start w:val="1"/>
      <w:numFmt w:val="lowerRoman"/>
      <w:lvlText w:val="%6."/>
      <w:lvlJc w:val="right"/>
      <w:pPr>
        <w:ind w:left="5505" w:hanging="180"/>
      </w:pPr>
    </w:lvl>
    <w:lvl w:ilvl="6" w:tplc="0407000F" w:tentative="1">
      <w:start w:val="1"/>
      <w:numFmt w:val="decimal"/>
      <w:lvlText w:val="%7."/>
      <w:lvlJc w:val="left"/>
      <w:pPr>
        <w:ind w:left="6225" w:hanging="360"/>
      </w:pPr>
    </w:lvl>
    <w:lvl w:ilvl="7" w:tplc="04070019" w:tentative="1">
      <w:start w:val="1"/>
      <w:numFmt w:val="lowerLetter"/>
      <w:lvlText w:val="%8."/>
      <w:lvlJc w:val="left"/>
      <w:pPr>
        <w:ind w:left="6945" w:hanging="360"/>
      </w:pPr>
    </w:lvl>
    <w:lvl w:ilvl="8" w:tplc="0407001B" w:tentative="1">
      <w:start w:val="1"/>
      <w:numFmt w:val="lowerRoman"/>
      <w:lvlText w:val="%9."/>
      <w:lvlJc w:val="right"/>
      <w:pPr>
        <w:ind w:left="7665" w:hanging="180"/>
      </w:p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pt-BR"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7E"/>
    <w:rsid w:val="00050F6B"/>
    <w:rsid w:val="00055A50"/>
    <w:rsid w:val="0005684F"/>
    <w:rsid w:val="0006283C"/>
    <w:rsid w:val="00072C8C"/>
    <w:rsid w:val="000766DD"/>
    <w:rsid w:val="00081555"/>
    <w:rsid w:val="000931C0"/>
    <w:rsid w:val="000B175B"/>
    <w:rsid w:val="000B3A0F"/>
    <w:rsid w:val="000B675E"/>
    <w:rsid w:val="000D389B"/>
    <w:rsid w:val="000E0415"/>
    <w:rsid w:val="001B4B04"/>
    <w:rsid w:val="001C6663"/>
    <w:rsid w:val="001C7895"/>
    <w:rsid w:val="001D26DF"/>
    <w:rsid w:val="001D2F54"/>
    <w:rsid w:val="001F1320"/>
    <w:rsid w:val="001F3AED"/>
    <w:rsid w:val="002005D9"/>
    <w:rsid w:val="00211E0B"/>
    <w:rsid w:val="002525C2"/>
    <w:rsid w:val="00290EB3"/>
    <w:rsid w:val="002A6792"/>
    <w:rsid w:val="002C2942"/>
    <w:rsid w:val="002D4629"/>
    <w:rsid w:val="003107FA"/>
    <w:rsid w:val="0032202D"/>
    <w:rsid w:val="003229D8"/>
    <w:rsid w:val="0033745A"/>
    <w:rsid w:val="00367281"/>
    <w:rsid w:val="0039277A"/>
    <w:rsid w:val="003972E0"/>
    <w:rsid w:val="003A6806"/>
    <w:rsid w:val="003C2CC4"/>
    <w:rsid w:val="003C3CFA"/>
    <w:rsid w:val="003D4B23"/>
    <w:rsid w:val="003E30A6"/>
    <w:rsid w:val="004325CB"/>
    <w:rsid w:val="004353A8"/>
    <w:rsid w:val="00442210"/>
    <w:rsid w:val="00444B85"/>
    <w:rsid w:val="00446DE4"/>
    <w:rsid w:val="00472DED"/>
    <w:rsid w:val="004A41CA"/>
    <w:rsid w:val="00503228"/>
    <w:rsid w:val="005034E5"/>
    <w:rsid w:val="00505384"/>
    <w:rsid w:val="005054D3"/>
    <w:rsid w:val="005258BB"/>
    <w:rsid w:val="005420F2"/>
    <w:rsid w:val="005908D8"/>
    <w:rsid w:val="005A7D18"/>
    <w:rsid w:val="005B3DB3"/>
    <w:rsid w:val="005C4F6D"/>
    <w:rsid w:val="00611FC4"/>
    <w:rsid w:val="006176FB"/>
    <w:rsid w:val="00627ED0"/>
    <w:rsid w:val="00640B26"/>
    <w:rsid w:val="00665595"/>
    <w:rsid w:val="006A7392"/>
    <w:rsid w:val="006E564B"/>
    <w:rsid w:val="006F2395"/>
    <w:rsid w:val="006F67F2"/>
    <w:rsid w:val="00707A3A"/>
    <w:rsid w:val="00713096"/>
    <w:rsid w:val="007248AE"/>
    <w:rsid w:val="0072632A"/>
    <w:rsid w:val="007369EB"/>
    <w:rsid w:val="007542E3"/>
    <w:rsid w:val="0077119D"/>
    <w:rsid w:val="0079163B"/>
    <w:rsid w:val="007B6BA5"/>
    <w:rsid w:val="007C3390"/>
    <w:rsid w:val="007C4F4B"/>
    <w:rsid w:val="007D4833"/>
    <w:rsid w:val="007D6AB3"/>
    <w:rsid w:val="007F0B83"/>
    <w:rsid w:val="007F6611"/>
    <w:rsid w:val="00815180"/>
    <w:rsid w:val="008175E9"/>
    <w:rsid w:val="008242D7"/>
    <w:rsid w:val="008311A3"/>
    <w:rsid w:val="00846B31"/>
    <w:rsid w:val="00861F97"/>
    <w:rsid w:val="00871FD5"/>
    <w:rsid w:val="00891910"/>
    <w:rsid w:val="008979B1"/>
    <w:rsid w:val="008A6B25"/>
    <w:rsid w:val="008A6C4F"/>
    <w:rsid w:val="008E0E46"/>
    <w:rsid w:val="008E4C9A"/>
    <w:rsid w:val="009049A1"/>
    <w:rsid w:val="00907AD2"/>
    <w:rsid w:val="009408A5"/>
    <w:rsid w:val="009556A2"/>
    <w:rsid w:val="00963CBA"/>
    <w:rsid w:val="00974A8D"/>
    <w:rsid w:val="00991261"/>
    <w:rsid w:val="009F3A17"/>
    <w:rsid w:val="00A1427D"/>
    <w:rsid w:val="00A37D4B"/>
    <w:rsid w:val="00A43A48"/>
    <w:rsid w:val="00A72F22"/>
    <w:rsid w:val="00A748A6"/>
    <w:rsid w:val="00A81403"/>
    <w:rsid w:val="00A879A4"/>
    <w:rsid w:val="00AA0E3C"/>
    <w:rsid w:val="00AC145F"/>
    <w:rsid w:val="00AE5321"/>
    <w:rsid w:val="00B21A43"/>
    <w:rsid w:val="00B30179"/>
    <w:rsid w:val="00B33EC0"/>
    <w:rsid w:val="00B42A18"/>
    <w:rsid w:val="00B50F83"/>
    <w:rsid w:val="00B81E12"/>
    <w:rsid w:val="00BC74E9"/>
    <w:rsid w:val="00BE4F74"/>
    <w:rsid w:val="00BE618E"/>
    <w:rsid w:val="00C17699"/>
    <w:rsid w:val="00C463DD"/>
    <w:rsid w:val="00C745C3"/>
    <w:rsid w:val="00CD7A2E"/>
    <w:rsid w:val="00CE4A8F"/>
    <w:rsid w:val="00D0229F"/>
    <w:rsid w:val="00D12556"/>
    <w:rsid w:val="00D2031B"/>
    <w:rsid w:val="00D25FE2"/>
    <w:rsid w:val="00D317BB"/>
    <w:rsid w:val="00D43252"/>
    <w:rsid w:val="00D437C6"/>
    <w:rsid w:val="00D815E5"/>
    <w:rsid w:val="00D978C6"/>
    <w:rsid w:val="00DA0C22"/>
    <w:rsid w:val="00DA67AD"/>
    <w:rsid w:val="00DB5D0F"/>
    <w:rsid w:val="00DC5F89"/>
    <w:rsid w:val="00DF0F82"/>
    <w:rsid w:val="00DF12F7"/>
    <w:rsid w:val="00E02C81"/>
    <w:rsid w:val="00E130AB"/>
    <w:rsid w:val="00E16903"/>
    <w:rsid w:val="00E3517E"/>
    <w:rsid w:val="00E7260F"/>
    <w:rsid w:val="00E87921"/>
    <w:rsid w:val="00E96630"/>
    <w:rsid w:val="00EB5B37"/>
    <w:rsid w:val="00ED7A2A"/>
    <w:rsid w:val="00EF1D7F"/>
    <w:rsid w:val="00F20223"/>
    <w:rsid w:val="00F53EDA"/>
    <w:rsid w:val="00F7753D"/>
    <w:rsid w:val="00F85F34"/>
    <w:rsid w:val="00F9218E"/>
    <w:rsid w:val="00FA06F7"/>
    <w:rsid w:val="00FB171A"/>
    <w:rsid w:val="00FC5C7E"/>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945B"/>
  <w15:docId w15:val="{419A88C3-030E-444D-A57F-62B9139A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FootnoteTextChar">
    <w:name w:val="Footnote Text Char"/>
    <w:aliases w:val="5_G Char"/>
    <w:basedOn w:val="DefaultParagraphFont"/>
    <w:link w:val="FootnoteText"/>
    <w:uiPriority w:val="99"/>
    <w:rsid w:val="005A7D18"/>
    <w:rPr>
      <w:sz w:val="18"/>
      <w:lang w:val="en-GB"/>
    </w:rPr>
  </w:style>
  <w:style w:type="character" w:customStyle="1" w:styleId="SingleTxtGChar">
    <w:name w:val="_ Single Txt_G Char"/>
    <w:basedOn w:val="DefaultParagraphFont"/>
    <w:link w:val="SingleTxtG"/>
    <w:qFormat/>
    <w:rsid w:val="005A7D18"/>
    <w:rPr>
      <w:lang w:val="en-GB"/>
    </w:rPr>
  </w:style>
  <w:style w:type="character" w:customStyle="1" w:styleId="HChGChar">
    <w:name w:val="_ H _Ch_G Char"/>
    <w:link w:val="HChG"/>
    <w:qFormat/>
    <w:rsid w:val="005A7D18"/>
    <w:rPr>
      <w:b/>
      <w:sz w:val="28"/>
      <w:lang w:val="en-GB"/>
    </w:rPr>
  </w:style>
  <w:style w:type="character" w:customStyle="1" w:styleId="H1GChar">
    <w:name w:val="_ H_1_G Char"/>
    <w:link w:val="H1G"/>
    <w:qFormat/>
    <w:rsid w:val="005A7D18"/>
    <w:rPr>
      <w:b/>
      <w:sz w:val="24"/>
      <w:lang w:val="en-GB"/>
    </w:rPr>
  </w:style>
  <w:style w:type="paragraph" w:customStyle="1" w:styleId="Default">
    <w:name w:val="Default"/>
    <w:rsid w:val="005A7D18"/>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399BD-A890-4A35-90AE-403158ED184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EC1DBCF-E97A-4A14-8591-ADB34CC9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FF10E-C28F-46D4-8290-A45C6A2B6CD8}">
  <ds:schemaRefs>
    <ds:schemaRef ds:uri="http://schemas.openxmlformats.org/officeDocument/2006/bibliography"/>
  </ds:schemaRefs>
</ds:datastoreItem>
</file>

<file path=customXml/itemProps4.xml><?xml version="1.0" encoding="utf-8"?>
<ds:datastoreItem xmlns:ds="http://schemas.openxmlformats.org/officeDocument/2006/customXml" ds:itemID="{AC8E3A14-2E3E-44F2-BB91-AA5A84A65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PlainPage_E.dotm</Template>
  <TotalTime>20</TotalTime>
  <Pages>1</Pages>
  <Words>392</Words>
  <Characters>2237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ST/SG/AC.10/C.3/2022/10</dc:title>
  <dc:creator>Laurence BERTHET</dc:creator>
  <cp:lastModifiedBy>Romain Hubert</cp:lastModifiedBy>
  <cp:revision>20</cp:revision>
  <cp:lastPrinted>2008-09-29T11:49:00Z</cp:lastPrinted>
  <dcterms:created xsi:type="dcterms:W3CDTF">2022-10-28T08:21:00Z</dcterms:created>
  <dcterms:modified xsi:type="dcterms:W3CDTF">2022-10-28T08:54:00Z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