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7134B8" w14:paraId="0BBDF9CA" w14:textId="77777777" w:rsidTr="5BB3EF12">
        <w:trPr>
          <w:cantSplit/>
          <w:trHeight w:hRule="exact" w:val="851"/>
        </w:trPr>
        <w:tc>
          <w:tcPr>
            <w:tcW w:w="9639" w:type="dxa"/>
            <w:tcBorders>
              <w:bottom w:val="single" w:sz="4" w:space="0" w:color="auto"/>
            </w:tcBorders>
            <w:vAlign w:val="bottom"/>
          </w:tcPr>
          <w:p w14:paraId="6EC4B76E" w14:textId="24881892" w:rsidR="00164115" w:rsidRPr="007134B8" w:rsidRDefault="00164115" w:rsidP="00AE4666">
            <w:pPr>
              <w:jc w:val="right"/>
              <w:rPr>
                <w:b/>
                <w:sz w:val="40"/>
                <w:szCs w:val="40"/>
              </w:rPr>
            </w:pPr>
            <w:r w:rsidRPr="007134B8">
              <w:rPr>
                <w:b/>
                <w:sz w:val="40"/>
                <w:szCs w:val="40"/>
              </w:rPr>
              <w:t>UN/SCEGHS/</w:t>
            </w:r>
            <w:r w:rsidR="0099644C" w:rsidRPr="007134B8">
              <w:rPr>
                <w:b/>
                <w:sz w:val="40"/>
                <w:szCs w:val="40"/>
              </w:rPr>
              <w:t>43</w:t>
            </w:r>
            <w:r w:rsidRPr="007134B8">
              <w:rPr>
                <w:b/>
                <w:sz w:val="40"/>
                <w:szCs w:val="40"/>
              </w:rPr>
              <w:t>/INF.</w:t>
            </w:r>
            <w:r w:rsidR="003F211C">
              <w:rPr>
                <w:b/>
                <w:sz w:val="40"/>
                <w:szCs w:val="40"/>
              </w:rPr>
              <w:t>25</w:t>
            </w:r>
          </w:p>
        </w:tc>
      </w:tr>
      <w:tr w:rsidR="00164115" w:rsidRPr="007134B8" w14:paraId="4D07D853" w14:textId="77777777" w:rsidTr="5BB3EF12">
        <w:trPr>
          <w:cantSplit/>
          <w:trHeight w:hRule="exact" w:val="3114"/>
        </w:trPr>
        <w:tc>
          <w:tcPr>
            <w:tcW w:w="9639" w:type="dxa"/>
            <w:tcBorders>
              <w:top w:val="single" w:sz="4" w:space="0" w:color="auto"/>
            </w:tcBorders>
          </w:tcPr>
          <w:p w14:paraId="1224738E" w14:textId="77777777" w:rsidR="00164115" w:rsidRPr="007134B8" w:rsidRDefault="00164115" w:rsidP="00CB37ED">
            <w:pPr>
              <w:spacing w:before="120"/>
              <w:rPr>
                <w:b/>
                <w:sz w:val="24"/>
                <w:szCs w:val="24"/>
              </w:rPr>
            </w:pPr>
            <w:r w:rsidRPr="007134B8">
              <w:rPr>
                <w:b/>
                <w:sz w:val="24"/>
                <w:szCs w:val="24"/>
              </w:rPr>
              <w:t>Committee of Experts on the Transport of Dangerous Goods</w:t>
            </w:r>
            <w:r w:rsidRPr="007134B8">
              <w:rPr>
                <w:b/>
                <w:sz w:val="24"/>
                <w:szCs w:val="24"/>
              </w:rPr>
              <w:br/>
              <w:t>and on the Globally Harmonized System of Classification</w:t>
            </w:r>
            <w:r w:rsidRPr="007134B8">
              <w:rPr>
                <w:b/>
                <w:sz w:val="24"/>
                <w:szCs w:val="24"/>
              </w:rPr>
              <w:br/>
              <w:t>and Labelling of Chemicals</w:t>
            </w:r>
          </w:p>
          <w:p w14:paraId="1B71D8C4" w14:textId="6764F875" w:rsidR="00164115" w:rsidRPr="007134B8" w:rsidRDefault="07E0ABBF" w:rsidP="74DF4F73">
            <w:pPr>
              <w:tabs>
                <w:tab w:val="right" w:pos="9300"/>
              </w:tabs>
              <w:spacing w:before="120"/>
              <w:rPr>
                <w:rFonts w:ascii="Helv" w:hAnsi="Helv" w:cs="Helv"/>
                <w:b/>
                <w:bCs/>
                <w:color w:val="000000"/>
              </w:rPr>
            </w:pPr>
            <w:r w:rsidRPr="5BB3EF12">
              <w:rPr>
                <w:b/>
                <w:bCs/>
              </w:rPr>
              <w:t>Sub-Committee of Experts on the Globally Harmonized</w:t>
            </w:r>
            <w:r w:rsidR="00164115">
              <w:br/>
            </w:r>
            <w:r w:rsidRPr="5BB3EF12">
              <w:rPr>
                <w:b/>
                <w:bCs/>
              </w:rPr>
              <w:t>System of Classification and Labelling of Chemicals</w:t>
            </w:r>
            <w:r w:rsidR="00164115">
              <w:tab/>
            </w:r>
            <w:r w:rsidR="00D2339B" w:rsidRPr="5BB3EF12">
              <w:rPr>
                <w:b/>
                <w:bCs/>
              </w:rPr>
              <w:t>29</w:t>
            </w:r>
            <w:r w:rsidR="0099644C" w:rsidRPr="5BB3EF12">
              <w:rPr>
                <w:b/>
                <w:bCs/>
              </w:rPr>
              <w:t xml:space="preserve"> November</w:t>
            </w:r>
            <w:r w:rsidR="5D9604A7" w:rsidRPr="5BB3EF12">
              <w:rPr>
                <w:b/>
                <w:bCs/>
              </w:rPr>
              <w:t xml:space="preserve"> 2022</w:t>
            </w:r>
            <w:r w:rsidR="00164115">
              <w:tab/>
            </w:r>
          </w:p>
          <w:p w14:paraId="7DB3104E" w14:textId="35149238" w:rsidR="00164115" w:rsidRPr="007134B8" w:rsidRDefault="00AE4666" w:rsidP="00CB37ED">
            <w:pPr>
              <w:jc w:val="both"/>
            </w:pPr>
            <w:r w:rsidRPr="007134B8">
              <w:rPr>
                <w:b/>
              </w:rPr>
              <w:t>Forty-</w:t>
            </w:r>
            <w:r w:rsidR="0099644C" w:rsidRPr="007134B8">
              <w:rPr>
                <w:b/>
              </w:rPr>
              <w:t>third</w:t>
            </w:r>
            <w:r w:rsidR="004255A7" w:rsidRPr="007134B8">
              <w:rPr>
                <w:b/>
              </w:rPr>
              <w:t xml:space="preserve"> </w:t>
            </w:r>
            <w:r w:rsidR="00164115" w:rsidRPr="007134B8">
              <w:rPr>
                <w:b/>
              </w:rPr>
              <w:t>session</w:t>
            </w:r>
            <w:r w:rsidR="00164115" w:rsidRPr="007134B8">
              <w:t xml:space="preserve"> </w:t>
            </w:r>
          </w:p>
          <w:p w14:paraId="5985735A" w14:textId="6E3B3BFA" w:rsidR="00164115" w:rsidRPr="00A51444" w:rsidRDefault="00164115" w:rsidP="00CB37ED">
            <w:pPr>
              <w:jc w:val="both"/>
            </w:pPr>
            <w:r w:rsidRPr="007134B8">
              <w:t>G</w:t>
            </w:r>
            <w:r w:rsidRPr="00A51444">
              <w:t>eneva,</w:t>
            </w:r>
            <w:r w:rsidR="0099644C" w:rsidRPr="00A51444">
              <w:t xml:space="preserve"> 7-9 December</w:t>
            </w:r>
            <w:r w:rsidR="008C0CA5" w:rsidRPr="00A51444">
              <w:t xml:space="preserve"> 2022</w:t>
            </w:r>
          </w:p>
          <w:p w14:paraId="13458B45" w14:textId="77777777" w:rsidR="0099644C" w:rsidRPr="00A51444" w:rsidRDefault="0099644C" w:rsidP="0099644C">
            <w:r w:rsidRPr="00A51444">
              <w:t>Item 7 of the provisional agenda</w:t>
            </w:r>
          </w:p>
          <w:p w14:paraId="2807C471" w14:textId="6B4966C6" w:rsidR="00164115" w:rsidRPr="007134B8" w:rsidRDefault="0099644C" w:rsidP="00291D5A">
            <w:r w:rsidRPr="00A51444">
              <w:rPr>
                <w:b/>
                <w:bCs/>
              </w:rPr>
              <w:t>Programme of work for the biennium 2023-2024</w:t>
            </w:r>
          </w:p>
        </w:tc>
      </w:tr>
    </w:tbl>
    <w:p w14:paraId="22A504C2" w14:textId="5D4A5CBD" w:rsidR="000D1812" w:rsidRPr="007134B8" w:rsidRDefault="000D1812" w:rsidP="000D1812">
      <w:pPr>
        <w:pStyle w:val="HChG"/>
        <w:spacing w:before="240"/>
        <w:rPr>
          <w:rFonts w:eastAsia="MS Mincho"/>
          <w:lang w:eastAsia="ja-JP"/>
        </w:rPr>
      </w:pPr>
      <w:r w:rsidRPr="007134B8">
        <w:rPr>
          <w:rFonts w:eastAsia="MS Mincho"/>
          <w:lang w:eastAsia="ja-JP"/>
        </w:rPr>
        <w:tab/>
      </w:r>
      <w:r w:rsidRPr="007134B8">
        <w:rPr>
          <w:rFonts w:eastAsia="MS Mincho"/>
          <w:lang w:eastAsia="ja-JP"/>
        </w:rPr>
        <w:tab/>
      </w:r>
      <w:r w:rsidR="0004060F" w:rsidRPr="007134B8">
        <w:t xml:space="preserve">Addendum </w:t>
      </w:r>
      <w:r w:rsidR="004D1CD6" w:rsidRPr="007134B8">
        <w:t xml:space="preserve">to ST/SG/AC.10/C.4/2022/18 - </w:t>
      </w:r>
      <w:r w:rsidR="0004060F" w:rsidRPr="007134B8">
        <w:t>u</w:t>
      </w:r>
      <w:r w:rsidR="0099644C" w:rsidRPr="007134B8">
        <w:t>naddressed hazard</w:t>
      </w:r>
      <w:r w:rsidR="416FBDAB" w:rsidRPr="007134B8">
        <w:t>s</w:t>
      </w:r>
      <w:r w:rsidR="0099644C" w:rsidRPr="007134B8">
        <w:t>: endocrine disrupt</w:t>
      </w:r>
      <w:r w:rsidR="0004060F" w:rsidRPr="007134B8">
        <w:t>ors</w:t>
      </w:r>
      <w:r w:rsidR="0099644C" w:rsidRPr="007134B8">
        <w:t xml:space="preserve"> </w:t>
      </w:r>
    </w:p>
    <w:p w14:paraId="2FB45740" w14:textId="02D9C340" w:rsidR="000D1812" w:rsidRPr="007134B8" w:rsidRDefault="000D1812" w:rsidP="000D1812">
      <w:pPr>
        <w:pStyle w:val="H1G"/>
        <w:spacing w:before="240"/>
      </w:pPr>
      <w:r w:rsidRPr="007134B8">
        <w:rPr>
          <w:rFonts w:eastAsia="MS Mincho"/>
        </w:rPr>
        <w:tab/>
      </w:r>
      <w:r w:rsidRPr="007134B8">
        <w:rPr>
          <w:rFonts w:eastAsia="MS Mincho"/>
        </w:rPr>
        <w:tab/>
      </w:r>
      <w:r w:rsidRPr="007134B8">
        <w:t xml:space="preserve">Transmitted by the European Union </w:t>
      </w:r>
    </w:p>
    <w:p w14:paraId="2F375B07" w14:textId="7BC220EF" w:rsidR="00BB246B" w:rsidRPr="007134B8" w:rsidRDefault="003F211C" w:rsidP="003F211C">
      <w:pPr>
        <w:pStyle w:val="SingleTxtG"/>
        <w:tabs>
          <w:tab w:val="left" w:pos="1701"/>
        </w:tabs>
      </w:pPr>
      <w:r>
        <w:t>1.</w:t>
      </w:r>
      <w:r>
        <w:tab/>
      </w:r>
      <w:r w:rsidR="00BB246B" w:rsidRPr="007134B8">
        <w:t xml:space="preserve">This document provides complementary information on endocrine disrupting properties in </w:t>
      </w:r>
      <w:r w:rsidR="00BB246B" w:rsidRPr="003F211C">
        <w:t>support</w:t>
      </w:r>
      <w:r w:rsidR="00BB246B" w:rsidRPr="007134B8">
        <w:t xml:space="preserve"> of the proposal for new work on unaddressed hazard classes in the programme of work for the biennium 2023-2024</w:t>
      </w:r>
      <w:r w:rsidR="00741BAF" w:rsidRPr="007134B8">
        <w:t>.</w:t>
      </w:r>
      <w:r w:rsidR="00BB246B" w:rsidRPr="007134B8">
        <w:t xml:space="preserve"> </w:t>
      </w:r>
      <w:r w:rsidR="00741BAF" w:rsidRPr="007134B8">
        <w:t>The new work item</w:t>
      </w:r>
      <w:r w:rsidR="00BB246B" w:rsidRPr="007134B8">
        <w:t xml:space="preserve"> would </w:t>
      </w:r>
      <w:r w:rsidR="00741BAF" w:rsidRPr="007134B8">
        <w:t xml:space="preserve">initially </w:t>
      </w:r>
      <w:r w:rsidR="00BB246B" w:rsidRPr="007134B8">
        <w:t>cover the following hazards: endocrine disruptors (ED) for human health and the environment</w:t>
      </w:r>
      <w:r w:rsidR="00741BAF" w:rsidRPr="007134B8">
        <w:t>;</w:t>
      </w:r>
      <w:r w:rsidR="00BB246B" w:rsidRPr="007134B8">
        <w:t xml:space="preserve"> persistent, </w:t>
      </w:r>
      <w:proofErr w:type="spellStart"/>
      <w:r w:rsidR="00BB246B" w:rsidRPr="007134B8">
        <w:t>bioaccumulative</w:t>
      </w:r>
      <w:proofErr w:type="spellEnd"/>
      <w:r w:rsidR="00BB246B" w:rsidRPr="007134B8">
        <w:t xml:space="preserve">, toxic (PBT), very persistent, very </w:t>
      </w:r>
      <w:proofErr w:type="spellStart"/>
      <w:r w:rsidR="00BB246B" w:rsidRPr="007134B8">
        <w:t>bioaccumulative</w:t>
      </w:r>
      <w:proofErr w:type="spellEnd"/>
      <w:r w:rsidR="00BB246B" w:rsidRPr="007134B8">
        <w:t xml:space="preserve"> (</w:t>
      </w:r>
      <w:proofErr w:type="spellStart"/>
      <w:r w:rsidR="00BB246B" w:rsidRPr="007134B8">
        <w:t>vPvB</w:t>
      </w:r>
      <w:proofErr w:type="spellEnd"/>
      <w:r w:rsidR="00BB246B" w:rsidRPr="007134B8">
        <w:t>)</w:t>
      </w:r>
      <w:r w:rsidR="00741BAF" w:rsidRPr="007134B8">
        <w:t>;</w:t>
      </w:r>
      <w:r w:rsidR="00BB246B" w:rsidRPr="007134B8">
        <w:t xml:space="preserve"> persistent, mobile, toxic (PMT) and very persistent, very mobile (</w:t>
      </w:r>
      <w:proofErr w:type="spellStart"/>
      <w:r w:rsidR="00BB246B" w:rsidRPr="007134B8">
        <w:t>vPvM</w:t>
      </w:r>
      <w:proofErr w:type="spellEnd"/>
      <w:r w:rsidR="00BB246B" w:rsidRPr="007134B8">
        <w:t>)</w:t>
      </w:r>
      <w:r w:rsidR="00741BAF" w:rsidRPr="007134B8">
        <w:t xml:space="preserve"> substances</w:t>
      </w:r>
      <w:r w:rsidR="00EF5216" w:rsidRPr="007134B8">
        <w:rPr>
          <w:rStyle w:val="FootnoteReference"/>
        </w:rPr>
        <w:footnoteReference w:id="2"/>
      </w:r>
      <w:r w:rsidR="00BB246B" w:rsidRPr="007134B8">
        <w:t xml:space="preserve">. </w:t>
      </w:r>
    </w:p>
    <w:p w14:paraId="348404BF" w14:textId="77777777" w:rsidR="000D1812" w:rsidRPr="007134B8" w:rsidRDefault="000D1812" w:rsidP="000D1812">
      <w:pPr>
        <w:pStyle w:val="HChG"/>
      </w:pPr>
      <w:r w:rsidRPr="007134B8">
        <w:tab/>
      </w:r>
      <w:r w:rsidRPr="007134B8">
        <w:tab/>
        <w:t>Background</w:t>
      </w:r>
    </w:p>
    <w:p w14:paraId="47B6ECB3" w14:textId="111BA06B" w:rsidR="000D1812" w:rsidRPr="003F211C" w:rsidRDefault="003F211C" w:rsidP="003F211C">
      <w:pPr>
        <w:pStyle w:val="SingleTxtG"/>
        <w:tabs>
          <w:tab w:val="left" w:pos="1701"/>
        </w:tabs>
      </w:pPr>
      <w:r>
        <w:t>2.</w:t>
      </w:r>
      <w:r>
        <w:tab/>
      </w:r>
      <w:r w:rsidR="00741BAF" w:rsidRPr="003F211C">
        <w:t>Over the last 30 years, the endocrine disrupting properties of chemicals have been the focus of increasing scientific research, and the accumulated knowledge identifies EDs as a concern to public and wildlife health</w:t>
      </w:r>
      <w:r w:rsidR="00741BAF" w:rsidRPr="003F211C">
        <w:rPr>
          <w:rStyle w:val="FootnoteReference"/>
          <w:sz w:val="20"/>
        </w:rPr>
        <w:footnoteReference w:id="3"/>
      </w:r>
      <w:r w:rsidR="00741BAF" w:rsidRPr="003F211C">
        <w:t>. The high and increasing incidence of many endocrine-related disorders in humans</w:t>
      </w:r>
      <w:r w:rsidR="00741BAF" w:rsidRPr="003F211C">
        <w:rPr>
          <w:rStyle w:val="FootnoteReference"/>
          <w:sz w:val="20"/>
        </w:rPr>
        <w:footnoteReference w:id="4"/>
      </w:r>
      <w:r w:rsidR="00741BAF" w:rsidRPr="003F211C">
        <w:t xml:space="preserve"> have important parallels in some wildlife populations. Evidence on the roles played in the disease outcomes by environmental and other non-genetic factors, including chemical exposure, is growing. Despite some links hav</w:t>
      </w:r>
      <w:r w:rsidR="002B732D" w:rsidRPr="003F211C">
        <w:t>ing</w:t>
      </w:r>
      <w:r w:rsidR="00741BAF" w:rsidRPr="003F211C">
        <w:t xml:space="preserve"> become apparent</w:t>
      </w:r>
      <w:r w:rsidR="00741BAF" w:rsidRPr="003F211C">
        <w:rPr>
          <w:rStyle w:val="FootnoteReference"/>
          <w:sz w:val="20"/>
        </w:rPr>
        <w:footnoteReference w:id="5"/>
      </w:r>
      <w:r w:rsidR="00741BAF" w:rsidRPr="003F211C">
        <w:t>, more research is necessary on the associations between EDs and other endocrine-related diseases</w:t>
      </w:r>
      <w:r w:rsidR="00741BAF" w:rsidRPr="003F211C">
        <w:rPr>
          <w:rStyle w:val="FootnoteReference"/>
          <w:sz w:val="20"/>
        </w:rPr>
        <w:footnoteReference w:id="6"/>
      </w:r>
      <w:r w:rsidR="00741BAF" w:rsidRPr="003F211C">
        <w:t>.</w:t>
      </w:r>
    </w:p>
    <w:p w14:paraId="50A7B07C" w14:textId="6E90597D" w:rsidR="00B35F7D" w:rsidRPr="007134B8" w:rsidRDefault="003F211C" w:rsidP="003F211C">
      <w:pPr>
        <w:pStyle w:val="SingleTxtG"/>
        <w:tabs>
          <w:tab w:val="left" w:pos="1701"/>
        </w:tabs>
        <w:rPr>
          <w:rFonts w:eastAsiaTheme="minorEastAsia"/>
        </w:rPr>
      </w:pPr>
      <w:r>
        <w:t>3.</w:t>
      </w:r>
      <w:r>
        <w:tab/>
      </w:r>
      <w:r w:rsidR="00741BAF" w:rsidRPr="003F211C">
        <w:t>The interaction between EDs and other environmental stressors is also under investigation, with some research pointing to potential emerging proble</w:t>
      </w:r>
      <w:r w:rsidR="007B1FF1" w:rsidRPr="003F211C">
        <w:t>ms</w:t>
      </w:r>
      <w:r w:rsidR="00741BAF" w:rsidRPr="003F211C">
        <w:rPr>
          <w:rStyle w:val="FootnoteReference"/>
          <w:sz w:val="20"/>
        </w:rPr>
        <w:footnoteReference w:id="7"/>
      </w:r>
      <w:r w:rsidR="00741BAF" w:rsidRPr="003F211C">
        <w:t xml:space="preserve">. Importantly, only a small proportion of the chemicals on the market have been tested for endocrine effects and the disease risk due to exposure </w:t>
      </w:r>
      <w:r w:rsidR="00F26B80" w:rsidRPr="003F211C">
        <w:t xml:space="preserve">to EDs </w:t>
      </w:r>
      <w:r w:rsidR="00741BAF" w:rsidRPr="003F211C">
        <w:t>may be significantly underestimated</w:t>
      </w:r>
      <w:bookmarkStart w:id="0" w:name="_Ref119080204"/>
      <w:r w:rsidR="00741BAF" w:rsidRPr="003F211C">
        <w:rPr>
          <w:rStyle w:val="FootnoteReference"/>
          <w:sz w:val="20"/>
        </w:rPr>
        <w:footnoteReference w:id="8"/>
      </w:r>
      <w:bookmarkEnd w:id="0"/>
      <w:r w:rsidR="00741BAF" w:rsidRPr="003F211C">
        <w:t>. Shaffer et al. (2019) identifies EDs as a high priority class of</w:t>
      </w:r>
      <w:r w:rsidR="00741BAF" w:rsidRPr="007134B8">
        <w:t xml:space="preserve"> environmental health risk factors for inclusion in the future iterations of the Global Burden of Disease (GBD) study</w:t>
      </w:r>
      <w:r w:rsidR="00741BAF" w:rsidRPr="007134B8">
        <w:rPr>
          <w:vertAlign w:val="superscript"/>
        </w:rPr>
        <w:footnoteReference w:id="9"/>
      </w:r>
      <w:r w:rsidR="006C7C3C" w:rsidRPr="007134B8">
        <w:t>.</w:t>
      </w:r>
    </w:p>
    <w:p w14:paraId="614B65B6" w14:textId="7F70F915" w:rsidR="00A26813" w:rsidRPr="00FB0A65" w:rsidRDefault="00FB0A65" w:rsidP="00FB0A65">
      <w:pPr>
        <w:pStyle w:val="SingleTxtG"/>
        <w:tabs>
          <w:tab w:val="left" w:pos="1701"/>
        </w:tabs>
        <w:rPr>
          <w:rFonts w:eastAsiaTheme="minorEastAsia"/>
        </w:rPr>
      </w:pPr>
      <w:r>
        <w:lastRenderedPageBreak/>
        <w:t>4.</w:t>
      </w:r>
      <w:r>
        <w:tab/>
      </w:r>
      <w:r w:rsidR="00845125" w:rsidRPr="00FB0A65">
        <w:t>T</w:t>
      </w:r>
      <w:r w:rsidR="001A5A2F" w:rsidRPr="00FB0A65">
        <w:t>he</w:t>
      </w:r>
      <w:r w:rsidR="00A26813" w:rsidRPr="00FB0A65">
        <w:t xml:space="preserve"> </w:t>
      </w:r>
      <w:r w:rsidR="00EF5216" w:rsidRPr="00FB0A65">
        <w:t xml:space="preserve">literature concludes that </w:t>
      </w:r>
      <w:r w:rsidR="00A26813" w:rsidRPr="00FB0A65">
        <w:t xml:space="preserve">EDs can mimic or interfere with the body’s endocrine system, and associated effects include impacts on male and female reproduction, breast development and cancer, prostate cancer, neuroendocrinology, thyroid, metabolism and obesity, and cardiovascular </w:t>
      </w:r>
      <w:r w:rsidR="006C7C3C" w:rsidRPr="00FB0A65">
        <w:t>endocrinology</w:t>
      </w:r>
      <w:r w:rsidR="00A26813" w:rsidRPr="00FB0A65">
        <w:rPr>
          <w:vertAlign w:val="superscript"/>
        </w:rPr>
        <w:footnoteReference w:id="10"/>
      </w:r>
      <w:r w:rsidR="006C7C3C" w:rsidRPr="00FB0A65">
        <w:t>.</w:t>
      </w:r>
      <w:r w:rsidR="00A26813" w:rsidRPr="00FB0A65">
        <w:t xml:space="preserve"> Vulnerable groups, such as young children, are particularly affected by exposure to EDs, which can have life-long impacts and exhibit in adulthood. Rijk et al. (2016) identified more than 80 different health endpoints which have been potentially associated </w:t>
      </w:r>
      <w:r w:rsidR="001A5A2F" w:rsidRPr="00FB0A65">
        <w:t>with</w:t>
      </w:r>
      <w:r w:rsidR="00A26813" w:rsidRPr="00FB0A65">
        <w:t xml:space="preserve"> exposure to EDs</w:t>
      </w:r>
      <w:r w:rsidR="00A26813" w:rsidRPr="00FB0A65">
        <w:rPr>
          <w:rStyle w:val="FootnoteReference"/>
          <w:sz w:val="20"/>
        </w:rPr>
        <w:footnoteReference w:id="11"/>
      </w:r>
      <w:r w:rsidR="00A26813" w:rsidRPr="00FB0A65">
        <w:t>.</w:t>
      </w:r>
    </w:p>
    <w:p w14:paraId="4F69BC78" w14:textId="149D88B7" w:rsidR="00EF5216" w:rsidRPr="00FB0A65" w:rsidRDefault="00FB0A65" w:rsidP="00FB0A65">
      <w:pPr>
        <w:pStyle w:val="SingleTxtG"/>
        <w:tabs>
          <w:tab w:val="left" w:pos="1701"/>
        </w:tabs>
        <w:rPr>
          <w:rFonts w:eastAsiaTheme="minorEastAsia"/>
        </w:rPr>
      </w:pPr>
      <w:r>
        <w:t>5.</w:t>
      </w:r>
      <w:r>
        <w:tab/>
      </w:r>
      <w:r w:rsidR="00FD49F4" w:rsidRPr="00FB0A65">
        <w:t xml:space="preserve">As substances and mixtures with ED properties are </w:t>
      </w:r>
      <w:r w:rsidR="00845125" w:rsidRPr="00FB0A65">
        <w:t xml:space="preserve">currently </w:t>
      </w:r>
      <w:r w:rsidR="00FD49F4" w:rsidRPr="00FB0A65">
        <w:t xml:space="preserve">not systematically identified and classified, these properties are not communicated to downstream users, limiting downstream users’ ability to make informed purchase choices and to adopt suitable risk management measures. The lack of identification criteria may also result in the failure to define risk management provisions in downstream legislation referring to hazard classification. </w:t>
      </w:r>
    </w:p>
    <w:p w14:paraId="5B4602AB" w14:textId="66A103B2" w:rsidR="000D1812" w:rsidRPr="00FB0A65" w:rsidRDefault="00FB0A65" w:rsidP="00FB0A65">
      <w:pPr>
        <w:pStyle w:val="SingleTxtG"/>
        <w:tabs>
          <w:tab w:val="left" w:pos="1701"/>
        </w:tabs>
        <w:rPr>
          <w:rFonts w:eastAsiaTheme="minorEastAsia"/>
        </w:rPr>
      </w:pPr>
      <w:r>
        <w:t>6.</w:t>
      </w:r>
      <w:r>
        <w:tab/>
      </w:r>
      <w:r w:rsidR="00FD49F4" w:rsidRPr="00FB0A65">
        <w:t>Moreover,</w:t>
      </w:r>
      <w:r w:rsidR="00622714" w:rsidRPr="00FB0A65">
        <w:t xml:space="preserve"> the hazard of</w:t>
      </w:r>
      <w:r w:rsidR="00FD49F4" w:rsidRPr="00FB0A65">
        <w:t xml:space="preserve"> substances suspected of having ED properties may be assessed multiple times according to different regulations</w:t>
      </w:r>
      <w:r w:rsidR="00EF5216" w:rsidRPr="00FB0A65">
        <w:t xml:space="preserve"> in different </w:t>
      </w:r>
      <w:r w:rsidR="001A5A2F" w:rsidRPr="00FB0A65">
        <w:t>jurisdictions</w:t>
      </w:r>
      <w:r w:rsidR="00F04C2A" w:rsidRPr="00FB0A65">
        <w:rPr>
          <w:rStyle w:val="FootnoteReference"/>
          <w:sz w:val="20"/>
        </w:rPr>
        <w:footnoteReference w:id="12"/>
      </w:r>
      <w:r w:rsidR="00FD49F4" w:rsidRPr="00FB0A65">
        <w:t>, contributing to the inefficient use of limited resources</w:t>
      </w:r>
      <w:r w:rsidR="00F04C2A" w:rsidRPr="00FB0A65">
        <w:t xml:space="preserve"> that would be solved </w:t>
      </w:r>
      <w:r w:rsidR="001A5A2F" w:rsidRPr="00FB0A65">
        <w:t>by</w:t>
      </w:r>
      <w:r w:rsidR="00F04C2A" w:rsidRPr="00FB0A65">
        <w:t xml:space="preserve"> global harmonization</w:t>
      </w:r>
      <w:r w:rsidR="001A5A2F" w:rsidRPr="00FB0A65">
        <w:t xml:space="preserve"> of the criteria</w:t>
      </w:r>
      <w:r w:rsidR="00F04C2A" w:rsidRPr="00FB0A65">
        <w:t>.</w:t>
      </w:r>
    </w:p>
    <w:p w14:paraId="7E7AD690" w14:textId="1CC8C1E5" w:rsidR="00741BAF" w:rsidRPr="00FB0A65" w:rsidRDefault="00FB0A65" w:rsidP="00FB0A65">
      <w:pPr>
        <w:pStyle w:val="SingleTxtG"/>
        <w:tabs>
          <w:tab w:val="left" w:pos="1701"/>
        </w:tabs>
        <w:rPr>
          <w:rFonts w:eastAsiaTheme="minorEastAsia"/>
        </w:rPr>
      </w:pPr>
      <w:r>
        <w:t>7.</w:t>
      </w:r>
      <w:r>
        <w:tab/>
      </w:r>
      <w:r w:rsidR="068CB8DF" w:rsidRPr="00FB0A65">
        <w:t xml:space="preserve">Although </w:t>
      </w:r>
      <w:r w:rsidR="5A8DA8F8" w:rsidRPr="00FB0A65">
        <w:t>it is not possible to fully quantify the impact on human health and</w:t>
      </w:r>
      <w:r w:rsidR="00C505F7" w:rsidRPr="00FB0A65">
        <w:t xml:space="preserve"> on</w:t>
      </w:r>
      <w:r w:rsidR="5A8DA8F8" w:rsidRPr="00FB0A65">
        <w:t xml:space="preserve"> the environment of chemicals with the most critical hazards</w:t>
      </w:r>
      <w:r w:rsidR="0BA6218A" w:rsidRPr="00FB0A65">
        <w:t>,</w:t>
      </w:r>
      <w:r w:rsidR="42DB8E2F" w:rsidRPr="00FB0A65">
        <w:t xml:space="preserve"> there is already knowledge that </w:t>
      </w:r>
      <w:r w:rsidR="5A8DA8F8" w:rsidRPr="00FB0A65">
        <w:t xml:space="preserve">exposure to certain EDs </w:t>
      </w:r>
      <w:r w:rsidR="0BA6218A" w:rsidRPr="00FB0A65">
        <w:t xml:space="preserve">is </w:t>
      </w:r>
      <w:r w:rsidR="5A8DA8F8" w:rsidRPr="00FB0A65">
        <w:t xml:space="preserve">associated </w:t>
      </w:r>
      <w:r w:rsidR="001A5A2F" w:rsidRPr="00FB0A65">
        <w:t>with</w:t>
      </w:r>
      <w:r w:rsidR="5A8DA8F8" w:rsidRPr="00FB0A65">
        <w:t xml:space="preserve"> </w:t>
      </w:r>
      <w:r w:rsidR="0014374C">
        <w:t xml:space="preserve">intelligence quotient </w:t>
      </w:r>
      <w:r w:rsidR="5A8DA8F8" w:rsidRPr="00FB0A65">
        <w:t>loss and intellectual deficiencies</w:t>
      </w:r>
      <w:r w:rsidR="5A8DA8F8" w:rsidRPr="00FB0A65" w:rsidDel="007841E9">
        <w:t xml:space="preserve"> </w:t>
      </w:r>
      <w:r w:rsidR="5A8DA8F8" w:rsidRPr="00FB0A65">
        <w:t>with a probability of causation of 70% to 100%, with moderate to high strength of human evidence. EDs are also suspected to cause male infertility, obesity, diabetes, and other health issues with varying probabilities of causation and strength of human evidence</w:t>
      </w:r>
      <w:r w:rsidR="00FD49F4" w:rsidRPr="00FB0A65">
        <w:rPr>
          <w:vertAlign w:val="superscript"/>
        </w:rPr>
        <w:footnoteReference w:id="13"/>
      </w:r>
      <w:r w:rsidR="5A8DA8F8" w:rsidRPr="00FB0A65">
        <w:t xml:space="preserve">. </w:t>
      </w:r>
      <w:r w:rsidR="2E6DA8C9" w:rsidRPr="00FB0A65">
        <w:t>The reduction of the costs</w:t>
      </w:r>
      <w:r w:rsidR="00FD367C" w:rsidRPr="00FB0A65">
        <w:t xml:space="preserve"> resulting from </w:t>
      </w:r>
      <w:r w:rsidR="00366CF6" w:rsidRPr="00FB0A65">
        <w:t>identification</w:t>
      </w:r>
      <w:r w:rsidR="2E6DA8C9" w:rsidRPr="00FB0A65">
        <w:t xml:space="preserve"> of E</w:t>
      </w:r>
      <w:r w:rsidR="00FF0E69" w:rsidRPr="00FB0A65">
        <w:t>D</w:t>
      </w:r>
      <w:r w:rsidR="2E6DA8C9" w:rsidRPr="00FB0A65">
        <w:t>s</w:t>
      </w:r>
      <w:r w:rsidR="002205E9" w:rsidRPr="00FB0A65">
        <w:t xml:space="preserve"> </w:t>
      </w:r>
      <w:r w:rsidR="2E6DA8C9" w:rsidRPr="00FB0A65">
        <w:t xml:space="preserve">for the public health services cannot be fully </w:t>
      </w:r>
      <w:r w:rsidR="00163DCA" w:rsidRPr="00FB0A65">
        <w:t>expressed in monetary terms</w:t>
      </w:r>
      <w:r w:rsidR="2E6DA8C9" w:rsidRPr="00FB0A65">
        <w:t xml:space="preserve">. However, </w:t>
      </w:r>
      <w:r w:rsidR="00B141ED" w:rsidRPr="00FB0A65">
        <w:t xml:space="preserve">the </w:t>
      </w:r>
      <w:r w:rsidR="00B50F25" w:rsidRPr="00FB0A65">
        <w:t>impact assessment on the introduction of new hazard classes in the European Union</w:t>
      </w:r>
      <w:r w:rsidR="00B50F25" w:rsidRPr="00FB0A65">
        <w:rPr>
          <w:rStyle w:val="FootnoteReference"/>
          <w:sz w:val="20"/>
        </w:rPr>
        <w:footnoteReference w:id="14"/>
      </w:r>
      <w:r w:rsidR="00B50F25" w:rsidRPr="00FB0A65">
        <w:rPr>
          <w:vertAlign w:val="superscript"/>
        </w:rPr>
        <w:t xml:space="preserve"> </w:t>
      </w:r>
      <w:r w:rsidR="42DB8E2F" w:rsidRPr="00FB0A65">
        <w:t xml:space="preserve">estimated that </w:t>
      </w:r>
      <w:r w:rsidR="00F02124" w:rsidRPr="00FB0A65">
        <w:t xml:space="preserve">preventing </w:t>
      </w:r>
      <w:r w:rsidR="2E6DA8C9" w:rsidRPr="00FB0A65">
        <w:t>0.</w:t>
      </w:r>
      <w:r w:rsidR="0049316C" w:rsidRPr="00FB0A65">
        <w:t>62</w:t>
      </w:r>
      <w:r w:rsidR="00154830" w:rsidRPr="00FB0A65">
        <w:t>-</w:t>
      </w:r>
      <w:r w:rsidR="2E6DA8C9" w:rsidRPr="00FB0A65">
        <w:t>0.</w:t>
      </w:r>
      <w:r w:rsidR="0049316C" w:rsidRPr="00FB0A65">
        <w:t>4.97</w:t>
      </w:r>
      <w:r w:rsidR="2E6DA8C9" w:rsidRPr="00FB0A65">
        <w:t xml:space="preserve"> cases</w:t>
      </w:r>
      <w:r w:rsidR="00D2339B" w:rsidRPr="00FB0A65">
        <w:t xml:space="preserve"> per substance</w:t>
      </w:r>
      <w:r w:rsidR="001803E9" w:rsidRPr="00FB0A65">
        <w:t xml:space="preserve"> per </w:t>
      </w:r>
      <w:r w:rsidR="009E04CB" w:rsidRPr="00FB0A65">
        <w:t>year</w:t>
      </w:r>
      <w:r w:rsidR="2E6DA8C9" w:rsidRPr="00FB0A65">
        <w:t xml:space="preserve"> </w:t>
      </w:r>
      <w:r w:rsidR="001803E9" w:rsidRPr="00FB0A65">
        <w:t xml:space="preserve">would offset </w:t>
      </w:r>
      <w:r w:rsidR="00A35D92" w:rsidRPr="00FB0A65">
        <w:t xml:space="preserve">the costs </w:t>
      </w:r>
      <w:r w:rsidR="001803E9" w:rsidRPr="00FB0A65">
        <w:t xml:space="preserve">to industry triggered by </w:t>
      </w:r>
      <w:r w:rsidR="00A35D92" w:rsidRPr="00FB0A65">
        <w:t xml:space="preserve">the </w:t>
      </w:r>
      <w:r w:rsidR="005F4450" w:rsidRPr="00FB0A65">
        <w:t>new hazard class</w:t>
      </w:r>
      <w:r w:rsidR="00C63F62" w:rsidRPr="00FB0A65">
        <w:t>es</w:t>
      </w:r>
      <w:r w:rsidR="005F4450" w:rsidRPr="00FB0A65">
        <w:t xml:space="preserve"> for E</w:t>
      </w:r>
      <w:r w:rsidR="00C63F62" w:rsidRPr="00FB0A65">
        <w:t>Ds</w:t>
      </w:r>
      <w:r w:rsidR="009C44B8" w:rsidRPr="00FB0A65">
        <w:rPr>
          <w:rStyle w:val="FootnoteReference"/>
          <w:sz w:val="20"/>
        </w:rPr>
        <w:footnoteReference w:id="15"/>
      </w:r>
      <w:r w:rsidR="2E6DA8C9" w:rsidRPr="00FB0A65">
        <w:t>.</w:t>
      </w:r>
    </w:p>
    <w:p w14:paraId="6D7DB998" w14:textId="5E12B8FF" w:rsidR="007C4A28" w:rsidRPr="00FB0A65" w:rsidRDefault="00FB0A65" w:rsidP="00FB0A65">
      <w:pPr>
        <w:pStyle w:val="SingleTxtG"/>
        <w:tabs>
          <w:tab w:val="left" w:pos="1701"/>
        </w:tabs>
        <w:rPr>
          <w:rFonts w:eastAsiaTheme="minorEastAsia"/>
        </w:rPr>
      </w:pPr>
      <w:r>
        <w:t>8.</w:t>
      </w:r>
      <w:r>
        <w:tab/>
      </w:r>
      <w:r w:rsidR="00435B02" w:rsidRPr="00FB0A65">
        <w:t>A reduction of the emissions of ED substances into the environment would also decrease the costs of depolluting urban wastewater from micro-pollutants, which currently equal €1.2 billion per year in the E</w:t>
      </w:r>
      <w:r w:rsidR="00504E14">
        <w:t xml:space="preserve">uropean </w:t>
      </w:r>
      <w:r w:rsidR="00435B02" w:rsidRPr="00FB0A65">
        <w:t>U</w:t>
      </w:r>
      <w:r w:rsidR="00504E14">
        <w:t>nion</w:t>
      </w:r>
      <w:r w:rsidR="00435B02" w:rsidRPr="00FB0A65">
        <w:rPr>
          <w:rStyle w:val="FootnoteReference"/>
          <w:sz w:val="20"/>
        </w:rPr>
        <w:footnoteReference w:id="16"/>
      </w:r>
      <w:r w:rsidR="00435B02" w:rsidRPr="00FB0A65">
        <w:t>.</w:t>
      </w:r>
    </w:p>
    <w:p w14:paraId="2D07F317" w14:textId="6F9C3A7E" w:rsidR="00741BAF" w:rsidRPr="00FB0A65" w:rsidRDefault="00FB0A65" w:rsidP="00FB0A65">
      <w:pPr>
        <w:pStyle w:val="SingleTxtG"/>
        <w:tabs>
          <w:tab w:val="left" w:pos="1701"/>
        </w:tabs>
        <w:rPr>
          <w:rFonts w:eastAsiaTheme="minorEastAsia"/>
        </w:rPr>
      </w:pPr>
      <w:r>
        <w:t>9.</w:t>
      </w:r>
      <w:r>
        <w:tab/>
      </w:r>
      <w:r w:rsidR="00DA16EB" w:rsidRPr="00FB0A65">
        <w:t>Studies show that taking the lead in implementing ambitious environmental policies can lead to small, statistically significant adverse effects on trade, employment, plant location, and productivity in the short run, particularly in pollution- and energy-intensive sectors. However, the scale of these impacts is small compared with other determinants of trade and investment location choices such as transport costs, proximity to demand, quality of local workers, availability of raw materials, sunk capital costs, and agglomeration</w:t>
      </w:r>
      <w:r w:rsidR="00DA16EB" w:rsidRPr="00FB0A65">
        <w:rPr>
          <w:rStyle w:val="FootnoteReference"/>
          <w:sz w:val="20"/>
        </w:rPr>
        <w:footnoteReference w:id="17"/>
      </w:r>
      <w:r w:rsidR="00DA16EB" w:rsidRPr="00FB0A65">
        <w:t>.</w:t>
      </w:r>
    </w:p>
    <w:p w14:paraId="1B521736" w14:textId="7AEC6CBC" w:rsidR="00FD49F4" w:rsidRPr="00FB0A65" w:rsidRDefault="00FB0A65" w:rsidP="00FB0A65">
      <w:pPr>
        <w:pStyle w:val="SingleTxtG"/>
        <w:tabs>
          <w:tab w:val="left" w:pos="1701"/>
        </w:tabs>
        <w:rPr>
          <w:rFonts w:eastAsiaTheme="minorEastAsia"/>
        </w:rPr>
      </w:pPr>
      <w:r>
        <w:rPr>
          <w:rFonts w:eastAsiaTheme="minorEastAsia"/>
        </w:rPr>
        <w:t>10.</w:t>
      </w:r>
      <w:r>
        <w:rPr>
          <w:rFonts w:eastAsiaTheme="minorEastAsia"/>
        </w:rPr>
        <w:tab/>
      </w:r>
      <w:r w:rsidR="00433D6B" w:rsidRPr="00FB0A65">
        <w:rPr>
          <w:rFonts w:eastAsiaTheme="minorEastAsia"/>
        </w:rPr>
        <w:t>While many EDs may result in adverse effects on reproductive toxicity, n</w:t>
      </w:r>
      <w:r w:rsidR="00FD49F4" w:rsidRPr="00FB0A65">
        <w:rPr>
          <w:rFonts w:eastAsiaTheme="minorEastAsia"/>
        </w:rPr>
        <w:t xml:space="preserve">ot all adverse effects of EDs — for example the effects of </w:t>
      </w:r>
      <w:proofErr w:type="spellStart"/>
      <w:r w:rsidR="00FD49F4" w:rsidRPr="00FB0A65">
        <w:rPr>
          <w:rFonts w:eastAsiaTheme="minorEastAsia"/>
        </w:rPr>
        <w:t>obesogens</w:t>
      </w:r>
      <w:proofErr w:type="spellEnd"/>
      <w:r w:rsidR="00FD49F4" w:rsidRPr="00FB0A65">
        <w:rPr>
          <w:rFonts w:eastAsiaTheme="minorEastAsia"/>
        </w:rPr>
        <w:t xml:space="preserve"> — can be identified within the current existing hazard classes as GHS focuses on adverse effects</w:t>
      </w:r>
      <w:r w:rsidR="00FD49F4" w:rsidRPr="00C73541">
        <w:rPr>
          <w:rStyle w:val="FootnoteReference"/>
          <w:rFonts w:eastAsiaTheme="minorEastAsia"/>
          <w:sz w:val="20"/>
        </w:rPr>
        <w:footnoteReference w:id="18"/>
      </w:r>
      <w:r w:rsidR="00FD49F4" w:rsidRPr="00FB0A65">
        <w:rPr>
          <w:rFonts w:eastAsiaTheme="minorEastAsia"/>
        </w:rPr>
        <w:t xml:space="preserve">. </w:t>
      </w:r>
    </w:p>
    <w:p w14:paraId="4E94137A" w14:textId="2AEFA727" w:rsidR="009C44B8" w:rsidRPr="00FB0A65" w:rsidRDefault="00FB0A65" w:rsidP="00FB0A65">
      <w:pPr>
        <w:pStyle w:val="SingleTxtG"/>
        <w:tabs>
          <w:tab w:val="left" w:pos="1701"/>
        </w:tabs>
        <w:rPr>
          <w:rFonts w:eastAsiaTheme="minorEastAsia"/>
        </w:rPr>
      </w:pPr>
      <w:r>
        <w:rPr>
          <w:rFonts w:eastAsiaTheme="minorEastAsia"/>
        </w:rPr>
        <w:t>11.</w:t>
      </w:r>
      <w:r>
        <w:rPr>
          <w:rFonts w:eastAsiaTheme="minorEastAsia"/>
        </w:rPr>
        <w:tab/>
      </w:r>
      <w:r w:rsidR="00435B02" w:rsidRPr="00FB0A65">
        <w:rPr>
          <w:rFonts w:eastAsiaTheme="minorEastAsia"/>
        </w:rPr>
        <w:t>Furthermore, s</w:t>
      </w:r>
      <w:r w:rsidR="009C44B8" w:rsidRPr="00FB0A65">
        <w:rPr>
          <w:rFonts w:eastAsiaTheme="minorEastAsia"/>
        </w:rPr>
        <w:t xml:space="preserve">everal Sustainable Development Goals (SDG) are linked to </w:t>
      </w:r>
      <w:r w:rsidR="00435B02" w:rsidRPr="00FB0A65">
        <w:rPr>
          <w:rFonts w:eastAsiaTheme="minorEastAsia"/>
        </w:rPr>
        <w:t>unaddressed hazard classes</w:t>
      </w:r>
      <w:r w:rsidR="007C4A28" w:rsidRPr="00FB0A65">
        <w:rPr>
          <w:rFonts w:eastAsiaTheme="minorEastAsia"/>
        </w:rPr>
        <w:t xml:space="preserve"> such as EDs</w:t>
      </w:r>
      <w:r w:rsidR="009C44B8" w:rsidRPr="00FB0A65">
        <w:rPr>
          <w:rFonts w:eastAsiaTheme="minorEastAsia"/>
        </w:rPr>
        <w:t>:</w:t>
      </w:r>
    </w:p>
    <w:p w14:paraId="21BC11C7" w14:textId="46EB131D" w:rsidR="009C44B8" w:rsidRPr="007134B8" w:rsidRDefault="001513C9" w:rsidP="001513C9">
      <w:pPr>
        <w:pStyle w:val="SingleTxtG"/>
        <w:tabs>
          <w:tab w:val="left" w:pos="1701"/>
        </w:tabs>
        <w:ind w:left="1701"/>
        <w:rPr>
          <w:rFonts w:eastAsiaTheme="minorEastAsia"/>
        </w:rPr>
      </w:pPr>
      <w:r>
        <w:rPr>
          <w:rFonts w:eastAsiaTheme="minorEastAsia"/>
        </w:rPr>
        <w:t>(a)</w:t>
      </w:r>
      <w:r>
        <w:rPr>
          <w:rFonts w:eastAsiaTheme="minorEastAsia"/>
        </w:rPr>
        <w:tab/>
      </w:r>
      <w:r w:rsidR="009C44B8" w:rsidRPr="007134B8">
        <w:rPr>
          <w:rFonts w:eastAsiaTheme="minorEastAsia"/>
        </w:rPr>
        <w:t xml:space="preserve">SDG #3 Good health and well-being – Target 3.9 </w:t>
      </w:r>
      <w:r w:rsidR="00F86860">
        <w:rPr>
          <w:rFonts w:eastAsiaTheme="minorEastAsia"/>
        </w:rPr>
        <w:t>“</w:t>
      </w:r>
      <w:r w:rsidR="009C44B8" w:rsidRPr="00DC5830">
        <w:rPr>
          <w:rFonts w:eastAsiaTheme="minorEastAsia"/>
          <w:i/>
          <w:iCs/>
        </w:rPr>
        <w:t>By 2030, substantially reduce the number of deaths and illnesses from hazardous chemicals and air, water and soil pollution and contamination</w:t>
      </w:r>
      <w:r w:rsidR="00F86860">
        <w:rPr>
          <w:rFonts w:eastAsiaTheme="minorEastAsia"/>
          <w:i/>
          <w:iCs/>
        </w:rPr>
        <w:t>”</w:t>
      </w:r>
      <w:r w:rsidR="00DC5830">
        <w:rPr>
          <w:rFonts w:eastAsiaTheme="minorEastAsia"/>
        </w:rPr>
        <w:t>.</w:t>
      </w:r>
      <w:r w:rsidR="00DC5830" w:rsidRPr="007134B8">
        <w:rPr>
          <w:rFonts w:eastAsiaTheme="minorEastAsia"/>
        </w:rPr>
        <w:t xml:space="preserve"> </w:t>
      </w:r>
      <w:r w:rsidR="00DC5830">
        <w:rPr>
          <w:rFonts w:eastAsiaTheme="minorEastAsia"/>
        </w:rPr>
        <w:t>T</w:t>
      </w:r>
      <w:r w:rsidR="00DC5830" w:rsidRPr="007134B8">
        <w:rPr>
          <w:rFonts w:eastAsiaTheme="minorEastAsia"/>
        </w:rPr>
        <w:t xml:space="preserve">he </w:t>
      </w:r>
      <w:r w:rsidR="009C44B8" w:rsidRPr="007134B8">
        <w:rPr>
          <w:rFonts w:eastAsiaTheme="minorEastAsia"/>
        </w:rPr>
        <w:t>inclusion of unaddressed hazard classes on E</w:t>
      </w:r>
      <w:r w:rsidR="00F86860">
        <w:rPr>
          <w:rFonts w:eastAsiaTheme="minorEastAsia"/>
        </w:rPr>
        <w:t>D</w:t>
      </w:r>
      <w:r w:rsidR="009C44B8" w:rsidRPr="007134B8">
        <w:rPr>
          <w:rFonts w:eastAsiaTheme="minorEastAsia"/>
        </w:rPr>
        <w:t>s will contribute to this goal by better protecting human health.</w:t>
      </w:r>
    </w:p>
    <w:p w14:paraId="4702CCB2" w14:textId="2E503793" w:rsidR="009C44B8" w:rsidRPr="007134B8" w:rsidRDefault="001513C9" w:rsidP="001513C9">
      <w:pPr>
        <w:pStyle w:val="SingleTxtG"/>
        <w:tabs>
          <w:tab w:val="left" w:pos="1701"/>
        </w:tabs>
        <w:ind w:left="1701"/>
        <w:rPr>
          <w:rFonts w:eastAsiaTheme="minorEastAsia"/>
        </w:rPr>
      </w:pPr>
      <w:r>
        <w:rPr>
          <w:rFonts w:eastAsiaTheme="minorEastAsia"/>
        </w:rPr>
        <w:t>(b)</w:t>
      </w:r>
      <w:r>
        <w:rPr>
          <w:rFonts w:eastAsiaTheme="minorEastAsia"/>
        </w:rPr>
        <w:tab/>
      </w:r>
      <w:r w:rsidR="009C44B8" w:rsidRPr="007134B8">
        <w:rPr>
          <w:rFonts w:eastAsiaTheme="minorEastAsia"/>
        </w:rPr>
        <w:t xml:space="preserve">SDG #6 Clean water and sanitation – Target 6.3 </w:t>
      </w:r>
      <w:r w:rsidR="00F86860">
        <w:rPr>
          <w:rFonts w:eastAsiaTheme="minorEastAsia"/>
        </w:rPr>
        <w:t>“</w:t>
      </w:r>
      <w:r w:rsidR="009C44B8" w:rsidRPr="00DC5830">
        <w:rPr>
          <w:rFonts w:eastAsiaTheme="minorEastAsia"/>
          <w:i/>
          <w:iCs/>
        </w:rPr>
        <w:t>By 2030, improve water quality by reducing pollution, eliminating dumping and minimizing release of hazardous chemicals and materials, halving the proportion of untreated wastewater and substantially increasing recycling and safe reuse globally</w:t>
      </w:r>
      <w:r w:rsidR="00F86860">
        <w:rPr>
          <w:rFonts w:eastAsiaTheme="minorEastAsia"/>
          <w:i/>
          <w:iCs/>
        </w:rPr>
        <w:t>”</w:t>
      </w:r>
      <w:r w:rsidR="009C44B8" w:rsidRPr="007134B8">
        <w:rPr>
          <w:rFonts w:eastAsiaTheme="minorEastAsia"/>
        </w:rPr>
        <w:t>.</w:t>
      </w:r>
    </w:p>
    <w:p w14:paraId="5173947E" w14:textId="28679607" w:rsidR="009C44B8" w:rsidRPr="007134B8" w:rsidRDefault="001513C9" w:rsidP="001513C9">
      <w:pPr>
        <w:pStyle w:val="SingleTxtG"/>
        <w:tabs>
          <w:tab w:val="left" w:pos="1701"/>
        </w:tabs>
        <w:ind w:left="1701"/>
        <w:rPr>
          <w:rFonts w:eastAsiaTheme="minorEastAsia"/>
        </w:rPr>
      </w:pPr>
      <w:r>
        <w:rPr>
          <w:rFonts w:eastAsiaTheme="minorEastAsia"/>
        </w:rPr>
        <w:t>(c)</w:t>
      </w:r>
      <w:r>
        <w:rPr>
          <w:rFonts w:eastAsiaTheme="minorEastAsia"/>
        </w:rPr>
        <w:tab/>
      </w:r>
      <w:r w:rsidR="009C44B8" w:rsidRPr="007134B8">
        <w:rPr>
          <w:rFonts w:eastAsiaTheme="minorEastAsia"/>
        </w:rPr>
        <w:t xml:space="preserve">SDG #9 Industry, </w:t>
      </w:r>
      <w:proofErr w:type="gramStart"/>
      <w:r w:rsidR="009C44B8" w:rsidRPr="007134B8">
        <w:rPr>
          <w:rFonts w:eastAsiaTheme="minorEastAsia"/>
        </w:rPr>
        <w:t>innovation</w:t>
      </w:r>
      <w:proofErr w:type="gramEnd"/>
      <w:r w:rsidR="009C44B8" w:rsidRPr="007134B8">
        <w:rPr>
          <w:rFonts w:eastAsiaTheme="minorEastAsia"/>
        </w:rPr>
        <w:t xml:space="preserve"> and infrastructure – Target 9.4 </w:t>
      </w:r>
      <w:r w:rsidR="00F86860">
        <w:rPr>
          <w:rFonts w:eastAsiaTheme="minorEastAsia"/>
        </w:rPr>
        <w:t>“</w:t>
      </w:r>
      <w:r w:rsidR="009C44B8" w:rsidRPr="00DC5830">
        <w:rPr>
          <w:rFonts w:eastAsiaTheme="minorEastAsia"/>
          <w:i/>
          <w:iCs/>
        </w:rPr>
        <w:t>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r w:rsidR="00F86860">
        <w:rPr>
          <w:rFonts w:eastAsiaTheme="minorEastAsia"/>
          <w:i/>
          <w:iCs/>
        </w:rPr>
        <w:t>”</w:t>
      </w:r>
      <w:r w:rsidR="009C44B8" w:rsidRPr="007134B8">
        <w:rPr>
          <w:rFonts w:eastAsiaTheme="minorEastAsia"/>
        </w:rPr>
        <w:t>: the unaddressed hazard classes will help in the identification of sustainable alternatives.</w:t>
      </w:r>
    </w:p>
    <w:p w14:paraId="44428368" w14:textId="35E5F596" w:rsidR="007C4A28" w:rsidRPr="007134B8" w:rsidRDefault="001513C9" w:rsidP="001513C9">
      <w:pPr>
        <w:pStyle w:val="SingleTxtG"/>
        <w:tabs>
          <w:tab w:val="left" w:pos="1701"/>
        </w:tabs>
        <w:ind w:left="1701"/>
        <w:rPr>
          <w:rFonts w:eastAsiaTheme="minorEastAsia"/>
        </w:rPr>
      </w:pPr>
      <w:r>
        <w:rPr>
          <w:rFonts w:eastAsiaTheme="minorEastAsia"/>
        </w:rPr>
        <w:t>(d)</w:t>
      </w:r>
      <w:r>
        <w:rPr>
          <w:rFonts w:eastAsiaTheme="minorEastAsia"/>
        </w:rPr>
        <w:tab/>
      </w:r>
      <w:r w:rsidR="009C44B8" w:rsidRPr="007134B8">
        <w:rPr>
          <w:rFonts w:eastAsiaTheme="minorEastAsia"/>
        </w:rPr>
        <w:t xml:space="preserve">SDG #12 Responsible consumption and production – Target 12.4 </w:t>
      </w:r>
      <w:r w:rsidR="00F86860">
        <w:rPr>
          <w:rFonts w:eastAsiaTheme="minorEastAsia"/>
        </w:rPr>
        <w:t>“</w:t>
      </w:r>
      <w:r w:rsidR="009C44B8" w:rsidRPr="007134B8">
        <w:rPr>
          <w:rFonts w:eastAsiaTheme="minorEastAsia"/>
        </w:rPr>
        <w:t>B</w:t>
      </w:r>
      <w:r w:rsidR="009C44B8" w:rsidRPr="00DC5830">
        <w:rPr>
          <w:rFonts w:eastAsiaTheme="minorEastAsia"/>
          <w:i/>
          <w:iCs/>
        </w:rPr>
        <w:t>y 2020, achieve the environmentally sound management of chemicals and all waste throughout their life cycle, in accordance with agreed international frameworks, and significantly reduce their release to air, water and soil in order to minimize their adverse impacts on human health and the environment</w:t>
      </w:r>
      <w:r w:rsidR="00F86860">
        <w:rPr>
          <w:rFonts w:eastAsiaTheme="minorEastAsia"/>
          <w:i/>
          <w:iCs/>
        </w:rPr>
        <w:t>”</w:t>
      </w:r>
      <w:r w:rsidR="009C44B8" w:rsidRPr="007134B8">
        <w:rPr>
          <w:rFonts w:eastAsiaTheme="minorEastAsia"/>
        </w:rPr>
        <w:t xml:space="preserve">: the unaddressed hazard classes will have downstream consequences, which will </w:t>
      </w:r>
      <w:r w:rsidR="00464721">
        <w:rPr>
          <w:rFonts w:eastAsiaTheme="minorEastAsia"/>
        </w:rPr>
        <w:t>in</w:t>
      </w:r>
      <w:r w:rsidR="009C44B8" w:rsidRPr="007134B8">
        <w:rPr>
          <w:rFonts w:eastAsiaTheme="minorEastAsia"/>
        </w:rPr>
        <w:t xml:space="preserve"> the end impact the full life cycle of </w:t>
      </w:r>
      <w:r w:rsidR="00671340">
        <w:rPr>
          <w:rFonts w:eastAsiaTheme="minorEastAsia"/>
        </w:rPr>
        <w:t>these</w:t>
      </w:r>
      <w:r w:rsidR="009C44B8" w:rsidRPr="007134B8">
        <w:rPr>
          <w:rFonts w:eastAsiaTheme="minorEastAsia"/>
        </w:rPr>
        <w:t xml:space="preserve"> products.</w:t>
      </w:r>
    </w:p>
    <w:p w14:paraId="42BCF834" w14:textId="5E01CD88" w:rsidR="009C44B8" w:rsidRPr="007134B8" w:rsidRDefault="00FB0A65" w:rsidP="00FB0A65">
      <w:pPr>
        <w:pStyle w:val="SingleTxtG"/>
        <w:tabs>
          <w:tab w:val="left" w:pos="1701"/>
        </w:tabs>
        <w:rPr>
          <w:rFonts w:eastAsiaTheme="minorEastAsia"/>
        </w:rPr>
      </w:pPr>
      <w:r>
        <w:t>12.</w:t>
      </w:r>
      <w:r>
        <w:tab/>
      </w:r>
      <w:r w:rsidR="003D2192">
        <w:t>It is therefore necessary</w:t>
      </w:r>
      <w:r w:rsidR="00435B02" w:rsidRPr="007134B8">
        <w:t xml:space="preserve"> to develop a new hazard class on EDs for human health and </w:t>
      </w:r>
      <w:r w:rsidR="005B3980">
        <w:t xml:space="preserve">one on EDs </w:t>
      </w:r>
      <w:r w:rsidR="003D2192">
        <w:t xml:space="preserve">for </w:t>
      </w:r>
      <w:r w:rsidR="00435B02" w:rsidRPr="007134B8">
        <w:t xml:space="preserve">the environment. </w:t>
      </w:r>
      <w:r w:rsidR="009C44B8" w:rsidRPr="007134B8">
        <w:rPr>
          <w:rFonts w:eastAsiaTheme="minorEastAsia"/>
        </w:rPr>
        <w:t xml:space="preserve">Acknowledging the consequence on Sub-Committee </w:t>
      </w:r>
      <w:r w:rsidR="009C44B8" w:rsidRPr="00FB0A65">
        <w:rPr>
          <w:rFonts w:eastAsiaTheme="minorEastAsia"/>
        </w:rPr>
        <w:t>workload</w:t>
      </w:r>
      <w:r w:rsidR="009C44B8" w:rsidRPr="007134B8">
        <w:rPr>
          <w:rFonts w:eastAsiaTheme="minorEastAsia"/>
        </w:rPr>
        <w:t xml:space="preserve"> for the development of a hazard class on EDs for human health and</w:t>
      </w:r>
      <w:r w:rsidR="00792883">
        <w:rPr>
          <w:rFonts w:eastAsiaTheme="minorEastAsia"/>
        </w:rPr>
        <w:t xml:space="preserve"> one on EDs</w:t>
      </w:r>
      <w:r w:rsidR="009C44B8" w:rsidRPr="007134B8">
        <w:rPr>
          <w:rFonts w:eastAsiaTheme="minorEastAsia"/>
        </w:rPr>
        <w:t xml:space="preserve"> for environment – as expressed during </w:t>
      </w:r>
      <w:r w:rsidR="0039432A">
        <w:rPr>
          <w:rFonts w:eastAsiaTheme="minorEastAsia"/>
        </w:rPr>
        <w:t>the forty-second session of the Sub-Committee</w:t>
      </w:r>
      <w:r w:rsidR="009C44B8" w:rsidRPr="007134B8">
        <w:rPr>
          <w:rFonts w:eastAsiaTheme="minorEastAsia"/>
        </w:rPr>
        <w:t>; the following section provides</w:t>
      </w:r>
      <w:r w:rsidR="00F849A5">
        <w:rPr>
          <w:rFonts w:eastAsiaTheme="minorEastAsia"/>
        </w:rPr>
        <w:t xml:space="preserve"> </w:t>
      </w:r>
      <w:r w:rsidR="009C44B8" w:rsidRPr="007134B8">
        <w:rPr>
          <w:rFonts w:eastAsiaTheme="minorEastAsia"/>
        </w:rPr>
        <w:t xml:space="preserve">properties for the consideration by the experts developing them at global level for </w:t>
      </w:r>
      <w:proofErr w:type="spellStart"/>
      <w:r w:rsidR="009C44B8" w:rsidRPr="007134B8">
        <w:rPr>
          <w:rFonts w:eastAsiaTheme="minorEastAsia"/>
        </w:rPr>
        <w:t>EDs.</w:t>
      </w:r>
      <w:proofErr w:type="spellEnd"/>
      <w:r w:rsidR="009C44B8" w:rsidRPr="007134B8">
        <w:rPr>
          <w:rFonts w:eastAsiaTheme="minorEastAsia"/>
        </w:rPr>
        <w:t xml:space="preserve"> </w:t>
      </w:r>
    </w:p>
    <w:p w14:paraId="27E13696" w14:textId="13931B1D" w:rsidR="000D1812" w:rsidRPr="007134B8" w:rsidRDefault="000D1812" w:rsidP="000D1812">
      <w:pPr>
        <w:pStyle w:val="HChG"/>
        <w:rPr>
          <w:rFonts w:eastAsia="MS Mincho"/>
        </w:rPr>
      </w:pPr>
      <w:r w:rsidRPr="007134B8">
        <w:t xml:space="preserve"> </w:t>
      </w:r>
      <w:r w:rsidRPr="007134B8">
        <w:tab/>
      </w:r>
      <w:r w:rsidRPr="007134B8">
        <w:tab/>
      </w:r>
      <w:r w:rsidR="00BB246B" w:rsidRPr="007134B8">
        <w:rPr>
          <w:rFonts w:eastAsia="MS Mincho"/>
        </w:rPr>
        <w:t>En</w:t>
      </w:r>
      <w:bookmarkStart w:id="1" w:name="_Hlk118890057"/>
      <w:r w:rsidR="00BB246B" w:rsidRPr="007134B8">
        <w:rPr>
          <w:rFonts w:eastAsia="MS Mincho"/>
        </w:rPr>
        <w:t xml:space="preserve">docrine </w:t>
      </w:r>
      <w:r w:rsidR="0004060F" w:rsidRPr="007134B8">
        <w:rPr>
          <w:rFonts w:eastAsia="MS Mincho"/>
        </w:rPr>
        <w:t>disruptors</w:t>
      </w:r>
      <w:bookmarkEnd w:id="1"/>
      <w:r w:rsidR="00B35F7D" w:rsidRPr="007134B8">
        <w:rPr>
          <w:rFonts w:eastAsia="MS Mincho"/>
        </w:rPr>
        <w:t xml:space="preserve"> </w:t>
      </w:r>
      <w:r w:rsidR="00696849">
        <w:rPr>
          <w:rFonts w:eastAsia="MS Mincho"/>
        </w:rPr>
        <w:t>at the global level</w:t>
      </w:r>
    </w:p>
    <w:p w14:paraId="6A6B1A2D" w14:textId="72899652" w:rsidR="00433D6B" w:rsidRPr="007134B8" w:rsidRDefault="001513C9" w:rsidP="001513C9">
      <w:pPr>
        <w:pStyle w:val="SingleTxtG"/>
        <w:tabs>
          <w:tab w:val="left" w:pos="1701"/>
        </w:tabs>
      </w:pPr>
      <w:r>
        <w:t>13.</w:t>
      </w:r>
      <w:r>
        <w:tab/>
      </w:r>
      <w:r w:rsidR="0BA6218A" w:rsidRPr="007134B8">
        <w:t>The WHO definition of an endocrine disrupt</w:t>
      </w:r>
      <w:r w:rsidR="04B2F5E3" w:rsidRPr="007134B8">
        <w:t>o</w:t>
      </w:r>
      <w:r w:rsidR="0BA6218A" w:rsidRPr="007134B8">
        <w:t xml:space="preserve">r is an exogenous substance or mixture that alters function(s) of the endocrine system and consequently causes adverse health effects in an intact organism, or its progeny, or (sub) populations (IPCS, 2002). </w:t>
      </w:r>
      <w:r w:rsidR="00E23740" w:rsidRPr="007134B8">
        <w:t>Consequently</w:t>
      </w:r>
      <w:r w:rsidR="0BA6218A" w:rsidRPr="007134B8">
        <w:t xml:space="preserve">, a classification </w:t>
      </w:r>
      <w:r w:rsidR="79AFDA69" w:rsidRPr="007134B8">
        <w:t xml:space="preserve">as an endocrine disruptor </w:t>
      </w:r>
      <w:r w:rsidR="0BA6218A" w:rsidRPr="007134B8">
        <w:t>requires evidence for an endocrine activity, an adverse effect in an intact organism or its offspring</w:t>
      </w:r>
      <w:r w:rsidR="00792883">
        <w:t xml:space="preserve"> or fut</w:t>
      </w:r>
      <w:r w:rsidR="0BA6218A" w:rsidRPr="007134B8">
        <w:t xml:space="preserve">ure generations, as well as for a biologically plausible link between the endocrine activity and the adverse effect. </w:t>
      </w:r>
    </w:p>
    <w:p w14:paraId="4A0DD440" w14:textId="6792FA33" w:rsidR="006C32A6" w:rsidRPr="00E1611D" w:rsidRDefault="001513C9" w:rsidP="001513C9">
      <w:pPr>
        <w:pStyle w:val="SingleTxtG"/>
        <w:tabs>
          <w:tab w:val="left" w:pos="1701"/>
        </w:tabs>
        <w:rPr>
          <w:rFonts w:eastAsiaTheme="minorEastAsia"/>
        </w:rPr>
      </w:pPr>
      <w:r>
        <w:t>14.</w:t>
      </w:r>
      <w:r>
        <w:tab/>
      </w:r>
      <w:r w:rsidR="63486952">
        <w:t xml:space="preserve">The growing focus on endocrine disrupting chemicals has resulted in the development </w:t>
      </w:r>
      <w:r w:rsidR="34F72BDC">
        <w:t xml:space="preserve">of </w:t>
      </w:r>
      <w:r w:rsidR="63486952">
        <w:t xml:space="preserve">a wide range of testing methods, both </w:t>
      </w:r>
      <w:r w:rsidR="63486952" w:rsidRPr="3CF1BD16">
        <w:rPr>
          <w:i/>
          <w:iCs/>
        </w:rPr>
        <w:t>in vitro</w:t>
      </w:r>
      <w:r w:rsidR="63486952">
        <w:t xml:space="preserve"> and</w:t>
      </w:r>
      <w:r w:rsidR="63486952" w:rsidRPr="3CF1BD16">
        <w:rPr>
          <w:i/>
          <w:iCs/>
        </w:rPr>
        <w:t xml:space="preserve"> in vivo</w:t>
      </w:r>
      <w:r w:rsidR="63486952">
        <w:t>, that identify endocrine activity of a substance and detect adverse effects in</w:t>
      </w:r>
      <w:r w:rsidR="0050569B">
        <w:t xml:space="preserve"> an</w:t>
      </w:r>
      <w:r w:rsidR="63486952">
        <w:t xml:space="preserve"> intact organism or its offspring that are linked </w:t>
      </w:r>
      <w:r w:rsidR="63486952" w:rsidRPr="001513C9">
        <w:t>to</w:t>
      </w:r>
      <w:r w:rsidR="63486952">
        <w:t xml:space="preserve"> such endocrine activity</w:t>
      </w:r>
      <w:r w:rsidR="2C14E71E">
        <w:t>, both in mammalian and non-mammalian species</w:t>
      </w:r>
      <w:r w:rsidR="63486952">
        <w:t>.</w:t>
      </w:r>
      <w:r w:rsidR="2C14E71E">
        <w:t xml:space="preserve"> </w:t>
      </w:r>
      <w:r w:rsidR="63486952">
        <w:t>A significant number of such methods have become internationally harmonised and agreed in the form of OECD test guidelines</w:t>
      </w:r>
      <w:r w:rsidR="100D5587">
        <w:t xml:space="preserve"> (see </w:t>
      </w:r>
      <w:r w:rsidR="00061B9D">
        <w:t>the a</w:t>
      </w:r>
      <w:r w:rsidR="100D5587">
        <w:t>nnex</w:t>
      </w:r>
      <w:r w:rsidR="0050569B">
        <w:t xml:space="preserve"> </w:t>
      </w:r>
      <w:r w:rsidR="00061B9D">
        <w:t>to this document</w:t>
      </w:r>
      <w:r w:rsidR="100D5587">
        <w:t>)</w:t>
      </w:r>
      <w:r w:rsidR="63486952">
        <w:t xml:space="preserve">. </w:t>
      </w:r>
      <w:r w:rsidR="7F0F0431" w:rsidRPr="3CF1BD16">
        <w:rPr>
          <w:rFonts w:eastAsiaTheme="minorEastAsia"/>
        </w:rPr>
        <w:t xml:space="preserve">Although the available ED criteria </w:t>
      </w:r>
      <w:r w:rsidR="00C81E46">
        <w:rPr>
          <w:rFonts w:eastAsiaTheme="minorEastAsia"/>
        </w:rPr>
        <w:t>implement</w:t>
      </w:r>
      <w:r w:rsidR="006476BA">
        <w:rPr>
          <w:rFonts w:eastAsiaTheme="minorEastAsia"/>
        </w:rPr>
        <w:t xml:space="preserve"> </w:t>
      </w:r>
      <w:r w:rsidR="00C81E46">
        <w:rPr>
          <w:rFonts w:eastAsiaTheme="minorEastAsia"/>
        </w:rPr>
        <w:t xml:space="preserve">the generic nature of the WHO </w:t>
      </w:r>
      <w:r w:rsidR="003B259F">
        <w:rPr>
          <w:rFonts w:eastAsiaTheme="minorEastAsia"/>
        </w:rPr>
        <w:t>definition</w:t>
      </w:r>
      <w:r w:rsidR="003B259F" w:rsidRPr="003B259F">
        <w:rPr>
          <w:rFonts w:eastAsiaTheme="minorEastAsia"/>
          <w:vertAlign w:val="superscript"/>
        </w:rPr>
        <w:fldChar w:fldCharType="begin"/>
      </w:r>
      <w:r w:rsidR="003B259F" w:rsidRPr="003B259F">
        <w:rPr>
          <w:rFonts w:eastAsiaTheme="minorEastAsia"/>
          <w:vertAlign w:val="superscript"/>
        </w:rPr>
        <w:instrText xml:space="preserve"> NOTEREF _Ref119080204 \h </w:instrText>
      </w:r>
      <w:r w:rsidR="003B259F">
        <w:rPr>
          <w:rFonts w:eastAsiaTheme="minorEastAsia"/>
          <w:vertAlign w:val="superscript"/>
        </w:rPr>
        <w:instrText xml:space="preserve"> \* MERGEFORMAT </w:instrText>
      </w:r>
      <w:r w:rsidR="003B259F" w:rsidRPr="003B259F">
        <w:rPr>
          <w:rFonts w:eastAsiaTheme="minorEastAsia"/>
          <w:vertAlign w:val="superscript"/>
        </w:rPr>
      </w:r>
      <w:r w:rsidR="003B259F" w:rsidRPr="003B259F">
        <w:rPr>
          <w:rFonts w:eastAsiaTheme="minorEastAsia"/>
          <w:vertAlign w:val="superscript"/>
        </w:rPr>
        <w:fldChar w:fldCharType="separate"/>
      </w:r>
      <w:r w:rsidR="00EF5CAA">
        <w:rPr>
          <w:rFonts w:eastAsiaTheme="minorEastAsia"/>
          <w:vertAlign w:val="superscript"/>
        </w:rPr>
        <w:t>7</w:t>
      </w:r>
      <w:r w:rsidR="003B259F" w:rsidRPr="003B259F">
        <w:rPr>
          <w:rFonts w:eastAsiaTheme="minorEastAsia"/>
          <w:vertAlign w:val="superscript"/>
        </w:rPr>
        <w:fldChar w:fldCharType="end"/>
      </w:r>
      <w:r w:rsidR="7F0F0431" w:rsidRPr="3CF1BD16">
        <w:rPr>
          <w:rFonts w:eastAsiaTheme="minorEastAsia"/>
        </w:rPr>
        <w:t xml:space="preserve">, in practice mainly effects caused by </w:t>
      </w:r>
      <w:r w:rsidR="00A0417A">
        <w:rPr>
          <w:rFonts w:eastAsiaTheme="minorEastAsia"/>
        </w:rPr>
        <w:t>o</w:t>
      </w:r>
      <w:r w:rsidR="0051538C" w:rsidRPr="0051538C">
        <w:rPr>
          <w:rFonts w:eastAsiaTheme="minorEastAsia"/>
        </w:rPr>
        <w:t>estrogen, androgen, thyroid, and steroidogenesis</w:t>
      </w:r>
      <w:r w:rsidR="00914801">
        <w:rPr>
          <w:rFonts w:eastAsiaTheme="minorEastAsia"/>
        </w:rPr>
        <w:t xml:space="preserve"> </w:t>
      </w:r>
      <w:r w:rsidR="003141AA">
        <w:rPr>
          <w:rFonts w:eastAsiaTheme="minorEastAsia"/>
        </w:rPr>
        <w:t>(</w:t>
      </w:r>
      <w:r w:rsidR="7F0F0431" w:rsidRPr="3CF1BD16">
        <w:rPr>
          <w:rFonts w:eastAsiaTheme="minorEastAsia"/>
        </w:rPr>
        <w:t>EATS</w:t>
      </w:r>
      <w:r w:rsidR="003141AA">
        <w:rPr>
          <w:rFonts w:eastAsiaTheme="minorEastAsia"/>
        </w:rPr>
        <w:t>)</w:t>
      </w:r>
      <w:r w:rsidR="7F0F0431" w:rsidRPr="3CF1BD16">
        <w:rPr>
          <w:rFonts w:eastAsiaTheme="minorEastAsia"/>
        </w:rPr>
        <w:t xml:space="preserve"> modalities are </w:t>
      </w:r>
      <w:r w:rsidR="00285D65">
        <w:rPr>
          <w:rFonts w:eastAsiaTheme="minorEastAsia"/>
        </w:rPr>
        <w:t xml:space="preserve">currently </w:t>
      </w:r>
      <w:r w:rsidR="00013DC2">
        <w:rPr>
          <w:rFonts w:eastAsiaTheme="minorEastAsia"/>
        </w:rPr>
        <w:t>identified</w:t>
      </w:r>
      <w:r w:rsidR="7F0F0431" w:rsidRPr="3CF1BD16">
        <w:rPr>
          <w:rFonts w:eastAsiaTheme="minorEastAsia"/>
        </w:rPr>
        <w:t xml:space="preserve">. </w:t>
      </w:r>
      <w:r w:rsidR="06605EC8" w:rsidRPr="3CF1BD16">
        <w:rPr>
          <w:rFonts w:eastAsiaTheme="minorEastAsia"/>
        </w:rPr>
        <w:t xml:space="preserve">This is because the EATS modalities are currently the pathways for which there is a good mechanistic understanding of how substance-induced perturbations may lead to adverse effects via an endocrine-disrupting </w:t>
      </w:r>
      <w:r w:rsidR="00507C87">
        <w:rPr>
          <w:rFonts w:eastAsiaTheme="minorEastAsia"/>
        </w:rPr>
        <w:t>Mode of Action (</w:t>
      </w:r>
      <w:proofErr w:type="spellStart"/>
      <w:r w:rsidR="06605EC8" w:rsidRPr="3CF1BD16">
        <w:rPr>
          <w:rFonts w:eastAsiaTheme="minorEastAsia"/>
        </w:rPr>
        <w:t>MoA</w:t>
      </w:r>
      <w:proofErr w:type="spellEnd"/>
      <w:r w:rsidR="00507C87">
        <w:rPr>
          <w:rFonts w:eastAsiaTheme="minorEastAsia"/>
        </w:rPr>
        <w:t>)</w:t>
      </w:r>
      <w:r w:rsidR="06605EC8" w:rsidRPr="3CF1BD16">
        <w:rPr>
          <w:rFonts w:eastAsiaTheme="minorEastAsia"/>
        </w:rPr>
        <w:t xml:space="preserve">. In addition, only for the EATS modalities there are at present standardised test guidelines for </w:t>
      </w:r>
      <w:r w:rsidR="06605EC8" w:rsidRPr="3CF1BD16">
        <w:rPr>
          <w:rFonts w:eastAsiaTheme="minorEastAsia"/>
          <w:i/>
          <w:iCs/>
        </w:rPr>
        <w:t>in vivo</w:t>
      </w:r>
      <w:r w:rsidR="06605EC8" w:rsidRPr="3CF1BD16">
        <w:rPr>
          <w:rFonts w:eastAsiaTheme="minorEastAsia"/>
        </w:rPr>
        <w:t xml:space="preserve"> and </w:t>
      </w:r>
      <w:r w:rsidR="06605EC8" w:rsidRPr="3CF1BD16">
        <w:rPr>
          <w:rFonts w:eastAsiaTheme="minorEastAsia"/>
          <w:i/>
          <w:iCs/>
        </w:rPr>
        <w:t>in vitro</w:t>
      </w:r>
      <w:r w:rsidR="06605EC8" w:rsidRPr="3CF1BD16">
        <w:rPr>
          <w:rFonts w:eastAsiaTheme="minorEastAsia"/>
        </w:rPr>
        <w:t xml:space="preserve"> testing available where there is broad scientific agreement on the interpretation of the effects observed on the investigated parameters.</w:t>
      </w:r>
    </w:p>
    <w:p w14:paraId="7E6C33FF" w14:textId="5708A581" w:rsidR="008D1683" w:rsidRDefault="00C73541" w:rsidP="00C73541">
      <w:pPr>
        <w:pStyle w:val="SingleTxtG"/>
        <w:tabs>
          <w:tab w:val="left" w:pos="1701"/>
        </w:tabs>
      </w:pPr>
      <w:r>
        <w:t>15.</w:t>
      </w:r>
      <w:r>
        <w:tab/>
      </w:r>
      <w:r w:rsidR="664BC1AE" w:rsidRPr="007134B8">
        <w:t>The OECD guidance document (GD)</w:t>
      </w:r>
      <w:r w:rsidR="2C14E71E" w:rsidRPr="007134B8">
        <w:t xml:space="preserve"> 150 </w:t>
      </w:r>
      <w:r w:rsidR="55A25F02" w:rsidRPr="007134B8">
        <w:t>on Standardised Test Guidelines for Evaluating Chemicals for Endocrine Disruption</w:t>
      </w:r>
      <w:r w:rsidR="00B64624" w:rsidRPr="007134B8">
        <w:rPr>
          <w:rStyle w:val="FootnoteReference"/>
        </w:rPr>
        <w:footnoteReference w:id="19"/>
      </w:r>
      <w:r w:rsidR="55A25F02" w:rsidRPr="007134B8">
        <w:t xml:space="preserve"> lists testing methods</w:t>
      </w:r>
      <w:r w:rsidR="2C14E71E" w:rsidRPr="007134B8">
        <w:t xml:space="preserve"> and parameters that are considered relevant when investigating the ED properties of substances. In addition, the OECD GD 150 provides guidance on how to interpret parameters relevant for identification of ED properties measured in the standardised test guidelines with respect </w:t>
      </w:r>
      <w:r w:rsidR="2C14E71E" w:rsidRPr="00C73541">
        <w:t>to</w:t>
      </w:r>
      <w:r w:rsidR="2C14E71E" w:rsidRPr="007134B8">
        <w:t xml:space="preserve"> EATS modalities. </w:t>
      </w:r>
      <w:r w:rsidR="55A25F02" w:rsidRPr="007134B8">
        <w:t xml:space="preserve">It includes the </w:t>
      </w:r>
      <w:r w:rsidR="008A5BFF">
        <w:t>“</w:t>
      </w:r>
      <w:r w:rsidR="55A25F02" w:rsidRPr="007134B8">
        <w:t>OECD Conceptual Framework (OECD CF) for Testing and Assessment of Endocrine Disrupters</w:t>
      </w:r>
      <w:r w:rsidR="008A5BFF">
        <w:t>”</w:t>
      </w:r>
      <w:r w:rsidR="55A25F02" w:rsidRPr="007134B8">
        <w:t xml:space="preserve">, </w:t>
      </w:r>
      <w:r w:rsidR="6F88305E" w:rsidRPr="007134B8">
        <w:t xml:space="preserve">which </w:t>
      </w:r>
      <w:r w:rsidR="002F3AC0">
        <w:t>groups</w:t>
      </w:r>
      <w:r w:rsidR="000E3B84">
        <w:t xml:space="preserve"> the available</w:t>
      </w:r>
      <w:r w:rsidR="55A25F02" w:rsidRPr="007134B8">
        <w:t xml:space="preserve"> studies into five levels according to the kind of information provided. </w:t>
      </w:r>
    </w:p>
    <w:p w14:paraId="39D3B0A5" w14:textId="12993B22" w:rsidR="00696849" w:rsidRPr="00696849" w:rsidRDefault="00696849" w:rsidP="00C73541">
      <w:pPr>
        <w:pStyle w:val="HChG"/>
        <w:rPr>
          <w:rFonts w:eastAsia="MS Mincho"/>
        </w:rPr>
      </w:pPr>
      <w:r w:rsidRPr="007134B8">
        <w:tab/>
      </w:r>
      <w:r w:rsidR="00C73541">
        <w:tab/>
      </w:r>
      <w:r w:rsidRPr="007134B8">
        <w:rPr>
          <w:rFonts w:eastAsia="MS Mincho"/>
        </w:rPr>
        <w:t xml:space="preserve">Endocrine disruptors </w:t>
      </w:r>
      <w:r>
        <w:rPr>
          <w:rFonts w:eastAsia="MS Mincho"/>
        </w:rPr>
        <w:t>at the European Union level</w:t>
      </w:r>
    </w:p>
    <w:p w14:paraId="3F193ECB" w14:textId="2C0F21F6" w:rsidR="008765A0" w:rsidRPr="00C73541" w:rsidRDefault="00C73541" w:rsidP="00C73541">
      <w:pPr>
        <w:pStyle w:val="SingleTxtG"/>
        <w:tabs>
          <w:tab w:val="left" w:pos="1701"/>
        </w:tabs>
        <w:rPr>
          <w:rFonts w:eastAsiaTheme="minorEastAsia"/>
        </w:rPr>
      </w:pPr>
      <w:r>
        <w:rPr>
          <w:rFonts w:eastAsiaTheme="minorEastAsia"/>
        </w:rPr>
        <w:t>16.</w:t>
      </w:r>
      <w:r>
        <w:rPr>
          <w:rFonts w:eastAsiaTheme="minorEastAsia"/>
        </w:rPr>
        <w:tab/>
      </w:r>
      <w:r w:rsidR="007FC9FF" w:rsidRPr="00C73541">
        <w:rPr>
          <w:rFonts w:eastAsiaTheme="minorEastAsia"/>
        </w:rPr>
        <w:t>T</w:t>
      </w:r>
      <w:r w:rsidR="6D635C04" w:rsidRPr="00C73541">
        <w:rPr>
          <w:rFonts w:eastAsiaTheme="minorEastAsia"/>
        </w:rPr>
        <w:t>he E</w:t>
      </w:r>
      <w:r w:rsidR="008A5BFF">
        <w:rPr>
          <w:rFonts w:eastAsiaTheme="minorEastAsia"/>
        </w:rPr>
        <w:t xml:space="preserve">uropean </w:t>
      </w:r>
      <w:r w:rsidR="6D635C04" w:rsidRPr="00C73541">
        <w:rPr>
          <w:rFonts w:eastAsiaTheme="minorEastAsia"/>
        </w:rPr>
        <w:t>U</w:t>
      </w:r>
      <w:r w:rsidR="008A5BFF">
        <w:rPr>
          <w:rFonts w:eastAsiaTheme="minorEastAsia"/>
        </w:rPr>
        <w:t>nion</w:t>
      </w:r>
      <w:r w:rsidR="6D635C04" w:rsidRPr="00C73541">
        <w:rPr>
          <w:rFonts w:eastAsiaTheme="minorEastAsia"/>
        </w:rPr>
        <w:t xml:space="preserve"> ha</w:t>
      </w:r>
      <w:r w:rsidR="00735DAB" w:rsidRPr="00C73541">
        <w:rPr>
          <w:rFonts w:eastAsiaTheme="minorEastAsia"/>
        </w:rPr>
        <w:t>s</w:t>
      </w:r>
      <w:r w:rsidR="6D635C04" w:rsidRPr="00C73541">
        <w:rPr>
          <w:rFonts w:eastAsiaTheme="minorEastAsia"/>
        </w:rPr>
        <w:t xml:space="preserve"> </w:t>
      </w:r>
      <w:r w:rsidR="007FC9FF" w:rsidRPr="00C73541">
        <w:rPr>
          <w:rFonts w:eastAsiaTheme="minorEastAsia"/>
        </w:rPr>
        <w:t>criteria</w:t>
      </w:r>
      <w:r w:rsidR="6D635C04" w:rsidRPr="00C73541">
        <w:rPr>
          <w:rFonts w:eastAsiaTheme="minorEastAsia"/>
        </w:rPr>
        <w:t xml:space="preserve"> in place to identify EDs under its legislation for </w:t>
      </w:r>
      <w:r w:rsidR="007FC9FF" w:rsidRPr="00C73541">
        <w:rPr>
          <w:rFonts w:eastAsiaTheme="minorEastAsia"/>
        </w:rPr>
        <w:t>biocides</w:t>
      </w:r>
      <w:r w:rsidR="002F73E1" w:rsidRPr="00C73541">
        <w:rPr>
          <w:rStyle w:val="FootnoteReference"/>
          <w:rFonts w:eastAsiaTheme="minorEastAsia"/>
          <w:sz w:val="20"/>
        </w:rPr>
        <w:footnoteReference w:id="20"/>
      </w:r>
      <w:r w:rsidR="007FC9FF" w:rsidRPr="00C73541">
        <w:rPr>
          <w:rFonts w:eastAsiaTheme="minorEastAsia"/>
        </w:rPr>
        <w:t xml:space="preserve"> and plant protection</w:t>
      </w:r>
      <w:r w:rsidR="00C31109" w:rsidRPr="00C73541">
        <w:rPr>
          <w:rFonts w:eastAsiaTheme="minorEastAsia"/>
        </w:rPr>
        <w:t xml:space="preserve"> </w:t>
      </w:r>
      <w:r w:rsidR="007FC9FF" w:rsidRPr="00C73541">
        <w:rPr>
          <w:rFonts w:eastAsiaTheme="minorEastAsia"/>
        </w:rPr>
        <w:t>products</w:t>
      </w:r>
      <w:r w:rsidR="00C31109" w:rsidRPr="00C73541">
        <w:rPr>
          <w:rStyle w:val="FootnoteReference"/>
          <w:rFonts w:eastAsiaTheme="minorEastAsia"/>
          <w:sz w:val="20"/>
        </w:rPr>
        <w:footnoteReference w:id="21"/>
      </w:r>
      <w:r w:rsidR="00C31109" w:rsidRPr="00C73541">
        <w:rPr>
          <w:rFonts w:eastAsiaTheme="minorEastAsia"/>
        </w:rPr>
        <w:t xml:space="preserve"> </w:t>
      </w:r>
      <w:r w:rsidR="007FC9FF" w:rsidRPr="00C73541">
        <w:rPr>
          <w:rFonts w:eastAsiaTheme="minorEastAsia"/>
        </w:rPr>
        <w:t>since 2017 and 2018, respectively</w:t>
      </w:r>
      <w:r w:rsidR="6D635C04" w:rsidRPr="00C73541">
        <w:rPr>
          <w:rFonts w:eastAsiaTheme="minorEastAsia"/>
        </w:rPr>
        <w:t xml:space="preserve">. </w:t>
      </w:r>
      <w:r w:rsidR="4C26A903" w:rsidRPr="00C73541">
        <w:rPr>
          <w:rFonts w:eastAsiaTheme="minorEastAsia"/>
        </w:rPr>
        <w:t>A j</w:t>
      </w:r>
      <w:r w:rsidR="4166AB38" w:rsidRPr="00C73541">
        <w:rPr>
          <w:rFonts w:eastAsiaTheme="minorEastAsia"/>
        </w:rPr>
        <w:t>oint g</w:t>
      </w:r>
      <w:r w:rsidR="6D635C04" w:rsidRPr="00C73541">
        <w:rPr>
          <w:rFonts w:eastAsiaTheme="minorEastAsia"/>
        </w:rPr>
        <w:t>uidance</w:t>
      </w:r>
      <w:r w:rsidR="4166AB38" w:rsidRPr="00C73541">
        <w:rPr>
          <w:rFonts w:eastAsiaTheme="minorEastAsia"/>
        </w:rPr>
        <w:t xml:space="preserve"> by the European Chemicals Agency (ECHA) and the European Food Safety Authority</w:t>
      </w:r>
      <w:r w:rsidR="6D635C04" w:rsidRPr="00C73541">
        <w:rPr>
          <w:rFonts w:eastAsiaTheme="minorEastAsia"/>
        </w:rPr>
        <w:t xml:space="preserve"> </w:t>
      </w:r>
      <w:r w:rsidR="4166AB38" w:rsidRPr="00C73541">
        <w:rPr>
          <w:rFonts w:eastAsiaTheme="minorEastAsia"/>
        </w:rPr>
        <w:t>(EFSA)</w:t>
      </w:r>
      <w:r w:rsidR="48C938F6" w:rsidRPr="00C73541">
        <w:rPr>
          <w:rFonts w:eastAsiaTheme="minorEastAsia"/>
        </w:rPr>
        <w:t>, which</w:t>
      </w:r>
      <w:r w:rsidR="4166AB38" w:rsidRPr="00C73541">
        <w:rPr>
          <w:rFonts w:eastAsiaTheme="minorEastAsia"/>
        </w:rPr>
        <w:t xml:space="preserve"> describ</w:t>
      </w:r>
      <w:r w:rsidR="3873CE61" w:rsidRPr="00C73541">
        <w:rPr>
          <w:rFonts w:eastAsiaTheme="minorEastAsia"/>
        </w:rPr>
        <w:t>es</w:t>
      </w:r>
      <w:r w:rsidR="4166AB38" w:rsidRPr="00C73541">
        <w:rPr>
          <w:rFonts w:eastAsiaTheme="minorEastAsia"/>
        </w:rPr>
        <w:t xml:space="preserve"> how to gather, </w:t>
      </w:r>
      <w:proofErr w:type="gramStart"/>
      <w:r w:rsidR="4166AB38" w:rsidRPr="00C73541">
        <w:rPr>
          <w:rFonts w:eastAsiaTheme="minorEastAsia"/>
        </w:rPr>
        <w:t>evaluate</w:t>
      </w:r>
      <w:proofErr w:type="gramEnd"/>
      <w:r w:rsidR="4166AB38" w:rsidRPr="00C73541">
        <w:rPr>
          <w:rFonts w:eastAsiaTheme="minorEastAsia"/>
        </w:rPr>
        <w:t xml:space="preserve"> and consider all relevant information for the assessment,</w:t>
      </w:r>
      <w:r w:rsidR="00CC14FA" w:rsidRPr="00C73541">
        <w:rPr>
          <w:rFonts w:eastAsiaTheme="minorEastAsia"/>
        </w:rPr>
        <w:t xml:space="preserve"> a</w:t>
      </w:r>
      <w:r w:rsidR="4166AB38" w:rsidRPr="00C73541">
        <w:rPr>
          <w:rFonts w:eastAsiaTheme="minorEastAsia"/>
        </w:rPr>
        <w:t>nd apply a weight of evidence (</w:t>
      </w:r>
      <w:proofErr w:type="spellStart"/>
      <w:r w:rsidR="4166AB38" w:rsidRPr="00C73541">
        <w:rPr>
          <w:rFonts w:eastAsiaTheme="minorEastAsia"/>
        </w:rPr>
        <w:t>WoE</w:t>
      </w:r>
      <w:proofErr w:type="spellEnd"/>
      <w:r w:rsidR="4166AB38" w:rsidRPr="00C73541">
        <w:rPr>
          <w:rFonts w:eastAsiaTheme="minorEastAsia"/>
        </w:rPr>
        <w:t xml:space="preserve">) approach, in order to establish whether the ED criteria are </w:t>
      </w:r>
      <w:r w:rsidR="782029A7" w:rsidRPr="00C73541">
        <w:rPr>
          <w:rFonts w:eastAsiaTheme="minorEastAsia"/>
        </w:rPr>
        <w:t>fulfilled</w:t>
      </w:r>
      <w:r w:rsidR="00735DAB" w:rsidRPr="00C73541">
        <w:rPr>
          <w:rFonts w:eastAsiaTheme="minorEastAsia"/>
        </w:rPr>
        <w:t>,</w:t>
      </w:r>
      <w:r w:rsidR="782029A7" w:rsidRPr="00C73541">
        <w:rPr>
          <w:rFonts w:eastAsiaTheme="minorEastAsia"/>
        </w:rPr>
        <w:t xml:space="preserve"> is</w:t>
      </w:r>
      <w:r w:rsidR="6D635C04" w:rsidRPr="00C73541">
        <w:rPr>
          <w:rFonts w:eastAsiaTheme="minorEastAsia"/>
        </w:rPr>
        <w:t xml:space="preserve"> available</w:t>
      </w:r>
      <w:r w:rsidR="008765A0" w:rsidRPr="00C73541">
        <w:rPr>
          <w:rStyle w:val="FootnoteReference"/>
          <w:rFonts w:eastAsiaTheme="minorEastAsia"/>
          <w:sz w:val="20"/>
        </w:rPr>
        <w:footnoteReference w:id="22"/>
      </w:r>
      <w:r w:rsidR="3702C05B" w:rsidRPr="00C73541">
        <w:rPr>
          <w:rFonts w:eastAsiaTheme="minorEastAsia"/>
        </w:rPr>
        <w:t>.</w:t>
      </w:r>
      <w:r w:rsidR="6D635C04" w:rsidRPr="00C73541">
        <w:rPr>
          <w:rFonts w:eastAsiaTheme="minorEastAsia"/>
        </w:rPr>
        <w:t xml:space="preserve"> </w:t>
      </w:r>
    </w:p>
    <w:p w14:paraId="44120437" w14:textId="0AB9185D" w:rsidR="007F792E" w:rsidRPr="00C73541" w:rsidRDefault="00C73541" w:rsidP="00C73541">
      <w:pPr>
        <w:pStyle w:val="SingleTxtG"/>
        <w:tabs>
          <w:tab w:val="left" w:pos="1701"/>
        </w:tabs>
        <w:rPr>
          <w:rFonts w:eastAsiaTheme="minorEastAsia"/>
        </w:rPr>
      </w:pPr>
      <w:r>
        <w:rPr>
          <w:rFonts w:eastAsiaTheme="minorEastAsia"/>
        </w:rPr>
        <w:t>17.</w:t>
      </w:r>
      <w:r>
        <w:rPr>
          <w:rFonts w:eastAsiaTheme="minorEastAsia"/>
        </w:rPr>
        <w:tab/>
      </w:r>
      <w:r w:rsidR="00EA30C3" w:rsidRPr="00C73541">
        <w:rPr>
          <w:rFonts w:eastAsiaTheme="minorEastAsia"/>
        </w:rPr>
        <w:t xml:space="preserve">The </w:t>
      </w:r>
      <w:r w:rsidR="00032C9D" w:rsidRPr="00C73541">
        <w:rPr>
          <w:rFonts w:eastAsiaTheme="minorEastAsia"/>
        </w:rPr>
        <w:t xml:space="preserve">identification of </w:t>
      </w:r>
      <w:r w:rsidR="00BA4FEF" w:rsidRPr="00C73541">
        <w:rPr>
          <w:rFonts w:eastAsiaTheme="minorEastAsia"/>
        </w:rPr>
        <w:t xml:space="preserve">endocrine disruptors </w:t>
      </w:r>
      <w:r w:rsidR="00351667" w:rsidRPr="00C73541">
        <w:rPr>
          <w:rFonts w:eastAsiaTheme="minorEastAsia"/>
        </w:rPr>
        <w:t xml:space="preserve">follows </w:t>
      </w:r>
      <w:r w:rsidR="00746F3C" w:rsidRPr="00C73541">
        <w:rPr>
          <w:rFonts w:eastAsiaTheme="minorEastAsia"/>
        </w:rPr>
        <w:t xml:space="preserve">a stepwise approach. </w:t>
      </w:r>
      <w:r w:rsidR="007511D3" w:rsidRPr="00C73541">
        <w:rPr>
          <w:rFonts w:eastAsiaTheme="minorEastAsia"/>
        </w:rPr>
        <w:t xml:space="preserve">Adverse effects </w:t>
      </w:r>
      <w:r w:rsidR="00F44A18" w:rsidRPr="00C73541">
        <w:rPr>
          <w:rFonts w:eastAsiaTheme="minorEastAsia"/>
        </w:rPr>
        <w:t xml:space="preserve">of a chemical </w:t>
      </w:r>
      <w:r w:rsidR="0052551C" w:rsidRPr="00C73541">
        <w:rPr>
          <w:rFonts w:eastAsiaTheme="minorEastAsia"/>
        </w:rPr>
        <w:t>are identified</w:t>
      </w:r>
      <w:r w:rsidR="000E2FE4" w:rsidRPr="00C73541">
        <w:rPr>
          <w:rFonts w:eastAsiaTheme="minorEastAsia"/>
        </w:rPr>
        <w:t xml:space="preserve">, as well as </w:t>
      </w:r>
      <w:r w:rsidR="00F44A18" w:rsidRPr="00C73541">
        <w:rPr>
          <w:rFonts w:eastAsiaTheme="minorEastAsia"/>
        </w:rPr>
        <w:t xml:space="preserve">its </w:t>
      </w:r>
      <w:r w:rsidR="000E2FE4" w:rsidRPr="00C73541">
        <w:rPr>
          <w:rFonts w:eastAsiaTheme="minorEastAsia"/>
        </w:rPr>
        <w:t>endocrine activity</w:t>
      </w:r>
      <w:r w:rsidR="00F44A18" w:rsidRPr="00C73541">
        <w:rPr>
          <w:rFonts w:eastAsiaTheme="minorEastAsia"/>
        </w:rPr>
        <w:t xml:space="preserve"> according to available relevant and acceptable data. </w:t>
      </w:r>
      <w:r w:rsidR="00185685" w:rsidRPr="00C73541">
        <w:rPr>
          <w:rFonts w:eastAsiaTheme="minorEastAsia"/>
        </w:rPr>
        <w:t xml:space="preserve">Then the </w:t>
      </w:r>
      <w:r w:rsidR="009E43AE" w:rsidRPr="00C73541">
        <w:rPr>
          <w:rFonts w:eastAsiaTheme="minorEastAsia"/>
        </w:rPr>
        <w:t>endocrine</w:t>
      </w:r>
      <w:r w:rsidR="000125C0" w:rsidRPr="00C73541">
        <w:rPr>
          <w:rFonts w:eastAsiaTheme="minorEastAsia"/>
        </w:rPr>
        <w:t xml:space="preserve"> disrupt</w:t>
      </w:r>
      <w:r w:rsidR="009E43AE" w:rsidRPr="00C73541">
        <w:rPr>
          <w:rFonts w:eastAsiaTheme="minorEastAsia"/>
        </w:rPr>
        <w:t xml:space="preserve">er </w:t>
      </w:r>
      <w:r w:rsidR="00185685" w:rsidRPr="00C73541">
        <w:rPr>
          <w:rFonts w:eastAsiaTheme="minorEastAsia"/>
        </w:rPr>
        <w:t>assess</w:t>
      </w:r>
      <w:r w:rsidR="000125C0" w:rsidRPr="00C73541">
        <w:rPr>
          <w:rFonts w:eastAsiaTheme="minorEastAsia"/>
        </w:rPr>
        <w:t xml:space="preserve">ment </w:t>
      </w:r>
      <w:r w:rsidR="007D5866" w:rsidRPr="00C73541">
        <w:rPr>
          <w:rFonts w:eastAsiaTheme="minorEastAsia"/>
        </w:rPr>
        <w:t xml:space="preserve">explores the plausibility </w:t>
      </w:r>
      <w:r w:rsidR="000A386E" w:rsidRPr="00C73541">
        <w:rPr>
          <w:rFonts w:eastAsiaTheme="minorEastAsia"/>
        </w:rPr>
        <w:t xml:space="preserve">of a </w:t>
      </w:r>
      <w:r w:rsidR="00CD38E8" w:rsidRPr="00C73541">
        <w:rPr>
          <w:rFonts w:eastAsiaTheme="minorEastAsia"/>
        </w:rPr>
        <w:t xml:space="preserve">biological </w:t>
      </w:r>
      <w:r w:rsidR="000A386E" w:rsidRPr="00C73541">
        <w:rPr>
          <w:rFonts w:eastAsiaTheme="minorEastAsia"/>
        </w:rPr>
        <w:t xml:space="preserve">link </w:t>
      </w:r>
      <w:r w:rsidR="00E04560" w:rsidRPr="00C73541">
        <w:rPr>
          <w:rFonts w:eastAsiaTheme="minorEastAsia"/>
        </w:rPr>
        <w:t xml:space="preserve">between </w:t>
      </w:r>
      <w:r w:rsidR="00CD38E8" w:rsidRPr="00C73541">
        <w:rPr>
          <w:rFonts w:eastAsiaTheme="minorEastAsia"/>
        </w:rPr>
        <w:t xml:space="preserve">the endocrine activity and the </w:t>
      </w:r>
      <w:r w:rsidR="00693FD0" w:rsidRPr="00C73541">
        <w:rPr>
          <w:rFonts w:eastAsiaTheme="minorEastAsia"/>
        </w:rPr>
        <w:t>adverse effects. Mechanistic information</w:t>
      </w:r>
      <w:r w:rsidR="00D073DE" w:rsidRPr="00C73541">
        <w:rPr>
          <w:rFonts w:eastAsiaTheme="minorEastAsia"/>
        </w:rPr>
        <w:t xml:space="preserve">, such as </w:t>
      </w:r>
      <w:proofErr w:type="spellStart"/>
      <w:r w:rsidR="00D073DE" w:rsidRPr="00C73541">
        <w:rPr>
          <w:rFonts w:eastAsiaTheme="minorEastAsia"/>
        </w:rPr>
        <w:t>toxicokinetics</w:t>
      </w:r>
      <w:proofErr w:type="spellEnd"/>
      <w:r w:rsidR="00D073DE" w:rsidRPr="00C73541">
        <w:rPr>
          <w:rFonts w:eastAsiaTheme="minorEastAsia"/>
        </w:rPr>
        <w:t xml:space="preserve"> data,</w:t>
      </w:r>
      <w:r w:rsidR="00693FD0" w:rsidRPr="00C73541">
        <w:rPr>
          <w:rFonts w:eastAsiaTheme="minorEastAsia"/>
        </w:rPr>
        <w:t xml:space="preserve"> </w:t>
      </w:r>
      <w:r w:rsidR="00707362" w:rsidRPr="00C73541">
        <w:rPr>
          <w:rFonts w:eastAsiaTheme="minorEastAsia"/>
        </w:rPr>
        <w:t xml:space="preserve">informs on </w:t>
      </w:r>
      <w:r w:rsidR="00FC4C81" w:rsidRPr="00C73541">
        <w:rPr>
          <w:rFonts w:eastAsiaTheme="minorEastAsia"/>
        </w:rPr>
        <w:t xml:space="preserve">such a link or </w:t>
      </w:r>
      <w:r w:rsidR="00707362" w:rsidRPr="00C73541">
        <w:rPr>
          <w:rFonts w:eastAsiaTheme="minorEastAsia"/>
        </w:rPr>
        <w:t xml:space="preserve">a possible </w:t>
      </w:r>
      <w:r w:rsidR="00D073DE" w:rsidRPr="00C73541">
        <w:rPr>
          <w:rFonts w:eastAsiaTheme="minorEastAsia"/>
        </w:rPr>
        <w:t>endocrine mode of action</w:t>
      </w:r>
      <w:r w:rsidR="00145A4A" w:rsidRPr="00C73541">
        <w:rPr>
          <w:rFonts w:eastAsiaTheme="minorEastAsia"/>
        </w:rPr>
        <w:t xml:space="preserve">. </w:t>
      </w:r>
      <w:r w:rsidR="00FC4C81" w:rsidRPr="00C73541">
        <w:rPr>
          <w:rFonts w:eastAsiaTheme="minorEastAsia"/>
        </w:rPr>
        <w:t xml:space="preserve">This </w:t>
      </w:r>
      <w:r w:rsidR="008F3E5D" w:rsidRPr="00C73541">
        <w:rPr>
          <w:rFonts w:eastAsiaTheme="minorEastAsia"/>
        </w:rPr>
        <w:t xml:space="preserve">mode of action analysis </w:t>
      </w:r>
      <w:r w:rsidR="00930933" w:rsidRPr="00C73541">
        <w:rPr>
          <w:rFonts w:eastAsiaTheme="minorEastAsia"/>
        </w:rPr>
        <w:t>is</w:t>
      </w:r>
      <w:r w:rsidR="00FC4C81" w:rsidRPr="00C73541">
        <w:rPr>
          <w:rFonts w:eastAsiaTheme="minorEastAsia"/>
        </w:rPr>
        <w:t xml:space="preserve"> </w:t>
      </w:r>
      <w:proofErr w:type="gramStart"/>
      <w:r w:rsidR="00FC4C81" w:rsidRPr="00C73541">
        <w:rPr>
          <w:rFonts w:eastAsiaTheme="minorEastAsia"/>
        </w:rPr>
        <w:t>similar to</w:t>
      </w:r>
      <w:proofErr w:type="gramEnd"/>
      <w:r w:rsidR="00FC4C81" w:rsidRPr="00C73541">
        <w:rPr>
          <w:rFonts w:eastAsiaTheme="minorEastAsia"/>
        </w:rPr>
        <w:t xml:space="preserve"> what </w:t>
      </w:r>
      <w:r w:rsidR="003729BA" w:rsidRPr="00C73541">
        <w:rPr>
          <w:rFonts w:eastAsiaTheme="minorEastAsia"/>
        </w:rPr>
        <w:t xml:space="preserve">one </w:t>
      </w:r>
      <w:r w:rsidR="00F7136C" w:rsidRPr="00C73541">
        <w:rPr>
          <w:rFonts w:eastAsiaTheme="minorEastAsia"/>
        </w:rPr>
        <w:t xml:space="preserve">assesses far carcinogens </w:t>
      </w:r>
      <w:r w:rsidR="00A55229" w:rsidRPr="00C73541">
        <w:rPr>
          <w:rFonts w:eastAsiaTheme="minorEastAsia"/>
        </w:rPr>
        <w:t xml:space="preserve">(see </w:t>
      </w:r>
      <w:r w:rsidR="00531043" w:rsidRPr="00C73541">
        <w:rPr>
          <w:rFonts w:eastAsiaTheme="minorEastAsia"/>
        </w:rPr>
        <w:t xml:space="preserve">GHS </w:t>
      </w:r>
      <w:r w:rsidR="00E07740" w:rsidRPr="00C73541">
        <w:rPr>
          <w:rFonts w:eastAsiaTheme="minorEastAsia"/>
        </w:rPr>
        <w:t>3.6.2.5.2</w:t>
      </w:r>
      <w:r w:rsidR="004F750C" w:rsidRPr="00C73541">
        <w:rPr>
          <w:rFonts w:eastAsiaTheme="minorEastAsia"/>
        </w:rPr>
        <w:t>. (k)</w:t>
      </w:r>
      <w:r w:rsidR="00E71146" w:rsidRPr="00C73541">
        <w:rPr>
          <w:rFonts w:eastAsiaTheme="minorEastAsia"/>
        </w:rPr>
        <w:t xml:space="preserve">) </w:t>
      </w:r>
      <w:r w:rsidR="00F7136C" w:rsidRPr="00C73541">
        <w:rPr>
          <w:rFonts w:eastAsiaTheme="minorEastAsia"/>
        </w:rPr>
        <w:t xml:space="preserve">and </w:t>
      </w:r>
      <w:proofErr w:type="spellStart"/>
      <w:r w:rsidR="00A55229" w:rsidRPr="00C73541">
        <w:rPr>
          <w:rFonts w:eastAsiaTheme="minorEastAsia"/>
        </w:rPr>
        <w:t>reprotoxicants</w:t>
      </w:r>
      <w:proofErr w:type="spellEnd"/>
      <w:r w:rsidR="00E71146" w:rsidRPr="00C73541">
        <w:rPr>
          <w:rFonts w:eastAsiaTheme="minorEastAsia"/>
        </w:rPr>
        <w:t xml:space="preserve"> (see </w:t>
      </w:r>
      <w:r w:rsidR="009019C6" w:rsidRPr="00C73541">
        <w:rPr>
          <w:rFonts w:eastAsiaTheme="minorEastAsia"/>
        </w:rPr>
        <w:t>G</w:t>
      </w:r>
      <w:r w:rsidR="00E71146" w:rsidRPr="00C73541">
        <w:rPr>
          <w:rFonts w:eastAsiaTheme="minorEastAsia"/>
        </w:rPr>
        <w:t xml:space="preserve">HS </w:t>
      </w:r>
      <w:r w:rsidR="009121C5" w:rsidRPr="00C73541">
        <w:rPr>
          <w:rFonts w:eastAsiaTheme="minorEastAsia"/>
        </w:rPr>
        <w:t>3.7.</w:t>
      </w:r>
      <w:r w:rsidR="00063960" w:rsidRPr="00C73541">
        <w:rPr>
          <w:rFonts w:eastAsiaTheme="minorEastAsia"/>
        </w:rPr>
        <w:t>2.3.2.</w:t>
      </w:r>
      <w:r w:rsidR="009019C6" w:rsidRPr="00C73541">
        <w:rPr>
          <w:rFonts w:eastAsiaTheme="minorEastAsia"/>
        </w:rPr>
        <w:t xml:space="preserve"> and 3.7.2.4.1.)</w:t>
      </w:r>
      <w:r w:rsidR="00A55229" w:rsidRPr="00C73541">
        <w:rPr>
          <w:rFonts w:eastAsiaTheme="minorEastAsia"/>
        </w:rPr>
        <w:t>.</w:t>
      </w:r>
    </w:p>
    <w:p w14:paraId="296E6E31" w14:textId="030DC9BA" w:rsidR="00295A86" w:rsidRPr="005F4300" w:rsidRDefault="00827861" w:rsidP="00827861">
      <w:pPr>
        <w:pStyle w:val="SingleTxtG"/>
        <w:tabs>
          <w:tab w:val="left" w:pos="1701"/>
        </w:tabs>
        <w:rPr>
          <w:rFonts w:eastAsiaTheme="minorEastAsia"/>
        </w:rPr>
      </w:pPr>
      <w:r>
        <w:rPr>
          <w:rFonts w:eastAsiaTheme="minorEastAsia"/>
        </w:rPr>
        <w:t>18.</w:t>
      </w:r>
      <w:r>
        <w:rPr>
          <w:rFonts w:eastAsiaTheme="minorEastAsia"/>
        </w:rPr>
        <w:tab/>
      </w:r>
      <w:r w:rsidR="670F21B4" w:rsidRPr="3CF1BD16">
        <w:rPr>
          <w:rFonts w:eastAsiaTheme="minorEastAsia"/>
        </w:rPr>
        <w:t>The E</w:t>
      </w:r>
      <w:r w:rsidR="008A5BFF">
        <w:rPr>
          <w:rFonts w:eastAsiaTheme="minorEastAsia"/>
        </w:rPr>
        <w:t xml:space="preserve">uropean </w:t>
      </w:r>
      <w:r w:rsidR="670F21B4" w:rsidRPr="3CF1BD16">
        <w:rPr>
          <w:rFonts w:eastAsiaTheme="minorEastAsia"/>
        </w:rPr>
        <w:t>U</w:t>
      </w:r>
      <w:r w:rsidR="008A5BFF">
        <w:rPr>
          <w:rFonts w:eastAsiaTheme="minorEastAsia"/>
        </w:rPr>
        <w:t>nion</w:t>
      </w:r>
      <w:r w:rsidR="670F21B4" w:rsidRPr="3CF1BD16">
        <w:rPr>
          <w:rFonts w:eastAsiaTheme="minorEastAsia"/>
        </w:rPr>
        <w:t xml:space="preserve"> is currently developing classification criteria for endocrine disruptors for human health </w:t>
      </w:r>
      <w:r w:rsidR="00374AD4">
        <w:rPr>
          <w:rFonts w:eastAsiaTheme="minorEastAsia"/>
        </w:rPr>
        <w:t xml:space="preserve">(ED HH 1 and ED HH 2) </w:t>
      </w:r>
      <w:r w:rsidR="670F21B4" w:rsidRPr="3CF1BD16">
        <w:rPr>
          <w:rFonts w:eastAsiaTheme="minorEastAsia"/>
        </w:rPr>
        <w:t xml:space="preserve">and </w:t>
      </w:r>
      <w:r w:rsidR="00374AD4">
        <w:rPr>
          <w:rFonts w:eastAsiaTheme="minorEastAsia"/>
        </w:rPr>
        <w:t xml:space="preserve">for </w:t>
      </w:r>
      <w:r w:rsidR="670F21B4" w:rsidRPr="3CF1BD16">
        <w:rPr>
          <w:rFonts w:eastAsiaTheme="minorEastAsia"/>
        </w:rPr>
        <w:t>the environment</w:t>
      </w:r>
      <w:r w:rsidR="00374AD4">
        <w:rPr>
          <w:rFonts w:eastAsiaTheme="minorEastAsia"/>
        </w:rPr>
        <w:t xml:space="preserve"> (ED ENV 1 and ED ENV 2)</w:t>
      </w:r>
      <w:r w:rsidR="670F21B4" w:rsidRPr="3CF1BD16">
        <w:rPr>
          <w:rFonts w:eastAsiaTheme="minorEastAsia"/>
        </w:rPr>
        <w:t xml:space="preserve">. </w:t>
      </w:r>
      <w:r w:rsidR="000F465F">
        <w:rPr>
          <w:rFonts w:eastAsiaTheme="minorEastAsia"/>
        </w:rPr>
        <w:t xml:space="preserve">Once </w:t>
      </w:r>
      <w:r w:rsidR="000F465F" w:rsidRPr="00C73541">
        <w:rPr>
          <w:rFonts w:eastAsiaTheme="minorEastAsia"/>
        </w:rPr>
        <w:t>adopted</w:t>
      </w:r>
      <w:r w:rsidR="000F465F">
        <w:rPr>
          <w:rFonts w:eastAsiaTheme="minorEastAsia"/>
        </w:rPr>
        <w:t xml:space="preserve"> at</w:t>
      </w:r>
      <w:r w:rsidR="00332B92">
        <w:rPr>
          <w:rFonts w:eastAsiaTheme="minorEastAsia"/>
        </w:rPr>
        <w:t xml:space="preserve"> E</w:t>
      </w:r>
      <w:r w:rsidR="00F73143">
        <w:rPr>
          <w:rFonts w:eastAsiaTheme="minorEastAsia"/>
        </w:rPr>
        <w:t xml:space="preserve">uropean </w:t>
      </w:r>
      <w:r w:rsidR="00332B92">
        <w:rPr>
          <w:rFonts w:eastAsiaTheme="minorEastAsia"/>
        </w:rPr>
        <w:t>U</w:t>
      </w:r>
      <w:r w:rsidR="00F73143">
        <w:rPr>
          <w:rFonts w:eastAsiaTheme="minorEastAsia"/>
        </w:rPr>
        <w:t>nion</w:t>
      </w:r>
      <w:r w:rsidR="00332B92">
        <w:rPr>
          <w:rFonts w:eastAsiaTheme="minorEastAsia"/>
        </w:rPr>
        <w:t xml:space="preserve"> level</w:t>
      </w:r>
      <w:r w:rsidR="628C98CF" w:rsidRPr="3CF1BD16">
        <w:rPr>
          <w:rFonts w:eastAsiaTheme="minorEastAsia"/>
        </w:rPr>
        <w:t xml:space="preserve">, </w:t>
      </w:r>
      <w:r w:rsidR="000F465F">
        <w:rPr>
          <w:rFonts w:eastAsiaTheme="minorEastAsia"/>
        </w:rPr>
        <w:t>such classification criteria</w:t>
      </w:r>
      <w:r w:rsidR="3FDD60BC" w:rsidRPr="3CF1BD16">
        <w:rPr>
          <w:rFonts w:eastAsiaTheme="minorEastAsia"/>
        </w:rPr>
        <w:t xml:space="preserve"> will </w:t>
      </w:r>
      <w:r w:rsidR="000F465F">
        <w:rPr>
          <w:rFonts w:eastAsiaTheme="minorEastAsia"/>
        </w:rPr>
        <w:t>be submitted</w:t>
      </w:r>
      <w:r w:rsidR="3FDD60BC" w:rsidRPr="3CF1BD16">
        <w:rPr>
          <w:rFonts w:eastAsiaTheme="minorEastAsia"/>
        </w:rPr>
        <w:t xml:space="preserve"> for information</w:t>
      </w:r>
      <w:r w:rsidR="000F465F">
        <w:rPr>
          <w:rFonts w:eastAsiaTheme="minorEastAsia"/>
        </w:rPr>
        <w:t xml:space="preserve"> to the Sub-Committee</w:t>
      </w:r>
      <w:r w:rsidR="3FDD60BC" w:rsidRPr="3CF1BD16">
        <w:rPr>
          <w:rFonts w:eastAsiaTheme="minorEastAsia"/>
        </w:rPr>
        <w:t xml:space="preserve"> developing the </w:t>
      </w:r>
      <w:r w:rsidR="00392084" w:rsidRPr="3CF1BD16">
        <w:rPr>
          <w:rFonts w:eastAsiaTheme="minorEastAsia"/>
        </w:rPr>
        <w:t>criteria</w:t>
      </w:r>
      <w:r w:rsidR="005233F2">
        <w:rPr>
          <w:rFonts w:eastAsiaTheme="minorEastAsia"/>
        </w:rPr>
        <w:t xml:space="preserve"> in </w:t>
      </w:r>
      <w:r w:rsidR="0061280D">
        <w:rPr>
          <w:rFonts w:eastAsiaTheme="minorEastAsia"/>
        </w:rPr>
        <w:t xml:space="preserve">the </w:t>
      </w:r>
      <w:r w:rsidR="005233F2">
        <w:rPr>
          <w:rFonts w:eastAsiaTheme="minorEastAsia"/>
        </w:rPr>
        <w:t>GHS</w:t>
      </w:r>
      <w:r w:rsidR="7AAC00A9" w:rsidRPr="3CF1BD16">
        <w:rPr>
          <w:rFonts w:eastAsiaTheme="minorEastAsia"/>
        </w:rPr>
        <w:t>.</w:t>
      </w:r>
    </w:p>
    <w:p w14:paraId="3E2B37AC" w14:textId="6C257F41" w:rsidR="000D1812" w:rsidRPr="007134B8" w:rsidRDefault="000D1812" w:rsidP="000D1812">
      <w:pPr>
        <w:pStyle w:val="HChG"/>
        <w:rPr>
          <w:rFonts w:eastAsia="MS Mincho"/>
          <w:color w:val="000000" w:themeColor="text1"/>
        </w:rPr>
      </w:pPr>
      <w:r w:rsidRPr="007134B8">
        <w:rPr>
          <w:rFonts w:eastAsia="MS Mincho"/>
        </w:rPr>
        <w:tab/>
      </w:r>
      <w:r w:rsidRPr="007134B8">
        <w:rPr>
          <w:rFonts w:eastAsia="MS Mincho"/>
        </w:rPr>
        <w:tab/>
      </w:r>
      <w:r w:rsidR="00B35F7D" w:rsidRPr="007134B8">
        <w:rPr>
          <w:rFonts w:eastAsia="MS Mincho"/>
          <w:color w:val="000000" w:themeColor="text1"/>
        </w:rPr>
        <w:t>Conclusion</w:t>
      </w:r>
    </w:p>
    <w:p w14:paraId="75E13457" w14:textId="34350BD6" w:rsidR="00B35F7D" w:rsidRPr="007134B8" w:rsidRDefault="00827861" w:rsidP="00827861">
      <w:pPr>
        <w:pStyle w:val="SingleTxtG"/>
        <w:tabs>
          <w:tab w:val="left" w:pos="1701"/>
        </w:tabs>
        <w:rPr>
          <w:rFonts w:eastAsiaTheme="minorEastAsia"/>
        </w:rPr>
      </w:pPr>
      <w:r>
        <w:t>19.</w:t>
      </w:r>
      <w:r>
        <w:tab/>
      </w:r>
      <w:r w:rsidR="3B92E74E">
        <w:t xml:space="preserve">Experts are invited to take note of the </w:t>
      </w:r>
      <w:r w:rsidR="19BA6325">
        <w:t xml:space="preserve">elements supporting the addition of endocrine </w:t>
      </w:r>
      <w:r w:rsidR="19BA6325" w:rsidRPr="00827861">
        <w:t>disruptors</w:t>
      </w:r>
      <w:r w:rsidR="19BA6325">
        <w:t xml:space="preserve"> as</w:t>
      </w:r>
      <w:r w:rsidR="00082A4A">
        <w:t xml:space="preserve"> an</w:t>
      </w:r>
      <w:r w:rsidR="19BA6325">
        <w:t xml:space="preserve"> unaddressed hazard class in the GHS Sub-Committee programme of work </w:t>
      </w:r>
      <w:r w:rsidR="00F73143">
        <w:t xml:space="preserve">for </w:t>
      </w:r>
      <w:r w:rsidR="19BA6325">
        <w:t>2023-2024.</w:t>
      </w:r>
    </w:p>
    <w:p w14:paraId="17A52408" w14:textId="77777777" w:rsidR="00B35F7D" w:rsidRPr="007134B8" w:rsidRDefault="00B35F7D" w:rsidP="00B35F7D">
      <w:pPr>
        <w:pStyle w:val="SingleTxtG"/>
        <w:tabs>
          <w:tab w:val="left" w:pos="1701"/>
        </w:tabs>
        <w:ind w:left="0"/>
        <w:rPr>
          <w:color w:val="000000" w:themeColor="text1"/>
        </w:rPr>
      </w:pPr>
    </w:p>
    <w:p w14:paraId="4A1A073F" w14:textId="406B6ACB" w:rsidR="000D1812" w:rsidRPr="007134B8" w:rsidRDefault="000D1812" w:rsidP="005A4BB8">
      <w:pPr>
        <w:spacing w:before="240"/>
        <w:jc w:val="center"/>
        <w:rPr>
          <w:u w:val="single"/>
        </w:rPr>
      </w:pPr>
    </w:p>
    <w:p w14:paraId="63E45E57" w14:textId="5162DFAF" w:rsidR="002F7458" w:rsidRDefault="006B7000" w:rsidP="00651FF8">
      <w:pPr>
        <w:pStyle w:val="HChG"/>
        <w:rPr>
          <w:rFonts w:eastAsiaTheme="minorHAnsi"/>
        </w:rPr>
      </w:pPr>
      <w:r w:rsidRPr="00744E48">
        <w:t>Annex</w:t>
      </w:r>
      <w:r w:rsidR="008F093A">
        <w:t xml:space="preserve"> </w:t>
      </w:r>
    </w:p>
    <w:p w14:paraId="433D391D" w14:textId="77FBE8C7" w:rsidR="006B7000" w:rsidRPr="007134B8" w:rsidRDefault="002F7458" w:rsidP="00651FF8">
      <w:pPr>
        <w:pStyle w:val="HChG"/>
        <w:rPr>
          <w:rFonts w:eastAsiaTheme="minorHAnsi"/>
        </w:rPr>
      </w:pPr>
      <w:r>
        <w:rPr>
          <w:rFonts w:eastAsiaTheme="minorHAnsi"/>
        </w:rPr>
        <w:tab/>
      </w:r>
      <w:r>
        <w:rPr>
          <w:rFonts w:eastAsiaTheme="minorHAnsi"/>
        </w:rPr>
        <w:tab/>
      </w:r>
      <w:r w:rsidR="006B7000" w:rsidRPr="007134B8">
        <w:rPr>
          <w:rFonts w:eastAsiaTheme="minorHAnsi"/>
        </w:rPr>
        <w:t xml:space="preserve">Available OECD test guidelines </w:t>
      </w:r>
    </w:p>
    <w:p w14:paraId="78389828" w14:textId="592C2699" w:rsidR="006B7000" w:rsidRPr="00846F4B" w:rsidRDefault="00846F4B" w:rsidP="00846F4B">
      <w:pPr>
        <w:pStyle w:val="SingleTxtG"/>
        <w:rPr>
          <w:rFonts w:eastAsiaTheme="minorHAnsi"/>
        </w:rPr>
      </w:pPr>
      <w:r w:rsidRPr="00846F4B">
        <w:rPr>
          <w:rFonts w:eastAsiaTheme="minorHAnsi"/>
        </w:rPr>
        <w:t>1.</w:t>
      </w:r>
      <w:r w:rsidRPr="00846F4B">
        <w:rPr>
          <w:rFonts w:eastAsiaTheme="minorHAnsi"/>
        </w:rPr>
        <w:tab/>
      </w:r>
      <w:r w:rsidR="006B7000" w:rsidRPr="00846F4B">
        <w:rPr>
          <w:rFonts w:eastAsiaTheme="minorHAnsi"/>
        </w:rPr>
        <w:t xml:space="preserve">The following existing in vitro or in vivo OECD TGs measure parameters that provide mechanistic information on endocrine activity: </w:t>
      </w:r>
    </w:p>
    <w:p w14:paraId="2E3224FA" w14:textId="39621F7C" w:rsidR="006B7000" w:rsidRPr="007134B8" w:rsidRDefault="002F7458" w:rsidP="002F7458">
      <w:pPr>
        <w:pStyle w:val="SingleTxtG"/>
        <w:ind w:left="1701"/>
        <w:rPr>
          <w:rFonts w:eastAsiaTheme="minorHAnsi"/>
        </w:rPr>
      </w:pPr>
      <w:r>
        <w:rPr>
          <w:rFonts w:eastAsiaTheme="minorHAnsi"/>
        </w:rPr>
        <w:t>(a)</w:t>
      </w:r>
      <w:r>
        <w:rPr>
          <w:rFonts w:eastAsiaTheme="minorHAnsi"/>
        </w:rPr>
        <w:tab/>
      </w:r>
      <w:r w:rsidR="006B7000" w:rsidRPr="007134B8">
        <w:rPr>
          <w:rFonts w:eastAsiaTheme="minorHAnsi"/>
        </w:rPr>
        <w:t xml:space="preserve">OECD TG 455 </w:t>
      </w:r>
      <w:hyperlink r:id="rId11" w:history="1">
        <w:r w:rsidR="006B7000" w:rsidRPr="00D113FE">
          <w:rPr>
            <w:rStyle w:val="Hyperlink"/>
            <w:rFonts w:eastAsiaTheme="minorHAnsi"/>
          </w:rPr>
          <w:t xml:space="preserve">Stably Transfected Human </w:t>
        </w:r>
        <w:proofErr w:type="spellStart"/>
        <w:r w:rsidR="006B7000" w:rsidRPr="00D113FE">
          <w:rPr>
            <w:rStyle w:val="Hyperlink"/>
            <w:rFonts w:eastAsiaTheme="minorHAnsi"/>
          </w:rPr>
          <w:t>Estrogen</w:t>
        </w:r>
        <w:proofErr w:type="spellEnd"/>
        <w:r w:rsidR="006B7000" w:rsidRPr="00D113FE">
          <w:rPr>
            <w:rStyle w:val="Hyperlink"/>
            <w:rFonts w:eastAsiaTheme="minorHAnsi"/>
          </w:rPr>
          <w:t xml:space="preserve"> Receptor-alpha Transcriptional Activation Assay to detect </w:t>
        </w:r>
        <w:proofErr w:type="spellStart"/>
        <w:r w:rsidR="006B7000" w:rsidRPr="00D113FE">
          <w:rPr>
            <w:rStyle w:val="Hyperlink"/>
            <w:rFonts w:eastAsiaTheme="minorHAnsi"/>
          </w:rPr>
          <w:t>Estrogen</w:t>
        </w:r>
        <w:proofErr w:type="spellEnd"/>
        <w:r w:rsidR="006B7000" w:rsidRPr="00D113FE">
          <w:rPr>
            <w:rStyle w:val="Hyperlink"/>
            <w:rFonts w:eastAsiaTheme="minorHAnsi"/>
          </w:rPr>
          <w:t xml:space="preserve"> Receptor Agonists and Antagonists</w:t>
        </w:r>
      </w:hyperlink>
    </w:p>
    <w:p w14:paraId="54C15AC5" w14:textId="7EA3390C" w:rsidR="006B7000" w:rsidRPr="007134B8" w:rsidRDefault="002F7458" w:rsidP="002F7458">
      <w:pPr>
        <w:pStyle w:val="SingleTxtG"/>
        <w:ind w:left="1701"/>
        <w:rPr>
          <w:rFonts w:eastAsiaTheme="minorHAnsi"/>
        </w:rPr>
      </w:pPr>
      <w:r>
        <w:rPr>
          <w:rFonts w:eastAsiaTheme="minorHAnsi"/>
        </w:rPr>
        <w:t>(b)</w:t>
      </w:r>
      <w:r>
        <w:rPr>
          <w:rFonts w:eastAsiaTheme="minorHAnsi"/>
        </w:rPr>
        <w:tab/>
      </w:r>
      <w:r w:rsidR="006B7000" w:rsidRPr="007134B8">
        <w:rPr>
          <w:rFonts w:eastAsiaTheme="minorHAnsi"/>
        </w:rPr>
        <w:t xml:space="preserve">OECD TG 458 </w:t>
      </w:r>
      <w:hyperlink r:id="rId12" w:history="1">
        <w:r w:rsidR="006B7000" w:rsidRPr="004F071C">
          <w:rPr>
            <w:rStyle w:val="Hyperlink"/>
            <w:rFonts w:eastAsiaTheme="minorHAnsi"/>
          </w:rPr>
          <w:t>Stably Transfected Human Androgen Receptor Transcriptional Activation Assay for Detection of Androgenic Agonist and Antagonist Activity of Chemicals</w:t>
        </w:r>
      </w:hyperlink>
    </w:p>
    <w:p w14:paraId="18C40A24" w14:textId="0F7AFB85" w:rsidR="006B7000" w:rsidRPr="007134B8" w:rsidRDefault="002F7458" w:rsidP="002F7458">
      <w:pPr>
        <w:pStyle w:val="SingleTxtG"/>
        <w:ind w:left="1701"/>
        <w:rPr>
          <w:rFonts w:eastAsiaTheme="minorHAnsi"/>
        </w:rPr>
      </w:pPr>
      <w:r>
        <w:rPr>
          <w:rFonts w:eastAsiaTheme="minorHAnsi"/>
        </w:rPr>
        <w:t>(c)</w:t>
      </w:r>
      <w:r>
        <w:rPr>
          <w:rFonts w:eastAsiaTheme="minorHAnsi"/>
        </w:rPr>
        <w:tab/>
      </w:r>
      <w:r w:rsidR="006B7000" w:rsidRPr="007134B8">
        <w:rPr>
          <w:rFonts w:eastAsiaTheme="minorHAnsi"/>
        </w:rPr>
        <w:t xml:space="preserve">OECD TG 456 </w:t>
      </w:r>
      <w:hyperlink r:id="rId13" w:history="1">
        <w:r w:rsidR="006B7000" w:rsidRPr="003A6F03">
          <w:rPr>
            <w:rStyle w:val="Hyperlink"/>
            <w:rFonts w:eastAsiaTheme="minorHAnsi"/>
          </w:rPr>
          <w:t>H295R Steroidogenesis Assay</w:t>
        </w:r>
      </w:hyperlink>
    </w:p>
    <w:p w14:paraId="33C5C100" w14:textId="7430B6D2" w:rsidR="006B7000" w:rsidRPr="007134B8" w:rsidRDefault="002F7458" w:rsidP="002F7458">
      <w:pPr>
        <w:pStyle w:val="SingleTxtG"/>
        <w:ind w:left="1701"/>
        <w:rPr>
          <w:rFonts w:eastAsiaTheme="minorHAnsi"/>
        </w:rPr>
      </w:pPr>
      <w:r>
        <w:rPr>
          <w:rFonts w:eastAsiaTheme="minorHAnsi"/>
        </w:rPr>
        <w:t>(d)</w:t>
      </w:r>
      <w:r>
        <w:rPr>
          <w:rFonts w:eastAsiaTheme="minorHAnsi"/>
        </w:rPr>
        <w:tab/>
      </w:r>
      <w:r w:rsidR="006B7000" w:rsidRPr="007134B8">
        <w:rPr>
          <w:rFonts w:eastAsiaTheme="minorHAnsi"/>
        </w:rPr>
        <w:t xml:space="preserve">OECD TG 493 </w:t>
      </w:r>
      <w:hyperlink r:id="rId14" w:history="1">
        <w:r w:rsidR="006B7000" w:rsidRPr="001E743C">
          <w:rPr>
            <w:rStyle w:val="Hyperlink"/>
            <w:rFonts w:eastAsiaTheme="minorHAnsi"/>
          </w:rPr>
          <w:t xml:space="preserve">Human Recombinant </w:t>
        </w:r>
        <w:proofErr w:type="spellStart"/>
        <w:r w:rsidR="006B7000" w:rsidRPr="001E743C">
          <w:rPr>
            <w:rStyle w:val="Hyperlink"/>
            <w:rFonts w:eastAsiaTheme="minorHAnsi"/>
          </w:rPr>
          <w:t>Estrogen</w:t>
        </w:r>
        <w:proofErr w:type="spellEnd"/>
        <w:r w:rsidR="006B7000" w:rsidRPr="001E743C">
          <w:rPr>
            <w:rStyle w:val="Hyperlink"/>
            <w:rFonts w:eastAsiaTheme="minorHAnsi"/>
          </w:rPr>
          <w:t xml:space="preserve"> Receptor (</w:t>
        </w:r>
        <w:proofErr w:type="spellStart"/>
        <w:r w:rsidR="006B7000" w:rsidRPr="001E743C">
          <w:rPr>
            <w:rStyle w:val="Hyperlink"/>
            <w:rFonts w:eastAsiaTheme="minorHAnsi"/>
          </w:rPr>
          <w:t>hrER</w:t>
        </w:r>
        <w:proofErr w:type="spellEnd"/>
        <w:r w:rsidR="006B7000" w:rsidRPr="001E743C">
          <w:rPr>
            <w:rStyle w:val="Hyperlink"/>
            <w:rFonts w:eastAsiaTheme="minorHAnsi"/>
          </w:rPr>
          <w:t>) In Vitro Assays to Detect Chemicals with ER Binding Affinity</w:t>
        </w:r>
      </w:hyperlink>
      <w:r w:rsidR="006B7000" w:rsidRPr="007134B8">
        <w:rPr>
          <w:rFonts w:eastAsiaTheme="minorHAnsi"/>
        </w:rPr>
        <w:t xml:space="preserve"> </w:t>
      </w:r>
    </w:p>
    <w:p w14:paraId="4489E023" w14:textId="49A8354C" w:rsidR="006B7000" w:rsidRPr="007134B8" w:rsidRDefault="002F7458" w:rsidP="002F7458">
      <w:pPr>
        <w:pStyle w:val="SingleTxtG"/>
        <w:ind w:left="1701"/>
        <w:rPr>
          <w:rFonts w:eastAsiaTheme="minorHAnsi"/>
        </w:rPr>
      </w:pPr>
      <w:r>
        <w:rPr>
          <w:rFonts w:eastAsiaTheme="minorHAnsi"/>
        </w:rPr>
        <w:t>(e)</w:t>
      </w:r>
      <w:r>
        <w:rPr>
          <w:rFonts w:eastAsiaTheme="minorHAnsi"/>
        </w:rPr>
        <w:tab/>
      </w:r>
      <w:r w:rsidR="006B7000" w:rsidRPr="007134B8">
        <w:rPr>
          <w:rFonts w:eastAsiaTheme="minorHAnsi"/>
        </w:rPr>
        <w:t xml:space="preserve">OECD TG 440 </w:t>
      </w:r>
      <w:hyperlink r:id="rId15" w:anchor="page1" w:history="1">
        <w:proofErr w:type="spellStart"/>
        <w:r w:rsidR="006B7000" w:rsidRPr="00BD069F">
          <w:rPr>
            <w:rStyle w:val="Hyperlink"/>
            <w:rFonts w:eastAsiaTheme="minorHAnsi"/>
          </w:rPr>
          <w:t>Uterotrophic</w:t>
        </w:r>
        <w:proofErr w:type="spellEnd"/>
        <w:r w:rsidR="006B7000" w:rsidRPr="00BD069F">
          <w:rPr>
            <w:rStyle w:val="Hyperlink"/>
            <w:rFonts w:eastAsiaTheme="minorHAnsi"/>
          </w:rPr>
          <w:t xml:space="preserve"> Bioassay in Rodents. A short-term screening test for oestrogenic properties</w:t>
        </w:r>
      </w:hyperlink>
    </w:p>
    <w:p w14:paraId="5975C1CF" w14:textId="2D12F898" w:rsidR="006B7000" w:rsidRPr="00C736B5" w:rsidRDefault="002F7458" w:rsidP="002F7458">
      <w:pPr>
        <w:pStyle w:val="SingleTxtG"/>
        <w:ind w:left="1701"/>
        <w:rPr>
          <w:rFonts w:eastAsiaTheme="minorHAnsi"/>
        </w:rPr>
      </w:pPr>
      <w:r>
        <w:rPr>
          <w:rFonts w:eastAsiaTheme="minorHAnsi"/>
        </w:rPr>
        <w:t>(f)</w:t>
      </w:r>
      <w:r>
        <w:rPr>
          <w:rFonts w:eastAsiaTheme="minorHAnsi"/>
        </w:rPr>
        <w:tab/>
      </w:r>
      <w:r w:rsidR="006B7000" w:rsidRPr="007134B8">
        <w:rPr>
          <w:rFonts w:eastAsiaTheme="minorHAnsi"/>
        </w:rPr>
        <w:t xml:space="preserve">OECD TG 441 </w:t>
      </w:r>
      <w:hyperlink r:id="rId16" w:history="1">
        <w:r w:rsidR="006B7000" w:rsidRPr="007B361B">
          <w:rPr>
            <w:rStyle w:val="Hyperlink"/>
            <w:rFonts w:eastAsiaTheme="minorHAnsi"/>
          </w:rPr>
          <w:t xml:space="preserve">Hershberger Bioassay in Rats. A short-term Screening Assay for (Anti)Androgenic Properties </w:t>
        </w:r>
      </w:hyperlink>
    </w:p>
    <w:p w14:paraId="15991884" w14:textId="01D9B73C" w:rsidR="006B7000" w:rsidRPr="007134B8" w:rsidRDefault="002F7458" w:rsidP="002F7458">
      <w:pPr>
        <w:pStyle w:val="SingleTxtG"/>
        <w:ind w:left="1701"/>
        <w:rPr>
          <w:rFonts w:eastAsiaTheme="minorHAnsi"/>
        </w:rPr>
      </w:pPr>
      <w:r>
        <w:rPr>
          <w:rFonts w:eastAsiaTheme="minorHAnsi"/>
        </w:rPr>
        <w:t>(g)</w:t>
      </w:r>
      <w:r>
        <w:rPr>
          <w:rFonts w:eastAsiaTheme="minorHAnsi"/>
        </w:rPr>
        <w:tab/>
      </w:r>
      <w:r w:rsidR="006B7000" w:rsidRPr="007134B8">
        <w:rPr>
          <w:rFonts w:eastAsiaTheme="minorHAnsi"/>
        </w:rPr>
        <w:t>OECD TG 229</w:t>
      </w:r>
      <w:hyperlink r:id="rId17" w:history="1">
        <w:r w:rsidR="006B7000" w:rsidRPr="00825175">
          <w:rPr>
            <w:rStyle w:val="Hyperlink"/>
            <w:rFonts w:eastAsiaTheme="minorHAnsi"/>
          </w:rPr>
          <w:t xml:space="preserve"> Fish Short Term Reproduction Assay</w:t>
        </w:r>
      </w:hyperlink>
      <w:r w:rsidR="006B7000" w:rsidRPr="007134B8">
        <w:rPr>
          <w:rFonts w:eastAsiaTheme="minorHAnsi"/>
        </w:rPr>
        <w:t xml:space="preserve"> </w:t>
      </w:r>
    </w:p>
    <w:p w14:paraId="2D4E2C2A" w14:textId="1D000CC1" w:rsidR="006B7000" w:rsidRPr="007134B8" w:rsidRDefault="002F7458" w:rsidP="002F7458">
      <w:pPr>
        <w:pStyle w:val="SingleTxtG"/>
        <w:ind w:left="1701"/>
        <w:rPr>
          <w:rFonts w:eastAsiaTheme="minorHAnsi"/>
        </w:rPr>
      </w:pPr>
      <w:r>
        <w:rPr>
          <w:rFonts w:eastAsiaTheme="minorHAnsi"/>
        </w:rPr>
        <w:t>(h)</w:t>
      </w:r>
      <w:r>
        <w:rPr>
          <w:rFonts w:eastAsiaTheme="minorHAnsi"/>
        </w:rPr>
        <w:tab/>
      </w:r>
      <w:r w:rsidR="006B7000" w:rsidRPr="007134B8">
        <w:rPr>
          <w:rFonts w:eastAsiaTheme="minorHAnsi"/>
        </w:rPr>
        <w:t xml:space="preserve">OECD TG 231 </w:t>
      </w:r>
      <w:hyperlink r:id="rId18" w:history="1">
        <w:r w:rsidR="006B7000" w:rsidRPr="00FB3FFF">
          <w:rPr>
            <w:rStyle w:val="Hyperlink"/>
            <w:rFonts w:eastAsiaTheme="minorHAnsi"/>
          </w:rPr>
          <w:t>Amphibian Metamorphosis Assay</w:t>
        </w:r>
      </w:hyperlink>
      <w:r w:rsidR="006B7000" w:rsidRPr="007134B8">
        <w:rPr>
          <w:rFonts w:eastAsiaTheme="minorHAnsi"/>
        </w:rPr>
        <w:t xml:space="preserve"> </w:t>
      </w:r>
    </w:p>
    <w:p w14:paraId="2B01012E" w14:textId="35FF973C" w:rsidR="006B7000" w:rsidRPr="007134B8" w:rsidRDefault="002F7458" w:rsidP="002F7458">
      <w:pPr>
        <w:pStyle w:val="SingleTxtG"/>
        <w:ind w:left="1701"/>
        <w:rPr>
          <w:rFonts w:eastAsiaTheme="minorHAnsi"/>
        </w:rPr>
      </w:pPr>
      <w:r>
        <w:rPr>
          <w:rFonts w:eastAsiaTheme="minorHAnsi"/>
        </w:rPr>
        <w:t>(</w:t>
      </w:r>
      <w:proofErr w:type="spellStart"/>
      <w:r>
        <w:rPr>
          <w:rFonts w:eastAsiaTheme="minorHAnsi"/>
        </w:rPr>
        <w:t>i</w:t>
      </w:r>
      <w:proofErr w:type="spellEnd"/>
      <w:r>
        <w:rPr>
          <w:rFonts w:eastAsiaTheme="minorHAnsi"/>
        </w:rPr>
        <w:t>)</w:t>
      </w:r>
      <w:r>
        <w:rPr>
          <w:rFonts w:eastAsiaTheme="minorHAnsi"/>
        </w:rPr>
        <w:tab/>
      </w:r>
      <w:r w:rsidR="006B7000" w:rsidRPr="007134B8">
        <w:rPr>
          <w:rFonts w:eastAsiaTheme="minorHAnsi"/>
        </w:rPr>
        <w:t xml:space="preserve">OECD TG </w:t>
      </w:r>
      <w:r w:rsidR="00C736B5" w:rsidRPr="007134B8">
        <w:rPr>
          <w:rFonts w:eastAsiaTheme="minorHAnsi"/>
        </w:rPr>
        <w:t xml:space="preserve">230 </w:t>
      </w:r>
      <w:hyperlink r:id="rId19" w:history="1">
        <w:r w:rsidR="00C736B5" w:rsidRPr="00455115">
          <w:rPr>
            <w:rStyle w:val="Hyperlink"/>
            <w:rFonts w:eastAsiaTheme="minorHAnsi"/>
          </w:rPr>
          <w:t>21</w:t>
        </w:r>
        <w:r w:rsidR="006B7000" w:rsidRPr="00455115">
          <w:rPr>
            <w:rStyle w:val="Hyperlink"/>
            <w:rFonts w:eastAsiaTheme="minorHAnsi"/>
          </w:rPr>
          <w:t>-Day Fish Assay</w:t>
        </w:r>
      </w:hyperlink>
      <w:r w:rsidR="006B7000" w:rsidRPr="007134B8">
        <w:rPr>
          <w:rFonts w:eastAsiaTheme="minorHAnsi"/>
        </w:rPr>
        <w:t xml:space="preserve"> </w:t>
      </w:r>
    </w:p>
    <w:p w14:paraId="609704D8" w14:textId="34705DC8" w:rsidR="006B7000" w:rsidRPr="007134B8" w:rsidRDefault="002F7458" w:rsidP="002F7458">
      <w:pPr>
        <w:pStyle w:val="SingleTxtG"/>
        <w:ind w:left="1701"/>
        <w:rPr>
          <w:rFonts w:eastAsiaTheme="minorHAnsi"/>
        </w:rPr>
      </w:pPr>
      <w:r>
        <w:rPr>
          <w:rFonts w:eastAsiaTheme="minorHAnsi"/>
        </w:rPr>
        <w:t>(j)</w:t>
      </w:r>
      <w:r>
        <w:rPr>
          <w:rFonts w:eastAsiaTheme="minorHAnsi"/>
        </w:rPr>
        <w:tab/>
      </w:r>
      <w:r w:rsidR="006B7000" w:rsidRPr="007134B8">
        <w:rPr>
          <w:rFonts w:eastAsiaTheme="minorHAnsi"/>
        </w:rPr>
        <w:t xml:space="preserve">OECD TG 248 </w:t>
      </w:r>
      <w:hyperlink r:id="rId20" w:history="1">
        <w:r w:rsidR="006B7000" w:rsidRPr="00656CA8">
          <w:rPr>
            <w:rStyle w:val="Hyperlink"/>
            <w:rFonts w:eastAsiaTheme="minorHAnsi"/>
          </w:rPr>
          <w:t xml:space="preserve">Xenopus </w:t>
        </w:r>
        <w:proofErr w:type="spellStart"/>
        <w:r w:rsidR="006B7000" w:rsidRPr="00656CA8">
          <w:rPr>
            <w:rStyle w:val="Hyperlink"/>
            <w:rFonts w:eastAsiaTheme="minorHAnsi"/>
          </w:rPr>
          <w:t>Eleutheroembryonic</w:t>
        </w:r>
        <w:proofErr w:type="spellEnd"/>
        <w:r w:rsidR="006B7000" w:rsidRPr="00656CA8">
          <w:rPr>
            <w:rStyle w:val="Hyperlink"/>
            <w:rFonts w:eastAsiaTheme="minorHAnsi"/>
          </w:rPr>
          <w:t xml:space="preserve"> Thyroid Assay (XETA)</w:t>
        </w:r>
      </w:hyperlink>
    </w:p>
    <w:p w14:paraId="1CA1C915" w14:textId="2C02231E" w:rsidR="006B7000" w:rsidRPr="007134B8" w:rsidRDefault="002F7458" w:rsidP="002F7458">
      <w:pPr>
        <w:pStyle w:val="SingleTxtG"/>
        <w:ind w:left="1701"/>
        <w:rPr>
          <w:rFonts w:eastAsiaTheme="minorHAnsi"/>
        </w:rPr>
      </w:pPr>
      <w:r>
        <w:rPr>
          <w:rFonts w:eastAsiaTheme="minorHAnsi"/>
        </w:rPr>
        <w:t>(k)</w:t>
      </w:r>
      <w:r>
        <w:rPr>
          <w:rFonts w:eastAsiaTheme="minorHAnsi"/>
        </w:rPr>
        <w:tab/>
      </w:r>
      <w:r w:rsidR="006B7000" w:rsidRPr="007134B8">
        <w:rPr>
          <w:rFonts w:eastAsiaTheme="minorHAnsi"/>
        </w:rPr>
        <w:t xml:space="preserve">OECD TG 250 </w:t>
      </w:r>
      <w:hyperlink r:id="rId21" w:history="1">
        <w:r w:rsidR="006B7000" w:rsidRPr="00F912A6">
          <w:rPr>
            <w:rStyle w:val="Hyperlink"/>
            <w:rFonts w:eastAsiaTheme="minorHAnsi"/>
          </w:rPr>
          <w:t xml:space="preserve">EASZY assay - Detection of Endocrine Active Substances, Acting Through </w:t>
        </w:r>
        <w:proofErr w:type="spellStart"/>
        <w:r w:rsidR="006B7000" w:rsidRPr="00F912A6">
          <w:rPr>
            <w:rStyle w:val="Hyperlink"/>
            <w:rFonts w:eastAsiaTheme="minorHAnsi"/>
          </w:rPr>
          <w:t>Estrogen</w:t>
        </w:r>
        <w:proofErr w:type="spellEnd"/>
        <w:r w:rsidR="006B7000" w:rsidRPr="00F912A6">
          <w:rPr>
            <w:rStyle w:val="Hyperlink"/>
            <w:rFonts w:eastAsiaTheme="minorHAnsi"/>
          </w:rPr>
          <w:t xml:space="preserve"> Receptors, Using Transgenic </w:t>
        </w:r>
        <w:proofErr w:type="spellStart"/>
        <w:r w:rsidR="006B7000" w:rsidRPr="00F912A6">
          <w:rPr>
            <w:rStyle w:val="Hyperlink"/>
            <w:rFonts w:eastAsiaTheme="minorHAnsi"/>
          </w:rPr>
          <w:t>tg</w:t>
        </w:r>
        <w:proofErr w:type="spellEnd"/>
        <w:r w:rsidR="006B7000" w:rsidRPr="00F912A6">
          <w:rPr>
            <w:rStyle w:val="Hyperlink"/>
            <w:rFonts w:eastAsiaTheme="minorHAnsi"/>
          </w:rPr>
          <w:t xml:space="preserve">(cyp19a1b:GFP) Zebrafish </w:t>
        </w:r>
        <w:proofErr w:type="spellStart"/>
        <w:r w:rsidR="006B7000" w:rsidRPr="00F912A6">
          <w:rPr>
            <w:rStyle w:val="Hyperlink"/>
            <w:rFonts w:eastAsiaTheme="minorHAnsi"/>
          </w:rPr>
          <w:t>embrYos</w:t>
        </w:r>
        <w:proofErr w:type="spellEnd"/>
        <w:r w:rsidR="006B7000" w:rsidRPr="00F912A6">
          <w:rPr>
            <w:rStyle w:val="Hyperlink"/>
            <w:rFonts w:eastAsiaTheme="minorHAnsi"/>
          </w:rPr>
          <w:t xml:space="preserve"> </w:t>
        </w:r>
      </w:hyperlink>
    </w:p>
    <w:p w14:paraId="05ABF2B7" w14:textId="7448CAE0" w:rsidR="006B7000" w:rsidRPr="007134B8" w:rsidRDefault="002F7458" w:rsidP="002F7458">
      <w:pPr>
        <w:pStyle w:val="SingleTxtG"/>
        <w:ind w:left="1701"/>
        <w:rPr>
          <w:rFonts w:eastAsiaTheme="minorHAnsi"/>
        </w:rPr>
      </w:pPr>
      <w:r>
        <w:rPr>
          <w:rFonts w:eastAsiaTheme="minorHAnsi"/>
        </w:rPr>
        <w:t>(l)</w:t>
      </w:r>
      <w:r>
        <w:rPr>
          <w:rFonts w:eastAsiaTheme="minorHAnsi"/>
        </w:rPr>
        <w:tab/>
      </w:r>
      <w:r w:rsidR="006B7000" w:rsidRPr="007134B8">
        <w:rPr>
          <w:rFonts w:eastAsiaTheme="minorHAnsi"/>
        </w:rPr>
        <w:t xml:space="preserve">OECD TG 251 </w:t>
      </w:r>
      <w:hyperlink r:id="rId22" w:history="1">
        <w:r w:rsidR="006B7000" w:rsidRPr="00371679">
          <w:rPr>
            <w:rStyle w:val="Hyperlink"/>
            <w:rFonts w:eastAsiaTheme="minorHAnsi"/>
          </w:rPr>
          <w:t>Rapid Androgen Disruption Activity Reporter (RADAR) Assay</w:t>
        </w:r>
      </w:hyperlink>
      <w:r w:rsidR="006B7000" w:rsidRPr="007134B8">
        <w:rPr>
          <w:rFonts w:eastAsiaTheme="minorHAnsi"/>
        </w:rPr>
        <w:t xml:space="preserve"> </w:t>
      </w:r>
    </w:p>
    <w:p w14:paraId="5F889F01" w14:textId="3AED4913" w:rsidR="006B7000" w:rsidRPr="007134B8" w:rsidRDefault="002F7458" w:rsidP="002F7458">
      <w:pPr>
        <w:pStyle w:val="SingleTxtG"/>
        <w:tabs>
          <w:tab w:val="left" w:pos="1701"/>
        </w:tabs>
        <w:rPr>
          <w:rFonts w:eastAsiaTheme="minorHAnsi"/>
        </w:rPr>
      </w:pPr>
      <w:r>
        <w:rPr>
          <w:rFonts w:eastAsiaTheme="minorHAnsi"/>
        </w:rPr>
        <w:t>2.</w:t>
      </w:r>
      <w:r>
        <w:rPr>
          <w:rFonts w:eastAsiaTheme="minorHAnsi"/>
        </w:rPr>
        <w:tab/>
      </w:r>
      <w:r w:rsidR="006B7000" w:rsidRPr="007134B8">
        <w:rPr>
          <w:rFonts w:eastAsiaTheme="minorHAnsi"/>
        </w:rPr>
        <w:t>The following in vivo tests measure parameters that may contribute to the evaluation of adversity in mammalian or non-mammalian species and that are considered indicative of an EATS Mode of Action. Several of the TG for mammalian toxicity have been revised in recent years to include additional test parameters that are relevant for the detection of endocrine disruption</w:t>
      </w:r>
      <w:r w:rsidR="002C524F">
        <w:rPr>
          <w:rFonts w:eastAsiaTheme="minorHAnsi"/>
        </w:rPr>
        <w:t>:</w:t>
      </w:r>
      <w:r w:rsidR="006B7000" w:rsidRPr="007134B8">
        <w:rPr>
          <w:rFonts w:eastAsiaTheme="minorHAnsi"/>
        </w:rPr>
        <w:t xml:space="preserve"> </w:t>
      </w:r>
    </w:p>
    <w:p w14:paraId="1748D1E4" w14:textId="58369F8A" w:rsidR="006B7000" w:rsidRPr="007134B8" w:rsidRDefault="002F7458" w:rsidP="002F7458">
      <w:pPr>
        <w:pStyle w:val="SingleTxtG"/>
        <w:ind w:left="1800"/>
        <w:rPr>
          <w:rFonts w:eastAsiaTheme="minorHAnsi"/>
        </w:rPr>
      </w:pPr>
      <w:r>
        <w:rPr>
          <w:rFonts w:eastAsiaTheme="minorHAnsi"/>
        </w:rPr>
        <w:t>(a)</w:t>
      </w:r>
      <w:r>
        <w:rPr>
          <w:rFonts w:eastAsiaTheme="minorHAnsi"/>
        </w:rPr>
        <w:tab/>
      </w:r>
      <w:r w:rsidR="006B7000" w:rsidRPr="007134B8">
        <w:rPr>
          <w:rFonts w:eastAsiaTheme="minorHAnsi"/>
        </w:rPr>
        <w:t>OECD TG 407</w:t>
      </w:r>
      <w:hyperlink r:id="rId23" w:history="1">
        <w:r w:rsidR="006B7000" w:rsidRPr="00CC0CE9">
          <w:rPr>
            <w:rStyle w:val="Hyperlink"/>
            <w:rFonts w:eastAsiaTheme="minorHAnsi"/>
          </w:rPr>
          <w:t xml:space="preserve"> Repeated Dose 28-day Oral Toxicity Study in Rodents</w:t>
        </w:r>
      </w:hyperlink>
    </w:p>
    <w:p w14:paraId="5FA8DA37" w14:textId="63063AA4" w:rsidR="006B7000" w:rsidRPr="007134B8" w:rsidRDefault="002F7458" w:rsidP="002F7458">
      <w:pPr>
        <w:pStyle w:val="SingleTxtG"/>
        <w:ind w:left="1800"/>
        <w:rPr>
          <w:rFonts w:eastAsiaTheme="minorHAnsi"/>
        </w:rPr>
      </w:pPr>
      <w:r>
        <w:rPr>
          <w:rFonts w:eastAsiaTheme="minorHAnsi"/>
        </w:rPr>
        <w:t>(b)</w:t>
      </w:r>
      <w:r>
        <w:rPr>
          <w:rFonts w:eastAsiaTheme="minorHAnsi"/>
        </w:rPr>
        <w:tab/>
      </w:r>
      <w:r w:rsidR="006B7000" w:rsidRPr="007134B8">
        <w:rPr>
          <w:rFonts w:eastAsiaTheme="minorHAnsi"/>
        </w:rPr>
        <w:t xml:space="preserve">OECD TG 408 </w:t>
      </w:r>
      <w:hyperlink r:id="rId24" w:history="1">
        <w:r w:rsidR="006B7000" w:rsidRPr="00C140BD">
          <w:rPr>
            <w:rStyle w:val="Hyperlink"/>
            <w:rFonts w:eastAsiaTheme="minorHAnsi"/>
          </w:rPr>
          <w:t>Repeated dose 90-day Oral toxicity Study in Rodents</w:t>
        </w:r>
      </w:hyperlink>
      <w:r w:rsidR="006B7000" w:rsidRPr="007134B8">
        <w:rPr>
          <w:rFonts w:eastAsiaTheme="minorHAnsi"/>
        </w:rPr>
        <w:t xml:space="preserve"> </w:t>
      </w:r>
    </w:p>
    <w:p w14:paraId="6BC84745" w14:textId="5F3D0A16" w:rsidR="006B7000" w:rsidRPr="007134B8" w:rsidRDefault="002F7458" w:rsidP="002F7458">
      <w:pPr>
        <w:pStyle w:val="SingleTxtG"/>
        <w:ind w:left="1800"/>
        <w:rPr>
          <w:rFonts w:eastAsiaTheme="minorHAnsi"/>
        </w:rPr>
      </w:pPr>
      <w:r>
        <w:rPr>
          <w:rFonts w:eastAsiaTheme="minorHAnsi"/>
        </w:rPr>
        <w:t>(c)</w:t>
      </w:r>
      <w:r>
        <w:rPr>
          <w:rFonts w:eastAsiaTheme="minorHAnsi"/>
        </w:rPr>
        <w:tab/>
      </w:r>
      <w:r w:rsidR="006B7000" w:rsidRPr="007134B8">
        <w:rPr>
          <w:rFonts w:eastAsiaTheme="minorHAnsi"/>
        </w:rPr>
        <w:t xml:space="preserve">OECD TG 414 </w:t>
      </w:r>
      <w:hyperlink r:id="rId25" w:history="1">
        <w:r w:rsidR="006B7000" w:rsidRPr="00E34B39">
          <w:rPr>
            <w:rStyle w:val="Hyperlink"/>
            <w:rFonts w:eastAsiaTheme="minorHAnsi"/>
          </w:rPr>
          <w:t>Prenatal Developmental Toxicity Study</w:t>
        </w:r>
      </w:hyperlink>
    </w:p>
    <w:p w14:paraId="7D63135B" w14:textId="60F08F05" w:rsidR="006B7000" w:rsidRPr="007134B8" w:rsidRDefault="002F7458" w:rsidP="002F7458">
      <w:pPr>
        <w:pStyle w:val="SingleTxtG"/>
        <w:ind w:left="1800"/>
        <w:rPr>
          <w:rFonts w:eastAsiaTheme="minorHAnsi"/>
        </w:rPr>
      </w:pPr>
      <w:r>
        <w:rPr>
          <w:rFonts w:eastAsiaTheme="minorHAnsi"/>
        </w:rPr>
        <w:t>(d)</w:t>
      </w:r>
      <w:r>
        <w:rPr>
          <w:rFonts w:eastAsiaTheme="minorHAnsi"/>
        </w:rPr>
        <w:tab/>
      </w:r>
      <w:r w:rsidR="006B7000" w:rsidRPr="007134B8">
        <w:rPr>
          <w:rFonts w:eastAsiaTheme="minorHAnsi"/>
        </w:rPr>
        <w:t xml:space="preserve">OECD TG 451 </w:t>
      </w:r>
      <w:hyperlink r:id="rId26" w:history="1">
        <w:r w:rsidR="006B7000" w:rsidRPr="0032532A">
          <w:rPr>
            <w:rStyle w:val="Hyperlink"/>
            <w:rFonts w:eastAsiaTheme="minorHAnsi"/>
          </w:rPr>
          <w:t>Carcinogenicity Studies</w:t>
        </w:r>
      </w:hyperlink>
      <w:r w:rsidR="006B7000" w:rsidRPr="007134B8">
        <w:rPr>
          <w:rFonts w:eastAsiaTheme="minorHAnsi"/>
        </w:rPr>
        <w:t xml:space="preserve"> </w:t>
      </w:r>
    </w:p>
    <w:p w14:paraId="5CEA7C79" w14:textId="22038719" w:rsidR="006B7000" w:rsidRPr="007134B8" w:rsidRDefault="002F7458" w:rsidP="002F7458">
      <w:pPr>
        <w:pStyle w:val="SingleTxtG"/>
        <w:ind w:left="1800"/>
        <w:rPr>
          <w:rFonts w:eastAsiaTheme="minorHAnsi"/>
        </w:rPr>
      </w:pPr>
      <w:r>
        <w:rPr>
          <w:rFonts w:eastAsiaTheme="minorHAnsi"/>
        </w:rPr>
        <w:t>(e)</w:t>
      </w:r>
      <w:r>
        <w:rPr>
          <w:rFonts w:eastAsiaTheme="minorHAnsi"/>
        </w:rPr>
        <w:tab/>
      </w:r>
      <w:r w:rsidR="006B7000" w:rsidRPr="007134B8">
        <w:rPr>
          <w:rFonts w:eastAsiaTheme="minorHAnsi"/>
        </w:rPr>
        <w:t xml:space="preserve">OECD TG 452 </w:t>
      </w:r>
      <w:hyperlink r:id="rId27" w:history="1">
        <w:r w:rsidR="006B7000" w:rsidRPr="00D1443A">
          <w:rPr>
            <w:rStyle w:val="Hyperlink"/>
            <w:rFonts w:eastAsiaTheme="minorHAnsi"/>
          </w:rPr>
          <w:t>Chronic Toxicity Studies</w:t>
        </w:r>
      </w:hyperlink>
      <w:r w:rsidR="006B7000" w:rsidRPr="007134B8">
        <w:rPr>
          <w:rFonts w:eastAsiaTheme="minorHAnsi"/>
        </w:rPr>
        <w:t xml:space="preserve"> </w:t>
      </w:r>
    </w:p>
    <w:p w14:paraId="2AB615E2" w14:textId="4C5E1657" w:rsidR="006B7000" w:rsidRPr="007134B8" w:rsidRDefault="002F7458" w:rsidP="002F7458">
      <w:pPr>
        <w:pStyle w:val="SingleTxtG"/>
        <w:ind w:left="1800"/>
        <w:rPr>
          <w:rFonts w:eastAsiaTheme="minorHAnsi"/>
        </w:rPr>
      </w:pPr>
      <w:r>
        <w:rPr>
          <w:rFonts w:eastAsiaTheme="minorHAnsi"/>
        </w:rPr>
        <w:t>(f)</w:t>
      </w:r>
      <w:r>
        <w:rPr>
          <w:rFonts w:eastAsiaTheme="minorHAnsi"/>
        </w:rPr>
        <w:tab/>
      </w:r>
      <w:r w:rsidR="006B7000" w:rsidRPr="007134B8">
        <w:rPr>
          <w:rFonts w:eastAsiaTheme="minorHAnsi"/>
        </w:rPr>
        <w:t xml:space="preserve">OECD TG 453 </w:t>
      </w:r>
      <w:hyperlink r:id="rId28" w:history="1">
        <w:r w:rsidR="006B7000" w:rsidRPr="005726D3">
          <w:rPr>
            <w:rStyle w:val="Hyperlink"/>
            <w:rFonts w:eastAsiaTheme="minorHAnsi"/>
          </w:rPr>
          <w:t>Combined Chronic Toxicity/Carcinogenicity Studies</w:t>
        </w:r>
      </w:hyperlink>
    </w:p>
    <w:p w14:paraId="26725678" w14:textId="50AA2DB3" w:rsidR="006B7000" w:rsidRPr="007134B8" w:rsidRDefault="002F7458" w:rsidP="002F7458">
      <w:pPr>
        <w:pStyle w:val="SingleTxtG"/>
        <w:ind w:left="1800"/>
        <w:rPr>
          <w:rFonts w:eastAsiaTheme="minorHAnsi"/>
        </w:rPr>
      </w:pPr>
      <w:r>
        <w:rPr>
          <w:rFonts w:eastAsiaTheme="minorHAnsi"/>
        </w:rPr>
        <w:t>(g)</w:t>
      </w:r>
      <w:r>
        <w:rPr>
          <w:rFonts w:eastAsiaTheme="minorHAnsi"/>
        </w:rPr>
        <w:tab/>
      </w:r>
      <w:r w:rsidR="006B7000" w:rsidRPr="007134B8">
        <w:rPr>
          <w:rFonts w:eastAsiaTheme="minorHAnsi"/>
        </w:rPr>
        <w:t xml:space="preserve">OECD TG 416 </w:t>
      </w:r>
      <w:hyperlink r:id="rId29" w:history="1">
        <w:r w:rsidR="006B7000" w:rsidRPr="00770EEF">
          <w:rPr>
            <w:rStyle w:val="Hyperlink"/>
            <w:rFonts w:eastAsiaTheme="minorHAnsi"/>
          </w:rPr>
          <w:t>Two-Generation Reproduction Toxicity Study</w:t>
        </w:r>
      </w:hyperlink>
    </w:p>
    <w:p w14:paraId="0B6C0B7E" w14:textId="71EBF1BF" w:rsidR="006B7000" w:rsidRPr="007134B8" w:rsidRDefault="00794348" w:rsidP="002F7458">
      <w:pPr>
        <w:pStyle w:val="SingleTxtG"/>
        <w:ind w:left="1800"/>
        <w:rPr>
          <w:rFonts w:eastAsiaTheme="minorHAnsi"/>
        </w:rPr>
      </w:pPr>
      <w:r>
        <w:rPr>
          <w:rFonts w:eastAsiaTheme="minorHAnsi"/>
        </w:rPr>
        <w:t>(h)</w:t>
      </w:r>
      <w:r w:rsidR="002F7458">
        <w:rPr>
          <w:rFonts w:eastAsiaTheme="minorHAnsi"/>
        </w:rPr>
        <w:tab/>
      </w:r>
      <w:r w:rsidR="006B7000" w:rsidRPr="007134B8">
        <w:rPr>
          <w:rFonts w:eastAsiaTheme="minorHAnsi"/>
        </w:rPr>
        <w:t xml:space="preserve">OECD TG 421 </w:t>
      </w:r>
      <w:hyperlink r:id="rId30" w:history="1">
        <w:r w:rsidR="006B7000" w:rsidRPr="00234562">
          <w:rPr>
            <w:rStyle w:val="Hyperlink"/>
            <w:rFonts w:eastAsiaTheme="minorHAnsi"/>
          </w:rPr>
          <w:t>Reproduction/Developmental Toxicity Screening Test</w:t>
        </w:r>
      </w:hyperlink>
    </w:p>
    <w:p w14:paraId="4B01A8B4" w14:textId="23E3D30D" w:rsidR="006B7000" w:rsidRPr="007134B8" w:rsidRDefault="00794348" w:rsidP="002F7458">
      <w:pPr>
        <w:pStyle w:val="SingleTxtG"/>
        <w:ind w:left="1800"/>
        <w:jc w:val="left"/>
        <w:rPr>
          <w:rFonts w:eastAsiaTheme="minorHAnsi"/>
        </w:rPr>
      </w:pPr>
      <w:r>
        <w:rPr>
          <w:rFonts w:eastAsiaTheme="minorHAnsi"/>
        </w:rPr>
        <w:t>(</w:t>
      </w:r>
      <w:proofErr w:type="spellStart"/>
      <w:r>
        <w:rPr>
          <w:rFonts w:eastAsiaTheme="minorHAnsi"/>
        </w:rPr>
        <w:t>i</w:t>
      </w:r>
      <w:proofErr w:type="spellEnd"/>
      <w:r>
        <w:rPr>
          <w:rFonts w:eastAsiaTheme="minorHAnsi"/>
        </w:rPr>
        <w:t>)</w:t>
      </w:r>
      <w:r w:rsidR="002F7458">
        <w:rPr>
          <w:rFonts w:eastAsiaTheme="minorHAnsi"/>
        </w:rPr>
        <w:tab/>
      </w:r>
      <w:r w:rsidR="006B7000" w:rsidRPr="007134B8">
        <w:rPr>
          <w:rFonts w:eastAsiaTheme="minorHAnsi"/>
        </w:rPr>
        <w:t xml:space="preserve">OECD TG 422 </w:t>
      </w:r>
      <w:hyperlink r:id="rId31" w:history="1">
        <w:r w:rsidR="006B7000" w:rsidRPr="00620556">
          <w:rPr>
            <w:rStyle w:val="Hyperlink"/>
            <w:rFonts w:eastAsiaTheme="minorHAnsi"/>
          </w:rPr>
          <w:t>Combined Repeated Dose Toxicity Study with the Reproduction/ Developmental Toxicity Screening Test</w:t>
        </w:r>
      </w:hyperlink>
    </w:p>
    <w:p w14:paraId="19B1E99E" w14:textId="53400FA7" w:rsidR="006B7000" w:rsidRPr="007134B8" w:rsidRDefault="00794348" w:rsidP="002F7458">
      <w:pPr>
        <w:pStyle w:val="SingleTxtG"/>
        <w:ind w:left="1800"/>
        <w:rPr>
          <w:rFonts w:eastAsiaTheme="minorHAnsi"/>
        </w:rPr>
      </w:pPr>
      <w:r>
        <w:rPr>
          <w:rFonts w:eastAsiaTheme="minorHAnsi"/>
        </w:rPr>
        <w:t>(j)</w:t>
      </w:r>
      <w:r w:rsidR="002F7458">
        <w:rPr>
          <w:rFonts w:eastAsiaTheme="minorHAnsi"/>
        </w:rPr>
        <w:tab/>
      </w:r>
      <w:r w:rsidR="006B7000" w:rsidRPr="007134B8">
        <w:rPr>
          <w:rFonts w:eastAsiaTheme="minorHAnsi"/>
        </w:rPr>
        <w:t xml:space="preserve">OECD TG 443 </w:t>
      </w:r>
      <w:hyperlink r:id="rId32" w:history="1">
        <w:r w:rsidR="006B7000" w:rsidRPr="00484A9D">
          <w:rPr>
            <w:rStyle w:val="Hyperlink"/>
            <w:rFonts w:eastAsiaTheme="minorHAnsi"/>
          </w:rPr>
          <w:t>Extended One-Generation Reproductive Toxicity Study</w:t>
        </w:r>
      </w:hyperlink>
    </w:p>
    <w:p w14:paraId="595C1F46" w14:textId="54F97E60" w:rsidR="006B7000" w:rsidRPr="007134B8" w:rsidRDefault="00794348" w:rsidP="002F7458">
      <w:pPr>
        <w:pStyle w:val="SingleTxtG"/>
        <w:ind w:left="1800"/>
        <w:rPr>
          <w:rFonts w:eastAsiaTheme="minorHAnsi"/>
        </w:rPr>
      </w:pPr>
      <w:r>
        <w:rPr>
          <w:rFonts w:eastAsiaTheme="minorHAnsi"/>
        </w:rPr>
        <w:t>(k)</w:t>
      </w:r>
      <w:r w:rsidR="002F7458">
        <w:rPr>
          <w:rFonts w:eastAsiaTheme="minorHAnsi"/>
        </w:rPr>
        <w:tab/>
      </w:r>
      <w:r w:rsidR="006B7000" w:rsidRPr="007134B8">
        <w:rPr>
          <w:rFonts w:eastAsiaTheme="minorHAnsi"/>
        </w:rPr>
        <w:t xml:space="preserve">OECD TG 426 </w:t>
      </w:r>
      <w:hyperlink r:id="rId33" w:history="1">
        <w:r w:rsidR="006B7000" w:rsidRPr="00B433C3">
          <w:rPr>
            <w:rStyle w:val="Hyperlink"/>
            <w:rFonts w:eastAsiaTheme="minorHAnsi"/>
          </w:rPr>
          <w:t>Developmental Neurotoxicity Study</w:t>
        </w:r>
      </w:hyperlink>
      <w:r w:rsidR="006B7000" w:rsidRPr="007134B8">
        <w:rPr>
          <w:rFonts w:eastAsiaTheme="minorHAnsi"/>
        </w:rPr>
        <w:t xml:space="preserve"> </w:t>
      </w:r>
    </w:p>
    <w:p w14:paraId="3E28A835" w14:textId="7CA5A698" w:rsidR="006B7000" w:rsidRPr="007134B8" w:rsidRDefault="00794348" w:rsidP="002F7458">
      <w:pPr>
        <w:pStyle w:val="SingleTxtG"/>
        <w:ind w:left="1800"/>
        <w:rPr>
          <w:rFonts w:eastAsiaTheme="minorHAnsi"/>
        </w:rPr>
      </w:pPr>
      <w:r>
        <w:rPr>
          <w:rFonts w:eastAsiaTheme="minorHAnsi"/>
        </w:rPr>
        <w:t>(l)</w:t>
      </w:r>
      <w:r w:rsidR="002F7458">
        <w:rPr>
          <w:rFonts w:eastAsiaTheme="minorHAnsi"/>
        </w:rPr>
        <w:tab/>
      </w:r>
      <w:r w:rsidR="006B7000" w:rsidRPr="007134B8">
        <w:rPr>
          <w:rFonts w:eastAsiaTheme="minorHAnsi"/>
        </w:rPr>
        <w:t xml:space="preserve">OECD TG 410 </w:t>
      </w:r>
      <w:hyperlink r:id="rId34" w:history="1">
        <w:r w:rsidR="006B7000" w:rsidRPr="00CB4D6E">
          <w:rPr>
            <w:rStyle w:val="Hyperlink"/>
            <w:rFonts w:eastAsiaTheme="minorHAnsi"/>
          </w:rPr>
          <w:t xml:space="preserve">Repeated Dose Dermal Toxicity: 21/28-day Study </w:t>
        </w:r>
      </w:hyperlink>
    </w:p>
    <w:p w14:paraId="38C9C2AF" w14:textId="4C9F9B27" w:rsidR="006B7000" w:rsidRPr="007134B8" w:rsidRDefault="00794348" w:rsidP="002F7458">
      <w:pPr>
        <w:pStyle w:val="SingleTxtG"/>
        <w:ind w:left="1800"/>
        <w:rPr>
          <w:rFonts w:eastAsiaTheme="minorHAnsi"/>
        </w:rPr>
      </w:pPr>
      <w:r>
        <w:rPr>
          <w:rFonts w:eastAsiaTheme="minorHAnsi"/>
        </w:rPr>
        <w:t>(m)</w:t>
      </w:r>
      <w:r w:rsidR="002F7458">
        <w:rPr>
          <w:rFonts w:eastAsiaTheme="minorHAnsi"/>
        </w:rPr>
        <w:tab/>
      </w:r>
      <w:r w:rsidR="006B7000" w:rsidRPr="007134B8">
        <w:rPr>
          <w:rFonts w:eastAsiaTheme="minorHAnsi"/>
        </w:rPr>
        <w:t xml:space="preserve">OECD TG 411 </w:t>
      </w:r>
      <w:hyperlink r:id="rId35" w:history="1">
        <w:proofErr w:type="spellStart"/>
        <w:r w:rsidR="006B7000" w:rsidRPr="009B05FD">
          <w:rPr>
            <w:rStyle w:val="Hyperlink"/>
            <w:rFonts w:eastAsiaTheme="minorHAnsi"/>
          </w:rPr>
          <w:t>Subchronic</w:t>
        </w:r>
        <w:proofErr w:type="spellEnd"/>
        <w:r w:rsidR="006B7000" w:rsidRPr="009B05FD">
          <w:rPr>
            <w:rStyle w:val="Hyperlink"/>
            <w:rFonts w:eastAsiaTheme="minorHAnsi"/>
          </w:rPr>
          <w:t xml:space="preserve"> dermal toxicity: 90-day study</w:t>
        </w:r>
      </w:hyperlink>
      <w:r w:rsidR="006B7000" w:rsidRPr="007134B8">
        <w:rPr>
          <w:rFonts w:eastAsiaTheme="minorHAnsi"/>
        </w:rPr>
        <w:t xml:space="preserve"> </w:t>
      </w:r>
    </w:p>
    <w:p w14:paraId="2F3E8DB7" w14:textId="1D6BC6E9" w:rsidR="006B7000" w:rsidRPr="007134B8" w:rsidRDefault="00794348" w:rsidP="002F7458">
      <w:pPr>
        <w:pStyle w:val="SingleTxtG"/>
        <w:ind w:left="1800"/>
        <w:rPr>
          <w:rFonts w:eastAsiaTheme="minorHAnsi"/>
        </w:rPr>
      </w:pPr>
      <w:r>
        <w:rPr>
          <w:rFonts w:eastAsiaTheme="minorHAnsi"/>
        </w:rPr>
        <w:t>(n)</w:t>
      </w:r>
      <w:r w:rsidR="002F7458">
        <w:rPr>
          <w:rFonts w:eastAsiaTheme="minorHAnsi"/>
        </w:rPr>
        <w:tab/>
      </w:r>
      <w:r w:rsidR="006B7000" w:rsidRPr="007134B8">
        <w:rPr>
          <w:rFonts w:eastAsiaTheme="minorHAnsi"/>
        </w:rPr>
        <w:t xml:space="preserve">OECD TG 412 </w:t>
      </w:r>
      <w:hyperlink r:id="rId36" w:history="1">
        <w:r w:rsidR="006B7000" w:rsidRPr="005D291E">
          <w:rPr>
            <w:rStyle w:val="Hyperlink"/>
            <w:rFonts w:eastAsiaTheme="minorHAnsi"/>
          </w:rPr>
          <w:t>28-Day (Subacute) Inhalation Toxicity Study</w:t>
        </w:r>
      </w:hyperlink>
      <w:r w:rsidR="006B7000" w:rsidRPr="007134B8">
        <w:rPr>
          <w:rFonts w:eastAsiaTheme="minorHAnsi"/>
        </w:rPr>
        <w:t xml:space="preserve"> </w:t>
      </w:r>
    </w:p>
    <w:p w14:paraId="0DCF6CAA" w14:textId="2AD4CBA5" w:rsidR="006B7000" w:rsidRPr="007134B8" w:rsidRDefault="00794348" w:rsidP="002F7458">
      <w:pPr>
        <w:pStyle w:val="SingleTxtG"/>
        <w:ind w:left="1800"/>
        <w:rPr>
          <w:rFonts w:eastAsiaTheme="minorHAnsi"/>
        </w:rPr>
      </w:pPr>
      <w:r>
        <w:rPr>
          <w:rFonts w:eastAsiaTheme="minorHAnsi"/>
        </w:rPr>
        <w:t>(o</w:t>
      </w:r>
      <w:r w:rsidR="00F45143">
        <w:rPr>
          <w:rFonts w:eastAsiaTheme="minorHAnsi"/>
        </w:rPr>
        <w:t>)</w:t>
      </w:r>
      <w:r w:rsidR="002F7458">
        <w:rPr>
          <w:rFonts w:eastAsiaTheme="minorHAnsi"/>
        </w:rPr>
        <w:tab/>
      </w:r>
      <w:r w:rsidR="006B7000" w:rsidRPr="007134B8">
        <w:rPr>
          <w:rFonts w:eastAsiaTheme="minorHAnsi"/>
        </w:rPr>
        <w:t>OECD TG 413</w:t>
      </w:r>
      <w:hyperlink r:id="rId37" w:history="1">
        <w:r w:rsidR="006B7000" w:rsidRPr="00E25715">
          <w:rPr>
            <w:rStyle w:val="Hyperlink"/>
            <w:rFonts w:eastAsiaTheme="minorHAnsi"/>
          </w:rPr>
          <w:t xml:space="preserve"> </w:t>
        </w:r>
        <w:proofErr w:type="spellStart"/>
        <w:r w:rsidR="006B7000" w:rsidRPr="00E25715">
          <w:rPr>
            <w:rStyle w:val="Hyperlink"/>
            <w:rFonts w:eastAsiaTheme="minorHAnsi"/>
          </w:rPr>
          <w:t>Subchronic</w:t>
        </w:r>
        <w:proofErr w:type="spellEnd"/>
        <w:r w:rsidR="006B7000" w:rsidRPr="00E25715">
          <w:rPr>
            <w:rStyle w:val="Hyperlink"/>
            <w:rFonts w:eastAsiaTheme="minorHAnsi"/>
          </w:rPr>
          <w:t xml:space="preserve"> inhalation toxicity: 90-day study </w:t>
        </w:r>
      </w:hyperlink>
    </w:p>
    <w:p w14:paraId="34700F7C" w14:textId="29F24D8E" w:rsidR="006B7000" w:rsidRPr="00C736B5" w:rsidRDefault="00F45143" w:rsidP="002F7458">
      <w:pPr>
        <w:pStyle w:val="SingleTxtG"/>
        <w:ind w:left="1800"/>
        <w:rPr>
          <w:rFonts w:eastAsiaTheme="minorHAnsi"/>
        </w:rPr>
      </w:pPr>
      <w:r>
        <w:rPr>
          <w:rFonts w:eastAsiaTheme="minorHAnsi"/>
        </w:rPr>
        <w:t>(p)</w:t>
      </w:r>
      <w:r w:rsidR="002F7458">
        <w:rPr>
          <w:rFonts w:eastAsiaTheme="minorHAnsi"/>
        </w:rPr>
        <w:tab/>
      </w:r>
      <w:r w:rsidR="006B7000" w:rsidRPr="007134B8">
        <w:rPr>
          <w:rFonts w:eastAsiaTheme="minorHAnsi"/>
        </w:rPr>
        <w:t xml:space="preserve">OECD TG 409 </w:t>
      </w:r>
      <w:hyperlink r:id="rId38" w:history="1">
        <w:r w:rsidR="006B7000" w:rsidRPr="002C6331">
          <w:rPr>
            <w:rStyle w:val="Hyperlink"/>
            <w:rFonts w:eastAsiaTheme="minorHAnsi"/>
          </w:rPr>
          <w:t>Repeated dose 90-day oral toxicity study in non-rodents</w:t>
        </w:r>
      </w:hyperlink>
      <w:r w:rsidR="006B7000" w:rsidRPr="007134B8">
        <w:rPr>
          <w:rFonts w:eastAsiaTheme="minorHAnsi"/>
        </w:rPr>
        <w:t xml:space="preserve"> </w:t>
      </w:r>
    </w:p>
    <w:p w14:paraId="4A0EC5B6" w14:textId="189BF10A" w:rsidR="006B7000" w:rsidRPr="007134B8" w:rsidRDefault="00F45143" w:rsidP="002F7458">
      <w:pPr>
        <w:pStyle w:val="SingleTxtG"/>
        <w:ind w:left="1800"/>
        <w:rPr>
          <w:rFonts w:eastAsiaTheme="minorHAnsi"/>
        </w:rPr>
      </w:pPr>
      <w:r>
        <w:rPr>
          <w:rFonts w:eastAsiaTheme="minorHAnsi"/>
        </w:rPr>
        <w:t>(q)</w:t>
      </w:r>
      <w:r w:rsidR="002F7458">
        <w:rPr>
          <w:rFonts w:eastAsiaTheme="minorHAnsi"/>
        </w:rPr>
        <w:tab/>
      </w:r>
      <w:r w:rsidR="006B7000" w:rsidRPr="007134B8">
        <w:rPr>
          <w:rFonts w:eastAsiaTheme="minorHAnsi"/>
        </w:rPr>
        <w:t xml:space="preserve">OECD TG 234 </w:t>
      </w:r>
      <w:hyperlink r:id="rId39" w:history="1">
        <w:r w:rsidR="006B7000" w:rsidRPr="00FD3A97">
          <w:rPr>
            <w:rStyle w:val="Hyperlink"/>
            <w:rFonts w:eastAsiaTheme="minorHAnsi"/>
          </w:rPr>
          <w:t xml:space="preserve">Fish Sexual Development Test </w:t>
        </w:r>
      </w:hyperlink>
    </w:p>
    <w:p w14:paraId="33C3C3C4" w14:textId="7F1006B7" w:rsidR="006B7000" w:rsidRPr="007134B8" w:rsidRDefault="00F45143" w:rsidP="002F7458">
      <w:pPr>
        <w:pStyle w:val="SingleTxtG"/>
        <w:ind w:left="1800"/>
        <w:rPr>
          <w:rFonts w:eastAsiaTheme="minorHAnsi"/>
        </w:rPr>
      </w:pPr>
      <w:r>
        <w:rPr>
          <w:rFonts w:eastAsiaTheme="minorHAnsi"/>
        </w:rPr>
        <w:t>(r)</w:t>
      </w:r>
      <w:r w:rsidR="002F7458">
        <w:rPr>
          <w:rFonts w:eastAsiaTheme="minorHAnsi"/>
        </w:rPr>
        <w:tab/>
      </w:r>
      <w:r w:rsidR="006B7000" w:rsidRPr="007134B8">
        <w:rPr>
          <w:rFonts w:eastAsiaTheme="minorHAnsi"/>
        </w:rPr>
        <w:t xml:space="preserve">OECD TG 241 </w:t>
      </w:r>
      <w:hyperlink r:id="rId40" w:history="1">
        <w:r w:rsidR="006B7000" w:rsidRPr="003D35DA">
          <w:rPr>
            <w:rStyle w:val="Hyperlink"/>
            <w:rFonts w:eastAsiaTheme="minorHAnsi"/>
          </w:rPr>
          <w:t>Larval Amphibian Growth and Development Assay (LAGDA)</w:t>
        </w:r>
      </w:hyperlink>
    </w:p>
    <w:p w14:paraId="7839F836" w14:textId="4DA8FD8C" w:rsidR="006B7000" w:rsidRPr="007134B8" w:rsidRDefault="00F45143" w:rsidP="002F7458">
      <w:pPr>
        <w:pStyle w:val="SingleTxtG"/>
        <w:ind w:left="1800"/>
        <w:rPr>
          <w:rFonts w:eastAsiaTheme="minorHAnsi"/>
        </w:rPr>
      </w:pPr>
      <w:r>
        <w:rPr>
          <w:rFonts w:eastAsiaTheme="minorHAnsi"/>
        </w:rPr>
        <w:t>(s)</w:t>
      </w:r>
      <w:r w:rsidR="002F7458">
        <w:rPr>
          <w:rFonts w:eastAsiaTheme="minorHAnsi"/>
        </w:rPr>
        <w:tab/>
      </w:r>
      <w:r w:rsidR="006B7000" w:rsidRPr="007134B8">
        <w:rPr>
          <w:rFonts w:eastAsiaTheme="minorHAnsi"/>
        </w:rPr>
        <w:t>OECD TG 210</w:t>
      </w:r>
      <w:hyperlink r:id="rId41" w:history="1">
        <w:r w:rsidR="006B7000" w:rsidRPr="00CA4A34">
          <w:rPr>
            <w:rStyle w:val="Hyperlink"/>
            <w:rFonts w:eastAsiaTheme="minorHAnsi"/>
          </w:rPr>
          <w:t xml:space="preserve"> Fish early-life stage (FELS) toxicity test </w:t>
        </w:r>
      </w:hyperlink>
    </w:p>
    <w:p w14:paraId="62F430CB" w14:textId="2FD3E69A" w:rsidR="006B7000" w:rsidRPr="007134B8" w:rsidRDefault="00F45143" w:rsidP="002F7458">
      <w:pPr>
        <w:pStyle w:val="SingleTxtG"/>
        <w:ind w:left="1800"/>
        <w:jc w:val="left"/>
        <w:rPr>
          <w:rFonts w:eastAsiaTheme="minorHAnsi"/>
        </w:rPr>
      </w:pPr>
      <w:r>
        <w:rPr>
          <w:rFonts w:eastAsiaTheme="minorHAnsi"/>
        </w:rPr>
        <w:t>(t)</w:t>
      </w:r>
      <w:r w:rsidR="002F7458">
        <w:rPr>
          <w:rFonts w:eastAsiaTheme="minorHAnsi"/>
        </w:rPr>
        <w:tab/>
      </w:r>
      <w:r w:rsidR="006B7000" w:rsidRPr="007134B8">
        <w:rPr>
          <w:rFonts w:eastAsiaTheme="minorHAnsi"/>
        </w:rPr>
        <w:t xml:space="preserve">OECD TG 240 </w:t>
      </w:r>
      <w:hyperlink r:id="rId42" w:history="1">
        <w:r w:rsidR="006B7000" w:rsidRPr="00CB0572">
          <w:rPr>
            <w:rStyle w:val="Hyperlink"/>
            <w:rFonts w:eastAsiaTheme="minorHAnsi"/>
          </w:rPr>
          <w:t xml:space="preserve">Medaka Extended One-Generation Reproduction Test (MEOGRT) </w:t>
        </w:r>
      </w:hyperlink>
    </w:p>
    <w:p w14:paraId="601B8918" w14:textId="59547D78" w:rsidR="005B1A94" w:rsidRPr="00827861" w:rsidRDefault="00F45143" w:rsidP="002F7458">
      <w:pPr>
        <w:pStyle w:val="SingleTxtG"/>
        <w:ind w:left="1800"/>
        <w:rPr>
          <w:rStyle w:val="Hyperlink"/>
          <w:rFonts w:eastAsiaTheme="minorHAnsi"/>
          <w:color w:val="auto"/>
          <w:u w:val="none"/>
          <w:lang w:val="en-GB"/>
        </w:rPr>
      </w:pPr>
      <w:r>
        <w:rPr>
          <w:rFonts w:eastAsiaTheme="minorHAnsi"/>
        </w:rPr>
        <w:t>(u)</w:t>
      </w:r>
      <w:r w:rsidR="002F7458">
        <w:rPr>
          <w:rFonts w:eastAsiaTheme="minorHAnsi"/>
        </w:rPr>
        <w:tab/>
      </w:r>
      <w:r w:rsidR="006B7000" w:rsidRPr="00827861">
        <w:rPr>
          <w:rFonts w:eastAsiaTheme="minorHAnsi"/>
        </w:rPr>
        <w:t xml:space="preserve">OECD TG 206 </w:t>
      </w:r>
      <w:hyperlink r:id="rId43" w:history="1">
        <w:r w:rsidR="006B7000" w:rsidRPr="00827861">
          <w:rPr>
            <w:rStyle w:val="Hyperlink"/>
            <w:rFonts w:eastAsiaTheme="minorHAnsi"/>
          </w:rPr>
          <w:t>Avian reproduction test</w:t>
        </w:r>
      </w:hyperlink>
      <w:r w:rsidR="0061280D" w:rsidRPr="00827861">
        <w:rPr>
          <w:rStyle w:val="Hyperlink"/>
          <w:rFonts w:eastAsiaTheme="minorHAnsi"/>
        </w:rPr>
        <w:t>.</w:t>
      </w:r>
    </w:p>
    <w:p w14:paraId="5C095BBB" w14:textId="3C332E76" w:rsidR="00827861" w:rsidRPr="00827861" w:rsidRDefault="00827861" w:rsidP="00827861">
      <w:pPr>
        <w:spacing w:before="240"/>
        <w:jc w:val="center"/>
        <w:rPr>
          <w:rFonts w:eastAsiaTheme="minorHAnsi"/>
          <w:u w:val="single"/>
          <w:lang w:val="en-GB"/>
        </w:rPr>
      </w:pPr>
      <w:r>
        <w:rPr>
          <w:rFonts w:eastAsiaTheme="minorHAnsi"/>
          <w:u w:val="single"/>
          <w:lang w:val="en-GB"/>
        </w:rPr>
        <w:tab/>
      </w:r>
      <w:r>
        <w:rPr>
          <w:rFonts w:eastAsiaTheme="minorHAnsi"/>
          <w:u w:val="single"/>
          <w:lang w:val="en-GB"/>
        </w:rPr>
        <w:tab/>
      </w:r>
      <w:r>
        <w:rPr>
          <w:rFonts w:eastAsiaTheme="minorHAnsi"/>
          <w:u w:val="single"/>
          <w:lang w:val="en-GB"/>
        </w:rPr>
        <w:tab/>
      </w:r>
    </w:p>
    <w:sectPr w:rsidR="00827861" w:rsidRPr="00827861" w:rsidSect="005A4BB8">
      <w:headerReference w:type="even" r:id="rId44"/>
      <w:headerReference w:type="default" r:id="rId45"/>
      <w:footerReference w:type="even" r:id="rId46"/>
      <w:footerReference w:type="default" r:id="rId47"/>
      <w:endnotePr>
        <w:numFmt w:val="decimal"/>
      </w:endnotePr>
      <w:pgSz w:w="11907" w:h="16840" w:code="9"/>
      <w:pgMar w:top="1701"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5A4F" w14:textId="77777777" w:rsidR="00461E08" w:rsidRDefault="00461E08" w:rsidP="00164115">
      <w:pPr>
        <w:spacing w:line="240" w:lineRule="auto"/>
      </w:pPr>
      <w:r>
        <w:separator/>
      </w:r>
    </w:p>
  </w:endnote>
  <w:endnote w:type="continuationSeparator" w:id="0">
    <w:p w14:paraId="649A9A60" w14:textId="77777777" w:rsidR="00461E08" w:rsidRDefault="00461E08" w:rsidP="00164115">
      <w:pPr>
        <w:spacing w:line="240" w:lineRule="auto"/>
      </w:pPr>
      <w:r>
        <w:continuationSeparator/>
      </w:r>
    </w:p>
  </w:endnote>
  <w:endnote w:type="continuationNotice" w:id="1">
    <w:p w14:paraId="0B201992" w14:textId="77777777" w:rsidR="00461E08" w:rsidRDefault="00461E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A99" w14:textId="7C059152" w:rsidR="009074B2" w:rsidRPr="0099001C" w:rsidRDefault="009074B2" w:rsidP="00CB37ED">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5924" w14:textId="0D921910" w:rsidR="009074B2" w:rsidRPr="0099001C" w:rsidRDefault="009074B2" w:rsidP="00C91DF5">
    <w:pPr>
      <w:pStyle w:val="Footer"/>
      <w:tabs>
        <w:tab w:val="right" w:pos="9638"/>
      </w:tabs>
      <w:jc w:val="right"/>
      <w:rPr>
        <w:b/>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5</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8E85" w14:textId="77777777" w:rsidR="00461E08" w:rsidRDefault="00461E08" w:rsidP="00164115">
      <w:pPr>
        <w:spacing w:line="240" w:lineRule="auto"/>
      </w:pPr>
      <w:r>
        <w:separator/>
      </w:r>
    </w:p>
  </w:footnote>
  <w:footnote w:type="continuationSeparator" w:id="0">
    <w:p w14:paraId="46655ABB" w14:textId="77777777" w:rsidR="00461E08" w:rsidRDefault="00461E08" w:rsidP="00164115">
      <w:pPr>
        <w:spacing w:line="240" w:lineRule="auto"/>
      </w:pPr>
      <w:r>
        <w:continuationSeparator/>
      </w:r>
    </w:p>
  </w:footnote>
  <w:footnote w:type="continuationNotice" w:id="1">
    <w:p w14:paraId="47B05B49" w14:textId="77777777" w:rsidR="00461E08" w:rsidRDefault="00461E08">
      <w:pPr>
        <w:spacing w:line="240" w:lineRule="auto"/>
      </w:pPr>
    </w:p>
  </w:footnote>
  <w:footnote w:id="2">
    <w:p w14:paraId="1C815434" w14:textId="5EBEFD6F" w:rsidR="009074B2" w:rsidRDefault="009074B2" w:rsidP="003F211C">
      <w:pPr>
        <w:pStyle w:val="FootnoteText"/>
        <w:tabs>
          <w:tab w:val="clear" w:pos="1021"/>
        </w:tabs>
        <w:ind w:left="567" w:firstLine="0"/>
        <w:jc w:val="both"/>
      </w:pPr>
      <w:r>
        <w:rPr>
          <w:rStyle w:val="FootnoteReference"/>
        </w:rPr>
        <w:footnoteRef/>
      </w:r>
      <w:r>
        <w:t xml:space="preserve"> </w:t>
      </w:r>
      <w:r w:rsidRPr="0004060F">
        <w:t>ST</w:t>
      </w:r>
      <w:r w:rsidR="00746B2E">
        <w:t>/</w:t>
      </w:r>
      <w:r w:rsidRPr="0004060F">
        <w:t>SG</w:t>
      </w:r>
      <w:r w:rsidR="00746B2E">
        <w:t>/</w:t>
      </w:r>
      <w:r w:rsidRPr="0004060F">
        <w:t>AC</w:t>
      </w:r>
      <w:r w:rsidR="00746B2E">
        <w:t>.</w:t>
      </w:r>
      <w:r w:rsidRPr="0004060F">
        <w:t>10</w:t>
      </w:r>
      <w:r w:rsidR="00746B2E">
        <w:t>/</w:t>
      </w:r>
      <w:r w:rsidRPr="0004060F">
        <w:t>C</w:t>
      </w:r>
      <w:r w:rsidR="00746B2E">
        <w:t>.</w:t>
      </w:r>
      <w:r w:rsidRPr="0004060F">
        <w:t>4</w:t>
      </w:r>
      <w:r w:rsidR="00746B2E">
        <w:t>/</w:t>
      </w:r>
      <w:r w:rsidRPr="0004060F">
        <w:t>2022</w:t>
      </w:r>
      <w:r w:rsidR="00746B2E">
        <w:t>/</w:t>
      </w:r>
      <w:r w:rsidRPr="0004060F">
        <w:t>18</w:t>
      </w:r>
      <w:r>
        <w:t xml:space="preserve"> </w:t>
      </w:r>
      <w:hyperlink r:id="rId1" w:history="1">
        <w:r w:rsidRPr="00227663">
          <w:rPr>
            <w:rStyle w:val="Hyperlink"/>
          </w:rPr>
          <w:t>https://unece.org/info/Transport/Dangerous-Goods/events/368936</w:t>
        </w:r>
      </w:hyperlink>
      <w:r>
        <w:t xml:space="preserve"> </w:t>
      </w:r>
    </w:p>
  </w:footnote>
  <w:footnote w:id="3">
    <w:p w14:paraId="685E9B6C" w14:textId="6DBCA45A" w:rsidR="009074B2" w:rsidRPr="00FD49F4" w:rsidRDefault="009074B2" w:rsidP="003F211C">
      <w:pPr>
        <w:pStyle w:val="FootnoteText"/>
        <w:tabs>
          <w:tab w:val="clear" w:pos="1021"/>
        </w:tabs>
        <w:ind w:left="567" w:firstLine="0"/>
        <w:jc w:val="both"/>
      </w:pPr>
      <w:r w:rsidRPr="00FD49F4">
        <w:rPr>
          <w:rStyle w:val="FootnoteReference"/>
        </w:rPr>
        <w:footnoteRef/>
      </w:r>
      <w:r w:rsidRPr="00FD49F4">
        <w:t xml:space="preserve"> WHO/UNEP, 2013. </w:t>
      </w:r>
      <w:hyperlink r:id="rId2" w:history="1">
        <w:r w:rsidRPr="00FD49F4">
          <w:rPr>
            <w:rStyle w:val="Hyperlink"/>
          </w:rPr>
          <w:t>State of the Science of Endocrine Disputing Chemicals</w:t>
        </w:r>
      </w:hyperlink>
      <w:r w:rsidRPr="00FD49F4">
        <w:t xml:space="preserve">; </w:t>
      </w:r>
      <w:r>
        <w:t xml:space="preserve"> </w:t>
      </w:r>
      <w:r w:rsidRPr="00291D5A">
        <w:t>Vandenberg, L. N. and Turgeon, J. L.</w:t>
      </w:r>
      <w:r>
        <w:t>, 2021.</w:t>
      </w:r>
      <w:r w:rsidRPr="00291D5A">
        <w:t xml:space="preserve"> Endocrine-Disrupting Chemicals. Advances in Pharmacology, 92</w:t>
      </w:r>
      <w:r>
        <w:t>.</w:t>
      </w:r>
    </w:p>
  </w:footnote>
  <w:footnote w:id="4">
    <w:p w14:paraId="77F9DDDE" w14:textId="0EF1BCD0" w:rsidR="009074B2" w:rsidRPr="00FD49F4" w:rsidRDefault="009074B2" w:rsidP="003F211C">
      <w:pPr>
        <w:pStyle w:val="FootnoteText"/>
        <w:tabs>
          <w:tab w:val="clear" w:pos="1021"/>
        </w:tabs>
        <w:ind w:left="567" w:firstLine="0"/>
        <w:jc w:val="both"/>
      </w:pPr>
      <w:r w:rsidRPr="00FD49F4">
        <w:rPr>
          <w:rStyle w:val="FootnoteReference"/>
        </w:rPr>
        <w:footnoteRef/>
      </w:r>
      <w:r w:rsidRPr="00FD49F4">
        <w:t xml:space="preserve"> </w:t>
      </w:r>
      <w:r>
        <w:t>S</w:t>
      </w:r>
      <w:r w:rsidRPr="00FD49F4">
        <w:t>uch as asthma, birth defects, neurodevelopmental disorders, cancer, diabetes and obesity in children and cardiovascular diseases, cancer, diabetes and obesity, allergic and autoimmune diseases in adults</w:t>
      </w:r>
      <w:r>
        <w:t>.</w:t>
      </w:r>
    </w:p>
  </w:footnote>
  <w:footnote w:id="5">
    <w:p w14:paraId="71A2A3FC" w14:textId="748B91FC" w:rsidR="009074B2" w:rsidRPr="00FD49F4" w:rsidRDefault="009074B2" w:rsidP="003F211C">
      <w:pPr>
        <w:pStyle w:val="FootnoteText"/>
        <w:tabs>
          <w:tab w:val="clear" w:pos="1021"/>
        </w:tabs>
        <w:ind w:left="567" w:firstLine="0"/>
        <w:jc w:val="both"/>
      </w:pPr>
      <w:r w:rsidRPr="00FD49F4">
        <w:rPr>
          <w:rStyle w:val="FootnoteReference"/>
        </w:rPr>
        <w:footnoteRef/>
      </w:r>
      <w:r w:rsidRPr="00FD49F4">
        <w:t xml:space="preserve"> </w:t>
      </w:r>
      <w:proofErr w:type="gramStart"/>
      <w:r>
        <w:t>E</w:t>
      </w:r>
      <w:r w:rsidRPr="00FD49F4">
        <w:t>.g.</w:t>
      </w:r>
      <w:proofErr w:type="gramEnd"/>
      <w:r w:rsidRPr="00FD49F4">
        <w:t xml:space="preserve"> polychlorinated biphenyls’ exposure as a risk factor in breast and prostate cancers; relationships between perfluoroalkyl substances and child and adult obesity, impaired glucose tolerance, gestational diabetes, reduced birthweight, reduced semen quality, polycystic ovarian syndrome, endometriosis, and breast cancer</w:t>
      </w:r>
      <w:r>
        <w:t>.</w:t>
      </w:r>
    </w:p>
  </w:footnote>
  <w:footnote w:id="6">
    <w:p w14:paraId="316E6D88" w14:textId="67667518" w:rsidR="009074B2" w:rsidRPr="00FD49F4" w:rsidRDefault="009074B2" w:rsidP="003F211C">
      <w:pPr>
        <w:pStyle w:val="FootnoteText"/>
        <w:tabs>
          <w:tab w:val="clear" w:pos="1021"/>
        </w:tabs>
        <w:ind w:left="567" w:firstLine="0"/>
        <w:jc w:val="both"/>
      </w:pPr>
      <w:r w:rsidRPr="00FD49F4">
        <w:rPr>
          <w:rStyle w:val="FootnoteReference"/>
        </w:rPr>
        <w:footnoteRef/>
      </w:r>
      <w:r w:rsidRPr="00FD49F4">
        <w:t xml:space="preserve"> WHO/UNEP, 2013; </w:t>
      </w:r>
      <w:r w:rsidRPr="00291D5A">
        <w:rPr>
          <w:lang w:val="en-US"/>
        </w:rPr>
        <w:t>Kahn, L. G.</w:t>
      </w:r>
      <w:r>
        <w:rPr>
          <w:lang w:val="en-US"/>
        </w:rPr>
        <w:t xml:space="preserve"> </w:t>
      </w:r>
      <w:r>
        <w:rPr>
          <w:i/>
          <w:iCs/>
          <w:lang w:val="en-US"/>
        </w:rPr>
        <w:t>et al.</w:t>
      </w:r>
      <w:r>
        <w:rPr>
          <w:lang w:val="en-US"/>
        </w:rPr>
        <w:t xml:space="preserve">, </w:t>
      </w:r>
      <w:r w:rsidRPr="00291D5A">
        <w:rPr>
          <w:lang w:val="en-US"/>
        </w:rPr>
        <w:t>2020</w:t>
      </w:r>
      <w:r>
        <w:rPr>
          <w:lang w:val="en-US"/>
        </w:rPr>
        <w:t>.</w:t>
      </w:r>
      <w:r w:rsidRPr="00291D5A">
        <w:rPr>
          <w:lang w:val="en-US"/>
        </w:rPr>
        <w:t xml:space="preserve"> </w:t>
      </w:r>
      <w:hyperlink r:id="rId3" w:history="1">
        <w:r w:rsidRPr="00966EEF">
          <w:rPr>
            <w:rStyle w:val="Hyperlink"/>
            <w:lang w:val="en-US"/>
          </w:rPr>
          <w:t>Endocrine-disrupting chemicals: implications for human health</w:t>
        </w:r>
      </w:hyperlink>
      <w:r w:rsidRPr="00291D5A">
        <w:rPr>
          <w:lang w:val="en-US"/>
        </w:rPr>
        <w:t>. The Lancet. Diabetes &amp; endocrinology, 8(8)</w:t>
      </w:r>
      <w:r w:rsidRPr="00F7148D">
        <w:t>, 703–718</w:t>
      </w:r>
      <w:r w:rsidRPr="00FD49F4">
        <w:t xml:space="preserve">. </w:t>
      </w:r>
    </w:p>
  </w:footnote>
  <w:footnote w:id="7">
    <w:p w14:paraId="4029B404" w14:textId="6E0D88FA" w:rsidR="009074B2" w:rsidRPr="00FD49F4" w:rsidRDefault="009074B2" w:rsidP="003F211C">
      <w:pPr>
        <w:pStyle w:val="FootnoteText"/>
        <w:tabs>
          <w:tab w:val="clear" w:pos="1021"/>
        </w:tabs>
        <w:ind w:left="567" w:firstLine="0"/>
        <w:jc w:val="both"/>
      </w:pPr>
      <w:r w:rsidRPr="00FD49F4">
        <w:rPr>
          <w:rStyle w:val="FootnoteReference"/>
        </w:rPr>
        <w:footnoteRef/>
      </w:r>
      <w:r w:rsidRPr="00FD49F4">
        <w:t xml:space="preserve"> </w:t>
      </w:r>
      <w:r>
        <w:t>F</w:t>
      </w:r>
      <w:r w:rsidRPr="00FD49F4">
        <w:t>or example, the negative impact on fish populations of the synergetic action of increasing water temperatures due to climate warming and endocrine disruption from plastic pollution</w:t>
      </w:r>
      <w:r w:rsidR="007B1FF1">
        <w:t xml:space="preserve"> has been reported</w:t>
      </w:r>
      <w:r w:rsidR="000C6C24">
        <w:t xml:space="preserve"> in </w:t>
      </w:r>
      <w:r w:rsidR="000C6C24" w:rsidRPr="000C19E9">
        <w:t xml:space="preserve">Wu </w:t>
      </w:r>
      <w:r w:rsidR="000C6C24" w:rsidRPr="000C19E9">
        <w:rPr>
          <w:i/>
          <w:iCs/>
        </w:rPr>
        <w:t>et al.</w:t>
      </w:r>
      <w:r w:rsidR="000C6C24" w:rsidRPr="000C19E9">
        <w:t>, 2022</w:t>
      </w:r>
      <w:r>
        <w:t>.</w:t>
      </w:r>
      <w:r w:rsidR="000C6C24">
        <w:t xml:space="preserve"> </w:t>
      </w:r>
    </w:p>
  </w:footnote>
  <w:footnote w:id="8">
    <w:p w14:paraId="6B6F383F" w14:textId="073D05EB" w:rsidR="009074B2" w:rsidRPr="00FD49F4" w:rsidRDefault="009074B2" w:rsidP="003F211C">
      <w:pPr>
        <w:pStyle w:val="FootnoteText"/>
        <w:tabs>
          <w:tab w:val="clear" w:pos="1021"/>
        </w:tabs>
        <w:ind w:left="567" w:firstLine="0"/>
        <w:jc w:val="both"/>
      </w:pPr>
      <w:r w:rsidRPr="00FD49F4">
        <w:rPr>
          <w:rStyle w:val="FootnoteReference"/>
        </w:rPr>
        <w:footnoteRef/>
      </w:r>
      <w:r w:rsidRPr="00FD49F4">
        <w:t xml:space="preserve"> WHO/UNEP, 2013</w:t>
      </w:r>
      <w:r>
        <w:t xml:space="preserve">. </w:t>
      </w:r>
      <w:hyperlink r:id="rId4" w:history="1">
        <w:r w:rsidRPr="00FD49F4">
          <w:rPr>
            <w:rStyle w:val="Hyperlink"/>
          </w:rPr>
          <w:t>State of the Science of Endocrine Disputing Chemicals - IPCP-2012</w:t>
        </w:r>
      </w:hyperlink>
      <w:r>
        <w:t>.</w:t>
      </w:r>
    </w:p>
  </w:footnote>
  <w:footnote w:id="9">
    <w:p w14:paraId="4288ED86" w14:textId="267CC903" w:rsidR="009074B2" w:rsidRPr="00FD49F4" w:rsidRDefault="009074B2" w:rsidP="005446B5">
      <w:pPr>
        <w:pStyle w:val="FootnoteText"/>
        <w:tabs>
          <w:tab w:val="clear" w:pos="1021"/>
        </w:tabs>
        <w:ind w:left="567" w:firstLine="0"/>
        <w:jc w:val="both"/>
      </w:pPr>
      <w:r w:rsidRPr="00FD49F4">
        <w:rPr>
          <w:rStyle w:val="FootnoteReference"/>
        </w:rPr>
        <w:footnoteRef/>
      </w:r>
      <w:r w:rsidRPr="004D1CD6">
        <w:rPr>
          <w:lang w:val="fr-BE"/>
        </w:rPr>
        <w:t xml:space="preserve"> </w:t>
      </w:r>
      <w:proofErr w:type="spellStart"/>
      <w:r w:rsidRPr="004D1CD6">
        <w:rPr>
          <w:lang w:val="fr-BE"/>
        </w:rPr>
        <w:t>Shaffer</w:t>
      </w:r>
      <w:proofErr w:type="spellEnd"/>
      <w:r w:rsidRPr="004D1CD6">
        <w:rPr>
          <w:lang w:val="fr-BE"/>
        </w:rPr>
        <w:t xml:space="preserve">, R. M. </w:t>
      </w:r>
      <w:r w:rsidRPr="004D1CD6">
        <w:rPr>
          <w:i/>
          <w:iCs/>
          <w:lang w:val="fr-BE"/>
        </w:rPr>
        <w:t>et al.</w:t>
      </w:r>
      <w:r w:rsidRPr="004D1CD6">
        <w:rPr>
          <w:lang w:val="fr-BE"/>
        </w:rPr>
        <w:t xml:space="preserve">,2019. </w:t>
      </w:r>
      <w:hyperlink r:id="rId5" w:history="1">
        <w:r w:rsidRPr="00FD49F4">
          <w:rPr>
            <w:rStyle w:val="Hyperlink"/>
          </w:rPr>
          <w:t>Improving and Expanding Estimates of the Global Burden of Disease Due to Environmental Health Risk Factors</w:t>
        </w:r>
      </w:hyperlink>
      <w:r w:rsidRPr="00FD49F4">
        <w:t>. Environmental Health Perspectives 127(10)</w:t>
      </w:r>
      <w:r>
        <w:t>.</w:t>
      </w:r>
    </w:p>
  </w:footnote>
  <w:footnote w:id="10">
    <w:p w14:paraId="0DBF77D3" w14:textId="44FC238D" w:rsidR="009074B2" w:rsidRPr="007D63A5" w:rsidRDefault="009074B2" w:rsidP="00FB0A65">
      <w:pPr>
        <w:ind w:left="567"/>
        <w:jc w:val="both"/>
      </w:pPr>
      <w:r w:rsidRPr="00510AD6">
        <w:rPr>
          <w:rStyle w:val="FootnoteReference"/>
        </w:rPr>
        <w:footnoteRef/>
      </w:r>
      <w:r w:rsidRPr="00510AD6">
        <w:t xml:space="preserve"> </w:t>
      </w:r>
      <w:hyperlink r:id="rId6" w:history="1">
        <w:r w:rsidRPr="007D63A5">
          <w:rPr>
            <w:rStyle w:val="Hyperlink"/>
          </w:rPr>
          <w:t>https://www.niehs.nih.gov/health/topics/agents/endocrine/index.cfm</w:t>
        </w:r>
      </w:hyperlink>
      <w:r w:rsidRPr="007D63A5">
        <w:t xml:space="preserve"> </w:t>
      </w:r>
    </w:p>
  </w:footnote>
  <w:footnote w:id="11">
    <w:p w14:paraId="203E70BA" w14:textId="7786116D" w:rsidR="009074B2" w:rsidRPr="007D63A5" w:rsidRDefault="009074B2" w:rsidP="00FB0A65">
      <w:pPr>
        <w:pStyle w:val="FootnoteText"/>
        <w:ind w:left="567" w:firstLine="0"/>
        <w:jc w:val="both"/>
      </w:pPr>
      <w:r w:rsidRPr="007D63A5">
        <w:rPr>
          <w:rStyle w:val="FootnoteReference"/>
        </w:rPr>
        <w:footnoteRef/>
      </w:r>
      <w:r w:rsidRPr="007D63A5">
        <w:t xml:space="preserve"> </w:t>
      </w:r>
      <w:r w:rsidRPr="007D63A5">
        <w:rPr>
          <w:lang w:val="en-GB"/>
        </w:rPr>
        <w:t xml:space="preserve">Rijk, I. </w:t>
      </w:r>
      <w:r w:rsidRPr="007D63A5">
        <w:rPr>
          <w:i/>
          <w:iCs/>
          <w:lang w:val="en-GB"/>
        </w:rPr>
        <w:t>et al.</w:t>
      </w:r>
      <w:r w:rsidRPr="007D63A5">
        <w:rPr>
          <w:lang w:val="en-GB"/>
        </w:rPr>
        <w:t xml:space="preserve">, 2016. </w:t>
      </w:r>
      <w:hyperlink r:id="rId7" w:history="1">
        <w:r w:rsidRPr="007D63A5">
          <w:rPr>
            <w:rStyle w:val="Hyperlink"/>
            <w:lang w:val="en-GB"/>
          </w:rPr>
          <w:t xml:space="preserve">Health cost that may be associated with Endocrine Disrupting Chemicals — An inventory, </w:t>
        </w:r>
        <w:proofErr w:type="gramStart"/>
        <w:r w:rsidRPr="007D63A5">
          <w:rPr>
            <w:rStyle w:val="Hyperlink"/>
            <w:lang w:val="en-GB"/>
          </w:rPr>
          <w:t>evaluation</w:t>
        </w:r>
        <w:proofErr w:type="gramEnd"/>
        <w:r w:rsidRPr="007D63A5">
          <w:rPr>
            <w:rStyle w:val="Hyperlink"/>
            <w:lang w:val="en-GB"/>
          </w:rPr>
          <w:t xml:space="preserve"> and way forward to assess the potential health impact of EDC-associated health effects in the EU</w:t>
        </w:r>
      </w:hyperlink>
      <w:r w:rsidRPr="007D63A5">
        <w:rPr>
          <w:lang w:val="en-GB"/>
        </w:rPr>
        <w:t xml:space="preserve">, </w:t>
      </w:r>
      <w:r w:rsidRPr="007D63A5">
        <w:t>Institute for Risk Assessment Sciences, University of Utrecht.</w:t>
      </w:r>
    </w:p>
  </w:footnote>
  <w:footnote w:id="12">
    <w:p w14:paraId="646D1DB0" w14:textId="121502A4" w:rsidR="009074B2" w:rsidRPr="00F04C2A" w:rsidRDefault="009074B2" w:rsidP="00FB0A65">
      <w:pPr>
        <w:pStyle w:val="FootnoteText"/>
        <w:ind w:left="567" w:firstLine="0"/>
        <w:jc w:val="both"/>
      </w:pPr>
      <w:r w:rsidRPr="007D63A5">
        <w:rPr>
          <w:rStyle w:val="FootnoteReference"/>
        </w:rPr>
        <w:footnoteRef/>
      </w:r>
      <w:r w:rsidRPr="007D63A5">
        <w:t xml:space="preserve"> For example, Endocrine Disruptor Screening Program in the framework of the Safe Drinking Water Act in the United States of America; or the EXTEND (Extended Tasks on Endocrine Disruption) 2010 and the </w:t>
      </w:r>
      <w:hyperlink r:id="rId8" w:history="1">
        <w:r w:rsidRPr="007D63A5">
          <w:rPr>
            <w:rStyle w:val="Hyperlink"/>
          </w:rPr>
          <w:t>Japan’s Chemical Substance Control Law</w:t>
        </w:r>
      </w:hyperlink>
      <w:r w:rsidRPr="007D63A5">
        <w:t>.</w:t>
      </w:r>
    </w:p>
  </w:footnote>
  <w:footnote w:id="13">
    <w:p w14:paraId="0B950E4C" w14:textId="10CF7BF2" w:rsidR="009074B2" w:rsidRDefault="009074B2" w:rsidP="00FB0A65">
      <w:pPr>
        <w:pStyle w:val="FootnoteText"/>
        <w:ind w:left="567" w:firstLine="0"/>
        <w:jc w:val="both"/>
      </w:pPr>
      <w:r w:rsidRPr="00F04C2A">
        <w:rPr>
          <w:rStyle w:val="FootnoteReference"/>
        </w:rPr>
        <w:footnoteRef/>
      </w:r>
      <w:r w:rsidRPr="004D1CD6">
        <w:rPr>
          <w:lang w:val="fr-BE"/>
        </w:rPr>
        <w:t xml:space="preserve"> Kahn, L. G. </w:t>
      </w:r>
      <w:r w:rsidRPr="004D1CD6">
        <w:rPr>
          <w:i/>
          <w:iCs/>
          <w:lang w:val="fr-BE"/>
        </w:rPr>
        <w:t>et al.</w:t>
      </w:r>
      <w:r w:rsidRPr="004D1CD6">
        <w:rPr>
          <w:lang w:val="fr-BE"/>
        </w:rPr>
        <w:t xml:space="preserve">, </w:t>
      </w:r>
      <w:r w:rsidRPr="00291D5A">
        <w:rPr>
          <w:lang w:val="fr-BE"/>
        </w:rPr>
        <w:t xml:space="preserve">2020. </w:t>
      </w:r>
      <w:hyperlink r:id="rId9" w:history="1">
        <w:r w:rsidRPr="00FD49F4">
          <w:rPr>
            <w:rStyle w:val="Hyperlink"/>
          </w:rPr>
          <w:t>Endocrine-disrupting chemicals: implications for human health</w:t>
        </w:r>
      </w:hyperlink>
      <w:r w:rsidRPr="00F7148D">
        <w:t xml:space="preserve">. The Lancet. Diabetes &amp; endocrinology, 8(8), 703–718. </w:t>
      </w:r>
    </w:p>
  </w:footnote>
  <w:footnote w:id="14">
    <w:p w14:paraId="267E6DF9" w14:textId="4F9F250C" w:rsidR="00B50F25" w:rsidRDefault="00B50F25" w:rsidP="00FB0A65">
      <w:pPr>
        <w:pStyle w:val="FootnoteText"/>
        <w:ind w:left="567" w:firstLine="0"/>
        <w:jc w:val="both"/>
      </w:pPr>
      <w:r>
        <w:rPr>
          <w:rStyle w:val="FootnoteReference"/>
        </w:rPr>
        <w:footnoteRef/>
      </w:r>
      <w:r>
        <w:t xml:space="preserve"> I</w:t>
      </w:r>
      <w:r w:rsidRPr="00B50F25">
        <w:t xml:space="preserve">mpact assessments </w:t>
      </w:r>
      <w:r w:rsidR="00106AC0" w:rsidRPr="00B50F25">
        <w:t>are carried out during the preparation phase</w:t>
      </w:r>
      <w:r w:rsidR="00106AC0">
        <w:t xml:space="preserve"> of E</w:t>
      </w:r>
      <w:r w:rsidR="00D2311A">
        <w:t xml:space="preserve">uropean </w:t>
      </w:r>
      <w:r w:rsidR="00106AC0">
        <w:t>U</w:t>
      </w:r>
      <w:r w:rsidR="00D2311A">
        <w:t>nion</w:t>
      </w:r>
      <w:r w:rsidR="00106AC0">
        <w:t xml:space="preserve"> legislation</w:t>
      </w:r>
      <w:r w:rsidR="00106AC0" w:rsidRPr="00B50F25">
        <w:t xml:space="preserve">, before the </w:t>
      </w:r>
      <w:r w:rsidR="00106AC0">
        <w:t xml:space="preserve">European </w:t>
      </w:r>
      <w:r w:rsidR="00106AC0" w:rsidRPr="00B50F25">
        <w:t>Commission finalises a proposal for a new law. They provide evidence to inform and support the decision-making process.</w:t>
      </w:r>
      <w:r w:rsidR="00106AC0">
        <w:t xml:space="preserve"> They </w:t>
      </w:r>
      <w:r w:rsidRPr="00B50F25">
        <w:t xml:space="preserve">examine whether there is a need for </w:t>
      </w:r>
      <w:r w:rsidR="00D2311A">
        <w:t>European Union</w:t>
      </w:r>
      <w:r w:rsidRPr="00B50F25">
        <w:t xml:space="preserve"> action and analyse the possible impacts of available solutions. </w:t>
      </w:r>
    </w:p>
  </w:footnote>
  <w:footnote w:id="15">
    <w:p w14:paraId="2FE58614" w14:textId="11904225" w:rsidR="009074B2" w:rsidRPr="009C44B8" w:rsidRDefault="009074B2" w:rsidP="00FB0A65">
      <w:pPr>
        <w:pStyle w:val="FootnoteText"/>
        <w:ind w:left="567" w:firstLine="0"/>
        <w:jc w:val="both"/>
      </w:pPr>
      <w:r w:rsidRPr="006C7C3C">
        <w:rPr>
          <w:rStyle w:val="FootnoteReference"/>
        </w:rPr>
        <w:footnoteRef/>
      </w:r>
      <w:r w:rsidRPr="006C7C3C">
        <w:t xml:space="preserve"> European Commission, 2022. </w:t>
      </w:r>
      <w:hyperlink r:id="rId10" w:history="1">
        <w:r w:rsidRPr="001C6A68">
          <w:rPr>
            <w:rStyle w:val="Hyperlink"/>
          </w:rPr>
          <w:t>Impact assessment for the revision of the CLP Regulation</w:t>
        </w:r>
      </w:hyperlink>
      <w:r>
        <w:t>.</w:t>
      </w:r>
    </w:p>
  </w:footnote>
  <w:footnote w:id="16">
    <w:p w14:paraId="74BB8180" w14:textId="0C7397A7" w:rsidR="009074B2" w:rsidRPr="00A35D92" w:rsidRDefault="009074B2" w:rsidP="00FB0A65">
      <w:pPr>
        <w:pStyle w:val="FootnoteText"/>
        <w:ind w:left="567" w:firstLine="0"/>
        <w:jc w:val="both"/>
        <w:rPr>
          <w:i/>
        </w:rPr>
      </w:pPr>
      <w:r>
        <w:rPr>
          <w:rStyle w:val="FootnoteReference"/>
        </w:rPr>
        <w:footnoteRef/>
      </w:r>
      <w:r w:rsidRPr="00A35D92">
        <w:t xml:space="preserve"> </w:t>
      </w:r>
      <w:r w:rsidRPr="00A35D92">
        <w:rPr>
          <w:i/>
        </w:rPr>
        <w:t>Idem.</w:t>
      </w:r>
    </w:p>
  </w:footnote>
  <w:footnote w:id="17">
    <w:p w14:paraId="5E38532C" w14:textId="556A423E" w:rsidR="009074B2" w:rsidRPr="006C7C3C" w:rsidRDefault="009074B2" w:rsidP="00FB0A65">
      <w:pPr>
        <w:pStyle w:val="FootnoteText"/>
        <w:ind w:left="567" w:firstLine="0"/>
        <w:rPr>
          <w:i/>
          <w:iCs/>
        </w:rPr>
      </w:pPr>
      <w:r>
        <w:rPr>
          <w:rStyle w:val="FootnoteReference"/>
        </w:rPr>
        <w:footnoteRef/>
      </w:r>
      <w:r>
        <w:rPr>
          <w:lang w:val="en-US"/>
        </w:rPr>
        <w:t xml:space="preserve"> </w:t>
      </w:r>
      <w:r>
        <w:rPr>
          <w:i/>
          <w:iCs/>
          <w:lang w:val="en-US"/>
        </w:rPr>
        <w:t>Idem.</w:t>
      </w:r>
    </w:p>
  </w:footnote>
  <w:footnote w:id="18">
    <w:p w14:paraId="3F2978A6" w14:textId="30EA1A10" w:rsidR="009074B2" w:rsidRPr="00FD49F4" w:rsidRDefault="009074B2" w:rsidP="00C73541">
      <w:pPr>
        <w:pStyle w:val="FootnoteText"/>
        <w:ind w:hanging="567"/>
      </w:pPr>
      <w:r>
        <w:rPr>
          <w:rStyle w:val="FootnoteReference"/>
        </w:rPr>
        <w:footnoteRef/>
      </w:r>
      <w:r>
        <w:t xml:space="preserve"> </w:t>
      </w:r>
      <w:r>
        <w:rPr>
          <w:rFonts w:eastAsiaTheme="minorEastAsia"/>
          <w:lang w:val="en-US"/>
        </w:rPr>
        <w:t>Only a</w:t>
      </w:r>
      <w:r w:rsidRPr="00FD49F4">
        <w:rPr>
          <w:rFonts w:eastAsiaTheme="minorEastAsia"/>
          <w:lang w:val="en-US"/>
        </w:rPr>
        <w:t>dverse effects triggered by endocrine activity are already covered by existing GHS hazard classes</w:t>
      </w:r>
      <w:r>
        <w:rPr>
          <w:rFonts w:eastAsiaTheme="minorEastAsia"/>
          <w:lang w:val="en-US"/>
        </w:rPr>
        <w:t>.</w:t>
      </w:r>
    </w:p>
  </w:footnote>
  <w:footnote w:id="19">
    <w:p w14:paraId="1029D915" w14:textId="191E0850" w:rsidR="009074B2" w:rsidRPr="00B64624" w:rsidRDefault="009074B2" w:rsidP="00827861">
      <w:pPr>
        <w:pStyle w:val="FootnoteText"/>
        <w:tabs>
          <w:tab w:val="clear" w:pos="1021"/>
        </w:tabs>
        <w:spacing w:after="60"/>
        <w:ind w:left="567" w:firstLine="0"/>
        <w:rPr>
          <w:lang w:val="en-GB"/>
        </w:rPr>
      </w:pPr>
      <w:r>
        <w:rPr>
          <w:rStyle w:val="FootnoteReference"/>
        </w:rPr>
        <w:footnoteRef/>
      </w:r>
      <w:r>
        <w:t xml:space="preserve"> </w:t>
      </w:r>
      <w:r w:rsidRPr="00B64624">
        <w:t xml:space="preserve">OECD (2018), </w:t>
      </w:r>
      <w:hyperlink r:id="rId11" w:history="1">
        <w:r w:rsidRPr="005355DE">
          <w:rPr>
            <w:rStyle w:val="Hyperlink"/>
          </w:rPr>
          <w:t>Revised Guidance Document 150 on Standardised Test Guidelines for Evaluating Chemicals for Endocrine Disruption</w:t>
        </w:r>
      </w:hyperlink>
      <w:r w:rsidRPr="00B64624">
        <w:t>, OECD Series on Testing and Assessment, OECD Publishing, Paris</w:t>
      </w:r>
      <w:proofErr w:type="gramStart"/>
      <w:r w:rsidRPr="00B64624">
        <w:t>.;</w:t>
      </w:r>
      <w:proofErr w:type="gramEnd"/>
      <w:r w:rsidRPr="00B64624">
        <w:t xml:space="preserve"> </w:t>
      </w:r>
    </w:p>
  </w:footnote>
  <w:footnote w:id="20">
    <w:p w14:paraId="1223E29A" w14:textId="3FF2ACE8" w:rsidR="009074B2" w:rsidRPr="002F73E1" w:rsidRDefault="009074B2" w:rsidP="00827861">
      <w:pPr>
        <w:pStyle w:val="FootnoteText"/>
        <w:tabs>
          <w:tab w:val="clear" w:pos="1021"/>
        </w:tabs>
        <w:spacing w:after="60"/>
        <w:ind w:left="567" w:firstLine="0"/>
        <w:rPr>
          <w:lang w:val="en-GB"/>
        </w:rPr>
      </w:pPr>
      <w:r>
        <w:rPr>
          <w:rStyle w:val="FootnoteReference"/>
        </w:rPr>
        <w:footnoteRef/>
      </w:r>
      <w:r>
        <w:t xml:space="preserve"> Commission Delegated Regulation (EU) 2017/2100 of 4 September 2017 </w:t>
      </w:r>
      <w:hyperlink r:id="rId12" w:history="1">
        <w:r w:rsidRPr="006E39C6">
          <w:rPr>
            <w:rStyle w:val="Hyperlink"/>
          </w:rPr>
          <w:t>setting out scientific criteria for the determination of endocrine-disrupting properties pursuant to Regulation (EU) No 528/2012 of the European Parliament and Council</w:t>
        </w:r>
      </w:hyperlink>
      <w:r>
        <w:t xml:space="preserve">. OJ L 301, 17.11.2017, p. 1–5. Available online: </w:t>
      </w:r>
    </w:p>
  </w:footnote>
  <w:footnote w:id="21">
    <w:p w14:paraId="191594C0" w14:textId="3993E7C9" w:rsidR="00C31109" w:rsidRPr="00A35D92" w:rsidRDefault="00C31109" w:rsidP="00827861">
      <w:pPr>
        <w:pStyle w:val="FootnoteText"/>
        <w:tabs>
          <w:tab w:val="clear" w:pos="1021"/>
        </w:tabs>
        <w:spacing w:after="60"/>
        <w:ind w:left="567" w:firstLine="0"/>
      </w:pPr>
      <w:r>
        <w:rPr>
          <w:rStyle w:val="FootnoteReference"/>
        </w:rPr>
        <w:footnoteRef/>
      </w:r>
      <w:r>
        <w:t xml:space="preserve">  Commission Regulation (EU) 2018/605 of 19 April 2018 </w:t>
      </w:r>
      <w:hyperlink r:id="rId13" w:history="1">
        <w:r w:rsidRPr="006E39C6">
          <w:rPr>
            <w:rStyle w:val="Hyperlink"/>
          </w:rPr>
          <w:t>setting out scientific criteria for the determination of endocrine</w:t>
        </w:r>
        <w:r w:rsidR="005355DE" w:rsidRPr="006E39C6">
          <w:rPr>
            <w:rStyle w:val="Hyperlink"/>
          </w:rPr>
          <w:t xml:space="preserve"> </w:t>
        </w:r>
        <w:r w:rsidRPr="006E39C6">
          <w:rPr>
            <w:rStyle w:val="Hyperlink"/>
          </w:rPr>
          <w:t>disrupting and amending Annex II to Regulation (EC) 1107/2009</w:t>
        </w:r>
      </w:hyperlink>
      <w:r>
        <w:t>. OJ L 101, 20.4.2018, p. 33–36.</w:t>
      </w:r>
    </w:p>
  </w:footnote>
  <w:footnote w:id="22">
    <w:p w14:paraId="468AD52D" w14:textId="5BE02283" w:rsidR="009074B2" w:rsidRPr="008D1683" w:rsidRDefault="009074B2" w:rsidP="00827861">
      <w:pPr>
        <w:pStyle w:val="FootnoteText"/>
        <w:tabs>
          <w:tab w:val="clear" w:pos="1021"/>
        </w:tabs>
        <w:spacing w:after="60"/>
        <w:ind w:left="567" w:firstLine="0"/>
        <w:rPr>
          <w:lang w:val="fr-BE"/>
        </w:rPr>
      </w:pPr>
      <w:r>
        <w:rPr>
          <w:rStyle w:val="FootnoteReference"/>
        </w:rPr>
        <w:footnoteRef/>
      </w:r>
      <w:r>
        <w:t xml:space="preserve"> </w:t>
      </w:r>
      <w:r w:rsidRPr="008D1683">
        <w:t xml:space="preserve">ECHA, EFSA (2018). </w:t>
      </w:r>
      <w:hyperlink r:id="rId14" w:history="1">
        <w:r w:rsidRPr="006E39C6">
          <w:rPr>
            <w:rStyle w:val="Hyperlink"/>
          </w:rPr>
          <w:t>Guidance for the identification of endocrine disruptors in the context of Regulations (EU) No 528/2012 and (EC) No 1107/2009</w:t>
        </w:r>
      </w:hyperlink>
      <w:r w:rsidRPr="008D1683">
        <w:t xml:space="preserve">. </w:t>
      </w:r>
      <w:r w:rsidRPr="008D1683">
        <w:rPr>
          <w:lang w:val="fr-BE"/>
        </w:rPr>
        <w:t>EFSA Journal 16(6</w:t>
      </w:r>
      <w:proofErr w:type="gramStart"/>
      <w:r w:rsidRPr="008D1683">
        <w:rPr>
          <w:lang w:val="fr-BE"/>
        </w:rPr>
        <w:t>):</w:t>
      </w:r>
      <w:proofErr w:type="gramEnd"/>
      <w:r w:rsidRPr="008D1683">
        <w:rPr>
          <w:lang w:val="fr-BE"/>
        </w:rPr>
        <w:t xml:space="preserve">5311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C1D" w14:textId="2B7C2E35" w:rsidR="009074B2" w:rsidRPr="0099001C" w:rsidRDefault="009074B2" w:rsidP="00CB37ED">
    <w:pPr>
      <w:pStyle w:val="Header"/>
    </w:pPr>
    <w:r w:rsidRPr="00774B07">
      <w:t>UN/SCEGHS/</w:t>
    </w:r>
    <w:r>
      <w:t>43</w:t>
    </w:r>
    <w:r w:rsidRPr="00774B07">
      <w:t>/INF.</w:t>
    </w:r>
    <w:r w:rsidR="00FB0A65">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3390" w14:textId="4479D7E5" w:rsidR="009074B2" w:rsidRPr="0099001C" w:rsidRDefault="009074B2" w:rsidP="00C91DF5">
    <w:pPr>
      <w:pStyle w:val="Header"/>
      <w:jc w:val="right"/>
    </w:pPr>
    <w:r>
      <w:t>UN/SCEGHS/43/INF.</w:t>
    </w:r>
    <w:r w:rsidR="002C4A4D">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7151A"/>
    <w:multiLevelType w:val="multilevel"/>
    <w:tmpl w:val="811E004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6C3BA2"/>
    <w:multiLevelType w:val="hybridMultilevel"/>
    <w:tmpl w:val="D8909DD2"/>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EDD64CD"/>
    <w:multiLevelType w:val="hybridMultilevel"/>
    <w:tmpl w:val="C35C3BE4"/>
    <w:lvl w:ilvl="0" w:tplc="FFFFFFFF">
      <w:start w:val="1"/>
      <w:numFmt w:val="decimal"/>
      <w:lvlText w:val="%1."/>
      <w:lvlJc w:val="left"/>
      <w:pPr>
        <w:ind w:left="1710" w:hanging="576"/>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4" w15:restartNumberingAfterBreak="0">
    <w:nsid w:val="17CE5F41"/>
    <w:multiLevelType w:val="hybridMultilevel"/>
    <w:tmpl w:val="2EC225AC"/>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B3C78B8"/>
    <w:multiLevelType w:val="multilevel"/>
    <w:tmpl w:val="2ED4F4D0"/>
    <w:lvl w:ilvl="0">
      <w:start w:val="1"/>
      <w:numFmt w:val="decimal"/>
      <w:lvlRestart w:val="0"/>
      <w:pStyle w:val="Heading1"/>
      <w:lvlText w:val="(%1)"/>
      <w:lvlJc w:val="left"/>
      <w:pPr>
        <w:tabs>
          <w:tab w:val="num" w:pos="850"/>
        </w:tabs>
        <w:ind w:left="850" w:hanging="850"/>
      </w:pPr>
    </w:lvl>
    <w:lvl w:ilvl="1">
      <w:start w:val="1"/>
      <w:numFmt w:val="lowerLetter"/>
      <w:pStyle w:val="Heading2"/>
      <w:lvlText w:val="(%2)"/>
      <w:lvlJc w:val="left"/>
      <w:pPr>
        <w:tabs>
          <w:tab w:val="num" w:pos="850"/>
        </w:tabs>
        <w:ind w:left="850" w:hanging="850"/>
      </w:pPr>
    </w:lvl>
    <w:lvl w:ilvl="2">
      <w:start w:val="1"/>
      <w:numFmt w:val="decimal"/>
      <w:pStyle w:val="Heading3"/>
      <w:lvlText w:val="(%3)"/>
      <w:lvlJc w:val="left"/>
      <w:pPr>
        <w:tabs>
          <w:tab w:val="num" w:pos="1417"/>
        </w:tabs>
        <w:ind w:left="1417" w:hanging="567"/>
      </w:pPr>
    </w:lvl>
    <w:lvl w:ilvl="3">
      <w:start w:val="1"/>
      <w:numFmt w:val="lowerLetter"/>
      <w:pStyle w:val="Heading4"/>
      <w:lvlText w:val="(%4)"/>
      <w:lvlJc w:val="left"/>
      <w:pPr>
        <w:tabs>
          <w:tab w:val="num" w:pos="1417"/>
        </w:tabs>
        <w:ind w:left="1417" w:hanging="567"/>
      </w:pPr>
    </w:lvl>
    <w:lvl w:ilvl="4">
      <w:start w:val="1"/>
      <w:numFmt w:val="decimal"/>
      <w:pStyle w:val="Heading5"/>
      <w:lvlText w:val="(%5)"/>
      <w:lvlJc w:val="left"/>
      <w:pPr>
        <w:tabs>
          <w:tab w:val="num" w:pos="1984"/>
        </w:tabs>
        <w:ind w:left="1984" w:hanging="567"/>
      </w:pPr>
    </w:lvl>
    <w:lvl w:ilvl="5">
      <w:start w:val="1"/>
      <w:numFmt w:val="lowerLetter"/>
      <w:pStyle w:val="Heading6"/>
      <w:lvlText w:val="(%6)"/>
      <w:lvlJc w:val="left"/>
      <w:pPr>
        <w:tabs>
          <w:tab w:val="num" w:pos="1984"/>
        </w:tabs>
        <w:ind w:left="1984" w:hanging="567"/>
      </w:pPr>
    </w:lvl>
    <w:lvl w:ilvl="6">
      <w:start w:val="1"/>
      <w:numFmt w:val="decimal"/>
      <w:pStyle w:val="Heading7"/>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517BD0"/>
    <w:multiLevelType w:val="hybridMultilevel"/>
    <w:tmpl w:val="401A7C2E"/>
    <w:lvl w:ilvl="0" w:tplc="1809000F">
      <w:start w:val="1"/>
      <w:numFmt w:val="decimal"/>
      <w:lvlText w:val="%1."/>
      <w:lvlJc w:val="left"/>
      <w:pPr>
        <w:ind w:left="2160" w:hanging="360"/>
      </w:pPr>
      <w:rPr>
        <w:rFonts w:hint="default"/>
      </w:rPr>
    </w:lvl>
    <w:lvl w:ilvl="1" w:tplc="D6C2542C">
      <w:numFmt w:val="bullet"/>
      <w:lvlText w:val="•"/>
      <w:lvlJc w:val="left"/>
      <w:pPr>
        <w:ind w:left="3240" w:hanging="720"/>
      </w:pPr>
      <w:rPr>
        <w:rFonts w:ascii="Times New Roman" w:eastAsiaTheme="minorHAnsi" w:hAnsi="Times New Roman" w:cs="Times New Roman"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8" w15:restartNumberingAfterBreak="0">
    <w:nsid w:val="2CB72C6E"/>
    <w:multiLevelType w:val="singleLevel"/>
    <w:tmpl w:val="10ACD464"/>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9" w15:restartNumberingAfterBreak="0">
    <w:nsid w:val="2CE9221F"/>
    <w:multiLevelType w:val="singleLevel"/>
    <w:tmpl w:val="9B4AFB48"/>
    <w:name w:val="Tiret 3"/>
    <w:lvl w:ilvl="0">
      <w:start w:val="1"/>
      <w:numFmt w:val="bullet"/>
      <w:lvlRestart w:val="0"/>
      <w:lvlText w:val="–"/>
      <w:lvlJc w:val="left"/>
      <w:pPr>
        <w:tabs>
          <w:tab w:val="num" w:pos="2551"/>
        </w:tabs>
        <w:ind w:left="2551" w:hanging="567"/>
      </w:pPr>
    </w:lvl>
  </w:abstractNum>
  <w:abstractNum w:abstractNumId="10" w15:restartNumberingAfterBreak="0">
    <w:nsid w:val="3B7B2D50"/>
    <w:multiLevelType w:val="hybridMultilevel"/>
    <w:tmpl w:val="B6DA7532"/>
    <w:lvl w:ilvl="0" w:tplc="FFFFFFFF">
      <w:start w:val="1"/>
      <w:numFmt w:val="bullet"/>
      <w:lvlText w:val=""/>
      <w:lvlJc w:val="left"/>
      <w:pPr>
        <w:ind w:left="720" w:hanging="360"/>
      </w:pPr>
      <w:rPr>
        <w:rFonts w:ascii="Symbol" w:hAnsi="Symbol" w:hint="default"/>
      </w:rPr>
    </w:lvl>
    <w:lvl w:ilvl="1" w:tplc="7F849012">
      <w:start w:val="1"/>
      <w:numFmt w:val="lowerLetter"/>
      <w:lvlText w:val="(%2)"/>
      <w:lvlJc w:val="left"/>
      <w:pPr>
        <w:ind w:left="1440" w:hanging="360"/>
      </w:pPr>
      <w:rPr>
        <w:rFonts w:hint="default"/>
      </w:rPr>
    </w:lvl>
    <w:lvl w:ilvl="2" w:tplc="18090019">
      <w:start w:val="1"/>
      <w:numFmt w:val="lowerLetter"/>
      <w:lvlText w:val="%3."/>
      <w:lvlJc w:val="left"/>
      <w:pPr>
        <w:ind w:left="216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lvlText w:val="–"/>
      <w:lvlJc w:val="left"/>
      <w:pPr>
        <w:tabs>
          <w:tab w:val="num" w:pos="3118"/>
        </w:tabs>
        <w:ind w:left="3118" w:hanging="567"/>
      </w:pPr>
    </w:lvl>
  </w:abstractNum>
  <w:abstractNum w:abstractNumId="13" w15:restartNumberingAfterBreak="0">
    <w:nsid w:val="42FC077D"/>
    <w:multiLevelType w:val="singleLevel"/>
    <w:tmpl w:val="4128FD03"/>
    <w:name w:val="Tiret 5"/>
    <w:lvl w:ilvl="0">
      <w:start w:val="1"/>
      <w:numFmt w:val="bullet"/>
      <w:lvlRestart w:val="0"/>
      <w:lvlText w:val="–"/>
      <w:lvlJc w:val="left"/>
      <w:pPr>
        <w:tabs>
          <w:tab w:val="num" w:pos="3685"/>
        </w:tabs>
        <w:ind w:left="3685" w:hanging="567"/>
      </w:pPr>
    </w:lvl>
  </w:abstractNum>
  <w:abstractNum w:abstractNumId="14" w15:restartNumberingAfterBreak="0">
    <w:nsid w:val="4552127F"/>
    <w:multiLevelType w:val="singleLevel"/>
    <w:tmpl w:val="057A5296"/>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15" w15:restartNumberingAfterBreak="0">
    <w:nsid w:val="4C3D7407"/>
    <w:multiLevelType w:val="hybridMultilevel"/>
    <w:tmpl w:val="1BD28C3E"/>
    <w:lvl w:ilvl="0" w:tplc="18090017">
      <w:start w:val="1"/>
      <w:numFmt w:val="lowerLetter"/>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6" w15:restartNumberingAfterBreak="0">
    <w:nsid w:val="4FB10498"/>
    <w:multiLevelType w:val="hybridMultilevel"/>
    <w:tmpl w:val="DE7000B4"/>
    <w:lvl w:ilvl="0" w:tplc="7F849012">
      <w:start w:val="1"/>
      <w:numFmt w:val="lowerLetter"/>
      <w:lvlText w:val="(%1)"/>
      <w:lvlJc w:val="left"/>
      <w:pPr>
        <w:ind w:left="2487" w:hanging="360"/>
      </w:pPr>
      <w:rPr>
        <w:rFonts w:hint="default"/>
      </w:rPr>
    </w:lvl>
    <w:lvl w:ilvl="1" w:tplc="18090019" w:tentative="1">
      <w:start w:val="1"/>
      <w:numFmt w:val="lowerLetter"/>
      <w:lvlText w:val="%2."/>
      <w:lvlJc w:val="left"/>
      <w:pPr>
        <w:ind w:left="2487" w:hanging="360"/>
      </w:pPr>
    </w:lvl>
    <w:lvl w:ilvl="2" w:tplc="1809001B" w:tentative="1">
      <w:start w:val="1"/>
      <w:numFmt w:val="lowerRoman"/>
      <w:lvlText w:val="%3."/>
      <w:lvlJc w:val="right"/>
      <w:pPr>
        <w:ind w:left="3207" w:hanging="180"/>
      </w:pPr>
    </w:lvl>
    <w:lvl w:ilvl="3" w:tplc="1809000F" w:tentative="1">
      <w:start w:val="1"/>
      <w:numFmt w:val="decimal"/>
      <w:lvlText w:val="%4."/>
      <w:lvlJc w:val="left"/>
      <w:pPr>
        <w:ind w:left="3927" w:hanging="360"/>
      </w:pPr>
    </w:lvl>
    <w:lvl w:ilvl="4" w:tplc="18090019" w:tentative="1">
      <w:start w:val="1"/>
      <w:numFmt w:val="lowerLetter"/>
      <w:lvlText w:val="%5."/>
      <w:lvlJc w:val="left"/>
      <w:pPr>
        <w:ind w:left="4647" w:hanging="360"/>
      </w:pPr>
    </w:lvl>
    <w:lvl w:ilvl="5" w:tplc="1809001B" w:tentative="1">
      <w:start w:val="1"/>
      <w:numFmt w:val="lowerRoman"/>
      <w:lvlText w:val="%6."/>
      <w:lvlJc w:val="right"/>
      <w:pPr>
        <w:ind w:left="5367" w:hanging="180"/>
      </w:pPr>
    </w:lvl>
    <w:lvl w:ilvl="6" w:tplc="1809000F" w:tentative="1">
      <w:start w:val="1"/>
      <w:numFmt w:val="decimal"/>
      <w:lvlText w:val="%7."/>
      <w:lvlJc w:val="left"/>
      <w:pPr>
        <w:ind w:left="6087" w:hanging="360"/>
      </w:pPr>
    </w:lvl>
    <w:lvl w:ilvl="7" w:tplc="18090019" w:tentative="1">
      <w:start w:val="1"/>
      <w:numFmt w:val="lowerLetter"/>
      <w:lvlText w:val="%8."/>
      <w:lvlJc w:val="left"/>
      <w:pPr>
        <w:ind w:left="6807" w:hanging="360"/>
      </w:pPr>
    </w:lvl>
    <w:lvl w:ilvl="8" w:tplc="1809001B" w:tentative="1">
      <w:start w:val="1"/>
      <w:numFmt w:val="lowerRoman"/>
      <w:lvlText w:val="%9."/>
      <w:lvlJc w:val="right"/>
      <w:pPr>
        <w:ind w:left="7527" w:hanging="180"/>
      </w:pPr>
    </w:lvl>
  </w:abstractNum>
  <w:abstractNum w:abstractNumId="17" w15:restartNumberingAfterBreak="0">
    <w:nsid w:val="556E1D63"/>
    <w:multiLevelType w:val="singleLevel"/>
    <w:tmpl w:val="493AAFF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18" w15:restartNumberingAfterBreak="0">
    <w:nsid w:val="560A07E0"/>
    <w:multiLevelType w:val="hybridMultilevel"/>
    <w:tmpl w:val="445E47A0"/>
    <w:lvl w:ilvl="0" w:tplc="FFFFFFFF">
      <w:start w:val="1"/>
      <w:numFmt w:val="decimal"/>
      <w:lvlText w:val="%1."/>
      <w:lvlJc w:val="left"/>
      <w:pPr>
        <w:ind w:left="2160" w:hanging="360"/>
      </w:pPr>
      <w:rPr>
        <w:rFonts w:hint="default"/>
      </w:rPr>
    </w:lvl>
    <w:lvl w:ilvl="1" w:tplc="18090019">
      <w:start w:val="1"/>
      <w:numFmt w:val="lowerLetter"/>
      <w:lvlText w:val="%2."/>
      <w:lvlJc w:val="left"/>
      <w:pPr>
        <w:ind w:left="3240" w:hanging="720"/>
      </w:pPr>
      <w:rPr>
        <w:rFonts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 w15:restartNumberingAfterBreak="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20" w15:restartNumberingAfterBreak="0">
    <w:nsid w:val="5C056EE5"/>
    <w:multiLevelType w:val="singleLevel"/>
    <w:tmpl w:val="3378D27C"/>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21"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2" w15:restartNumberingAfterBreak="0">
    <w:nsid w:val="62AA54A9"/>
    <w:multiLevelType w:val="hybridMultilevel"/>
    <w:tmpl w:val="48A07CA2"/>
    <w:lvl w:ilvl="0" w:tplc="18090019">
      <w:start w:val="1"/>
      <w:numFmt w:val="lowerLetter"/>
      <w:lvlText w:val="%1."/>
      <w:lvlJc w:val="left"/>
      <w:pPr>
        <w:ind w:left="2214" w:hanging="360"/>
      </w:pPr>
      <w:rPr>
        <w:rFonts w:hint="default"/>
      </w:rPr>
    </w:lvl>
    <w:lvl w:ilvl="1" w:tplc="FFFFFFFF" w:tentative="1">
      <w:start w:val="1"/>
      <w:numFmt w:val="bullet"/>
      <w:lvlText w:val="o"/>
      <w:lvlJc w:val="left"/>
      <w:pPr>
        <w:ind w:left="2934" w:hanging="360"/>
      </w:pPr>
      <w:rPr>
        <w:rFonts w:ascii="Courier New" w:hAnsi="Courier New" w:cs="Courier New" w:hint="default"/>
      </w:rPr>
    </w:lvl>
    <w:lvl w:ilvl="2" w:tplc="FFFFFFFF" w:tentative="1">
      <w:start w:val="1"/>
      <w:numFmt w:val="bullet"/>
      <w:lvlText w:val=""/>
      <w:lvlJc w:val="left"/>
      <w:pPr>
        <w:ind w:left="3654" w:hanging="360"/>
      </w:pPr>
      <w:rPr>
        <w:rFonts w:ascii="Wingdings" w:hAnsi="Wingdings" w:hint="default"/>
      </w:rPr>
    </w:lvl>
    <w:lvl w:ilvl="3" w:tplc="FFFFFFFF" w:tentative="1">
      <w:start w:val="1"/>
      <w:numFmt w:val="bullet"/>
      <w:lvlText w:val=""/>
      <w:lvlJc w:val="left"/>
      <w:pPr>
        <w:ind w:left="4374" w:hanging="360"/>
      </w:pPr>
      <w:rPr>
        <w:rFonts w:ascii="Symbol" w:hAnsi="Symbol" w:hint="default"/>
      </w:rPr>
    </w:lvl>
    <w:lvl w:ilvl="4" w:tplc="FFFFFFFF" w:tentative="1">
      <w:start w:val="1"/>
      <w:numFmt w:val="bullet"/>
      <w:lvlText w:val="o"/>
      <w:lvlJc w:val="left"/>
      <w:pPr>
        <w:ind w:left="5094" w:hanging="360"/>
      </w:pPr>
      <w:rPr>
        <w:rFonts w:ascii="Courier New" w:hAnsi="Courier New" w:cs="Courier New" w:hint="default"/>
      </w:rPr>
    </w:lvl>
    <w:lvl w:ilvl="5" w:tplc="FFFFFFFF" w:tentative="1">
      <w:start w:val="1"/>
      <w:numFmt w:val="bullet"/>
      <w:lvlText w:val=""/>
      <w:lvlJc w:val="left"/>
      <w:pPr>
        <w:ind w:left="5814" w:hanging="360"/>
      </w:pPr>
      <w:rPr>
        <w:rFonts w:ascii="Wingdings" w:hAnsi="Wingdings" w:hint="default"/>
      </w:rPr>
    </w:lvl>
    <w:lvl w:ilvl="6" w:tplc="FFFFFFFF" w:tentative="1">
      <w:start w:val="1"/>
      <w:numFmt w:val="bullet"/>
      <w:lvlText w:val=""/>
      <w:lvlJc w:val="left"/>
      <w:pPr>
        <w:ind w:left="6534" w:hanging="360"/>
      </w:pPr>
      <w:rPr>
        <w:rFonts w:ascii="Symbol" w:hAnsi="Symbol" w:hint="default"/>
      </w:rPr>
    </w:lvl>
    <w:lvl w:ilvl="7" w:tplc="FFFFFFFF" w:tentative="1">
      <w:start w:val="1"/>
      <w:numFmt w:val="bullet"/>
      <w:lvlText w:val="o"/>
      <w:lvlJc w:val="left"/>
      <w:pPr>
        <w:ind w:left="7254" w:hanging="360"/>
      </w:pPr>
      <w:rPr>
        <w:rFonts w:ascii="Courier New" w:hAnsi="Courier New" w:cs="Courier New" w:hint="default"/>
      </w:rPr>
    </w:lvl>
    <w:lvl w:ilvl="8" w:tplc="FFFFFFFF" w:tentative="1">
      <w:start w:val="1"/>
      <w:numFmt w:val="bullet"/>
      <w:lvlText w:val=""/>
      <w:lvlJc w:val="left"/>
      <w:pPr>
        <w:ind w:left="7974" w:hanging="360"/>
      </w:pPr>
      <w:rPr>
        <w:rFonts w:ascii="Wingdings" w:hAnsi="Wingdings" w:hint="default"/>
      </w:rPr>
    </w:lvl>
  </w:abstractNum>
  <w:abstractNum w:abstractNumId="23"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lvlText w:val="–"/>
      <w:lvlJc w:val="left"/>
      <w:pPr>
        <w:tabs>
          <w:tab w:val="num" w:pos="1984"/>
        </w:tabs>
        <w:ind w:left="1984" w:hanging="567"/>
      </w:pPr>
    </w:lvl>
  </w:abstractNum>
  <w:abstractNum w:abstractNumId="25" w15:restartNumberingAfterBreak="0">
    <w:nsid w:val="680F60BF"/>
    <w:multiLevelType w:val="hybridMultilevel"/>
    <w:tmpl w:val="49AE22B8"/>
    <w:lvl w:ilvl="0" w:tplc="099AC66A">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26" w15:restartNumberingAfterBreak="0">
    <w:nsid w:val="7CBE4812"/>
    <w:multiLevelType w:val="singleLevel"/>
    <w:tmpl w:val="23C821E4"/>
    <w:name w:val="Considérant"/>
    <w:lvl w:ilvl="0">
      <w:start w:val="1"/>
      <w:numFmt w:val="decimal"/>
      <w:lvlRestart w:val="0"/>
      <w:lvlText w:val="(%1)"/>
      <w:lvlJc w:val="left"/>
      <w:pPr>
        <w:tabs>
          <w:tab w:val="num" w:pos="709"/>
        </w:tabs>
        <w:ind w:left="709" w:hanging="709"/>
      </w:pPr>
    </w:lvl>
  </w:abstractNum>
  <w:num w:numId="1">
    <w:abstractNumId w:val="0"/>
  </w:num>
  <w:num w:numId="2">
    <w:abstractNumId w:val="3"/>
  </w:num>
  <w:num w:numId="3">
    <w:abstractNumId w:val="7"/>
  </w:num>
  <w:num w:numId="4">
    <w:abstractNumId w:val="22"/>
  </w:num>
  <w:num w:numId="5">
    <w:abstractNumId w:val="10"/>
  </w:num>
  <w:num w:numId="6">
    <w:abstractNumId w:val="18"/>
  </w:num>
  <w:num w:numId="7">
    <w:abstractNumId w:val="2"/>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1"/>
  </w:num>
  <w:num w:numId="1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0" w:nlCheck="1" w:checkStyle="0"/>
  <w:activeWritingStyle w:appName="MSWord" w:lang="en-IE" w:vendorID="64" w:dllVersion="0" w:nlCheck="1" w:checkStyle="0"/>
  <w:activeWritingStyle w:appName="MSWord" w:lang="fr-BE" w:vendorID="64" w:dllVersion="0" w:nlCheck="1" w:checkStyle="0"/>
  <w:activeWritingStyle w:appName="MSWord" w:lang="en-US" w:vendorID="64" w:dllVersion="0" w:nlCheck="1" w:checkStyle="0"/>
  <w:proofState w:spelling="clean" w:grammar="clean"/>
  <w:doNotTrackFormatting/>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64115"/>
    <w:rsid w:val="00000F65"/>
    <w:rsid w:val="00001769"/>
    <w:rsid w:val="00004208"/>
    <w:rsid w:val="000047A9"/>
    <w:rsid w:val="00007CA5"/>
    <w:rsid w:val="00010C82"/>
    <w:rsid w:val="00011482"/>
    <w:rsid w:val="000125C0"/>
    <w:rsid w:val="00013DC2"/>
    <w:rsid w:val="00014B9F"/>
    <w:rsid w:val="00015CFE"/>
    <w:rsid w:val="0001631B"/>
    <w:rsid w:val="00017645"/>
    <w:rsid w:val="000241D7"/>
    <w:rsid w:val="000261E6"/>
    <w:rsid w:val="00026C33"/>
    <w:rsid w:val="000273AA"/>
    <w:rsid w:val="000304F4"/>
    <w:rsid w:val="00032C9D"/>
    <w:rsid w:val="000336B2"/>
    <w:rsid w:val="0004060F"/>
    <w:rsid w:val="00047997"/>
    <w:rsid w:val="00051298"/>
    <w:rsid w:val="00053E14"/>
    <w:rsid w:val="000550CA"/>
    <w:rsid w:val="00060108"/>
    <w:rsid w:val="00060791"/>
    <w:rsid w:val="0006183A"/>
    <w:rsid w:val="00061B9D"/>
    <w:rsid w:val="00063960"/>
    <w:rsid w:val="00067A00"/>
    <w:rsid w:val="00067C2B"/>
    <w:rsid w:val="00073932"/>
    <w:rsid w:val="00074029"/>
    <w:rsid w:val="00076982"/>
    <w:rsid w:val="0008172A"/>
    <w:rsid w:val="00082A4A"/>
    <w:rsid w:val="00094A51"/>
    <w:rsid w:val="000957E6"/>
    <w:rsid w:val="000A2B09"/>
    <w:rsid w:val="000A386E"/>
    <w:rsid w:val="000A6B5A"/>
    <w:rsid w:val="000B1FC0"/>
    <w:rsid w:val="000B20E0"/>
    <w:rsid w:val="000C19E9"/>
    <w:rsid w:val="000C6C24"/>
    <w:rsid w:val="000D0E47"/>
    <w:rsid w:val="000D1812"/>
    <w:rsid w:val="000D2D2D"/>
    <w:rsid w:val="000D55C4"/>
    <w:rsid w:val="000D6B46"/>
    <w:rsid w:val="000E2FE4"/>
    <w:rsid w:val="000E3B84"/>
    <w:rsid w:val="000E48B8"/>
    <w:rsid w:val="000E5D24"/>
    <w:rsid w:val="000E6559"/>
    <w:rsid w:val="000F465F"/>
    <w:rsid w:val="000F502A"/>
    <w:rsid w:val="000F54F2"/>
    <w:rsid w:val="0010159D"/>
    <w:rsid w:val="001019CC"/>
    <w:rsid w:val="00101C2A"/>
    <w:rsid w:val="00103576"/>
    <w:rsid w:val="00103E1F"/>
    <w:rsid w:val="001051C8"/>
    <w:rsid w:val="00106AC0"/>
    <w:rsid w:val="00112239"/>
    <w:rsid w:val="001158D2"/>
    <w:rsid w:val="001238FC"/>
    <w:rsid w:val="0013064A"/>
    <w:rsid w:val="0013499D"/>
    <w:rsid w:val="00137D32"/>
    <w:rsid w:val="0014374C"/>
    <w:rsid w:val="00144DA4"/>
    <w:rsid w:val="00145087"/>
    <w:rsid w:val="00145A4A"/>
    <w:rsid w:val="001460DF"/>
    <w:rsid w:val="001513C9"/>
    <w:rsid w:val="00152E7A"/>
    <w:rsid w:val="00154830"/>
    <w:rsid w:val="0015568B"/>
    <w:rsid w:val="00163DCA"/>
    <w:rsid w:val="00164115"/>
    <w:rsid w:val="00164C08"/>
    <w:rsid w:val="00173B5A"/>
    <w:rsid w:val="001803E9"/>
    <w:rsid w:val="001812C0"/>
    <w:rsid w:val="001831F0"/>
    <w:rsid w:val="00185685"/>
    <w:rsid w:val="00186B57"/>
    <w:rsid w:val="00192118"/>
    <w:rsid w:val="001A07DF"/>
    <w:rsid w:val="001A270F"/>
    <w:rsid w:val="001A3729"/>
    <w:rsid w:val="001A4469"/>
    <w:rsid w:val="001A4B5C"/>
    <w:rsid w:val="001A5A2F"/>
    <w:rsid w:val="001B1965"/>
    <w:rsid w:val="001B33BB"/>
    <w:rsid w:val="001C201C"/>
    <w:rsid w:val="001C6A68"/>
    <w:rsid w:val="001E329A"/>
    <w:rsid w:val="001E46D7"/>
    <w:rsid w:val="001E5689"/>
    <w:rsid w:val="001E743C"/>
    <w:rsid w:val="001F647E"/>
    <w:rsid w:val="001F6653"/>
    <w:rsid w:val="00202311"/>
    <w:rsid w:val="00210226"/>
    <w:rsid w:val="00213675"/>
    <w:rsid w:val="002136B5"/>
    <w:rsid w:val="0021421D"/>
    <w:rsid w:val="00215A57"/>
    <w:rsid w:val="002205E9"/>
    <w:rsid w:val="00221F65"/>
    <w:rsid w:val="00224E78"/>
    <w:rsid w:val="002254B1"/>
    <w:rsid w:val="002336CA"/>
    <w:rsid w:val="00234562"/>
    <w:rsid w:val="00234831"/>
    <w:rsid w:val="00236C36"/>
    <w:rsid w:val="00240730"/>
    <w:rsid w:val="00240927"/>
    <w:rsid w:val="00240FCE"/>
    <w:rsid w:val="00243F91"/>
    <w:rsid w:val="00244420"/>
    <w:rsid w:val="00246835"/>
    <w:rsid w:val="0024696D"/>
    <w:rsid w:val="00252021"/>
    <w:rsid w:val="00252D72"/>
    <w:rsid w:val="0025448C"/>
    <w:rsid w:val="0026031B"/>
    <w:rsid w:val="00265A17"/>
    <w:rsid w:val="00265C0E"/>
    <w:rsid w:val="00266138"/>
    <w:rsid w:val="00273532"/>
    <w:rsid w:val="00282125"/>
    <w:rsid w:val="00285BE7"/>
    <w:rsid w:val="00285D65"/>
    <w:rsid w:val="00291834"/>
    <w:rsid w:val="00291D5A"/>
    <w:rsid w:val="00295A86"/>
    <w:rsid w:val="002A29ED"/>
    <w:rsid w:val="002B732D"/>
    <w:rsid w:val="002C3720"/>
    <w:rsid w:val="002C3FE0"/>
    <w:rsid w:val="002C4A4D"/>
    <w:rsid w:val="002C524F"/>
    <w:rsid w:val="002C572D"/>
    <w:rsid w:val="002C6331"/>
    <w:rsid w:val="002D0B77"/>
    <w:rsid w:val="002D1DE6"/>
    <w:rsid w:val="002D3D0C"/>
    <w:rsid w:val="002D4E22"/>
    <w:rsid w:val="002D6556"/>
    <w:rsid w:val="002E6104"/>
    <w:rsid w:val="002F0835"/>
    <w:rsid w:val="002F3AC0"/>
    <w:rsid w:val="002F73E1"/>
    <w:rsid w:val="002F7458"/>
    <w:rsid w:val="002F7D18"/>
    <w:rsid w:val="00300365"/>
    <w:rsid w:val="0030227B"/>
    <w:rsid w:val="00304A39"/>
    <w:rsid w:val="0030613C"/>
    <w:rsid w:val="0031126B"/>
    <w:rsid w:val="003141AA"/>
    <w:rsid w:val="0032532A"/>
    <w:rsid w:val="00325A9B"/>
    <w:rsid w:val="00332B92"/>
    <w:rsid w:val="003375F4"/>
    <w:rsid w:val="00340297"/>
    <w:rsid w:val="00351667"/>
    <w:rsid w:val="00352BB1"/>
    <w:rsid w:val="003560F6"/>
    <w:rsid w:val="003600BA"/>
    <w:rsid w:val="003618AD"/>
    <w:rsid w:val="00366CF6"/>
    <w:rsid w:val="00371197"/>
    <w:rsid w:val="00371679"/>
    <w:rsid w:val="003729BA"/>
    <w:rsid w:val="00372CA3"/>
    <w:rsid w:val="00374AD4"/>
    <w:rsid w:val="00377C69"/>
    <w:rsid w:val="00377F4E"/>
    <w:rsid w:val="003827C2"/>
    <w:rsid w:val="00391EEC"/>
    <w:rsid w:val="00392084"/>
    <w:rsid w:val="0039432A"/>
    <w:rsid w:val="0039733F"/>
    <w:rsid w:val="003A0253"/>
    <w:rsid w:val="003A18F9"/>
    <w:rsid w:val="003A5195"/>
    <w:rsid w:val="003A6F03"/>
    <w:rsid w:val="003B0416"/>
    <w:rsid w:val="003B259F"/>
    <w:rsid w:val="003B4E67"/>
    <w:rsid w:val="003C10AE"/>
    <w:rsid w:val="003C35A9"/>
    <w:rsid w:val="003C6589"/>
    <w:rsid w:val="003D2192"/>
    <w:rsid w:val="003D35DA"/>
    <w:rsid w:val="003D3707"/>
    <w:rsid w:val="003E388B"/>
    <w:rsid w:val="003E4637"/>
    <w:rsid w:val="003F211C"/>
    <w:rsid w:val="00402175"/>
    <w:rsid w:val="004075F8"/>
    <w:rsid w:val="00422994"/>
    <w:rsid w:val="00422995"/>
    <w:rsid w:val="004255A7"/>
    <w:rsid w:val="00430796"/>
    <w:rsid w:val="00432CBB"/>
    <w:rsid w:val="00433D6B"/>
    <w:rsid w:val="00435B02"/>
    <w:rsid w:val="00444E2A"/>
    <w:rsid w:val="00446BF2"/>
    <w:rsid w:val="00452B5D"/>
    <w:rsid w:val="00453B45"/>
    <w:rsid w:val="00453CF7"/>
    <w:rsid w:val="00453E49"/>
    <w:rsid w:val="00455115"/>
    <w:rsid w:val="0045541D"/>
    <w:rsid w:val="0045622E"/>
    <w:rsid w:val="00456D89"/>
    <w:rsid w:val="00461E08"/>
    <w:rsid w:val="00464721"/>
    <w:rsid w:val="00465072"/>
    <w:rsid w:val="00467CB3"/>
    <w:rsid w:val="0047113E"/>
    <w:rsid w:val="00471DD0"/>
    <w:rsid w:val="00477802"/>
    <w:rsid w:val="004837DB"/>
    <w:rsid w:val="004838B9"/>
    <w:rsid w:val="00484A9D"/>
    <w:rsid w:val="00487B7A"/>
    <w:rsid w:val="00490A00"/>
    <w:rsid w:val="0049316C"/>
    <w:rsid w:val="004962A3"/>
    <w:rsid w:val="004B577A"/>
    <w:rsid w:val="004B794F"/>
    <w:rsid w:val="004C6359"/>
    <w:rsid w:val="004D115D"/>
    <w:rsid w:val="004D1CD6"/>
    <w:rsid w:val="004E1DB6"/>
    <w:rsid w:val="004F071C"/>
    <w:rsid w:val="004F2B41"/>
    <w:rsid w:val="004F3674"/>
    <w:rsid w:val="004F5690"/>
    <w:rsid w:val="004F750C"/>
    <w:rsid w:val="00504E14"/>
    <w:rsid w:val="0050569B"/>
    <w:rsid w:val="00507C87"/>
    <w:rsid w:val="0051538C"/>
    <w:rsid w:val="00516D65"/>
    <w:rsid w:val="0052135F"/>
    <w:rsid w:val="005233F2"/>
    <w:rsid w:val="0052551C"/>
    <w:rsid w:val="00525972"/>
    <w:rsid w:val="00526447"/>
    <w:rsid w:val="00531043"/>
    <w:rsid w:val="00532C1D"/>
    <w:rsid w:val="005340EA"/>
    <w:rsid w:val="005341D1"/>
    <w:rsid w:val="00534559"/>
    <w:rsid w:val="005355DE"/>
    <w:rsid w:val="005363A2"/>
    <w:rsid w:val="00540D80"/>
    <w:rsid w:val="005416C0"/>
    <w:rsid w:val="005446B5"/>
    <w:rsid w:val="005466EF"/>
    <w:rsid w:val="00551765"/>
    <w:rsid w:val="00552785"/>
    <w:rsid w:val="00553C7A"/>
    <w:rsid w:val="0055445B"/>
    <w:rsid w:val="00554A1C"/>
    <w:rsid w:val="00557161"/>
    <w:rsid w:val="00561C2C"/>
    <w:rsid w:val="00565D69"/>
    <w:rsid w:val="005663BA"/>
    <w:rsid w:val="005700FC"/>
    <w:rsid w:val="00570F20"/>
    <w:rsid w:val="005726D3"/>
    <w:rsid w:val="00573711"/>
    <w:rsid w:val="00573F63"/>
    <w:rsid w:val="00574AF4"/>
    <w:rsid w:val="00575CE1"/>
    <w:rsid w:val="0057627A"/>
    <w:rsid w:val="00577B06"/>
    <w:rsid w:val="00583B54"/>
    <w:rsid w:val="0058566F"/>
    <w:rsid w:val="00586D03"/>
    <w:rsid w:val="00590111"/>
    <w:rsid w:val="0059228F"/>
    <w:rsid w:val="00592314"/>
    <w:rsid w:val="005934D4"/>
    <w:rsid w:val="005972DF"/>
    <w:rsid w:val="005A2F4E"/>
    <w:rsid w:val="005A3E43"/>
    <w:rsid w:val="005A4BB8"/>
    <w:rsid w:val="005A6F1F"/>
    <w:rsid w:val="005B1A94"/>
    <w:rsid w:val="005B3980"/>
    <w:rsid w:val="005B3B24"/>
    <w:rsid w:val="005B4DBE"/>
    <w:rsid w:val="005B5F5B"/>
    <w:rsid w:val="005C0411"/>
    <w:rsid w:val="005C2405"/>
    <w:rsid w:val="005C2CE9"/>
    <w:rsid w:val="005C600E"/>
    <w:rsid w:val="005C676A"/>
    <w:rsid w:val="005C6C1F"/>
    <w:rsid w:val="005D291E"/>
    <w:rsid w:val="005D383A"/>
    <w:rsid w:val="005D3C26"/>
    <w:rsid w:val="005D5D32"/>
    <w:rsid w:val="005E4BC8"/>
    <w:rsid w:val="005E4C08"/>
    <w:rsid w:val="005F05E0"/>
    <w:rsid w:val="005F094B"/>
    <w:rsid w:val="005F0ADF"/>
    <w:rsid w:val="005F4300"/>
    <w:rsid w:val="005F4450"/>
    <w:rsid w:val="005F47BB"/>
    <w:rsid w:val="005F6482"/>
    <w:rsid w:val="00600041"/>
    <w:rsid w:val="006012E7"/>
    <w:rsid w:val="00603A95"/>
    <w:rsid w:val="00607687"/>
    <w:rsid w:val="00612141"/>
    <w:rsid w:val="0061280D"/>
    <w:rsid w:val="006137BA"/>
    <w:rsid w:val="0061739B"/>
    <w:rsid w:val="00620556"/>
    <w:rsid w:val="006211AA"/>
    <w:rsid w:val="006224B0"/>
    <w:rsid w:val="00622714"/>
    <w:rsid w:val="0062EEDA"/>
    <w:rsid w:val="00631CEC"/>
    <w:rsid w:val="00631F7C"/>
    <w:rsid w:val="00637764"/>
    <w:rsid w:val="00642FA8"/>
    <w:rsid w:val="006476BA"/>
    <w:rsid w:val="00647A07"/>
    <w:rsid w:val="00650256"/>
    <w:rsid w:val="00650E7B"/>
    <w:rsid w:val="00651FF8"/>
    <w:rsid w:val="0065479B"/>
    <w:rsid w:val="00654F91"/>
    <w:rsid w:val="00656CA8"/>
    <w:rsid w:val="0066116C"/>
    <w:rsid w:val="0066229B"/>
    <w:rsid w:val="00664BCB"/>
    <w:rsid w:val="00665AE0"/>
    <w:rsid w:val="00671340"/>
    <w:rsid w:val="0067507C"/>
    <w:rsid w:val="00677693"/>
    <w:rsid w:val="00690432"/>
    <w:rsid w:val="00690685"/>
    <w:rsid w:val="006937A2"/>
    <w:rsid w:val="00693FD0"/>
    <w:rsid w:val="00694ED9"/>
    <w:rsid w:val="00695656"/>
    <w:rsid w:val="00696849"/>
    <w:rsid w:val="006A1118"/>
    <w:rsid w:val="006A5513"/>
    <w:rsid w:val="006A5FA8"/>
    <w:rsid w:val="006B302A"/>
    <w:rsid w:val="006B7000"/>
    <w:rsid w:val="006B7C48"/>
    <w:rsid w:val="006C32A6"/>
    <w:rsid w:val="006C35C3"/>
    <w:rsid w:val="006C7C3C"/>
    <w:rsid w:val="006D3FB9"/>
    <w:rsid w:val="006D4826"/>
    <w:rsid w:val="006D61A6"/>
    <w:rsid w:val="006D6E7E"/>
    <w:rsid w:val="006E0ED9"/>
    <w:rsid w:val="006E39C6"/>
    <w:rsid w:val="006E4A90"/>
    <w:rsid w:val="006E52E5"/>
    <w:rsid w:val="006E6C53"/>
    <w:rsid w:val="006F1207"/>
    <w:rsid w:val="006F26FD"/>
    <w:rsid w:val="006F796F"/>
    <w:rsid w:val="00700115"/>
    <w:rsid w:val="007007B9"/>
    <w:rsid w:val="00707362"/>
    <w:rsid w:val="00707C56"/>
    <w:rsid w:val="0071001B"/>
    <w:rsid w:val="0071257D"/>
    <w:rsid w:val="00712F9E"/>
    <w:rsid w:val="007134B8"/>
    <w:rsid w:val="00714EB2"/>
    <w:rsid w:val="00720043"/>
    <w:rsid w:val="00731BB1"/>
    <w:rsid w:val="00732B8A"/>
    <w:rsid w:val="007340B9"/>
    <w:rsid w:val="00735DAB"/>
    <w:rsid w:val="00741BAF"/>
    <w:rsid w:val="00744E48"/>
    <w:rsid w:val="00746B2E"/>
    <w:rsid w:val="00746E3E"/>
    <w:rsid w:val="00746F3C"/>
    <w:rsid w:val="007511D3"/>
    <w:rsid w:val="007534F9"/>
    <w:rsid w:val="0075369B"/>
    <w:rsid w:val="007548CC"/>
    <w:rsid w:val="00754A40"/>
    <w:rsid w:val="00755CFF"/>
    <w:rsid w:val="00761F65"/>
    <w:rsid w:val="00770970"/>
    <w:rsid w:val="00770EEF"/>
    <w:rsid w:val="00771CFF"/>
    <w:rsid w:val="00771F7F"/>
    <w:rsid w:val="00776AFF"/>
    <w:rsid w:val="00777A93"/>
    <w:rsid w:val="0078015A"/>
    <w:rsid w:val="00781046"/>
    <w:rsid w:val="00791FB9"/>
    <w:rsid w:val="00792883"/>
    <w:rsid w:val="00792DF5"/>
    <w:rsid w:val="007936F3"/>
    <w:rsid w:val="00794348"/>
    <w:rsid w:val="0079650F"/>
    <w:rsid w:val="0079704C"/>
    <w:rsid w:val="007A4C5E"/>
    <w:rsid w:val="007B1FF1"/>
    <w:rsid w:val="007B361B"/>
    <w:rsid w:val="007B3E78"/>
    <w:rsid w:val="007B55EA"/>
    <w:rsid w:val="007C2E51"/>
    <w:rsid w:val="007C44D4"/>
    <w:rsid w:val="007C4A28"/>
    <w:rsid w:val="007D5866"/>
    <w:rsid w:val="007D5F27"/>
    <w:rsid w:val="007D63A5"/>
    <w:rsid w:val="007E0AED"/>
    <w:rsid w:val="007E1B65"/>
    <w:rsid w:val="007E2252"/>
    <w:rsid w:val="007E5F66"/>
    <w:rsid w:val="007F792E"/>
    <w:rsid w:val="007FC9FF"/>
    <w:rsid w:val="00802B2C"/>
    <w:rsid w:val="00804912"/>
    <w:rsid w:val="008057F1"/>
    <w:rsid w:val="00811C7C"/>
    <w:rsid w:val="0082345F"/>
    <w:rsid w:val="00825175"/>
    <w:rsid w:val="00827861"/>
    <w:rsid w:val="00830879"/>
    <w:rsid w:val="008330F8"/>
    <w:rsid w:val="00834A9D"/>
    <w:rsid w:val="008354B7"/>
    <w:rsid w:val="00836280"/>
    <w:rsid w:val="0084092D"/>
    <w:rsid w:val="00842245"/>
    <w:rsid w:val="0084448F"/>
    <w:rsid w:val="00844D83"/>
    <w:rsid w:val="00845125"/>
    <w:rsid w:val="00846465"/>
    <w:rsid w:val="00846AA1"/>
    <w:rsid w:val="00846F4B"/>
    <w:rsid w:val="008523E9"/>
    <w:rsid w:val="008526EB"/>
    <w:rsid w:val="00857617"/>
    <w:rsid w:val="00863E09"/>
    <w:rsid w:val="00867045"/>
    <w:rsid w:val="008703CA"/>
    <w:rsid w:val="00870ABB"/>
    <w:rsid w:val="008765A0"/>
    <w:rsid w:val="00880C7D"/>
    <w:rsid w:val="00887D2A"/>
    <w:rsid w:val="008904FF"/>
    <w:rsid w:val="00890C8C"/>
    <w:rsid w:val="00890EF1"/>
    <w:rsid w:val="008A28F8"/>
    <w:rsid w:val="008A2F02"/>
    <w:rsid w:val="008A3BC9"/>
    <w:rsid w:val="008A5BFF"/>
    <w:rsid w:val="008A6E88"/>
    <w:rsid w:val="008B2F28"/>
    <w:rsid w:val="008B4B14"/>
    <w:rsid w:val="008B5CA6"/>
    <w:rsid w:val="008C0CA5"/>
    <w:rsid w:val="008C6F3F"/>
    <w:rsid w:val="008C727E"/>
    <w:rsid w:val="008C7CE3"/>
    <w:rsid w:val="008D1683"/>
    <w:rsid w:val="008D436E"/>
    <w:rsid w:val="008D66A4"/>
    <w:rsid w:val="008E2BC3"/>
    <w:rsid w:val="008E335A"/>
    <w:rsid w:val="008E38B5"/>
    <w:rsid w:val="008E67DC"/>
    <w:rsid w:val="008F093A"/>
    <w:rsid w:val="008F302E"/>
    <w:rsid w:val="008F3220"/>
    <w:rsid w:val="008F3E5D"/>
    <w:rsid w:val="00900191"/>
    <w:rsid w:val="009019C6"/>
    <w:rsid w:val="009074B2"/>
    <w:rsid w:val="009106A0"/>
    <w:rsid w:val="009121C5"/>
    <w:rsid w:val="009134E3"/>
    <w:rsid w:val="009137AB"/>
    <w:rsid w:val="00914801"/>
    <w:rsid w:val="00917BB1"/>
    <w:rsid w:val="009216A2"/>
    <w:rsid w:val="00922DBB"/>
    <w:rsid w:val="00924FA7"/>
    <w:rsid w:val="00930933"/>
    <w:rsid w:val="00934FC4"/>
    <w:rsid w:val="00936B5F"/>
    <w:rsid w:val="00941B0F"/>
    <w:rsid w:val="00944B48"/>
    <w:rsid w:val="009526E2"/>
    <w:rsid w:val="00955AA1"/>
    <w:rsid w:val="00957A78"/>
    <w:rsid w:val="00960684"/>
    <w:rsid w:val="00964BA4"/>
    <w:rsid w:val="00966B46"/>
    <w:rsid w:val="00966EEF"/>
    <w:rsid w:val="009705A6"/>
    <w:rsid w:val="00972627"/>
    <w:rsid w:val="00975131"/>
    <w:rsid w:val="00975B04"/>
    <w:rsid w:val="009808E5"/>
    <w:rsid w:val="00986D59"/>
    <w:rsid w:val="00987679"/>
    <w:rsid w:val="00990538"/>
    <w:rsid w:val="00992B77"/>
    <w:rsid w:val="00994A56"/>
    <w:rsid w:val="0099644C"/>
    <w:rsid w:val="009964D3"/>
    <w:rsid w:val="009A05E9"/>
    <w:rsid w:val="009A1B13"/>
    <w:rsid w:val="009B059B"/>
    <w:rsid w:val="009B05FD"/>
    <w:rsid w:val="009B21CE"/>
    <w:rsid w:val="009B5415"/>
    <w:rsid w:val="009C44B8"/>
    <w:rsid w:val="009C46F0"/>
    <w:rsid w:val="009C4FFF"/>
    <w:rsid w:val="009C5BE9"/>
    <w:rsid w:val="009C72DB"/>
    <w:rsid w:val="009D2F1E"/>
    <w:rsid w:val="009E04CB"/>
    <w:rsid w:val="009E1573"/>
    <w:rsid w:val="009E43AE"/>
    <w:rsid w:val="009E5ED8"/>
    <w:rsid w:val="009F0011"/>
    <w:rsid w:val="009F61BB"/>
    <w:rsid w:val="009F6A99"/>
    <w:rsid w:val="009F75C6"/>
    <w:rsid w:val="00A00DE2"/>
    <w:rsid w:val="00A0417A"/>
    <w:rsid w:val="00A04628"/>
    <w:rsid w:val="00A0528A"/>
    <w:rsid w:val="00A06675"/>
    <w:rsid w:val="00A07FAD"/>
    <w:rsid w:val="00A104FE"/>
    <w:rsid w:val="00A11B2F"/>
    <w:rsid w:val="00A13BC2"/>
    <w:rsid w:val="00A13D20"/>
    <w:rsid w:val="00A244FB"/>
    <w:rsid w:val="00A2562F"/>
    <w:rsid w:val="00A26813"/>
    <w:rsid w:val="00A26F89"/>
    <w:rsid w:val="00A317FB"/>
    <w:rsid w:val="00A33995"/>
    <w:rsid w:val="00A3480C"/>
    <w:rsid w:val="00A35A5B"/>
    <w:rsid w:val="00A35D92"/>
    <w:rsid w:val="00A37290"/>
    <w:rsid w:val="00A37B0D"/>
    <w:rsid w:val="00A402D3"/>
    <w:rsid w:val="00A42268"/>
    <w:rsid w:val="00A43BB1"/>
    <w:rsid w:val="00A44327"/>
    <w:rsid w:val="00A44A29"/>
    <w:rsid w:val="00A46358"/>
    <w:rsid w:val="00A51444"/>
    <w:rsid w:val="00A55229"/>
    <w:rsid w:val="00A5736B"/>
    <w:rsid w:val="00A579E8"/>
    <w:rsid w:val="00A64E59"/>
    <w:rsid w:val="00A65F55"/>
    <w:rsid w:val="00A670C8"/>
    <w:rsid w:val="00A71415"/>
    <w:rsid w:val="00A7272D"/>
    <w:rsid w:val="00A77DC3"/>
    <w:rsid w:val="00A82A21"/>
    <w:rsid w:val="00A87156"/>
    <w:rsid w:val="00A94A0F"/>
    <w:rsid w:val="00AA1EE7"/>
    <w:rsid w:val="00AA5CA6"/>
    <w:rsid w:val="00AB194D"/>
    <w:rsid w:val="00AB21ED"/>
    <w:rsid w:val="00AB3A07"/>
    <w:rsid w:val="00AB5800"/>
    <w:rsid w:val="00AC2B41"/>
    <w:rsid w:val="00AC4819"/>
    <w:rsid w:val="00AC70C0"/>
    <w:rsid w:val="00AD6A4B"/>
    <w:rsid w:val="00AE24F3"/>
    <w:rsid w:val="00AE28A5"/>
    <w:rsid w:val="00AE4666"/>
    <w:rsid w:val="00AE61B2"/>
    <w:rsid w:val="00AF6467"/>
    <w:rsid w:val="00B01FA3"/>
    <w:rsid w:val="00B053DE"/>
    <w:rsid w:val="00B06717"/>
    <w:rsid w:val="00B104D9"/>
    <w:rsid w:val="00B10B71"/>
    <w:rsid w:val="00B115AD"/>
    <w:rsid w:val="00B11660"/>
    <w:rsid w:val="00B141ED"/>
    <w:rsid w:val="00B15A36"/>
    <w:rsid w:val="00B163B1"/>
    <w:rsid w:val="00B174D6"/>
    <w:rsid w:val="00B17791"/>
    <w:rsid w:val="00B17846"/>
    <w:rsid w:val="00B17B87"/>
    <w:rsid w:val="00B2584E"/>
    <w:rsid w:val="00B270CB"/>
    <w:rsid w:val="00B27B74"/>
    <w:rsid w:val="00B3229A"/>
    <w:rsid w:val="00B35F7D"/>
    <w:rsid w:val="00B366DA"/>
    <w:rsid w:val="00B3698C"/>
    <w:rsid w:val="00B36D9A"/>
    <w:rsid w:val="00B37916"/>
    <w:rsid w:val="00B401A2"/>
    <w:rsid w:val="00B433C3"/>
    <w:rsid w:val="00B4446A"/>
    <w:rsid w:val="00B46381"/>
    <w:rsid w:val="00B50F25"/>
    <w:rsid w:val="00B545A3"/>
    <w:rsid w:val="00B54FD9"/>
    <w:rsid w:val="00B55EF4"/>
    <w:rsid w:val="00B5694B"/>
    <w:rsid w:val="00B62BC6"/>
    <w:rsid w:val="00B6302E"/>
    <w:rsid w:val="00B635BE"/>
    <w:rsid w:val="00B63EF3"/>
    <w:rsid w:val="00B64624"/>
    <w:rsid w:val="00B64C6E"/>
    <w:rsid w:val="00B651BB"/>
    <w:rsid w:val="00B71E6F"/>
    <w:rsid w:val="00B76DCC"/>
    <w:rsid w:val="00B801B0"/>
    <w:rsid w:val="00B82285"/>
    <w:rsid w:val="00B82EAD"/>
    <w:rsid w:val="00B84C89"/>
    <w:rsid w:val="00B85E6F"/>
    <w:rsid w:val="00B86312"/>
    <w:rsid w:val="00BA04E4"/>
    <w:rsid w:val="00BA1BA0"/>
    <w:rsid w:val="00BA3D77"/>
    <w:rsid w:val="00BA4FEF"/>
    <w:rsid w:val="00BA7567"/>
    <w:rsid w:val="00BA7BF8"/>
    <w:rsid w:val="00BB01E4"/>
    <w:rsid w:val="00BB246B"/>
    <w:rsid w:val="00BB6925"/>
    <w:rsid w:val="00BC097D"/>
    <w:rsid w:val="00BC10EC"/>
    <w:rsid w:val="00BC32FA"/>
    <w:rsid w:val="00BC7AEC"/>
    <w:rsid w:val="00BD069F"/>
    <w:rsid w:val="00BD0F7F"/>
    <w:rsid w:val="00BD270C"/>
    <w:rsid w:val="00BD3C82"/>
    <w:rsid w:val="00BE08D5"/>
    <w:rsid w:val="00BE329F"/>
    <w:rsid w:val="00BE3416"/>
    <w:rsid w:val="00BE4146"/>
    <w:rsid w:val="00BE4331"/>
    <w:rsid w:val="00BE4BC4"/>
    <w:rsid w:val="00BE68D4"/>
    <w:rsid w:val="00BF261C"/>
    <w:rsid w:val="00BF6C5F"/>
    <w:rsid w:val="00BF7328"/>
    <w:rsid w:val="00C02B1C"/>
    <w:rsid w:val="00C11A39"/>
    <w:rsid w:val="00C12195"/>
    <w:rsid w:val="00C140BD"/>
    <w:rsid w:val="00C17B49"/>
    <w:rsid w:val="00C20F2D"/>
    <w:rsid w:val="00C2446B"/>
    <w:rsid w:val="00C31109"/>
    <w:rsid w:val="00C37279"/>
    <w:rsid w:val="00C42662"/>
    <w:rsid w:val="00C47D66"/>
    <w:rsid w:val="00C505F7"/>
    <w:rsid w:val="00C550D6"/>
    <w:rsid w:val="00C61CEA"/>
    <w:rsid w:val="00C63F62"/>
    <w:rsid w:val="00C67704"/>
    <w:rsid w:val="00C7135D"/>
    <w:rsid w:val="00C7259D"/>
    <w:rsid w:val="00C73541"/>
    <w:rsid w:val="00C736B5"/>
    <w:rsid w:val="00C7459B"/>
    <w:rsid w:val="00C74E96"/>
    <w:rsid w:val="00C81840"/>
    <w:rsid w:val="00C81E46"/>
    <w:rsid w:val="00C8264B"/>
    <w:rsid w:val="00C83179"/>
    <w:rsid w:val="00C87F32"/>
    <w:rsid w:val="00C90326"/>
    <w:rsid w:val="00C91DF5"/>
    <w:rsid w:val="00C9223E"/>
    <w:rsid w:val="00C96CF5"/>
    <w:rsid w:val="00CA0329"/>
    <w:rsid w:val="00CA1BEB"/>
    <w:rsid w:val="00CA3B86"/>
    <w:rsid w:val="00CA4A34"/>
    <w:rsid w:val="00CA50D4"/>
    <w:rsid w:val="00CB0572"/>
    <w:rsid w:val="00CB1093"/>
    <w:rsid w:val="00CB169E"/>
    <w:rsid w:val="00CB1EF3"/>
    <w:rsid w:val="00CB37ED"/>
    <w:rsid w:val="00CB4D6E"/>
    <w:rsid w:val="00CB6F56"/>
    <w:rsid w:val="00CB6F76"/>
    <w:rsid w:val="00CC0CE9"/>
    <w:rsid w:val="00CC14FA"/>
    <w:rsid w:val="00CC3470"/>
    <w:rsid w:val="00CD22F6"/>
    <w:rsid w:val="00CD3626"/>
    <w:rsid w:val="00CD38E8"/>
    <w:rsid w:val="00CD45E7"/>
    <w:rsid w:val="00CE7973"/>
    <w:rsid w:val="00CF0467"/>
    <w:rsid w:val="00CF1E59"/>
    <w:rsid w:val="00CF7CF2"/>
    <w:rsid w:val="00D01560"/>
    <w:rsid w:val="00D053AD"/>
    <w:rsid w:val="00D054C1"/>
    <w:rsid w:val="00D073DE"/>
    <w:rsid w:val="00D1029C"/>
    <w:rsid w:val="00D113FE"/>
    <w:rsid w:val="00D1299D"/>
    <w:rsid w:val="00D1443A"/>
    <w:rsid w:val="00D1642C"/>
    <w:rsid w:val="00D16F6F"/>
    <w:rsid w:val="00D2311A"/>
    <w:rsid w:val="00D2339B"/>
    <w:rsid w:val="00D26533"/>
    <w:rsid w:val="00D27368"/>
    <w:rsid w:val="00D34AAC"/>
    <w:rsid w:val="00D35AEF"/>
    <w:rsid w:val="00D35FB6"/>
    <w:rsid w:val="00D5211C"/>
    <w:rsid w:val="00D526AE"/>
    <w:rsid w:val="00D63AF4"/>
    <w:rsid w:val="00D64011"/>
    <w:rsid w:val="00D64DF9"/>
    <w:rsid w:val="00D6528B"/>
    <w:rsid w:val="00D65366"/>
    <w:rsid w:val="00D662E4"/>
    <w:rsid w:val="00D667A0"/>
    <w:rsid w:val="00D70259"/>
    <w:rsid w:val="00D80D7B"/>
    <w:rsid w:val="00D8430A"/>
    <w:rsid w:val="00D90DBA"/>
    <w:rsid w:val="00D913A1"/>
    <w:rsid w:val="00D966C4"/>
    <w:rsid w:val="00DA16EB"/>
    <w:rsid w:val="00DA298C"/>
    <w:rsid w:val="00DA5B57"/>
    <w:rsid w:val="00DB3C76"/>
    <w:rsid w:val="00DB4570"/>
    <w:rsid w:val="00DB7421"/>
    <w:rsid w:val="00DB7F3E"/>
    <w:rsid w:val="00DC1C2E"/>
    <w:rsid w:val="00DC27A3"/>
    <w:rsid w:val="00DC5830"/>
    <w:rsid w:val="00DC7244"/>
    <w:rsid w:val="00DD07F6"/>
    <w:rsid w:val="00DD27D4"/>
    <w:rsid w:val="00DD594F"/>
    <w:rsid w:val="00DE071E"/>
    <w:rsid w:val="00DE1659"/>
    <w:rsid w:val="00DE354B"/>
    <w:rsid w:val="00DE6AB5"/>
    <w:rsid w:val="00DE77CB"/>
    <w:rsid w:val="00DF5E57"/>
    <w:rsid w:val="00E03462"/>
    <w:rsid w:val="00E04560"/>
    <w:rsid w:val="00E07740"/>
    <w:rsid w:val="00E110F7"/>
    <w:rsid w:val="00E15247"/>
    <w:rsid w:val="00E1611D"/>
    <w:rsid w:val="00E23740"/>
    <w:rsid w:val="00E23E27"/>
    <w:rsid w:val="00E25715"/>
    <w:rsid w:val="00E34B39"/>
    <w:rsid w:val="00E40B2C"/>
    <w:rsid w:val="00E46FDA"/>
    <w:rsid w:val="00E475F4"/>
    <w:rsid w:val="00E56F9E"/>
    <w:rsid w:val="00E57D4B"/>
    <w:rsid w:val="00E60768"/>
    <w:rsid w:val="00E63822"/>
    <w:rsid w:val="00E65F6A"/>
    <w:rsid w:val="00E6618D"/>
    <w:rsid w:val="00E71146"/>
    <w:rsid w:val="00E71550"/>
    <w:rsid w:val="00E73A91"/>
    <w:rsid w:val="00E75541"/>
    <w:rsid w:val="00E83DCB"/>
    <w:rsid w:val="00E852AE"/>
    <w:rsid w:val="00E86488"/>
    <w:rsid w:val="00E91F05"/>
    <w:rsid w:val="00E9531C"/>
    <w:rsid w:val="00E95802"/>
    <w:rsid w:val="00EA30C3"/>
    <w:rsid w:val="00EA6A5E"/>
    <w:rsid w:val="00EB2F64"/>
    <w:rsid w:val="00EB4471"/>
    <w:rsid w:val="00EB450C"/>
    <w:rsid w:val="00EC4C12"/>
    <w:rsid w:val="00EC55DB"/>
    <w:rsid w:val="00EC6B88"/>
    <w:rsid w:val="00EF4E47"/>
    <w:rsid w:val="00EF5216"/>
    <w:rsid w:val="00EF5465"/>
    <w:rsid w:val="00EF5CAA"/>
    <w:rsid w:val="00EF71F5"/>
    <w:rsid w:val="00F02124"/>
    <w:rsid w:val="00F04C2A"/>
    <w:rsid w:val="00F05908"/>
    <w:rsid w:val="00F05C0D"/>
    <w:rsid w:val="00F10068"/>
    <w:rsid w:val="00F1364E"/>
    <w:rsid w:val="00F1685D"/>
    <w:rsid w:val="00F16915"/>
    <w:rsid w:val="00F20FD2"/>
    <w:rsid w:val="00F26B80"/>
    <w:rsid w:val="00F31A5F"/>
    <w:rsid w:val="00F33405"/>
    <w:rsid w:val="00F372EC"/>
    <w:rsid w:val="00F40245"/>
    <w:rsid w:val="00F4047B"/>
    <w:rsid w:val="00F44A18"/>
    <w:rsid w:val="00F45143"/>
    <w:rsid w:val="00F6297E"/>
    <w:rsid w:val="00F64B90"/>
    <w:rsid w:val="00F708E9"/>
    <w:rsid w:val="00F7136C"/>
    <w:rsid w:val="00F73143"/>
    <w:rsid w:val="00F74E06"/>
    <w:rsid w:val="00F75FFC"/>
    <w:rsid w:val="00F814A0"/>
    <w:rsid w:val="00F849A5"/>
    <w:rsid w:val="00F86860"/>
    <w:rsid w:val="00F912A6"/>
    <w:rsid w:val="00F91F77"/>
    <w:rsid w:val="00FA5492"/>
    <w:rsid w:val="00FB0A65"/>
    <w:rsid w:val="00FB3B54"/>
    <w:rsid w:val="00FB3FFF"/>
    <w:rsid w:val="00FB7474"/>
    <w:rsid w:val="00FC2B75"/>
    <w:rsid w:val="00FC4C81"/>
    <w:rsid w:val="00FC53B1"/>
    <w:rsid w:val="00FC6EEB"/>
    <w:rsid w:val="00FD367C"/>
    <w:rsid w:val="00FD3A97"/>
    <w:rsid w:val="00FD49F4"/>
    <w:rsid w:val="00FD63D6"/>
    <w:rsid w:val="00FE0D96"/>
    <w:rsid w:val="00FE3A22"/>
    <w:rsid w:val="00FF0E69"/>
    <w:rsid w:val="00FF22E3"/>
    <w:rsid w:val="00FF36D5"/>
    <w:rsid w:val="00FF693F"/>
    <w:rsid w:val="0461646A"/>
    <w:rsid w:val="04B2F5E3"/>
    <w:rsid w:val="0537DBB3"/>
    <w:rsid w:val="060D2992"/>
    <w:rsid w:val="06605EC8"/>
    <w:rsid w:val="068CB8DF"/>
    <w:rsid w:val="07E0ABBF"/>
    <w:rsid w:val="08256E37"/>
    <w:rsid w:val="0BA6218A"/>
    <w:rsid w:val="0CE3860F"/>
    <w:rsid w:val="100D5587"/>
    <w:rsid w:val="1171856B"/>
    <w:rsid w:val="13EAB18F"/>
    <w:rsid w:val="15DDA43F"/>
    <w:rsid w:val="172D280E"/>
    <w:rsid w:val="1939F0A3"/>
    <w:rsid w:val="19BA6325"/>
    <w:rsid w:val="1BE934D2"/>
    <w:rsid w:val="26FFC0D7"/>
    <w:rsid w:val="277D5C1C"/>
    <w:rsid w:val="29DA3F67"/>
    <w:rsid w:val="2A3B80CD"/>
    <w:rsid w:val="2A9D3053"/>
    <w:rsid w:val="2C14E71E"/>
    <w:rsid w:val="2E6DA8C9"/>
    <w:rsid w:val="31895E0A"/>
    <w:rsid w:val="34F72BDC"/>
    <w:rsid w:val="3702C05B"/>
    <w:rsid w:val="379C203C"/>
    <w:rsid w:val="383D3072"/>
    <w:rsid w:val="3873CE61"/>
    <w:rsid w:val="38C6E430"/>
    <w:rsid w:val="395CFEC1"/>
    <w:rsid w:val="3B92E74E"/>
    <w:rsid w:val="3CF1BD16"/>
    <w:rsid w:val="3E10E503"/>
    <w:rsid w:val="3F28E40C"/>
    <w:rsid w:val="3FDD60BC"/>
    <w:rsid w:val="4166AB38"/>
    <w:rsid w:val="416FBDAB"/>
    <w:rsid w:val="42DB8E2F"/>
    <w:rsid w:val="435FFA5A"/>
    <w:rsid w:val="4472F59F"/>
    <w:rsid w:val="4489ACFE"/>
    <w:rsid w:val="48C938F6"/>
    <w:rsid w:val="48E95DEE"/>
    <w:rsid w:val="4A43EB14"/>
    <w:rsid w:val="4A9A2C5D"/>
    <w:rsid w:val="4C26A903"/>
    <w:rsid w:val="4D8A0F18"/>
    <w:rsid w:val="4F68B8A9"/>
    <w:rsid w:val="55A25F02"/>
    <w:rsid w:val="5638DF7A"/>
    <w:rsid w:val="56E18CA2"/>
    <w:rsid w:val="5790DD8A"/>
    <w:rsid w:val="59E94BC9"/>
    <w:rsid w:val="5A707FA6"/>
    <w:rsid w:val="5A8DA8F8"/>
    <w:rsid w:val="5BB3EF12"/>
    <w:rsid w:val="5BD2F9EA"/>
    <w:rsid w:val="5C6636BE"/>
    <w:rsid w:val="5D9604A7"/>
    <w:rsid w:val="60DFC12A"/>
    <w:rsid w:val="628C98CF"/>
    <w:rsid w:val="63414AF3"/>
    <w:rsid w:val="63486952"/>
    <w:rsid w:val="658E5489"/>
    <w:rsid w:val="664BC1AE"/>
    <w:rsid w:val="670F21B4"/>
    <w:rsid w:val="6797DEA9"/>
    <w:rsid w:val="6D635C04"/>
    <w:rsid w:val="6F88305E"/>
    <w:rsid w:val="7176A7A7"/>
    <w:rsid w:val="718EBED5"/>
    <w:rsid w:val="7252C507"/>
    <w:rsid w:val="74DF4F73"/>
    <w:rsid w:val="76A3F0AD"/>
    <w:rsid w:val="774F2076"/>
    <w:rsid w:val="775E67E2"/>
    <w:rsid w:val="782029A7"/>
    <w:rsid w:val="79AFDA69"/>
    <w:rsid w:val="7AAC00A9"/>
    <w:rsid w:val="7BAA21C9"/>
    <w:rsid w:val="7F0F04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9F398"/>
  <w15:docId w15:val="{793602A8-CC24-4370-9067-60D1AA8D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IE" w:eastAsia="en-US"/>
    </w:rPr>
  </w:style>
  <w:style w:type="paragraph" w:styleId="Heading1">
    <w:name w:val="heading 1"/>
    <w:basedOn w:val="Normal"/>
    <w:next w:val="Normal"/>
    <w:link w:val="Heading1Char"/>
    <w:uiPriority w:val="9"/>
    <w:qFormat/>
    <w:rsid w:val="009A1B13"/>
    <w:pPr>
      <w:keepNext/>
      <w:numPr>
        <w:numId w:val="9"/>
      </w:numPr>
      <w:suppressAutoHyphens w:val="0"/>
      <w:spacing w:before="360" w:after="120" w:line="240" w:lineRule="auto"/>
      <w:jc w:val="both"/>
      <w:outlineLvl w:val="0"/>
    </w:pPr>
    <w:rPr>
      <w:rFonts w:eastAsiaTheme="majorEastAsia"/>
      <w:b/>
      <w:bCs/>
      <w:smallCaps/>
      <w:sz w:val="24"/>
      <w:szCs w:val="28"/>
      <w:lang w:val="en-GB"/>
    </w:rPr>
  </w:style>
  <w:style w:type="paragraph" w:styleId="Heading2">
    <w:name w:val="heading 2"/>
    <w:basedOn w:val="Normal"/>
    <w:next w:val="Normal"/>
    <w:link w:val="Heading2Char"/>
    <w:uiPriority w:val="9"/>
    <w:semiHidden/>
    <w:unhideWhenUsed/>
    <w:qFormat/>
    <w:rsid w:val="009A1B13"/>
    <w:pPr>
      <w:keepNext/>
      <w:numPr>
        <w:ilvl w:val="1"/>
        <w:numId w:val="9"/>
      </w:numPr>
      <w:suppressAutoHyphens w:val="0"/>
      <w:spacing w:before="120" w:after="120" w:line="240" w:lineRule="auto"/>
      <w:jc w:val="both"/>
      <w:outlineLvl w:val="1"/>
    </w:pPr>
    <w:rPr>
      <w:rFonts w:eastAsiaTheme="majorEastAsia"/>
      <w:b/>
      <w:bCs/>
      <w:sz w:val="24"/>
      <w:szCs w:val="26"/>
      <w:lang w:val="en-GB"/>
    </w:rPr>
  </w:style>
  <w:style w:type="paragraph" w:styleId="Heading3">
    <w:name w:val="heading 3"/>
    <w:basedOn w:val="Normal"/>
    <w:next w:val="Normal"/>
    <w:link w:val="Heading3Char"/>
    <w:uiPriority w:val="9"/>
    <w:semiHidden/>
    <w:unhideWhenUsed/>
    <w:qFormat/>
    <w:rsid w:val="009A1B13"/>
    <w:pPr>
      <w:keepNext/>
      <w:numPr>
        <w:ilvl w:val="2"/>
        <w:numId w:val="9"/>
      </w:numPr>
      <w:suppressAutoHyphens w:val="0"/>
      <w:spacing w:before="120" w:after="120" w:line="240" w:lineRule="auto"/>
      <w:jc w:val="both"/>
      <w:outlineLvl w:val="2"/>
    </w:pPr>
    <w:rPr>
      <w:rFonts w:eastAsiaTheme="majorEastAsia"/>
      <w:bCs/>
      <w:i/>
      <w:sz w:val="24"/>
      <w:szCs w:val="22"/>
      <w:lang w:val="en-GB"/>
    </w:rPr>
  </w:style>
  <w:style w:type="paragraph" w:styleId="Heading4">
    <w:name w:val="heading 4"/>
    <w:basedOn w:val="Normal"/>
    <w:next w:val="Normal"/>
    <w:link w:val="Heading4Char"/>
    <w:uiPriority w:val="9"/>
    <w:semiHidden/>
    <w:unhideWhenUsed/>
    <w:qFormat/>
    <w:rsid w:val="009A1B13"/>
    <w:pPr>
      <w:keepNext/>
      <w:numPr>
        <w:ilvl w:val="3"/>
        <w:numId w:val="9"/>
      </w:numPr>
      <w:suppressAutoHyphens w:val="0"/>
      <w:spacing w:before="120" w:after="120" w:line="240" w:lineRule="auto"/>
      <w:jc w:val="both"/>
      <w:outlineLvl w:val="3"/>
    </w:pPr>
    <w:rPr>
      <w:rFonts w:eastAsiaTheme="majorEastAsia"/>
      <w:bCs/>
      <w:iCs/>
      <w:sz w:val="24"/>
      <w:szCs w:val="22"/>
      <w:lang w:val="en-GB"/>
    </w:rPr>
  </w:style>
  <w:style w:type="paragraph" w:styleId="Heading5">
    <w:name w:val="heading 5"/>
    <w:basedOn w:val="Normal"/>
    <w:next w:val="Normal"/>
    <w:link w:val="Heading5Char"/>
    <w:uiPriority w:val="9"/>
    <w:semiHidden/>
    <w:unhideWhenUsed/>
    <w:qFormat/>
    <w:rsid w:val="009A1B13"/>
    <w:pPr>
      <w:keepNext/>
      <w:numPr>
        <w:ilvl w:val="4"/>
        <w:numId w:val="9"/>
      </w:numPr>
      <w:suppressAutoHyphens w:val="0"/>
      <w:spacing w:before="120" w:after="120" w:line="240" w:lineRule="auto"/>
      <w:jc w:val="both"/>
      <w:outlineLvl w:val="4"/>
    </w:pPr>
    <w:rPr>
      <w:rFonts w:eastAsiaTheme="majorEastAsia"/>
      <w:sz w:val="24"/>
      <w:szCs w:val="22"/>
      <w:lang w:val="en-GB"/>
    </w:rPr>
  </w:style>
  <w:style w:type="paragraph" w:styleId="Heading6">
    <w:name w:val="heading 6"/>
    <w:basedOn w:val="Normal"/>
    <w:next w:val="Normal"/>
    <w:link w:val="Heading6Char"/>
    <w:uiPriority w:val="9"/>
    <w:semiHidden/>
    <w:unhideWhenUsed/>
    <w:qFormat/>
    <w:rsid w:val="009A1B13"/>
    <w:pPr>
      <w:keepNext/>
      <w:numPr>
        <w:ilvl w:val="5"/>
        <w:numId w:val="9"/>
      </w:numPr>
      <w:suppressAutoHyphens w:val="0"/>
      <w:spacing w:before="120" w:after="120" w:line="240" w:lineRule="auto"/>
      <w:jc w:val="both"/>
      <w:outlineLvl w:val="5"/>
    </w:pPr>
    <w:rPr>
      <w:rFonts w:eastAsiaTheme="majorEastAsia"/>
      <w:iCs/>
      <w:sz w:val="24"/>
      <w:szCs w:val="22"/>
      <w:lang w:val="en-GB"/>
    </w:rPr>
  </w:style>
  <w:style w:type="paragraph" w:styleId="Heading7">
    <w:name w:val="heading 7"/>
    <w:basedOn w:val="Normal"/>
    <w:next w:val="Normal"/>
    <w:link w:val="Heading7Char"/>
    <w:uiPriority w:val="9"/>
    <w:semiHidden/>
    <w:unhideWhenUsed/>
    <w:qFormat/>
    <w:rsid w:val="009A1B13"/>
    <w:pPr>
      <w:keepNext/>
      <w:numPr>
        <w:ilvl w:val="6"/>
        <w:numId w:val="9"/>
      </w:numPr>
      <w:suppressAutoHyphens w:val="0"/>
      <w:spacing w:before="120" w:after="120" w:line="240" w:lineRule="auto"/>
      <w:jc w:val="both"/>
      <w:outlineLvl w:val="6"/>
    </w:pPr>
    <w:rPr>
      <w:rFonts w:eastAsiaTheme="majorEastAsia"/>
      <w:iCs/>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qFormat/>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rsid w:val="00164115"/>
  </w:style>
  <w:style w:type="character" w:customStyle="1" w:styleId="CommentTextChar">
    <w:name w:val="Comment Text Char"/>
    <w:basedOn w:val="DefaultParagraphFont"/>
    <w:link w:val="CommentText"/>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 w:type="paragraph" w:customStyle="1" w:styleId="Default">
    <w:name w:val="Default"/>
    <w:rsid w:val="001F647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ingleTxtGCar">
    <w:name w:val="_ Single Txt_G Car"/>
    <w:rsid w:val="00AE28A5"/>
    <w:rPr>
      <w:lang w:eastAsia="en-US"/>
    </w:rPr>
  </w:style>
  <w:style w:type="character" w:customStyle="1" w:styleId="markedcontent">
    <w:name w:val="markedcontent"/>
    <w:basedOn w:val="DefaultParagraphFont"/>
    <w:rsid w:val="004838B9"/>
  </w:style>
  <w:style w:type="paragraph" w:styleId="ListParagraph">
    <w:name w:val="List Paragraph"/>
    <w:basedOn w:val="Normal"/>
    <w:uiPriority w:val="1"/>
    <w:qFormat/>
    <w:rsid w:val="00A77DC3"/>
    <w:pPr>
      <w:widowControl w:val="0"/>
      <w:suppressAutoHyphens w:val="0"/>
      <w:autoSpaceDE w:val="0"/>
      <w:autoSpaceDN w:val="0"/>
      <w:spacing w:line="240" w:lineRule="auto"/>
      <w:ind w:left="1632"/>
    </w:pPr>
    <w:rPr>
      <w:sz w:val="22"/>
      <w:szCs w:val="22"/>
      <w:lang w:val="en-US"/>
    </w:rPr>
  </w:style>
  <w:style w:type="character" w:styleId="Hyperlink">
    <w:name w:val="Hyperlink"/>
    <w:aliases w:val=" Znak Znak Znak,Znak Znak Znak"/>
    <w:basedOn w:val="DefaultParagraphFont"/>
    <w:uiPriority w:val="99"/>
    <w:unhideWhenUsed/>
    <w:qFormat/>
    <w:rsid w:val="000D1812"/>
    <w:rPr>
      <w:color w:val="0563C1" w:themeColor="hyperlink"/>
      <w:u w:val="single"/>
    </w:rPr>
  </w:style>
  <w:style w:type="character" w:customStyle="1" w:styleId="UnresolvedMention1">
    <w:name w:val="Unresolved Mention1"/>
    <w:basedOn w:val="DefaultParagraphFont"/>
    <w:uiPriority w:val="99"/>
    <w:semiHidden/>
    <w:unhideWhenUsed/>
    <w:rsid w:val="00741BAF"/>
    <w:rPr>
      <w:color w:val="605E5C"/>
      <w:shd w:val="clear" w:color="auto" w:fill="E1DFDD"/>
    </w:rPr>
  </w:style>
  <w:style w:type="character" w:styleId="FollowedHyperlink">
    <w:name w:val="FollowedHyperlink"/>
    <w:basedOn w:val="DefaultParagraphFont"/>
    <w:uiPriority w:val="99"/>
    <w:semiHidden/>
    <w:unhideWhenUsed/>
    <w:rsid w:val="00741BAF"/>
    <w:rPr>
      <w:color w:val="954F72" w:themeColor="followedHyperlink"/>
      <w:u w:val="single"/>
    </w:rPr>
  </w:style>
  <w:style w:type="character" w:styleId="UnresolvedMention">
    <w:name w:val="Unresolved Mention"/>
    <w:basedOn w:val="DefaultParagraphFont"/>
    <w:uiPriority w:val="99"/>
    <w:semiHidden/>
    <w:unhideWhenUsed/>
    <w:rsid w:val="00863E09"/>
    <w:rPr>
      <w:color w:val="605E5C"/>
      <w:shd w:val="clear" w:color="auto" w:fill="E1DFDD"/>
    </w:rPr>
  </w:style>
  <w:style w:type="paragraph" w:customStyle="1" w:styleId="paragraph">
    <w:name w:val="paragraph"/>
    <w:basedOn w:val="Normal"/>
    <w:rsid w:val="00CB6F56"/>
    <w:pPr>
      <w:suppressAutoHyphens w:val="0"/>
      <w:spacing w:before="100" w:beforeAutospacing="1" w:after="100" w:afterAutospacing="1" w:line="240" w:lineRule="auto"/>
    </w:pPr>
    <w:rPr>
      <w:sz w:val="24"/>
      <w:szCs w:val="24"/>
      <w:lang w:val="en-GB" w:eastAsia="en-GB"/>
    </w:rPr>
  </w:style>
  <w:style w:type="character" w:customStyle="1" w:styleId="normaltextrun">
    <w:name w:val="normaltextrun"/>
    <w:basedOn w:val="DefaultParagraphFont"/>
    <w:rsid w:val="00CB6F56"/>
  </w:style>
  <w:style w:type="character" w:customStyle="1" w:styleId="eop">
    <w:name w:val="eop"/>
    <w:basedOn w:val="DefaultParagraphFont"/>
    <w:rsid w:val="00CB6F56"/>
  </w:style>
  <w:style w:type="character" w:customStyle="1" w:styleId="Heading1Char">
    <w:name w:val="Heading 1 Char"/>
    <w:basedOn w:val="DefaultParagraphFont"/>
    <w:link w:val="Heading1"/>
    <w:uiPriority w:val="9"/>
    <w:rsid w:val="009A1B13"/>
    <w:rPr>
      <w:rFonts w:ascii="Times New Roman" w:eastAsiaTheme="majorEastAsia" w:hAnsi="Times New Roman" w:cs="Times New Roman"/>
      <w:b/>
      <w:bCs/>
      <w:smallCaps/>
      <w:sz w:val="24"/>
      <w:szCs w:val="28"/>
      <w:lang w:val="en-GB" w:eastAsia="en-US"/>
    </w:rPr>
  </w:style>
  <w:style w:type="character" w:customStyle="1" w:styleId="Heading2Char">
    <w:name w:val="Heading 2 Char"/>
    <w:basedOn w:val="DefaultParagraphFont"/>
    <w:link w:val="Heading2"/>
    <w:uiPriority w:val="9"/>
    <w:semiHidden/>
    <w:rsid w:val="009A1B13"/>
    <w:rPr>
      <w:rFonts w:ascii="Times New Roman" w:eastAsiaTheme="majorEastAsia" w:hAnsi="Times New Roman" w:cs="Times New Roman"/>
      <w:b/>
      <w:bCs/>
      <w:sz w:val="24"/>
      <w:szCs w:val="26"/>
      <w:lang w:val="en-GB" w:eastAsia="en-US"/>
    </w:rPr>
  </w:style>
  <w:style w:type="character" w:customStyle="1" w:styleId="Heading3Char">
    <w:name w:val="Heading 3 Char"/>
    <w:basedOn w:val="DefaultParagraphFont"/>
    <w:link w:val="Heading3"/>
    <w:uiPriority w:val="9"/>
    <w:semiHidden/>
    <w:rsid w:val="009A1B13"/>
    <w:rPr>
      <w:rFonts w:ascii="Times New Roman" w:eastAsiaTheme="majorEastAsia" w:hAnsi="Times New Roman" w:cs="Times New Roman"/>
      <w:bCs/>
      <w:i/>
      <w:sz w:val="24"/>
      <w:lang w:val="en-GB" w:eastAsia="en-US"/>
    </w:rPr>
  </w:style>
  <w:style w:type="character" w:customStyle="1" w:styleId="Heading4Char">
    <w:name w:val="Heading 4 Char"/>
    <w:basedOn w:val="DefaultParagraphFont"/>
    <w:link w:val="Heading4"/>
    <w:uiPriority w:val="9"/>
    <w:semiHidden/>
    <w:rsid w:val="009A1B13"/>
    <w:rPr>
      <w:rFonts w:ascii="Times New Roman" w:eastAsiaTheme="majorEastAsia" w:hAnsi="Times New Roman" w:cs="Times New Roman"/>
      <w:bCs/>
      <w:iCs/>
      <w:sz w:val="24"/>
      <w:lang w:val="en-GB" w:eastAsia="en-US"/>
    </w:rPr>
  </w:style>
  <w:style w:type="character" w:customStyle="1" w:styleId="Heading5Char">
    <w:name w:val="Heading 5 Char"/>
    <w:basedOn w:val="DefaultParagraphFont"/>
    <w:link w:val="Heading5"/>
    <w:uiPriority w:val="9"/>
    <w:semiHidden/>
    <w:rsid w:val="009A1B13"/>
    <w:rPr>
      <w:rFonts w:ascii="Times New Roman" w:eastAsiaTheme="majorEastAsia" w:hAnsi="Times New Roman" w:cs="Times New Roman"/>
      <w:sz w:val="24"/>
      <w:lang w:val="en-GB" w:eastAsia="en-US"/>
    </w:rPr>
  </w:style>
  <w:style w:type="character" w:customStyle="1" w:styleId="Heading6Char">
    <w:name w:val="Heading 6 Char"/>
    <w:basedOn w:val="DefaultParagraphFont"/>
    <w:link w:val="Heading6"/>
    <w:uiPriority w:val="9"/>
    <w:semiHidden/>
    <w:rsid w:val="009A1B13"/>
    <w:rPr>
      <w:rFonts w:ascii="Times New Roman" w:eastAsiaTheme="majorEastAsia" w:hAnsi="Times New Roman" w:cs="Times New Roman"/>
      <w:iCs/>
      <w:sz w:val="24"/>
      <w:lang w:val="en-GB" w:eastAsia="en-US"/>
    </w:rPr>
  </w:style>
  <w:style w:type="character" w:customStyle="1" w:styleId="Heading7Char">
    <w:name w:val="Heading 7 Char"/>
    <w:basedOn w:val="DefaultParagraphFont"/>
    <w:link w:val="Heading7"/>
    <w:uiPriority w:val="9"/>
    <w:semiHidden/>
    <w:rsid w:val="009A1B13"/>
    <w:rPr>
      <w:rFonts w:ascii="Times New Roman" w:eastAsiaTheme="majorEastAsia" w:hAnsi="Times New Roman" w:cs="Times New Roman"/>
      <w:iCs/>
      <w:sz w:val="24"/>
      <w:lang w:val="en-GB" w:eastAsia="en-US"/>
    </w:rPr>
  </w:style>
  <w:style w:type="paragraph" w:styleId="Revision">
    <w:name w:val="Revision"/>
    <w:hidden/>
    <w:uiPriority w:val="99"/>
    <w:semiHidden/>
    <w:rsid w:val="001E5689"/>
    <w:pPr>
      <w:spacing w:after="0" w:line="240" w:lineRule="auto"/>
    </w:pPr>
    <w:rPr>
      <w:rFonts w:ascii="Times New Roman" w:eastAsia="Times New Roman" w:hAnsi="Times New Roman" w:cs="Times New Roman"/>
      <w:sz w:val="20"/>
      <w:szCs w:val="2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68733">
      <w:bodyDiv w:val="1"/>
      <w:marLeft w:val="0"/>
      <w:marRight w:val="0"/>
      <w:marTop w:val="0"/>
      <w:marBottom w:val="0"/>
      <w:divBdr>
        <w:top w:val="none" w:sz="0" w:space="0" w:color="auto"/>
        <w:left w:val="none" w:sz="0" w:space="0" w:color="auto"/>
        <w:bottom w:val="none" w:sz="0" w:space="0" w:color="auto"/>
        <w:right w:val="none" w:sz="0" w:space="0" w:color="auto"/>
      </w:divBdr>
    </w:div>
    <w:div w:id="368989123">
      <w:bodyDiv w:val="1"/>
      <w:marLeft w:val="0"/>
      <w:marRight w:val="0"/>
      <w:marTop w:val="0"/>
      <w:marBottom w:val="0"/>
      <w:divBdr>
        <w:top w:val="none" w:sz="0" w:space="0" w:color="auto"/>
        <w:left w:val="none" w:sz="0" w:space="0" w:color="auto"/>
        <w:bottom w:val="none" w:sz="0" w:space="0" w:color="auto"/>
        <w:right w:val="none" w:sz="0" w:space="0" w:color="auto"/>
      </w:divBdr>
    </w:div>
    <w:div w:id="742527488">
      <w:bodyDiv w:val="1"/>
      <w:marLeft w:val="0"/>
      <w:marRight w:val="0"/>
      <w:marTop w:val="0"/>
      <w:marBottom w:val="0"/>
      <w:divBdr>
        <w:top w:val="none" w:sz="0" w:space="0" w:color="auto"/>
        <w:left w:val="none" w:sz="0" w:space="0" w:color="auto"/>
        <w:bottom w:val="none" w:sz="0" w:space="0" w:color="auto"/>
        <w:right w:val="none" w:sz="0" w:space="0" w:color="auto"/>
      </w:divBdr>
    </w:div>
    <w:div w:id="919565256">
      <w:bodyDiv w:val="1"/>
      <w:marLeft w:val="0"/>
      <w:marRight w:val="0"/>
      <w:marTop w:val="0"/>
      <w:marBottom w:val="0"/>
      <w:divBdr>
        <w:top w:val="none" w:sz="0" w:space="0" w:color="auto"/>
        <w:left w:val="none" w:sz="0" w:space="0" w:color="auto"/>
        <w:bottom w:val="none" w:sz="0" w:space="0" w:color="auto"/>
        <w:right w:val="none" w:sz="0" w:space="0" w:color="auto"/>
      </w:divBdr>
    </w:div>
    <w:div w:id="1173494522">
      <w:bodyDiv w:val="1"/>
      <w:marLeft w:val="0"/>
      <w:marRight w:val="0"/>
      <w:marTop w:val="0"/>
      <w:marBottom w:val="0"/>
      <w:divBdr>
        <w:top w:val="none" w:sz="0" w:space="0" w:color="auto"/>
        <w:left w:val="none" w:sz="0" w:space="0" w:color="auto"/>
        <w:bottom w:val="none" w:sz="0" w:space="0" w:color="auto"/>
        <w:right w:val="none" w:sz="0" w:space="0" w:color="auto"/>
      </w:divBdr>
    </w:div>
    <w:div w:id="1772898245">
      <w:bodyDiv w:val="1"/>
      <w:marLeft w:val="0"/>
      <w:marRight w:val="0"/>
      <w:marTop w:val="0"/>
      <w:marBottom w:val="0"/>
      <w:divBdr>
        <w:top w:val="none" w:sz="0" w:space="0" w:color="auto"/>
        <w:left w:val="none" w:sz="0" w:space="0" w:color="auto"/>
        <w:bottom w:val="none" w:sz="0" w:space="0" w:color="auto"/>
        <w:right w:val="none" w:sz="0" w:space="0" w:color="auto"/>
      </w:divBdr>
    </w:div>
    <w:div w:id="18324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ecd.org/env/test-no-456-h295r-steroidogenesis-assay-9789264122642-en.htm" TargetMode="External"/><Relationship Id="rId18" Type="http://schemas.openxmlformats.org/officeDocument/2006/relationships/hyperlink" Target="https://www.oecd.org/env/test-no-231-amphibian-metamorphosis-assay-9789264076242-en.htm" TargetMode="External"/><Relationship Id="rId26" Type="http://schemas.openxmlformats.org/officeDocument/2006/relationships/hyperlink" Target="https://www.oecd.org/env/test-no-451-carcinogenicity-studies-9789264071186-en.htm" TargetMode="External"/><Relationship Id="rId39" Type="http://schemas.openxmlformats.org/officeDocument/2006/relationships/hyperlink" Target="https://www.oecd.org/env/test-no-234-fish-sexual-development-test-9789264122369-en.htm" TargetMode="External"/><Relationship Id="rId3" Type="http://schemas.openxmlformats.org/officeDocument/2006/relationships/customXml" Target="../customXml/item3.xml"/><Relationship Id="rId21" Type="http://schemas.openxmlformats.org/officeDocument/2006/relationships/hyperlink" Target="https://www.oecd.org/chemicalsafety/test-no-250-easzy-assay-detection-of-endocrine-active-substances-acting-through-estrogen-receptors-using-transgenic-tg-cyp19a1b-0a39b48b-en.htm" TargetMode="External"/><Relationship Id="rId34" Type="http://schemas.openxmlformats.org/officeDocument/2006/relationships/hyperlink" Target="https://doi.org/10.1787/9789264304741-28-en" TargetMode="External"/><Relationship Id="rId42" Type="http://schemas.openxmlformats.org/officeDocument/2006/relationships/hyperlink" Target="https://doi.org/10.1787/9789264304741-18-en"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ecd.org/env/test-no-458-stably-transfected-human-androgen-receptor-transcriptional-activation-assay-for-detection-of-androgenic-agonist-9789264264366-en.htm" TargetMode="External"/><Relationship Id="rId17" Type="http://schemas.openxmlformats.org/officeDocument/2006/relationships/hyperlink" Target="https://www.oecd.org/env/test-no-229-fish-short-term-reproduction-assay-9789264185265-en.htm" TargetMode="External"/><Relationship Id="rId25" Type="http://schemas.openxmlformats.org/officeDocument/2006/relationships/hyperlink" Target="https://doi.org/10.1787/9789264070820-en" TargetMode="External"/><Relationship Id="rId33" Type="http://schemas.openxmlformats.org/officeDocument/2006/relationships/hyperlink" Target="https://www.oecd.org/chemicalsafety/testing/15487898.pdf" TargetMode="External"/><Relationship Id="rId38" Type="http://schemas.openxmlformats.org/officeDocument/2006/relationships/hyperlink" Target="https://doi.org/10.1787/9789264304741-32-en"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ecd.org/publications/test-no-441-hershberger-bioassay-in-rats-9789264076334-en.htm" TargetMode="External"/><Relationship Id="rId20" Type="http://schemas.openxmlformats.org/officeDocument/2006/relationships/hyperlink" Target="https://doi.org/10.1787/a13f80ee-en" TargetMode="External"/><Relationship Id="rId29" Type="http://schemas.openxmlformats.org/officeDocument/2006/relationships/hyperlink" Target="https://www.oecd.org/chemicalsafety/risk-assessment/1948466.pdf" TargetMode="External"/><Relationship Id="rId41" Type="http://schemas.openxmlformats.org/officeDocument/2006/relationships/hyperlink" Target="https://doi.org/10.1787/9789264304741-13-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ecd.org/env/ehs/test-no-455-the-stably-transfected-human-estrogen-receptor-alpha-transcriptional-activation-assay-for-detection-of-estrogenic-9789264076372-en.htm" TargetMode="External"/><Relationship Id="rId24" Type="http://schemas.openxmlformats.org/officeDocument/2006/relationships/hyperlink" Target="https://doi.org/10.1787/9789264070707-en" TargetMode="External"/><Relationship Id="rId32" Type="http://schemas.openxmlformats.org/officeDocument/2006/relationships/hyperlink" Target="https://www.oecd.org/chemicalsafety/test-no-443-extended-one-generation-reproductive-toxicity-study-9789264185371-en.htm" TargetMode="External"/><Relationship Id="rId37" Type="http://schemas.openxmlformats.org/officeDocument/2006/relationships/hyperlink" Target="https://doi.org/10.1787/9789264070806-en" TargetMode="External"/><Relationship Id="rId40" Type="http://schemas.openxmlformats.org/officeDocument/2006/relationships/hyperlink" Target="https://doi.org/10.1787/9789264242340-en"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read.oecd-ilibrary.org/environment/test-no-440-uterotrophic-bioassay-in-rodents_9789264067417-en" TargetMode="External"/><Relationship Id="rId23" Type="http://schemas.openxmlformats.org/officeDocument/2006/relationships/hyperlink" Target="https://doi.org/10.1787/9789264070684-en" TargetMode="External"/><Relationship Id="rId28" Type="http://schemas.openxmlformats.org/officeDocument/2006/relationships/hyperlink" Target="https://www.oecd.org/publications/test-no-453-combined-chronic-toxicity-carcinogenicity-studies-9789264071223-en.htm" TargetMode="External"/><Relationship Id="rId36" Type="http://schemas.openxmlformats.org/officeDocument/2006/relationships/hyperlink" Target="https://www.oecd.org/env/ehs/testing/test-no-412-subacute-inhalation-toxicity-28-day-study-9789264070783-en.ht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787/9789264076228-en" TargetMode="External"/><Relationship Id="rId31" Type="http://schemas.openxmlformats.org/officeDocument/2006/relationships/hyperlink" Target="https://doi.org/10.1787/9789264242715-en"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787/9789264242623-en" TargetMode="External"/><Relationship Id="rId22" Type="http://schemas.openxmlformats.org/officeDocument/2006/relationships/hyperlink" Target="https://doi.org/10.1787/da264d82-en" TargetMode="External"/><Relationship Id="rId27" Type="http://schemas.openxmlformats.org/officeDocument/2006/relationships/hyperlink" Target="https://www.oecd.org/env/test-no-452-chronic-toxicity-studies-9789264071209-en.htm" TargetMode="External"/><Relationship Id="rId30" Type="http://schemas.openxmlformats.org/officeDocument/2006/relationships/hyperlink" Target="https://www.oecd.org/env/test-no-421-reproduction-developmental-toxicity-screening-test-9789264264380-en.htm" TargetMode="External"/><Relationship Id="rId35" Type="http://schemas.openxmlformats.org/officeDocument/2006/relationships/hyperlink" Target="https://doi.org/10.1787/9789264304741-29-en" TargetMode="External"/><Relationship Id="rId43" Type="http://schemas.openxmlformats.org/officeDocument/2006/relationships/hyperlink" Target="https://doi.org/10.1787/9789264304741-16-en"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env.go.jp/en/chemi/ed.html" TargetMode="External"/><Relationship Id="rId13" Type="http://schemas.openxmlformats.org/officeDocument/2006/relationships/hyperlink" Target="http://data.europa.eu/eli/reg/2018/605/oj" TargetMode="External"/><Relationship Id="rId3" Type="http://schemas.openxmlformats.org/officeDocument/2006/relationships/hyperlink" Target="https://doi.org/10.1016/S2213-8587(20)30129-7" TargetMode="External"/><Relationship Id="rId7" Type="http://schemas.openxmlformats.org/officeDocument/2006/relationships/hyperlink" Target="https://www.uu.nl/sites/default/files/rijk_et_al_2016_-_report_iras_-_health_%20cost_associated_with_edcs_3.pdf" TargetMode="External"/><Relationship Id="rId12" Type="http://schemas.openxmlformats.org/officeDocument/2006/relationships/hyperlink" Target="http://data.europa.eu/eli/reg_del/2017/2100/oj" TargetMode="External"/><Relationship Id="rId2" Type="http://schemas.openxmlformats.org/officeDocument/2006/relationships/hyperlink" Target="https://www.unep.org/resources/publication/state-science-endocrine-disputing-chemicals-ipcp-2012?_ga=2.148289463.183897156.1643356524-1526509983.1643356524" TargetMode="External"/><Relationship Id="rId1" Type="http://schemas.openxmlformats.org/officeDocument/2006/relationships/hyperlink" Target="https://unece.org/info/Transport/Dangerous-Goods/events/368936" TargetMode="External"/><Relationship Id="rId6" Type="http://schemas.openxmlformats.org/officeDocument/2006/relationships/hyperlink" Target="https://www.niehs.nih.gov/health/topics/agents/endocrine/index.cfm" TargetMode="External"/><Relationship Id="rId11" Type="http://schemas.openxmlformats.org/officeDocument/2006/relationships/hyperlink" Target="https://doi.org/10.1787/9789264304741-en" TargetMode="External"/><Relationship Id="rId5" Type="http://schemas.openxmlformats.org/officeDocument/2006/relationships/hyperlink" Target="https://doi.org/10.1289/EHP5496" TargetMode="External"/><Relationship Id="rId10" Type="http://schemas.openxmlformats.org/officeDocument/2006/relationships/hyperlink" Target="https://circabc.europa.eu/ui/group/a0b483a2-4c05-4058-addf-2a4de71b9a98/library/9d5b03e5-6a0b-4214-8ef4-622bd7f50ad6/details" TargetMode="External"/><Relationship Id="rId4" Type="http://schemas.openxmlformats.org/officeDocument/2006/relationships/hyperlink" Target="https://www.unep.org/resources/publication/state-science-endocrine-disputing-chemicals-ipcp-2012?_ga=2.148289463.183897156.1643356524-1526509983.1643356524" TargetMode="External"/><Relationship Id="rId9" Type="http://schemas.openxmlformats.org/officeDocument/2006/relationships/hyperlink" Target="https://doi.org/10.1016/S2213-8587(20)30129-7" TargetMode="External"/><Relationship Id="rId14" Type="http://schemas.openxmlformats.org/officeDocument/2006/relationships/hyperlink" Target="https://efsa.onlinelibrary.wiley.com/doi/10.2903/j.efsa.2018.5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9102-AF75-4782-90DC-AAAB320F2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962D5-BF50-4CDA-B94A-32275336C1C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1FDD5FE-3F03-4B8E-9DDE-3D89A9DADD3C}">
  <ds:schemaRefs>
    <ds:schemaRef ds:uri="http://schemas.microsoft.com/sharepoint/v3/contenttype/forms"/>
  </ds:schemaRefs>
</ds:datastoreItem>
</file>

<file path=customXml/itemProps4.xml><?xml version="1.0" encoding="utf-8"?>
<ds:datastoreItem xmlns:ds="http://schemas.openxmlformats.org/officeDocument/2006/customXml" ds:itemID="{6E981FD5-A053-49A8-B65A-45645ED3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2663</Words>
  <Characters>15185</Characters>
  <Application>Microsoft Office Word</Application>
  <DocSecurity>0</DocSecurity>
  <Lines>126</Lines>
  <Paragraphs>35</Paragraphs>
  <ScaleCrop>false</ScaleCrop>
  <Company>ECE-ISU</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cp:lastModifiedBy>Laurence Berthet</cp:lastModifiedBy>
  <cp:revision>27</cp:revision>
  <cp:lastPrinted>2022-11-30T08:37:00Z</cp:lastPrinted>
  <dcterms:created xsi:type="dcterms:W3CDTF">2022-11-29T11:33:00Z</dcterms:created>
  <dcterms:modified xsi:type="dcterms:W3CDTF">2022-11-30T08:37:00Z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2022-10-14T14:59:06Z</vt:lpwstr>
  </property>
  <property fmtid="{D5CDD505-2E9C-101B-9397-08002B2CF9AE}" pid="6" name="MSIP_Label_6bd9ddd1-4d20-43f6-abfa-fc3c07406f94_Method">
    <vt:lpwstr>Privileged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46a0f87b-799b-4998-968b-440367b7870b</vt:lpwstr>
  </property>
  <property fmtid="{D5CDD505-2E9C-101B-9397-08002B2CF9AE}" pid="10" name="MSIP_Label_6bd9ddd1-4d20-43f6-abfa-fc3c07406f94_ContentBits">
    <vt:lpwstr>0</vt:lpwstr>
  </property>
  <property fmtid="{D5CDD505-2E9C-101B-9397-08002B2CF9AE}" pid="11" name="Office of Origin">
    <vt:lpwstr/>
  </property>
  <property fmtid="{D5CDD505-2E9C-101B-9397-08002B2CF9AE}" pid="12" name="Office_x0020_of_x0020_Origin">
    <vt:lpwstr/>
  </property>
  <property fmtid="{D5CDD505-2E9C-101B-9397-08002B2CF9AE}" pid="13" name="gba66df640194346a5267c50f24d4797">
    <vt:lpwstr/>
  </property>
</Properties>
</file>