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2D1005" w14:paraId="3EEA5169" w14:textId="77777777" w:rsidTr="00EE7E6D">
        <w:trPr>
          <w:cantSplit/>
          <w:trHeight w:hRule="exact" w:val="913"/>
        </w:trPr>
        <w:tc>
          <w:tcPr>
            <w:tcW w:w="9735" w:type="dxa"/>
            <w:tcBorders>
              <w:bottom w:val="single" w:sz="4" w:space="0" w:color="auto"/>
            </w:tcBorders>
            <w:vAlign w:val="bottom"/>
          </w:tcPr>
          <w:p w14:paraId="737A8918" w14:textId="3B9E82E0" w:rsidR="0099001C" w:rsidRPr="002D1005" w:rsidRDefault="0099001C" w:rsidP="00802916">
            <w:pPr>
              <w:jc w:val="right"/>
              <w:rPr>
                <w:b/>
                <w:sz w:val="40"/>
                <w:szCs w:val="40"/>
                <w:highlight w:val="yellow"/>
              </w:rPr>
            </w:pPr>
            <w:r w:rsidRPr="00AD6198">
              <w:rPr>
                <w:b/>
                <w:sz w:val="40"/>
                <w:szCs w:val="40"/>
              </w:rPr>
              <w:t>UN/SCEGHS/</w:t>
            </w:r>
            <w:r w:rsidR="00802916" w:rsidRPr="00AD6198">
              <w:rPr>
                <w:b/>
                <w:sz w:val="40"/>
                <w:szCs w:val="40"/>
              </w:rPr>
              <w:t>4</w:t>
            </w:r>
            <w:r w:rsidR="002B74C8">
              <w:rPr>
                <w:b/>
                <w:sz w:val="40"/>
                <w:szCs w:val="40"/>
              </w:rPr>
              <w:t>3</w:t>
            </w:r>
            <w:r w:rsidRPr="00AD6198">
              <w:rPr>
                <w:b/>
                <w:sz w:val="40"/>
                <w:szCs w:val="40"/>
              </w:rPr>
              <w:t>/INF.</w:t>
            </w:r>
            <w:r w:rsidR="00012ACF">
              <w:rPr>
                <w:b/>
                <w:sz w:val="40"/>
                <w:szCs w:val="40"/>
              </w:rPr>
              <w:t>2</w:t>
            </w:r>
            <w:r w:rsidR="00F72E14">
              <w:rPr>
                <w:b/>
                <w:sz w:val="40"/>
                <w:szCs w:val="40"/>
              </w:rPr>
              <w:t>3</w:t>
            </w:r>
          </w:p>
        </w:tc>
      </w:tr>
      <w:tr w:rsidR="0099001C" w14:paraId="0CF18C10" w14:textId="77777777" w:rsidTr="0080653A">
        <w:trPr>
          <w:cantSplit/>
          <w:trHeight w:hRule="exact" w:val="3639"/>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03066A91" w:rsidR="00965932" w:rsidRDefault="00085D2B" w:rsidP="00965932">
            <w:pPr>
              <w:tabs>
                <w:tab w:val="left" w:pos="7230"/>
                <w:tab w:val="right" w:pos="9300"/>
              </w:tabs>
              <w:spacing w:before="120"/>
              <w:rPr>
                <w:b/>
                <w:lang w:val="en-US"/>
              </w:rPr>
            </w:pPr>
            <w:r>
              <w:rPr>
                <w:b/>
                <w:lang w:val="en-US"/>
              </w:rPr>
              <w:t xml:space="preserve">Sub-Committee </w:t>
            </w:r>
            <w:r w:rsidR="00965932" w:rsidRPr="001B03EA">
              <w:rPr>
                <w:b/>
                <w:lang w:val="en-US"/>
              </w:rPr>
              <w:t>of Experts on the Globally Harmonized</w:t>
            </w:r>
            <w:r w:rsidR="00965932" w:rsidRPr="001B03EA">
              <w:rPr>
                <w:b/>
                <w:lang w:val="en-US"/>
              </w:rPr>
              <w:br/>
              <w:t>System of Classification and Labelling of Chemicals</w:t>
            </w:r>
            <w:r w:rsidR="00965932" w:rsidRPr="001B03EA">
              <w:rPr>
                <w:b/>
                <w:lang w:val="en-US"/>
              </w:rPr>
              <w:tab/>
            </w:r>
            <w:r w:rsidR="007C1201">
              <w:rPr>
                <w:b/>
                <w:lang w:val="en-US"/>
              </w:rPr>
              <w:tab/>
            </w:r>
            <w:r w:rsidR="00630764">
              <w:rPr>
                <w:b/>
                <w:lang w:val="en-US"/>
              </w:rPr>
              <w:t>30</w:t>
            </w:r>
            <w:r w:rsidR="0062326E">
              <w:rPr>
                <w:b/>
                <w:lang w:val="en-US"/>
              </w:rPr>
              <w:t xml:space="preserve"> </w:t>
            </w:r>
            <w:r w:rsidR="002B74C8">
              <w:rPr>
                <w:b/>
                <w:lang w:val="en-US"/>
              </w:rPr>
              <w:t>November</w:t>
            </w:r>
            <w:r w:rsidR="00062FE6" w:rsidRPr="00AD6198">
              <w:rPr>
                <w:b/>
                <w:lang w:val="en-US"/>
              </w:rPr>
              <w:t xml:space="preserve"> 2022</w:t>
            </w:r>
          </w:p>
          <w:p w14:paraId="4FA8EFAD" w14:textId="77777777" w:rsidR="00BD13EB" w:rsidRDefault="00BD13EB" w:rsidP="00BD13EB">
            <w:pPr>
              <w:tabs>
                <w:tab w:val="left" w:pos="7230"/>
                <w:tab w:val="right" w:pos="9300"/>
              </w:tabs>
              <w:spacing w:before="120"/>
              <w:jc w:val="right"/>
              <w:rPr>
                <w:b/>
                <w:lang w:val="en-US"/>
              </w:rPr>
            </w:pPr>
          </w:p>
          <w:p w14:paraId="4A0871C0" w14:textId="3BB0EF48" w:rsidR="00965932" w:rsidRPr="008D513D" w:rsidRDefault="00802916" w:rsidP="00965932">
            <w:pPr>
              <w:jc w:val="both"/>
            </w:pPr>
            <w:r w:rsidRPr="008D513D">
              <w:rPr>
                <w:b/>
              </w:rPr>
              <w:t>Fort</w:t>
            </w:r>
            <w:r w:rsidR="007043A6" w:rsidRPr="008D513D">
              <w:rPr>
                <w:b/>
              </w:rPr>
              <w:t>y-</w:t>
            </w:r>
            <w:r w:rsidR="0079533B">
              <w:rPr>
                <w:b/>
              </w:rPr>
              <w:t>third</w:t>
            </w:r>
            <w:r w:rsidR="0079533B" w:rsidRPr="008D513D">
              <w:rPr>
                <w:b/>
              </w:rPr>
              <w:t xml:space="preserve"> </w:t>
            </w:r>
            <w:r w:rsidR="00965932" w:rsidRPr="008D513D">
              <w:rPr>
                <w:b/>
              </w:rPr>
              <w:t>session</w:t>
            </w:r>
            <w:r w:rsidR="00965932" w:rsidRPr="008D513D">
              <w:t xml:space="preserve"> </w:t>
            </w:r>
          </w:p>
          <w:p w14:paraId="1D89183D" w14:textId="77777777" w:rsidR="00E61463" w:rsidRDefault="001772DB" w:rsidP="00E61463">
            <w:r w:rsidRPr="008D513D">
              <w:t xml:space="preserve">Geneva, </w:t>
            </w:r>
            <w:r w:rsidR="00401E7A">
              <w:t>7-9 December 2022</w:t>
            </w:r>
            <w:r w:rsidR="000A48A1" w:rsidRPr="008D513D">
              <w:br/>
            </w:r>
            <w:r w:rsidR="00E61463">
              <w:t>Item 3 (d) of the provisional agenda</w:t>
            </w:r>
          </w:p>
          <w:p w14:paraId="4DA34DEE" w14:textId="2F73A4EB" w:rsidR="00D36906" w:rsidRPr="00D36906" w:rsidRDefault="00E61463" w:rsidP="00E61463">
            <w:pPr>
              <w:spacing w:line="240" w:lineRule="exact"/>
              <w:rPr>
                <w:b/>
                <w:bCs/>
              </w:rPr>
            </w:pPr>
            <w:r w:rsidRPr="00A12C3D">
              <w:rPr>
                <w:rFonts w:eastAsia="SimSun"/>
                <w:b/>
                <w:bCs/>
                <w:lang w:eastAsia="zh-CN"/>
              </w:rPr>
              <w:t xml:space="preserve">Work on the Globally Harmonized System of Classification and </w:t>
            </w:r>
            <w:r w:rsidRPr="00A12C3D">
              <w:rPr>
                <w:rFonts w:eastAsia="SimSun"/>
                <w:b/>
                <w:bCs/>
                <w:lang w:eastAsia="zh-CN"/>
              </w:rPr>
              <w:br/>
              <w:t xml:space="preserve">Labelling of Chemicals: Classification of skin sensitizers </w:t>
            </w:r>
            <w:r w:rsidRPr="00A12C3D">
              <w:rPr>
                <w:rFonts w:eastAsia="SimSun"/>
                <w:b/>
                <w:bCs/>
                <w:lang w:eastAsia="zh-CN"/>
              </w:rPr>
              <w:br/>
              <w:t xml:space="preserve">using the results of local lymph node assays test methods </w:t>
            </w:r>
            <w:r w:rsidRPr="00A12C3D">
              <w:rPr>
                <w:rFonts w:eastAsia="SimSun"/>
                <w:b/>
                <w:bCs/>
                <w:lang w:eastAsia="zh-CN"/>
              </w:rPr>
              <w:br/>
              <w:t>in accordance with OECD Test Guideline 442B</w:t>
            </w:r>
          </w:p>
        </w:tc>
      </w:tr>
    </w:tbl>
    <w:p w14:paraId="60EDA7AC" w14:textId="3BA42922" w:rsidR="00C57C37" w:rsidRPr="008B5D0C" w:rsidRDefault="00C57C37" w:rsidP="00C57C37">
      <w:pPr>
        <w:pStyle w:val="HChG"/>
        <w:rPr>
          <w:rFonts w:eastAsia="MS Mincho"/>
        </w:rPr>
      </w:pPr>
      <w:r w:rsidRPr="009E7ABD">
        <w:rPr>
          <w:rFonts w:eastAsia="MS Mincho"/>
          <w:lang w:val="en-US" w:eastAsia="ja-JP"/>
        </w:rPr>
        <w:tab/>
      </w:r>
      <w:r w:rsidRPr="009103F3">
        <w:rPr>
          <w:rFonts w:eastAsia="MS Mincho"/>
          <w:lang w:eastAsia="ja-JP"/>
        </w:rPr>
        <w:tab/>
      </w:r>
      <w:r>
        <w:rPr>
          <w:rFonts w:eastAsia="MS Mincho"/>
        </w:rPr>
        <w:t xml:space="preserve">Comments on </w:t>
      </w:r>
      <w:r w:rsidRPr="00F634EF">
        <w:rPr>
          <w:rFonts w:eastAsia="MS Mincho"/>
        </w:rPr>
        <w:t xml:space="preserve">ST/SG/AC.10/C.4/2022/19 </w:t>
      </w:r>
      <w:r>
        <w:rPr>
          <w:rFonts w:eastAsia="MS Mincho"/>
        </w:rPr>
        <w:t>“</w:t>
      </w:r>
      <w:r w:rsidRPr="00A12C3D">
        <w:rPr>
          <w:rFonts w:eastAsia="MS Mincho"/>
        </w:rPr>
        <w:t>Clarification of the criteria for classification for skin sensitization using animal studies</w:t>
      </w:r>
      <w:r>
        <w:rPr>
          <w:rFonts w:eastAsia="MS Mincho"/>
        </w:rPr>
        <w:t>”</w:t>
      </w:r>
      <w:r w:rsidR="008546F5">
        <w:rPr>
          <w:rFonts w:eastAsia="MS Mincho"/>
        </w:rPr>
        <w:t xml:space="preserve"> and consequential amendments to </w:t>
      </w:r>
      <w:r w:rsidR="008546F5" w:rsidRPr="00F634EF">
        <w:rPr>
          <w:rFonts w:eastAsia="MS Mincho"/>
        </w:rPr>
        <w:t>ST/SG/AC.10/C.4/2022/</w:t>
      </w:r>
      <w:r w:rsidR="00F256C8">
        <w:rPr>
          <w:rFonts w:eastAsia="MS Mincho"/>
        </w:rPr>
        <w:t>14</w:t>
      </w:r>
    </w:p>
    <w:p w14:paraId="18466434" w14:textId="77777777" w:rsidR="00C57C37" w:rsidRPr="008B5D0C" w:rsidRDefault="00C57C37" w:rsidP="00C57C37">
      <w:pPr>
        <w:pStyle w:val="H1G"/>
      </w:pPr>
      <w:r w:rsidRPr="00CB7CF2">
        <w:tab/>
      </w:r>
      <w:r w:rsidRPr="00CB7CF2">
        <w:tab/>
      </w:r>
      <w:r w:rsidRPr="008B5D0C">
        <w:t xml:space="preserve">Transmitted by the experts from the United States of America and Canada </w:t>
      </w:r>
    </w:p>
    <w:p w14:paraId="5F7ED5E3" w14:textId="77777777" w:rsidR="00C57C37" w:rsidRPr="008B5D0C" w:rsidRDefault="00C57C37" w:rsidP="00C57C37">
      <w:pPr>
        <w:pStyle w:val="HChG"/>
        <w:rPr>
          <w:rFonts w:eastAsia="MS Mincho"/>
        </w:rPr>
      </w:pPr>
      <w:r>
        <w:rPr>
          <w:rFonts w:eastAsia="MS Mincho"/>
        </w:rPr>
        <w:tab/>
      </w:r>
      <w:r>
        <w:rPr>
          <w:rFonts w:eastAsia="MS Mincho"/>
        </w:rPr>
        <w:tab/>
        <w:t>Introduction</w:t>
      </w:r>
      <w:r w:rsidRPr="008B5D0C">
        <w:rPr>
          <w:rFonts w:eastAsia="MS Mincho"/>
        </w:rPr>
        <w:t xml:space="preserve"> </w:t>
      </w:r>
    </w:p>
    <w:p w14:paraId="1FE04BBF" w14:textId="249014DD" w:rsidR="00C57C37" w:rsidRDefault="00C57C37" w:rsidP="00C57C37">
      <w:pPr>
        <w:pStyle w:val="SingleTxtG"/>
        <w:rPr>
          <w:rFonts w:asciiTheme="majorBidi" w:hAnsiTheme="majorBidi" w:cstheme="majorBidi"/>
        </w:rPr>
      </w:pPr>
      <w:r>
        <w:rPr>
          <w:rFonts w:asciiTheme="majorBidi" w:hAnsiTheme="majorBidi" w:cstheme="majorBidi"/>
        </w:rPr>
        <w:t>1</w:t>
      </w:r>
      <w:r w:rsidRPr="00964133">
        <w:rPr>
          <w:rFonts w:asciiTheme="majorBidi" w:hAnsiTheme="majorBidi" w:cstheme="majorBidi"/>
        </w:rPr>
        <w:t xml:space="preserve">. </w:t>
      </w:r>
      <w:r w:rsidRPr="00964133">
        <w:rPr>
          <w:rFonts w:asciiTheme="majorBidi" w:hAnsiTheme="majorBidi" w:cstheme="majorBidi"/>
        </w:rPr>
        <w:tab/>
        <w:t>Canada and the U</w:t>
      </w:r>
      <w:r>
        <w:rPr>
          <w:rFonts w:asciiTheme="majorBidi" w:hAnsiTheme="majorBidi" w:cstheme="majorBidi"/>
        </w:rPr>
        <w:t>nited States of America</w:t>
      </w:r>
      <w:r w:rsidRPr="00964133">
        <w:rPr>
          <w:rFonts w:asciiTheme="majorBidi" w:hAnsiTheme="majorBidi" w:cstheme="majorBidi"/>
        </w:rPr>
        <w:t xml:space="preserve"> would like to thank the expert from Japan for the working d</w:t>
      </w:r>
      <w:r>
        <w:rPr>
          <w:rFonts w:asciiTheme="majorBidi" w:hAnsiTheme="majorBidi" w:cstheme="majorBidi"/>
        </w:rPr>
        <w:t xml:space="preserve">ocument ST/SG/AC.10/C.4/2022/19 </w:t>
      </w:r>
      <w:r w:rsidRPr="009C5C88">
        <w:rPr>
          <w:rFonts w:asciiTheme="majorBidi" w:hAnsiTheme="majorBidi" w:cstheme="majorBidi"/>
        </w:rPr>
        <w:t>“Clarification of the criteria for classification for skin sensi</w:t>
      </w:r>
      <w:r>
        <w:rPr>
          <w:rFonts w:asciiTheme="majorBidi" w:hAnsiTheme="majorBidi" w:cstheme="majorBidi"/>
        </w:rPr>
        <w:t xml:space="preserve">tization using animal studies”, </w:t>
      </w:r>
      <w:r w:rsidRPr="00964133">
        <w:rPr>
          <w:rFonts w:asciiTheme="majorBidi" w:hAnsiTheme="majorBidi" w:cstheme="majorBidi"/>
        </w:rPr>
        <w:t>for the hard work that has gone into developing this proposal and for thoughtfully revising the proposal in accordance with feedback from the GHS Sub-Committee.</w:t>
      </w:r>
    </w:p>
    <w:p w14:paraId="7AC68F89" w14:textId="49E65DEC" w:rsidR="00C57C37" w:rsidRPr="00986EE8" w:rsidRDefault="00C57C37" w:rsidP="00C57C37">
      <w:pPr>
        <w:pStyle w:val="HChG"/>
      </w:pPr>
      <w:r>
        <w:tab/>
      </w:r>
      <w:r>
        <w:tab/>
      </w:r>
      <w:r w:rsidRPr="00986EE8">
        <w:t>Background</w:t>
      </w:r>
    </w:p>
    <w:p w14:paraId="2E7D80F8" w14:textId="21EA5654" w:rsidR="00C57C37" w:rsidRDefault="00C57C37" w:rsidP="00C57C37">
      <w:pPr>
        <w:pStyle w:val="SingleTxtG"/>
      </w:pPr>
      <w:r>
        <w:t xml:space="preserve">2. </w:t>
      </w:r>
      <w:r>
        <w:tab/>
      </w:r>
      <w:r w:rsidRPr="00964133">
        <w:t>Local Lymph Node Assay (LLNA) sub-categorization first appeared in GHS Rev.3 after being introduced in informal document INF.3 (15th session) and working paper ST/SG/AC.10/C.4/2008/18 (16th session).  The criteria for LLNA data in the GHS have remained largely unchanged since Rev.3, even though multiple updates to the OECD test guidelines (OECD TG 429, 442A, 442B, 442C) have occurred since 2008.</w:t>
      </w:r>
    </w:p>
    <w:p w14:paraId="1FC969DC" w14:textId="77777777" w:rsidR="00C57C37" w:rsidRPr="001204F3" w:rsidRDefault="00C57C37" w:rsidP="00C57C37">
      <w:pPr>
        <w:pStyle w:val="HChG"/>
        <w:rPr>
          <w:rFonts w:eastAsia="MS Mincho"/>
        </w:rPr>
      </w:pPr>
      <w:r>
        <w:rPr>
          <w:rFonts w:asciiTheme="majorBidi" w:hAnsiTheme="majorBidi" w:cstheme="majorBidi"/>
          <w:sz w:val="20"/>
        </w:rPr>
        <w:tab/>
      </w:r>
      <w:r>
        <w:rPr>
          <w:rFonts w:asciiTheme="majorBidi" w:hAnsiTheme="majorBidi" w:cstheme="majorBidi"/>
          <w:sz w:val="20"/>
        </w:rPr>
        <w:tab/>
      </w:r>
      <w:r w:rsidRPr="001204F3">
        <w:rPr>
          <w:rFonts w:eastAsia="MS Mincho"/>
        </w:rPr>
        <w:t>Discussion</w:t>
      </w:r>
    </w:p>
    <w:p w14:paraId="0CEEE681" w14:textId="698F4209" w:rsidR="00C57C37" w:rsidRDefault="00C57C37" w:rsidP="00C57C37">
      <w:pPr>
        <w:pStyle w:val="SingleTxtG"/>
        <w:rPr>
          <w:rFonts w:asciiTheme="majorBidi" w:hAnsiTheme="majorBidi" w:cstheme="majorBidi"/>
        </w:rPr>
      </w:pPr>
      <w:r>
        <w:rPr>
          <w:rFonts w:asciiTheme="majorBidi" w:hAnsiTheme="majorBidi" w:cstheme="majorBidi"/>
        </w:rPr>
        <w:t xml:space="preserve">3. </w:t>
      </w:r>
      <w:r>
        <w:rPr>
          <w:rFonts w:asciiTheme="majorBidi" w:hAnsiTheme="majorBidi" w:cstheme="majorBidi"/>
        </w:rPr>
        <w:tab/>
        <w:t>Generally, in the GHS, health hazard criteria is only included if it has been agreed internationally (GHS 1.3.2.4.3). Validated test methods that have yet to be internationally agreed upon have been referenced without the explicit inclusion of criteria. For example, please refer to the recently revised Chapter 3.3 (</w:t>
      </w:r>
      <w:r w:rsidR="00B25DB7">
        <w:rPr>
          <w:rFonts w:asciiTheme="majorBidi" w:hAnsiTheme="majorBidi" w:cstheme="majorBidi"/>
        </w:rPr>
        <w:t xml:space="preserve">informal document </w:t>
      </w:r>
      <w:r>
        <w:rPr>
          <w:rFonts w:asciiTheme="majorBidi" w:hAnsiTheme="majorBidi" w:cstheme="majorBidi"/>
        </w:rPr>
        <w:t xml:space="preserve">INF.3 </w:t>
      </w:r>
      <w:r w:rsidR="00B25DB7">
        <w:rPr>
          <w:rFonts w:asciiTheme="majorBidi" w:hAnsiTheme="majorBidi" w:cstheme="majorBidi"/>
        </w:rPr>
        <w:t>(</w:t>
      </w:r>
      <w:r>
        <w:rPr>
          <w:rFonts w:asciiTheme="majorBidi" w:hAnsiTheme="majorBidi" w:cstheme="majorBidi"/>
        </w:rPr>
        <w:t>40</w:t>
      </w:r>
      <w:r w:rsidRPr="004C54ED">
        <w:rPr>
          <w:rFonts w:asciiTheme="majorBidi" w:hAnsiTheme="majorBidi" w:cstheme="majorBidi"/>
          <w:vertAlign w:val="superscript"/>
        </w:rPr>
        <w:t>th</w:t>
      </w:r>
      <w:r>
        <w:rPr>
          <w:rFonts w:asciiTheme="majorBidi" w:hAnsiTheme="majorBidi" w:cstheme="majorBidi"/>
        </w:rPr>
        <w:t xml:space="preserve"> session). </w:t>
      </w:r>
    </w:p>
    <w:p w14:paraId="440DA493" w14:textId="3C47360A" w:rsidR="00C57C37" w:rsidRDefault="00C57C37" w:rsidP="00C57C37">
      <w:pPr>
        <w:pStyle w:val="SingleTxtG"/>
        <w:rPr>
          <w:rFonts w:asciiTheme="majorBidi" w:hAnsiTheme="majorBidi" w:cstheme="majorBidi"/>
        </w:rPr>
      </w:pPr>
      <w:r>
        <w:rPr>
          <w:rFonts w:asciiTheme="majorBidi" w:hAnsiTheme="majorBidi" w:cstheme="majorBidi"/>
        </w:rPr>
        <w:t xml:space="preserve">4. </w:t>
      </w:r>
      <w:r>
        <w:rPr>
          <w:rFonts w:asciiTheme="majorBidi" w:hAnsiTheme="majorBidi" w:cstheme="majorBidi"/>
        </w:rPr>
        <w:tab/>
        <w:t>The recently developed sub-categorization criteria for the BrdU-ELISA (OECD Test Guideline 442B) while scientifically validated (</w:t>
      </w:r>
      <w:r w:rsidR="00B25DB7">
        <w:rPr>
          <w:rFonts w:asciiTheme="majorBidi" w:hAnsiTheme="majorBidi" w:cstheme="majorBidi"/>
        </w:rPr>
        <w:t xml:space="preserve">informal document </w:t>
      </w:r>
      <w:r>
        <w:rPr>
          <w:rFonts w:asciiTheme="majorBidi" w:hAnsiTheme="majorBidi" w:cstheme="majorBidi"/>
        </w:rPr>
        <w:t xml:space="preserve">INF.4 </w:t>
      </w:r>
      <w:r w:rsidR="00B25DB7">
        <w:rPr>
          <w:rFonts w:asciiTheme="majorBidi" w:hAnsiTheme="majorBidi" w:cstheme="majorBidi"/>
        </w:rPr>
        <w:t>(</w:t>
      </w:r>
      <w:r>
        <w:rPr>
          <w:rFonts w:asciiTheme="majorBidi" w:hAnsiTheme="majorBidi" w:cstheme="majorBidi"/>
        </w:rPr>
        <w:t>42</w:t>
      </w:r>
      <w:r w:rsidRPr="00EA3B60">
        <w:rPr>
          <w:rFonts w:asciiTheme="majorBidi" w:hAnsiTheme="majorBidi" w:cstheme="majorBidi"/>
          <w:vertAlign w:val="superscript"/>
        </w:rPr>
        <w:t>nd</w:t>
      </w:r>
      <w:r>
        <w:rPr>
          <w:rFonts w:asciiTheme="majorBidi" w:hAnsiTheme="majorBidi" w:cstheme="majorBidi"/>
        </w:rPr>
        <w:t xml:space="preserve"> session) has yet to be agreed to internationally. </w:t>
      </w:r>
    </w:p>
    <w:p w14:paraId="5A6F80B4" w14:textId="58411983" w:rsidR="00C57C37" w:rsidRDefault="00C57C37" w:rsidP="00C57C37">
      <w:pPr>
        <w:pStyle w:val="SingleTxtG"/>
        <w:rPr>
          <w:rFonts w:asciiTheme="majorBidi" w:hAnsiTheme="majorBidi" w:cstheme="majorBidi"/>
        </w:rPr>
      </w:pPr>
      <w:r w:rsidRPr="76DE7E19">
        <w:rPr>
          <w:rFonts w:asciiTheme="majorBidi" w:hAnsiTheme="majorBidi" w:cstheme="majorBidi"/>
        </w:rPr>
        <w:t xml:space="preserve">5. </w:t>
      </w:r>
      <w:r>
        <w:rPr>
          <w:rFonts w:asciiTheme="majorBidi" w:hAnsiTheme="majorBidi" w:cstheme="majorBidi"/>
        </w:rPr>
        <w:tab/>
      </w:r>
      <w:r w:rsidRPr="76DE7E19">
        <w:rPr>
          <w:rFonts w:asciiTheme="majorBidi" w:hAnsiTheme="majorBidi" w:cstheme="majorBidi"/>
        </w:rPr>
        <w:t>The existing sub-categorization criteria in the GHS for OECD Test Guideline 429 and OECD Test Guideline 406, though not written in the Test Guidelines, was developed by the OECD (see INF.13</w:t>
      </w:r>
      <w:r w:rsidR="00C3421B">
        <w:rPr>
          <w:rFonts w:asciiTheme="majorBidi" w:hAnsiTheme="majorBidi" w:cstheme="majorBidi"/>
        </w:rPr>
        <w:t xml:space="preserve"> (</w:t>
      </w:r>
      <w:r w:rsidRPr="76DE7E19">
        <w:rPr>
          <w:rFonts w:asciiTheme="majorBidi" w:hAnsiTheme="majorBidi" w:cstheme="majorBidi"/>
        </w:rPr>
        <w:t>15</w:t>
      </w:r>
      <w:r w:rsidRPr="76DE7E19">
        <w:rPr>
          <w:rFonts w:asciiTheme="majorBidi" w:hAnsiTheme="majorBidi" w:cstheme="majorBidi"/>
          <w:vertAlign w:val="superscript"/>
        </w:rPr>
        <w:t>th</w:t>
      </w:r>
      <w:r w:rsidRPr="76DE7E19">
        <w:rPr>
          <w:rFonts w:asciiTheme="majorBidi" w:hAnsiTheme="majorBidi" w:cstheme="majorBidi"/>
        </w:rPr>
        <w:t xml:space="preserve"> session</w:t>
      </w:r>
      <w:r w:rsidR="00C3421B">
        <w:rPr>
          <w:rFonts w:asciiTheme="majorBidi" w:hAnsiTheme="majorBidi" w:cstheme="majorBidi"/>
        </w:rPr>
        <w:t>)</w:t>
      </w:r>
      <w:r w:rsidRPr="76DE7E19">
        <w:rPr>
          <w:rFonts w:asciiTheme="majorBidi" w:hAnsiTheme="majorBidi" w:cstheme="majorBidi"/>
        </w:rPr>
        <w:t xml:space="preserve">, ST/SG/AC.10/C.4/2008/18, ST/SG/AC.10/C.4/2008/18/Add.1, </w:t>
      </w:r>
      <w:r w:rsidR="00454EC6">
        <w:rPr>
          <w:rFonts w:asciiTheme="majorBidi" w:hAnsiTheme="majorBidi" w:cstheme="majorBidi"/>
        </w:rPr>
        <w:t xml:space="preserve">informal document </w:t>
      </w:r>
      <w:r w:rsidRPr="76DE7E19">
        <w:rPr>
          <w:rFonts w:asciiTheme="majorBidi" w:hAnsiTheme="majorBidi" w:cstheme="majorBidi"/>
        </w:rPr>
        <w:t xml:space="preserve">INF.3 </w:t>
      </w:r>
      <w:r w:rsidR="00454EC6">
        <w:rPr>
          <w:rFonts w:asciiTheme="majorBidi" w:hAnsiTheme="majorBidi" w:cstheme="majorBidi"/>
        </w:rPr>
        <w:t>(</w:t>
      </w:r>
      <w:r w:rsidRPr="76DE7E19">
        <w:rPr>
          <w:rFonts w:asciiTheme="majorBidi" w:hAnsiTheme="majorBidi" w:cstheme="majorBidi"/>
        </w:rPr>
        <w:t>16</w:t>
      </w:r>
      <w:r w:rsidRPr="76DE7E19">
        <w:rPr>
          <w:rFonts w:asciiTheme="majorBidi" w:hAnsiTheme="majorBidi" w:cstheme="majorBidi"/>
          <w:vertAlign w:val="superscript"/>
        </w:rPr>
        <w:t>th</w:t>
      </w:r>
      <w:r w:rsidRPr="76DE7E19">
        <w:rPr>
          <w:rFonts w:asciiTheme="majorBidi" w:hAnsiTheme="majorBidi" w:cstheme="majorBidi"/>
        </w:rPr>
        <w:t xml:space="preserve"> session</w:t>
      </w:r>
      <w:r w:rsidR="00454EC6">
        <w:rPr>
          <w:rFonts w:asciiTheme="majorBidi" w:hAnsiTheme="majorBidi" w:cstheme="majorBidi"/>
        </w:rPr>
        <w:t>)</w:t>
      </w:r>
      <w:r w:rsidRPr="76DE7E19">
        <w:rPr>
          <w:rFonts w:asciiTheme="majorBidi" w:hAnsiTheme="majorBidi" w:cstheme="majorBidi"/>
        </w:rPr>
        <w:t xml:space="preserve"> and </w:t>
      </w:r>
      <w:r w:rsidRPr="76DE7E19">
        <w:rPr>
          <w:rFonts w:asciiTheme="majorBidi" w:hAnsiTheme="majorBidi" w:cstheme="majorBidi"/>
        </w:rPr>
        <w:lastRenderedPageBreak/>
        <w:t>ST/SG/AC.10/C.4/32</w:t>
      </w:r>
      <w:r w:rsidR="00C3421B">
        <w:rPr>
          <w:rFonts w:asciiTheme="majorBidi" w:hAnsiTheme="majorBidi" w:cstheme="majorBidi"/>
        </w:rPr>
        <w:t>,</w:t>
      </w:r>
      <w:r w:rsidRPr="76DE7E19">
        <w:rPr>
          <w:rFonts w:asciiTheme="majorBidi" w:hAnsiTheme="majorBidi" w:cstheme="majorBidi"/>
        </w:rPr>
        <w:t xml:space="preserve"> paragraph 23). Therefore, it can be considered to be internationally agreed. The present proposed note in paragraph 17 and 18 of ST/SG/AC.10/C.4/2022/19 may </w:t>
      </w:r>
      <w:r>
        <w:rPr>
          <w:rFonts w:asciiTheme="majorBidi" w:hAnsiTheme="majorBidi" w:cstheme="majorBidi"/>
        </w:rPr>
        <w:t>unintentionally dissociate</w:t>
      </w:r>
      <w:r w:rsidRPr="76DE7E19">
        <w:rPr>
          <w:rFonts w:asciiTheme="majorBidi" w:hAnsiTheme="majorBidi" w:cstheme="majorBidi"/>
        </w:rPr>
        <w:t xml:space="preserve"> the relationship of the sub-categorization criteria for OECD Tests Guidelines 429 and 406 with the OECD.</w:t>
      </w:r>
    </w:p>
    <w:p w14:paraId="02A9696A" w14:textId="186C8D52" w:rsidR="00C57C37" w:rsidRDefault="00C57C37" w:rsidP="00C57C37">
      <w:pPr>
        <w:pStyle w:val="SingleTxtG"/>
        <w:rPr>
          <w:rFonts w:asciiTheme="majorBidi" w:hAnsiTheme="majorBidi" w:cstheme="majorBidi"/>
        </w:rPr>
      </w:pPr>
      <w:r>
        <w:rPr>
          <w:rFonts w:asciiTheme="majorBidi" w:hAnsiTheme="majorBidi" w:cstheme="majorBidi"/>
        </w:rPr>
        <w:t xml:space="preserve">6. </w:t>
      </w:r>
      <w:r>
        <w:rPr>
          <w:rFonts w:asciiTheme="majorBidi" w:hAnsiTheme="majorBidi" w:cstheme="majorBidi"/>
        </w:rPr>
        <w:tab/>
        <w:t>Furthermore, we wish to provide clarification in the proposed note in paragraph 17 and 18 regarding the effective concentration. In part, the language can be more aligned with that in the proposed guidance of Chapter 3.4 (</w:t>
      </w:r>
      <w:r w:rsidR="00454EC6">
        <w:rPr>
          <w:rFonts w:asciiTheme="majorBidi" w:hAnsiTheme="majorBidi" w:cstheme="majorBidi"/>
        </w:rPr>
        <w:t xml:space="preserve">informal documents </w:t>
      </w:r>
      <w:r>
        <w:rPr>
          <w:rFonts w:asciiTheme="majorBidi" w:hAnsiTheme="majorBidi" w:cstheme="majorBidi"/>
        </w:rPr>
        <w:t xml:space="preserve">INF.3/Rev.1 and INF.8 </w:t>
      </w:r>
      <w:r w:rsidR="00454EC6">
        <w:rPr>
          <w:rFonts w:asciiTheme="majorBidi" w:hAnsiTheme="majorBidi" w:cstheme="majorBidi"/>
        </w:rPr>
        <w:t>(</w:t>
      </w:r>
      <w:r>
        <w:rPr>
          <w:rFonts w:asciiTheme="majorBidi" w:hAnsiTheme="majorBidi" w:cstheme="majorBidi"/>
        </w:rPr>
        <w:t>43</w:t>
      </w:r>
      <w:r w:rsidRPr="004E44F4">
        <w:rPr>
          <w:rFonts w:asciiTheme="majorBidi" w:hAnsiTheme="majorBidi" w:cstheme="majorBidi"/>
          <w:vertAlign w:val="superscript"/>
        </w:rPr>
        <w:t>rd</w:t>
      </w:r>
      <w:r>
        <w:rPr>
          <w:rFonts w:asciiTheme="majorBidi" w:hAnsiTheme="majorBidi" w:cstheme="majorBidi"/>
        </w:rPr>
        <w:t xml:space="preserve"> session). </w:t>
      </w:r>
    </w:p>
    <w:p w14:paraId="383DA9D3" w14:textId="5DF7FD6B" w:rsidR="00C57C37" w:rsidRDefault="00C57C37" w:rsidP="00C57C37">
      <w:pPr>
        <w:pStyle w:val="SingleTxtG"/>
        <w:rPr>
          <w:rFonts w:asciiTheme="majorBidi" w:hAnsiTheme="majorBidi" w:cstheme="majorBidi"/>
        </w:rPr>
      </w:pPr>
      <w:r>
        <w:rPr>
          <w:rFonts w:asciiTheme="majorBidi" w:hAnsiTheme="majorBidi" w:cstheme="majorBidi"/>
        </w:rPr>
        <w:t xml:space="preserve">7. </w:t>
      </w:r>
      <w:r>
        <w:rPr>
          <w:rFonts w:asciiTheme="majorBidi" w:hAnsiTheme="majorBidi" w:cstheme="majorBidi"/>
        </w:rPr>
        <w:tab/>
        <w:t xml:space="preserve">Collectively, to address these concerns and facilitate discussion at the Sub-Committee session, we have set out proposals in </w:t>
      </w:r>
      <w:r w:rsidRPr="005E2644">
        <w:rPr>
          <w:rFonts w:asciiTheme="majorBidi" w:hAnsiTheme="majorBidi" w:cstheme="majorBidi"/>
        </w:rPr>
        <w:t>paragraphs 8 to 11</w:t>
      </w:r>
      <w:r>
        <w:rPr>
          <w:rFonts w:asciiTheme="majorBidi" w:hAnsiTheme="majorBidi" w:cstheme="majorBidi"/>
        </w:rPr>
        <w:t xml:space="preserve">. The intent is to allow the use of the </w:t>
      </w:r>
      <w:r w:rsidRPr="00034E9B">
        <w:rPr>
          <w:rFonts w:asciiTheme="majorBidi" w:hAnsiTheme="majorBidi" w:cstheme="majorBidi"/>
        </w:rPr>
        <w:t>BrdU-ELISA</w:t>
      </w:r>
      <w:r>
        <w:rPr>
          <w:rFonts w:asciiTheme="majorBidi" w:hAnsiTheme="majorBidi" w:cstheme="majorBidi"/>
        </w:rPr>
        <w:t xml:space="preserve"> sub-categorization criteria at the discretion of a competent authority, without including the sub-categorization criteria directly in the criteria.  </w:t>
      </w:r>
    </w:p>
    <w:p w14:paraId="30A8E4D7" w14:textId="630C249C" w:rsidR="00C57C37" w:rsidRDefault="00C57C37" w:rsidP="00C57C37">
      <w:pPr>
        <w:pStyle w:val="HChG"/>
        <w:rPr>
          <w:rFonts w:eastAsia="MS Mincho"/>
        </w:rPr>
      </w:pPr>
      <w:r>
        <w:rPr>
          <w:rFonts w:eastAsia="MS Mincho"/>
        </w:rPr>
        <w:tab/>
      </w:r>
      <w:r>
        <w:rPr>
          <w:rFonts w:eastAsia="MS Mincho"/>
        </w:rPr>
        <w:tab/>
        <w:t>Proposal</w:t>
      </w:r>
    </w:p>
    <w:p w14:paraId="3E8A2DF3" w14:textId="4A4E5959" w:rsidR="00F84AB6" w:rsidRPr="00F84AB6" w:rsidRDefault="00F84AB6" w:rsidP="00F84AB6">
      <w:pPr>
        <w:pStyle w:val="H1G"/>
      </w:pPr>
      <w:r>
        <w:tab/>
      </w:r>
      <w:r>
        <w:tab/>
        <w:t xml:space="preserve">Amendments to </w:t>
      </w:r>
      <w:r w:rsidRPr="001F1D27">
        <w:t>ST/SG/AC.10/C.4/2022/19</w:t>
      </w:r>
    </w:p>
    <w:p w14:paraId="5A5FC6C6" w14:textId="40A72963" w:rsidR="00C57C37" w:rsidRDefault="00C57C37" w:rsidP="00117BA0">
      <w:pPr>
        <w:pStyle w:val="SingleTxtG"/>
        <w:rPr>
          <w:rFonts w:asciiTheme="majorBidi" w:hAnsiTheme="majorBidi" w:cstheme="majorBidi"/>
        </w:rPr>
      </w:pPr>
      <w:r>
        <w:rPr>
          <w:rFonts w:asciiTheme="majorBidi" w:hAnsiTheme="majorBidi" w:cstheme="majorBidi"/>
        </w:rPr>
        <w:t xml:space="preserve">8. </w:t>
      </w:r>
      <w:r>
        <w:rPr>
          <w:rFonts w:asciiTheme="majorBidi" w:hAnsiTheme="majorBidi" w:cstheme="majorBidi"/>
        </w:rPr>
        <w:tab/>
      </w:r>
      <w:r w:rsidR="00F84AB6">
        <w:rPr>
          <w:rFonts w:asciiTheme="majorBidi" w:hAnsiTheme="majorBidi" w:cstheme="majorBidi"/>
        </w:rPr>
        <w:t>A</w:t>
      </w:r>
      <w:r>
        <w:rPr>
          <w:rFonts w:asciiTheme="majorBidi" w:hAnsiTheme="majorBidi" w:cstheme="majorBidi"/>
        </w:rPr>
        <w:t>mend the note in paragraph</w:t>
      </w:r>
      <w:r w:rsidR="00EA791C">
        <w:rPr>
          <w:rFonts w:asciiTheme="majorBidi" w:hAnsiTheme="majorBidi" w:cstheme="majorBidi"/>
        </w:rPr>
        <w:t>s</w:t>
      </w:r>
      <w:r>
        <w:rPr>
          <w:rFonts w:asciiTheme="majorBidi" w:hAnsiTheme="majorBidi" w:cstheme="majorBidi"/>
        </w:rPr>
        <w:t xml:space="preserve"> 17 and 18 of </w:t>
      </w:r>
      <w:r w:rsidRPr="001F1D27">
        <w:rPr>
          <w:rFonts w:asciiTheme="majorBidi" w:hAnsiTheme="majorBidi" w:cstheme="majorBidi"/>
        </w:rPr>
        <w:t>ST/SG/AC.10/C.4/2022/19</w:t>
      </w:r>
      <w:r>
        <w:rPr>
          <w:rFonts w:asciiTheme="majorBidi" w:hAnsiTheme="majorBidi" w:cstheme="majorBidi"/>
        </w:rPr>
        <w:t xml:space="preserve"> as follows </w:t>
      </w:r>
      <w:r>
        <w:t xml:space="preserve">(new </w:t>
      </w:r>
      <w:r w:rsidR="00A766EB">
        <w:t xml:space="preserve">text </w:t>
      </w:r>
      <w:r>
        <w:t xml:space="preserve">is shown </w:t>
      </w:r>
      <w:r w:rsidRPr="00C57C37">
        <w:t>in</w:t>
      </w:r>
      <w:r>
        <w:t xml:space="preserve"> bold</w:t>
      </w:r>
      <w:r w:rsidR="006F0B4D">
        <w:t xml:space="preserve"> underlined</w:t>
      </w:r>
      <w:r>
        <w:t xml:space="preserve">; text that is deleted from the proposal is shown with strikethrough; </w:t>
      </w:r>
      <w:r w:rsidR="00C218A6">
        <w:t xml:space="preserve">existing text in the proposal in </w:t>
      </w:r>
      <w:r w:rsidR="00C218A6" w:rsidRPr="001F1D27">
        <w:rPr>
          <w:rFonts w:asciiTheme="majorBidi" w:hAnsiTheme="majorBidi" w:cstheme="majorBidi"/>
        </w:rPr>
        <w:t>ST/SG/AC.10/C.4/2022/19</w:t>
      </w:r>
      <w:r w:rsidR="00C218A6">
        <w:rPr>
          <w:rFonts w:asciiTheme="majorBidi" w:hAnsiTheme="majorBidi" w:cstheme="majorBidi"/>
        </w:rPr>
        <w:t xml:space="preserve"> </w:t>
      </w:r>
      <w:r w:rsidR="00C218A6">
        <w:t xml:space="preserve">is shown in </w:t>
      </w:r>
      <w:r w:rsidR="00117BA0">
        <w:t>italics</w:t>
      </w:r>
      <w:r>
        <w:t>):</w:t>
      </w:r>
      <w:r>
        <w:rPr>
          <w:rFonts w:asciiTheme="majorBidi" w:hAnsiTheme="majorBidi" w:cstheme="majorBidi"/>
        </w:rPr>
        <w:t xml:space="preserve"> </w:t>
      </w:r>
    </w:p>
    <w:p w14:paraId="27597C63" w14:textId="73350E52" w:rsidR="00C57C37" w:rsidRPr="003C7EBB" w:rsidRDefault="00C57C37" w:rsidP="00C57C37">
      <w:pPr>
        <w:pStyle w:val="SingleTxtG"/>
        <w:spacing w:before="120"/>
        <w:ind w:left="1985"/>
        <w:rPr>
          <w:rFonts w:eastAsia="SimSun"/>
          <w:b/>
          <w:u w:val="single"/>
          <w:lang w:eastAsia="zh-CN"/>
        </w:rPr>
      </w:pPr>
      <w:r w:rsidRPr="0016628F">
        <w:rPr>
          <w:rFonts w:eastAsia="SimSun"/>
          <w:i/>
          <w:iCs/>
          <w:color w:val="000000" w:themeColor="text1"/>
          <w:sz w:val="19"/>
          <w:szCs w:val="19"/>
          <w:lang w:eastAsia="zh-CN"/>
        </w:rPr>
        <w:t>“</w:t>
      </w:r>
      <w:r w:rsidRPr="0016628F">
        <w:rPr>
          <w:rFonts w:eastAsia="SimSun"/>
          <w:b/>
          <w:bCs/>
          <w:i/>
          <w:iCs/>
          <w:color w:val="000000" w:themeColor="text1"/>
          <w:spacing w:val="-6"/>
          <w:sz w:val="19"/>
          <w:szCs w:val="19"/>
          <w:lang w:eastAsia="zh-CN"/>
        </w:rPr>
        <w:t>Note</w:t>
      </w:r>
      <w:r w:rsidRPr="0016628F">
        <w:rPr>
          <w:rFonts w:eastAsia="SimSun"/>
          <w:i/>
          <w:iCs/>
          <w:color w:val="000000" w:themeColor="text1"/>
          <w:spacing w:val="-6"/>
          <w:sz w:val="19"/>
          <w:szCs w:val="19"/>
          <w:lang w:eastAsia="zh-CN"/>
        </w:rPr>
        <w:t xml:space="preserve">: </w:t>
      </w:r>
      <w:r w:rsidRPr="0016628F">
        <w:rPr>
          <w:rFonts w:eastAsia="SimSun"/>
          <w:i/>
          <w:iCs/>
          <w:color w:val="000000" w:themeColor="text1"/>
          <w:sz w:val="19"/>
          <w:szCs w:val="19"/>
          <w:lang w:eastAsia="zh-CN"/>
        </w:rPr>
        <w:t xml:space="preserve"> </w:t>
      </w:r>
      <w:r w:rsidRPr="0016628F">
        <w:rPr>
          <w:rFonts w:eastAsia="SimSun"/>
          <w:i/>
          <w:iCs/>
          <w:strike/>
          <w:lang w:eastAsia="zh-CN"/>
        </w:rPr>
        <w:t>The EC3 and EC1.6 values are estimated concentration of a chemical expected to produce positive responses in each assay method</w:t>
      </w:r>
      <w:r w:rsidRPr="0016628F">
        <w:rPr>
          <w:rFonts w:eastAsia="SimSun"/>
          <w:i/>
          <w:iCs/>
          <w:lang w:eastAsia="zh-CN"/>
        </w:rPr>
        <w:t>.</w:t>
      </w:r>
      <w:r w:rsidRPr="0016628F">
        <w:rPr>
          <w:i/>
          <w:iCs/>
          <w:color w:val="FF0000"/>
        </w:rPr>
        <w:t xml:space="preserve"> </w:t>
      </w:r>
      <w:r w:rsidRPr="003C7EBB">
        <w:rPr>
          <w:b/>
          <w:u w:val="single"/>
        </w:rPr>
        <w:t xml:space="preserve">Sub-categorization for the LLNA is performed based on the effective concentration (EC), a linear interpolation to estimate the concentration causing an increase in stimulation index of exactly the critical magnitude. </w:t>
      </w:r>
    </w:p>
    <w:p w14:paraId="2F05AF5E" w14:textId="77777777" w:rsidR="00C57C37" w:rsidRPr="0016628F" w:rsidRDefault="00C57C37" w:rsidP="00C57C37">
      <w:pPr>
        <w:kinsoku w:val="0"/>
        <w:overflowPunct w:val="0"/>
        <w:autoSpaceDE w:val="0"/>
        <w:autoSpaceDN w:val="0"/>
        <w:adjustRightInd w:val="0"/>
        <w:snapToGrid w:val="0"/>
        <w:spacing w:before="120" w:after="120"/>
        <w:ind w:left="1985" w:right="1134"/>
        <w:jc w:val="both"/>
        <w:rPr>
          <w:rFonts w:eastAsia="SimSun"/>
          <w:i/>
          <w:iCs/>
          <w:strike/>
          <w:color w:val="000000" w:themeColor="text1"/>
          <w:sz w:val="19"/>
          <w:szCs w:val="19"/>
          <w:lang w:eastAsia="zh-CN"/>
        </w:rPr>
      </w:pPr>
      <w:r w:rsidRPr="0016628F">
        <w:rPr>
          <w:rFonts w:eastAsia="SimSun"/>
          <w:i/>
          <w:iCs/>
          <w:strike/>
          <w:color w:val="000000" w:themeColor="text1"/>
          <w:sz w:val="19"/>
          <w:szCs w:val="19"/>
          <w:lang w:eastAsia="zh-CN"/>
        </w:rPr>
        <w:t>Although no sub-categorization criteria have yet been described in OECD test guideline Nos. 406, 429 and 442B, validated sub-categorization criteria may still be accepted by some competent authorities. A competent authority may decide which sub-categorization criteria, if any, should be applied for these test methods.</w:t>
      </w:r>
    </w:p>
    <w:p w14:paraId="082574FB" w14:textId="77777777" w:rsidR="00C57C37" w:rsidRPr="003C7EBB" w:rsidRDefault="00C57C37" w:rsidP="00C57C37">
      <w:pPr>
        <w:kinsoku w:val="0"/>
        <w:overflowPunct w:val="0"/>
        <w:autoSpaceDE w:val="0"/>
        <w:autoSpaceDN w:val="0"/>
        <w:adjustRightInd w:val="0"/>
        <w:snapToGrid w:val="0"/>
        <w:spacing w:before="120" w:after="120"/>
        <w:ind w:left="1985" w:right="1134"/>
        <w:jc w:val="both"/>
        <w:rPr>
          <w:rFonts w:eastAsia="SimSun"/>
          <w:b/>
          <w:bCs/>
          <w:color w:val="000000" w:themeColor="text1"/>
          <w:spacing w:val="-6"/>
          <w:sz w:val="19"/>
          <w:szCs w:val="19"/>
          <w:u w:val="single"/>
          <w:lang w:eastAsia="zh-CN"/>
        </w:rPr>
      </w:pPr>
      <w:r w:rsidRPr="003C7EBB">
        <w:rPr>
          <w:rFonts w:eastAsia="SimSun"/>
          <w:b/>
          <w:bCs/>
          <w:color w:val="000000" w:themeColor="text1"/>
          <w:spacing w:val="-6"/>
          <w:sz w:val="19"/>
          <w:szCs w:val="19"/>
          <w:u w:val="single"/>
          <w:lang w:eastAsia="zh-CN"/>
        </w:rPr>
        <w:t>For the LLNA: BrdU-ELISA</w:t>
      </w:r>
      <w:r w:rsidRPr="003C7EBB">
        <w:rPr>
          <w:rFonts w:eastAsia="MS Mincho" w:hint="eastAsia"/>
          <w:b/>
          <w:bCs/>
          <w:color w:val="000000" w:themeColor="text1"/>
          <w:spacing w:val="-6"/>
          <w:sz w:val="19"/>
          <w:szCs w:val="19"/>
          <w:u w:val="single"/>
          <w:lang w:eastAsia="ja-JP"/>
        </w:rPr>
        <w:t>,</w:t>
      </w:r>
      <w:r w:rsidRPr="003C7EBB">
        <w:rPr>
          <w:rFonts w:eastAsia="SimSun"/>
          <w:b/>
          <w:bCs/>
          <w:color w:val="000000" w:themeColor="text1"/>
          <w:spacing w:val="-6"/>
          <w:sz w:val="19"/>
          <w:szCs w:val="19"/>
          <w:u w:val="single"/>
          <w:lang w:eastAsia="zh-CN"/>
        </w:rPr>
        <w:t xml:space="preserve"> sub-categorization criteria (1A: </w:t>
      </w:r>
      <w:r w:rsidRPr="003C7EBB">
        <w:rPr>
          <w:rFonts w:eastAsia="SimSun"/>
          <w:b/>
          <w:bCs/>
          <w:color w:val="000000" w:themeColor="text1"/>
          <w:spacing w:val="-8"/>
          <w:sz w:val="19"/>
          <w:u w:val="single"/>
          <w:lang w:eastAsia="zh-CN"/>
        </w:rPr>
        <w:t>EC1.6 value ≤ 6%, 1B: EC1.6 value &gt; 6%, Maeda and Takeyoshi, 2019; Kobayashi et al., 2020</w:t>
      </w:r>
      <w:r w:rsidRPr="003C7EBB">
        <w:rPr>
          <w:rFonts w:eastAsia="SimSun"/>
          <w:b/>
          <w:bCs/>
          <w:color w:val="000000" w:themeColor="text1"/>
          <w:spacing w:val="-6"/>
          <w:sz w:val="19"/>
          <w:szCs w:val="19"/>
          <w:u w:val="single"/>
          <w:lang w:eastAsia="zh-CN"/>
        </w:rPr>
        <w:t xml:space="preserve">) have been proposed and </w:t>
      </w:r>
      <w:bookmarkStart w:id="0" w:name="_Hlk119053222"/>
      <w:r w:rsidRPr="003C7EBB">
        <w:rPr>
          <w:rFonts w:eastAsia="SimSun"/>
          <w:b/>
          <w:bCs/>
          <w:color w:val="000000" w:themeColor="text1"/>
          <w:spacing w:val="-6"/>
          <w:sz w:val="19"/>
          <w:szCs w:val="19"/>
          <w:u w:val="single"/>
          <w:lang w:eastAsia="zh-CN"/>
        </w:rPr>
        <w:t>validated</w:t>
      </w:r>
      <w:bookmarkEnd w:id="0"/>
      <w:r w:rsidRPr="003C7EBB">
        <w:rPr>
          <w:rFonts w:eastAsia="SimSun"/>
          <w:b/>
          <w:bCs/>
          <w:color w:val="000000" w:themeColor="text1"/>
          <w:spacing w:val="-6"/>
          <w:sz w:val="19"/>
          <w:szCs w:val="19"/>
          <w:u w:val="single"/>
          <w:lang w:eastAsia="zh-CN"/>
        </w:rPr>
        <w:t xml:space="preserve"> by the OECD, but no sub-categorization criteria have yet been agreed internationally. Validated sub-categorization criteria may still be accepted by some competent authorities. A competent authority may decide which sub-categorization criteria, if any, should be applied for this test method. </w:t>
      </w:r>
    </w:p>
    <w:p w14:paraId="20056DC5" w14:textId="4DBE4FF8" w:rsidR="00C57C37" w:rsidRPr="00B7254E" w:rsidRDefault="00C57C37" w:rsidP="00C57C37">
      <w:pPr>
        <w:kinsoku w:val="0"/>
        <w:overflowPunct w:val="0"/>
        <w:autoSpaceDE w:val="0"/>
        <w:autoSpaceDN w:val="0"/>
        <w:adjustRightInd w:val="0"/>
        <w:snapToGrid w:val="0"/>
        <w:spacing w:before="120" w:after="120"/>
        <w:ind w:left="1985" w:right="1134"/>
        <w:jc w:val="both"/>
        <w:rPr>
          <w:rFonts w:eastAsia="SimSun"/>
          <w:i/>
          <w:iCs/>
          <w:color w:val="000000" w:themeColor="text1"/>
          <w:sz w:val="19"/>
          <w:szCs w:val="19"/>
          <w:lang w:eastAsia="zh-CN"/>
        </w:rPr>
      </w:pPr>
      <w:r w:rsidRPr="00B7254E">
        <w:rPr>
          <w:rFonts w:eastAsia="SimSun"/>
          <w:i/>
          <w:iCs/>
          <w:color w:val="000000" w:themeColor="text1"/>
          <w:spacing w:val="-6"/>
          <w:sz w:val="19"/>
          <w:szCs w:val="19"/>
          <w:lang w:eastAsia="zh-CN"/>
        </w:rPr>
        <w:t>As for the LLNA: DA and LLNA: BrdU-FCM, there are currently no validated and internationally agreed criteria for subcategorization of skin sensitizers. Therefore, these test methods can only be used to conclude on either classification in category 1 or no classification.</w:t>
      </w:r>
      <w:r w:rsidRPr="00B7254E">
        <w:rPr>
          <w:rFonts w:eastAsia="SimSun"/>
          <w:i/>
          <w:iCs/>
          <w:color w:val="000000" w:themeColor="text1"/>
          <w:sz w:val="19"/>
          <w:szCs w:val="19"/>
          <w:lang w:eastAsia="zh-CN"/>
        </w:rPr>
        <w:t>”</w:t>
      </w:r>
      <w:r w:rsidR="00627380">
        <w:rPr>
          <w:rFonts w:eastAsia="SimSun"/>
          <w:i/>
          <w:iCs/>
          <w:color w:val="000000" w:themeColor="text1"/>
          <w:sz w:val="19"/>
          <w:szCs w:val="19"/>
          <w:lang w:eastAsia="zh-CN"/>
        </w:rPr>
        <w:t>.</w:t>
      </w:r>
    </w:p>
    <w:p w14:paraId="0B50D4F8" w14:textId="1FA09F08" w:rsidR="00C57C37" w:rsidRDefault="00C57C37" w:rsidP="00C57C37">
      <w:pPr>
        <w:pStyle w:val="SingleTxtG"/>
      </w:pPr>
      <w:r>
        <w:t xml:space="preserve">9. </w:t>
      </w:r>
      <w:r>
        <w:tab/>
        <w:t xml:space="preserve">In paragraph 17 of </w:t>
      </w:r>
      <w:r w:rsidRPr="001F1D27">
        <w:t>ST/SG/AC.10/C.4/2022/19</w:t>
      </w:r>
      <w:r>
        <w:t xml:space="preserve"> delete the following</w:t>
      </w:r>
      <w:r w:rsidR="004679BA">
        <w:t xml:space="preserve"> instructions for amendment</w:t>
      </w:r>
      <w:r>
        <w:t xml:space="preserve">: </w:t>
      </w:r>
    </w:p>
    <w:p w14:paraId="3706DCA0" w14:textId="7001A782" w:rsidR="00C57C37" w:rsidRPr="002A1F78" w:rsidRDefault="00C57C37" w:rsidP="00C57C37">
      <w:pPr>
        <w:pStyle w:val="SingleTxtG"/>
        <w:spacing w:before="120"/>
        <w:ind w:left="1701" w:hanging="567"/>
        <w:rPr>
          <w:rFonts w:eastAsia="SimSun"/>
          <w:color w:val="000000" w:themeColor="text1"/>
          <w:lang w:eastAsia="zh-CN"/>
        </w:rPr>
      </w:pPr>
      <w:r>
        <w:rPr>
          <w:rFonts w:asciiTheme="majorBidi" w:hAnsiTheme="majorBidi" w:cstheme="majorBidi"/>
        </w:rPr>
        <w:tab/>
      </w:r>
      <w:r w:rsidR="004679BA">
        <w:rPr>
          <w:rFonts w:asciiTheme="majorBidi" w:hAnsiTheme="majorBidi" w:cstheme="majorBidi"/>
        </w:rPr>
        <w:t>“</w:t>
      </w:r>
      <w:r w:rsidRPr="002A1F78">
        <w:rPr>
          <w:rFonts w:eastAsia="SimSun"/>
          <w:color w:val="000000" w:themeColor="text1"/>
          <w:lang w:eastAsia="zh-CN"/>
        </w:rPr>
        <w:t>Under the first column ‘Assay’, after the row for ‘Local lymph node assay’, insert a new row: ‘</w:t>
      </w:r>
      <w:r w:rsidRPr="004679BA">
        <w:rPr>
          <w:rFonts w:eastAsia="SimSun"/>
          <w:b/>
          <w:color w:val="000000" w:themeColor="text1"/>
          <w:sz w:val="19"/>
          <w:u w:val="single"/>
          <w:lang w:eastAsia="zh-CN"/>
        </w:rPr>
        <w:t>Local lymph node assay: BrdU-ELISA</w:t>
      </w:r>
      <w:r w:rsidRPr="002A1F78">
        <w:rPr>
          <w:rFonts w:eastAsia="SimSun"/>
          <w:color w:val="000000" w:themeColor="text1"/>
          <w:sz w:val="19"/>
          <w:lang w:eastAsia="zh-CN"/>
        </w:rPr>
        <w:t>’</w:t>
      </w:r>
      <w:r w:rsidRPr="002A1F78">
        <w:rPr>
          <w:rFonts w:eastAsia="SimSun"/>
          <w:color w:val="000000" w:themeColor="text1"/>
          <w:lang w:eastAsia="zh-CN"/>
        </w:rPr>
        <w:t>.</w:t>
      </w:r>
    </w:p>
    <w:p w14:paraId="1D4AB840" w14:textId="72E20C61" w:rsidR="00C57C37" w:rsidRPr="002A1F78" w:rsidRDefault="00C57C37" w:rsidP="00C57C37">
      <w:pPr>
        <w:kinsoku w:val="0"/>
        <w:overflowPunct w:val="0"/>
        <w:autoSpaceDE w:val="0"/>
        <w:autoSpaceDN w:val="0"/>
        <w:adjustRightInd w:val="0"/>
        <w:snapToGrid w:val="0"/>
        <w:spacing w:before="120" w:after="120"/>
        <w:ind w:left="1701" w:right="1134" w:hanging="567"/>
        <w:jc w:val="both"/>
        <w:rPr>
          <w:rFonts w:eastAsia="SimSun"/>
          <w:color w:val="000000" w:themeColor="text1"/>
          <w:lang w:eastAsia="zh-CN"/>
        </w:rPr>
      </w:pPr>
      <w:r w:rsidRPr="002A1F78">
        <w:rPr>
          <w:rFonts w:eastAsia="SimSun"/>
          <w:color w:val="000000" w:themeColor="text1"/>
          <w:lang w:eastAsia="zh-CN"/>
        </w:rPr>
        <w:tab/>
        <w:t>Under the second column ‘Criteria’, for the new row for ‘</w:t>
      </w:r>
      <w:r w:rsidRPr="002A1F78">
        <w:rPr>
          <w:rFonts w:eastAsia="SimSun"/>
          <w:b/>
          <w:bCs/>
          <w:color w:val="000000" w:themeColor="text1"/>
          <w:sz w:val="19"/>
          <w:u w:val="single"/>
          <w:lang w:eastAsia="zh-CN"/>
        </w:rPr>
        <w:t>Local lymph node assay: BrdU-ELISA</w:t>
      </w:r>
      <w:r w:rsidRPr="002A1F78">
        <w:rPr>
          <w:rFonts w:eastAsia="SimSun"/>
          <w:color w:val="000000" w:themeColor="text1"/>
          <w:sz w:val="19"/>
          <w:lang w:eastAsia="zh-CN"/>
        </w:rPr>
        <w:t>’</w:t>
      </w:r>
      <w:r w:rsidRPr="002A1F78">
        <w:rPr>
          <w:rFonts w:eastAsia="SimSun"/>
          <w:color w:val="000000" w:themeColor="text1"/>
          <w:lang w:eastAsia="zh-CN"/>
        </w:rPr>
        <w:t>, insert ‘</w:t>
      </w:r>
      <w:r w:rsidRPr="002A1F78">
        <w:rPr>
          <w:rFonts w:eastAsia="SimSun"/>
          <w:b/>
          <w:bCs/>
          <w:color w:val="000000" w:themeColor="text1"/>
          <w:spacing w:val="-8"/>
          <w:sz w:val="19"/>
          <w:u w:val="single"/>
          <w:lang w:eastAsia="zh-CN"/>
        </w:rPr>
        <w:t>EC1.6 value ≤ 6%</w:t>
      </w:r>
      <w:r w:rsidRPr="002A1F78">
        <w:rPr>
          <w:rFonts w:eastAsia="SimSun"/>
          <w:color w:val="000000" w:themeColor="text1"/>
          <w:lang w:eastAsia="zh-CN"/>
        </w:rPr>
        <w:t>’.</w:t>
      </w:r>
      <w:r w:rsidR="004679BA">
        <w:rPr>
          <w:rFonts w:eastAsia="SimSun"/>
          <w:color w:val="000000" w:themeColor="text1"/>
          <w:lang w:eastAsia="zh-CN"/>
        </w:rPr>
        <w:t>”</w:t>
      </w:r>
    </w:p>
    <w:p w14:paraId="33330612" w14:textId="03656216" w:rsidR="00C57C37" w:rsidRDefault="00C57C37" w:rsidP="00C57C37">
      <w:pPr>
        <w:pStyle w:val="SingleTxtG"/>
      </w:pPr>
      <w:r>
        <w:tab/>
        <w:t xml:space="preserve">10. </w:t>
      </w:r>
      <w:r>
        <w:tab/>
        <w:t xml:space="preserve">In </w:t>
      </w:r>
      <w:r w:rsidRPr="00C57C37">
        <w:t>paragraph</w:t>
      </w:r>
      <w:r>
        <w:t xml:space="preserve"> 18 of </w:t>
      </w:r>
      <w:r w:rsidRPr="001F1D27">
        <w:t>ST/SG/AC.10/C.4/2022/19</w:t>
      </w:r>
      <w:r>
        <w:t xml:space="preserve"> delete the following</w:t>
      </w:r>
      <w:r w:rsidR="00610F80">
        <w:t xml:space="preserve"> instructions for amendment</w:t>
      </w:r>
      <w:r>
        <w:t xml:space="preserve">: </w:t>
      </w:r>
    </w:p>
    <w:p w14:paraId="477CAE8A" w14:textId="37877331" w:rsidR="00C57C37" w:rsidRPr="00CF7A85" w:rsidRDefault="00C57C37" w:rsidP="00C57C37">
      <w:pPr>
        <w:pStyle w:val="SingleTxtG"/>
        <w:spacing w:before="120"/>
        <w:ind w:left="1701" w:hanging="567"/>
        <w:rPr>
          <w:rFonts w:eastAsia="SimSun"/>
          <w:color w:val="000000" w:themeColor="text1"/>
          <w:lang w:eastAsia="zh-CN"/>
        </w:rPr>
      </w:pPr>
      <w:r>
        <w:rPr>
          <w:rFonts w:asciiTheme="majorBidi" w:hAnsiTheme="majorBidi" w:cstheme="majorBidi"/>
        </w:rPr>
        <w:tab/>
      </w:r>
      <w:r w:rsidR="00610F80">
        <w:rPr>
          <w:rFonts w:asciiTheme="majorBidi" w:hAnsiTheme="majorBidi" w:cstheme="majorBidi"/>
        </w:rPr>
        <w:t>“</w:t>
      </w:r>
      <w:r w:rsidRPr="00CF7A85">
        <w:rPr>
          <w:rFonts w:eastAsia="SimSun"/>
          <w:color w:val="000000" w:themeColor="text1"/>
          <w:lang w:eastAsia="zh-CN"/>
        </w:rPr>
        <w:t>Under the first column ‘Assay’, after the table entry for ‘Local lymph node assay’, insert a new table entry: ‘</w:t>
      </w:r>
      <w:r w:rsidRPr="00CF7A85">
        <w:rPr>
          <w:rFonts w:eastAsia="SimSun"/>
          <w:bCs/>
          <w:color w:val="000000" w:themeColor="text1"/>
          <w:sz w:val="19"/>
          <w:u w:val="single"/>
          <w:lang w:eastAsia="zh-CN"/>
        </w:rPr>
        <w:t>Local lymph node assay: BrdU-ELISA</w:t>
      </w:r>
      <w:r w:rsidRPr="00CF7A85">
        <w:rPr>
          <w:rFonts w:eastAsia="SimSun"/>
          <w:color w:val="000000" w:themeColor="text1"/>
          <w:sz w:val="19"/>
          <w:lang w:eastAsia="zh-CN"/>
        </w:rPr>
        <w:t>’</w:t>
      </w:r>
      <w:r w:rsidRPr="00CF7A85">
        <w:rPr>
          <w:rFonts w:eastAsia="SimSun"/>
          <w:color w:val="000000" w:themeColor="text1"/>
          <w:lang w:eastAsia="zh-CN"/>
        </w:rPr>
        <w:t>.</w:t>
      </w:r>
    </w:p>
    <w:p w14:paraId="1540C159" w14:textId="31FA7219" w:rsidR="00C57C37" w:rsidRPr="004E44F4" w:rsidRDefault="00C57C37" w:rsidP="00C57C37">
      <w:pPr>
        <w:kinsoku w:val="0"/>
        <w:overflowPunct w:val="0"/>
        <w:autoSpaceDE w:val="0"/>
        <w:autoSpaceDN w:val="0"/>
        <w:adjustRightInd w:val="0"/>
        <w:snapToGrid w:val="0"/>
        <w:spacing w:before="120" w:after="120"/>
        <w:ind w:left="1701" w:right="1134" w:hanging="567"/>
        <w:jc w:val="both"/>
        <w:rPr>
          <w:rFonts w:ascii="Segoe UI" w:hAnsi="Segoe UI" w:cs="Segoe UI"/>
        </w:rPr>
      </w:pPr>
      <w:r w:rsidRPr="00CF7A85">
        <w:rPr>
          <w:rFonts w:eastAsia="SimSun"/>
          <w:color w:val="000000" w:themeColor="text1"/>
          <w:lang w:eastAsia="zh-CN"/>
        </w:rPr>
        <w:tab/>
      </w:r>
      <w:r w:rsidRPr="00CF7A85">
        <w:rPr>
          <w:rFonts w:eastAsia="SimSun"/>
          <w:color w:val="000000" w:themeColor="text1"/>
          <w:lang w:eastAsia="zh-CN"/>
        </w:rPr>
        <w:tab/>
        <w:t>Under the second column ‘Criteria’, for the new entry for ‘</w:t>
      </w:r>
      <w:r w:rsidRPr="00CF7A85">
        <w:rPr>
          <w:rFonts w:eastAsia="SimSun"/>
          <w:b/>
          <w:bCs/>
          <w:color w:val="000000" w:themeColor="text1"/>
          <w:sz w:val="19"/>
          <w:u w:val="single"/>
          <w:lang w:eastAsia="zh-CN"/>
        </w:rPr>
        <w:t>Local lymph node assay: BrdU-ELISA</w:t>
      </w:r>
      <w:r w:rsidRPr="00CF7A85">
        <w:rPr>
          <w:rFonts w:eastAsia="SimSun"/>
          <w:color w:val="000000" w:themeColor="text1"/>
          <w:sz w:val="19"/>
          <w:lang w:eastAsia="zh-CN"/>
        </w:rPr>
        <w:t>’</w:t>
      </w:r>
      <w:r w:rsidRPr="00CF7A85">
        <w:rPr>
          <w:rFonts w:eastAsia="SimSun"/>
          <w:color w:val="000000" w:themeColor="text1"/>
          <w:lang w:eastAsia="zh-CN"/>
        </w:rPr>
        <w:t>, insert ‘</w:t>
      </w:r>
      <w:r w:rsidRPr="00CF7A85">
        <w:rPr>
          <w:rFonts w:eastAsia="SimSun"/>
          <w:b/>
          <w:bCs/>
          <w:color w:val="000000" w:themeColor="text1"/>
          <w:spacing w:val="-8"/>
          <w:sz w:val="19"/>
          <w:u w:val="single"/>
          <w:lang w:eastAsia="zh-CN"/>
        </w:rPr>
        <w:t>EC1.6 value &gt; 6%</w:t>
      </w:r>
      <w:r w:rsidRPr="00CF7A85">
        <w:rPr>
          <w:rFonts w:eastAsia="SimSun"/>
          <w:color w:val="000000" w:themeColor="text1"/>
          <w:lang w:eastAsia="zh-CN"/>
        </w:rPr>
        <w:t>’.</w:t>
      </w:r>
      <w:r w:rsidR="00693D12">
        <w:rPr>
          <w:rFonts w:eastAsia="SimSun"/>
          <w:color w:val="000000" w:themeColor="text1"/>
          <w:lang w:eastAsia="zh-CN"/>
        </w:rPr>
        <w:t>”</w:t>
      </w:r>
    </w:p>
    <w:p w14:paraId="0CB28D5F" w14:textId="65E306CB" w:rsidR="00693D12" w:rsidRPr="00F84AB6" w:rsidRDefault="00693D12" w:rsidP="00693D12">
      <w:pPr>
        <w:pStyle w:val="H1G"/>
      </w:pPr>
      <w:r>
        <w:tab/>
      </w:r>
      <w:r>
        <w:tab/>
        <w:t xml:space="preserve">Consequential amendments to </w:t>
      </w:r>
      <w:r w:rsidRPr="001F1D27">
        <w:t>ST/SG/AC.10/C.4/2022/1</w:t>
      </w:r>
      <w:r>
        <w:t>4</w:t>
      </w:r>
    </w:p>
    <w:p w14:paraId="4E122775" w14:textId="006A123F" w:rsidR="00C57C37" w:rsidRDefault="00C57C37" w:rsidP="00C57C37">
      <w:pPr>
        <w:pStyle w:val="SingleTxtG"/>
      </w:pPr>
      <w:r>
        <w:rPr>
          <w:rFonts w:eastAsia="SimSun"/>
          <w:color w:val="000000" w:themeColor="text1"/>
          <w:lang w:eastAsia="zh-CN"/>
        </w:rPr>
        <w:t xml:space="preserve">11. </w:t>
      </w:r>
      <w:r>
        <w:rPr>
          <w:rFonts w:eastAsia="SimSun"/>
          <w:color w:val="000000" w:themeColor="text1"/>
          <w:lang w:eastAsia="zh-CN"/>
        </w:rPr>
        <w:tab/>
      </w:r>
      <w:r>
        <w:t xml:space="preserve">Insert the following references in alphabetical order in the </w:t>
      </w:r>
      <w:r w:rsidR="00693D12">
        <w:t>r</w:t>
      </w:r>
      <w:r>
        <w:t xml:space="preserve">eferences list of </w:t>
      </w:r>
      <w:r w:rsidRPr="009C1F16">
        <w:t>ST/SG/AC.10/C.4/2022/14</w:t>
      </w:r>
      <w:r>
        <w:t>:</w:t>
      </w:r>
    </w:p>
    <w:p w14:paraId="298092BD" w14:textId="646264E4" w:rsidR="00C57C37" w:rsidRDefault="00693D12" w:rsidP="00C57C37">
      <w:pPr>
        <w:kinsoku w:val="0"/>
        <w:overflowPunct w:val="0"/>
        <w:autoSpaceDE w:val="0"/>
        <w:autoSpaceDN w:val="0"/>
        <w:adjustRightInd w:val="0"/>
        <w:snapToGrid w:val="0"/>
        <w:spacing w:before="120" w:after="120"/>
        <w:ind w:left="1701" w:right="1134"/>
        <w:jc w:val="both"/>
      </w:pPr>
      <w:r>
        <w:t>“</w:t>
      </w:r>
      <w:r w:rsidR="00C57C37">
        <w:t>Kobayashi T., Maeda Y., Kondo H., Takeyoshi M. (2020) Applicability of the proposed GHS subcategorization criterion for LLNA:BrdU-ELISA (OECD TG442B) to the CBA/J strain mouse. Journal of Applied Toxicology. 40(10):1435-1439</w:t>
      </w:r>
    </w:p>
    <w:p w14:paraId="448A3154" w14:textId="6275BDDB" w:rsidR="00C57C37" w:rsidRDefault="00C57C37" w:rsidP="00C57C37">
      <w:pPr>
        <w:kinsoku w:val="0"/>
        <w:overflowPunct w:val="0"/>
        <w:autoSpaceDE w:val="0"/>
        <w:autoSpaceDN w:val="0"/>
        <w:adjustRightInd w:val="0"/>
        <w:snapToGrid w:val="0"/>
        <w:spacing w:before="120" w:after="120"/>
        <w:ind w:left="1701" w:right="1134"/>
        <w:jc w:val="both"/>
      </w:pPr>
      <w:r>
        <w:t>Maeda Y., Takeyoshi M. (2019) Proposal of GHS sub-categorization criteria for LLNA: BrdU-ELISA (OECD TG442B). Regulatory Toxicology and Pharmacology. 107:104409</w:t>
      </w:r>
      <w:r w:rsidR="00693D12">
        <w:t>”</w:t>
      </w:r>
      <w:r w:rsidR="00714032">
        <w:t>.</w:t>
      </w:r>
    </w:p>
    <w:p w14:paraId="03C4340E" w14:textId="2F315881" w:rsidR="00714032" w:rsidRPr="00714032" w:rsidRDefault="00714032" w:rsidP="00714032">
      <w:pPr>
        <w:pStyle w:val="HChG"/>
        <w:rPr>
          <w:rFonts w:eastAsia="MS Mincho"/>
        </w:rPr>
      </w:pPr>
      <w:r>
        <w:rPr>
          <w:rFonts w:eastAsia="MS Mincho"/>
        </w:rPr>
        <w:tab/>
      </w:r>
      <w:r>
        <w:rPr>
          <w:rFonts w:eastAsia="MS Mincho"/>
        </w:rPr>
        <w:tab/>
      </w:r>
      <w:r w:rsidRPr="00714032">
        <w:rPr>
          <w:rFonts w:eastAsia="MS Mincho"/>
        </w:rPr>
        <w:t>Action requested</w:t>
      </w:r>
    </w:p>
    <w:p w14:paraId="3A94F482" w14:textId="0F12BAE3" w:rsidR="00714032" w:rsidRDefault="00714032" w:rsidP="00714032">
      <w:pPr>
        <w:pStyle w:val="SingleTxtG"/>
      </w:pPr>
      <w:r>
        <w:rPr>
          <w:rFonts w:eastAsia="SimSun"/>
          <w:lang w:eastAsia="zh-CN"/>
        </w:rPr>
        <w:t xml:space="preserve">12. </w:t>
      </w:r>
      <w:r>
        <w:rPr>
          <w:rFonts w:eastAsia="SimSun"/>
          <w:lang w:eastAsia="zh-CN"/>
        </w:rPr>
        <w:tab/>
        <w:t xml:space="preserve">The Sub-Committee is invited to consider the proposed amendments to the proposals in ST/SG/AC.10/C.4/2022/19 and </w:t>
      </w:r>
      <w:r w:rsidRPr="00E27975">
        <w:t>ST/SG/AC.10/C.4/2022/14</w:t>
      </w:r>
      <w:r>
        <w:t xml:space="preserve"> as modified by informal document INF.8</w:t>
      </w:r>
      <w:r>
        <w:rPr>
          <w:rFonts w:eastAsia="SimSun"/>
          <w:lang w:eastAsia="zh-CN"/>
        </w:rPr>
        <w:t xml:space="preserve">.  </w:t>
      </w:r>
    </w:p>
    <w:p w14:paraId="211B4CEC" w14:textId="058D5A35" w:rsidR="00C57C37" w:rsidRPr="00C57C37" w:rsidRDefault="00C57C37" w:rsidP="00C57C37">
      <w:pPr>
        <w:spacing w:before="240"/>
        <w:jc w:val="center"/>
        <w:rPr>
          <w:rFonts w:eastAsia="SimSun"/>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p w14:paraId="2F62AE1C" w14:textId="77777777" w:rsidR="00C57C37" w:rsidRPr="009B3919" w:rsidRDefault="00C57C37" w:rsidP="00C57C37"/>
    <w:p w14:paraId="3E613C66" w14:textId="77777777" w:rsidR="00E61463" w:rsidRDefault="00E61463" w:rsidP="00E61463">
      <w:pPr>
        <w:pStyle w:val="SingleTxtG"/>
      </w:pPr>
    </w:p>
    <w:p w14:paraId="28F23A8C" w14:textId="77777777" w:rsidR="00E61463" w:rsidRPr="00395157" w:rsidRDefault="00E61463" w:rsidP="00E61463">
      <w:pPr>
        <w:pStyle w:val="SingleTxtG"/>
      </w:pPr>
    </w:p>
    <w:sectPr w:rsidR="00E61463" w:rsidRPr="00395157" w:rsidSect="002B37B6">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FEA6" w14:textId="77777777" w:rsidR="00FF0B0D" w:rsidRDefault="00FF0B0D"/>
  </w:endnote>
  <w:endnote w:type="continuationSeparator" w:id="0">
    <w:p w14:paraId="189FBC5B" w14:textId="77777777" w:rsidR="00FF0B0D" w:rsidRDefault="00FF0B0D"/>
  </w:endnote>
  <w:endnote w:type="continuationNotice" w:id="1">
    <w:p w14:paraId="66A6F12B" w14:textId="77777777" w:rsidR="00FF0B0D" w:rsidRDefault="00FF0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1E8C" w14:textId="3E8AEB14"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F2C8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F98B" w14:textId="674F0284"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F2C8E">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B412" w14:textId="77777777" w:rsidR="00FF0B0D" w:rsidRPr="000B175B" w:rsidRDefault="00FF0B0D" w:rsidP="000B175B">
      <w:pPr>
        <w:tabs>
          <w:tab w:val="right" w:pos="2155"/>
        </w:tabs>
        <w:spacing w:after="80"/>
        <w:ind w:left="680"/>
        <w:rPr>
          <w:u w:val="single"/>
        </w:rPr>
      </w:pPr>
      <w:r>
        <w:rPr>
          <w:u w:val="single"/>
        </w:rPr>
        <w:tab/>
      </w:r>
    </w:p>
  </w:footnote>
  <w:footnote w:type="continuationSeparator" w:id="0">
    <w:p w14:paraId="496D984E" w14:textId="77777777" w:rsidR="00FF0B0D" w:rsidRPr="00FC68B7" w:rsidRDefault="00FF0B0D" w:rsidP="00FC68B7">
      <w:pPr>
        <w:tabs>
          <w:tab w:val="left" w:pos="2155"/>
        </w:tabs>
        <w:spacing w:after="80"/>
        <w:ind w:left="680"/>
        <w:rPr>
          <w:u w:val="single"/>
        </w:rPr>
      </w:pPr>
      <w:r>
        <w:rPr>
          <w:u w:val="single"/>
        </w:rPr>
        <w:tab/>
      </w:r>
    </w:p>
  </w:footnote>
  <w:footnote w:type="continuationNotice" w:id="1">
    <w:p w14:paraId="0DFABE54" w14:textId="77777777" w:rsidR="00FF0B0D" w:rsidRDefault="00FF0B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FFE2" w14:textId="5E5882AF" w:rsidR="006A7757" w:rsidRPr="0099001C" w:rsidRDefault="006A7757" w:rsidP="00366CA7">
    <w:pPr>
      <w:pStyle w:val="Header"/>
    </w:pPr>
    <w:r w:rsidRPr="007A1AF5">
      <w:t>UN/SCEGHS/</w:t>
    </w:r>
    <w:r w:rsidR="00B912C5" w:rsidRPr="007A1AF5">
      <w:t>4</w:t>
    </w:r>
    <w:r w:rsidR="00012ACF">
      <w:t>3</w:t>
    </w:r>
    <w:r w:rsidRPr="007A1AF5">
      <w:t>/INF.</w:t>
    </w:r>
    <w:r w:rsidR="00012ACF">
      <w:t>2</w:t>
    </w:r>
    <w:r w:rsidR="00C57C37">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8B9" w14:textId="2CC6A296" w:rsidR="006A7757" w:rsidRPr="0099001C" w:rsidRDefault="006A7757" w:rsidP="0099001C">
    <w:pPr>
      <w:pStyle w:val="Header"/>
      <w:jc w:val="right"/>
    </w:pPr>
    <w:r>
      <w:t>UN/SCEGHS/</w:t>
    </w:r>
    <w:r w:rsidR="00BF2C8E">
      <w:t>4</w:t>
    </w:r>
    <w:r w:rsidR="00C57C37">
      <w:t>3</w:t>
    </w:r>
    <w:r>
      <w:t>/INF.</w:t>
    </w:r>
    <w:r w:rsidR="00C57C37">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84FD6"/>
    <w:multiLevelType w:val="hybridMultilevel"/>
    <w:tmpl w:val="AE36043C"/>
    <w:lvl w:ilvl="0" w:tplc="2098BA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2"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3" w15:restartNumberingAfterBreak="0">
    <w:nsid w:val="488A1E94"/>
    <w:multiLevelType w:val="hybridMultilevel"/>
    <w:tmpl w:val="814CC3EE"/>
    <w:lvl w:ilvl="0" w:tplc="D92648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D6D0C6C"/>
    <w:multiLevelType w:val="hybridMultilevel"/>
    <w:tmpl w:val="ED7C4AF8"/>
    <w:lvl w:ilvl="0" w:tplc="37DA2ED4">
      <w:start w:val="1"/>
      <w:numFmt w:val="decimal"/>
      <w:lvlText w:val="%1."/>
      <w:lvlJc w:val="left"/>
      <w:pPr>
        <w:ind w:left="1710" w:hanging="564"/>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9990823"/>
    <w:multiLevelType w:val="hybridMultilevel"/>
    <w:tmpl w:val="C108C684"/>
    <w:lvl w:ilvl="0" w:tplc="B1FEDF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8"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6CAD7784"/>
    <w:multiLevelType w:val="hybridMultilevel"/>
    <w:tmpl w:val="038C5DBA"/>
    <w:lvl w:ilvl="0" w:tplc="0108042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5" w15:restartNumberingAfterBreak="0">
    <w:nsid w:val="71CE2A36"/>
    <w:multiLevelType w:val="hybridMultilevel"/>
    <w:tmpl w:val="2A402A5A"/>
    <w:lvl w:ilvl="0" w:tplc="F90E470C">
      <w:start w:val="1"/>
      <w:numFmt w:val="lowerLetter"/>
      <w:lvlText w:val="(%1)"/>
      <w:lvlJc w:val="left"/>
      <w:pPr>
        <w:ind w:left="2472" w:hanging="360"/>
      </w:pPr>
      <w:rPr>
        <w:rFonts w:hint="default"/>
      </w:rPr>
    </w:lvl>
    <w:lvl w:ilvl="1" w:tplc="10090019" w:tentative="1">
      <w:start w:val="1"/>
      <w:numFmt w:val="lowerLetter"/>
      <w:lvlText w:val="%2."/>
      <w:lvlJc w:val="left"/>
      <w:pPr>
        <w:ind w:left="3192" w:hanging="360"/>
      </w:pPr>
    </w:lvl>
    <w:lvl w:ilvl="2" w:tplc="1009001B" w:tentative="1">
      <w:start w:val="1"/>
      <w:numFmt w:val="lowerRoman"/>
      <w:lvlText w:val="%3."/>
      <w:lvlJc w:val="right"/>
      <w:pPr>
        <w:ind w:left="3912" w:hanging="180"/>
      </w:pPr>
    </w:lvl>
    <w:lvl w:ilvl="3" w:tplc="1009000F" w:tentative="1">
      <w:start w:val="1"/>
      <w:numFmt w:val="decimal"/>
      <w:lvlText w:val="%4."/>
      <w:lvlJc w:val="left"/>
      <w:pPr>
        <w:ind w:left="4632" w:hanging="360"/>
      </w:pPr>
    </w:lvl>
    <w:lvl w:ilvl="4" w:tplc="10090019" w:tentative="1">
      <w:start w:val="1"/>
      <w:numFmt w:val="lowerLetter"/>
      <w:lvlText w:val="%5."/>
      <w:lvlJc w:val="left"/>
      <w:pPr>
        <w:ind w:left="5352" w:hanging="360"/>
      </w:pPr>
    </w:lvl>
    <w:lvl w:ilvl="5" w:tplc="1009001B" w:tentative="1">
      <w:start w:val="1"/>
      <w:numFmt w:val="lowerRoman"/>
      <w:lvlText w:val="%6."/>
      <w:lvlJc w:val="right"/>
      <w:pPr>
        <w:ind w:left="6072" w:hanging="180"/>
      </w:pPr>
    </w:lvl>
    <w:lvl w:ilvl="6" w:tplc="1009000F" w:tentative="1">
      <w:start w:val="1"/>
      <w:numFmt w:val="decimal"/>
      <w:lvlText w:val="%7."/>
      <w:lvlJc w:val="left"/>
      <w:pPr>
        <w:ind w:left="6792" w:hanging="360"/>
      </w:pPr>
    </w:lvl>
    <w:lvl w:ilvl="7" w:tplc="10090019" w:tentative="1">
      <w:start w:val="1"/>
      <w:numFmt w:val="lowerLetter"/>
      <w:lvlText w:val="%8."/>
      <w:lvlJc w:val="left"/>
      <w:pPr>
        <w:ind w:left="7512" w:hanging="360"/>
      </w:pPr>
    </w:lvl>
    <w:lvl w:ilvl="8" w:tplc="1009001B" w:tentative="1">
      <w:start w:val="1"/>
      <w:numFmt w:val="lowerRoman"/>
      <w:lvlText w:val="%9."/>
      <w:lvlJc w:val="right"/>
      <w:pPr>
        <w:ind w:left="8232" w:hanging="180"/>
      </w:pPr>
    </w:lvl>
  </w:abstractNum>
  <w:abstractNum w:abstractNumId="2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21"/>
  </w:num>
  <w:num w:numId="3">
    <w:abstractNumId w:val="15"/>
  </w:num>
  <w:num w:numId="4">
    <w:abstractNumId w:val="7"/>
  </w:num>
  <w:num w:numId="5">
    <w:abstractNumId w:val="8"/>
  </w:num>
  <w:num w:numId="6">
    <w:abstractNumId w:val="9"/>
  </w:num>
  <w:num w:numId="7">
    <w:abstractNumId w:val="26"/>
  </w:num>
  <w:num w:numId="8">
    <w:abstractNumId w:val="1"/>
  </w:num>
  <w:num w:numId="9">
    <w:abstractNumId w:val="3"/>
  </w:num>
  <w:num w:numId="10">
    <w:abstractNumId w:val="18"/>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22"/>
  </w:num>
  <w:num w:numId="16">
    <w:abstractNumId w:val="24"/>
  </w:num>
  <w:num w:numId="17">
    <w:abstractNumId w:val="12"/>
  </w:num>
  <w:num w:numId="18">
    <w:abstractNumId w:val="10"/>
  </w:num>
  <w:num w:numId="19">
    <w:abstractNumId w:val="20"/>
  </w:num>
  <w:num w:numId="20">
    <w:abstractNumId w:val="2"/>
  </w:num>
  <w:num w:numId="21">
    <w:abstractNumId w:val="4"/>
  </w:num>
  <w:num w:numId="22">
    <w:abstractNumId w:val="25"/>
  </w:num>
  <w:num w:numId="23">
    <w:abstractNumId w:val="14"/>
  </w:num>
  <w:num w:numId="24">
    <w:abstractNumId w:val="16"/>
  </w:num>
  <w:num w:numId="25">
    <w:abstractNumId w:val="13"/>
  </w:num>
  <w:num w:numId="26">
    <w:abstractNumId w:val="6"/>
  </w:num>
  <w:num w:numId="27">
    <w:abstractNumId w:val="23"/>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fr-CA" w:vendorID="64" w:dllVersion="6" w:nlCheck="1" w:checkStyle="0"/>
  <w:activeWritingStyle w:appName="MSWord" w:lang="fr-CA"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11A6C"/>
    <w:rsid w:val="00011B38"/>
    <w:rsid w:val="00012269"/>
    <w:rsid w:val="00012ACF"/>
    <w:rsid w:val="00015281"/>
    <w:rsid w:val="00016322"/>
    <w:rsid w:val="00016F90"/>
    <w:rsid w:val="0001762F"/>
    <w:rsid w:val="00021F69"/>
    <w:rsid w:val="00023D11"/>
    <w:rsid w:val="000247DA"/>
    <w:rsid w:val="000248C1"/>
    <w:rsid w:val="000309E1"/>
    <w:rsid w:val="00030DD3"/>
    <w:rsid w:val="00033B3D"/>
    <w:rsid w:val="00036757"/>
    <w:rsid w:val="00041F29"/>
    <w:rsid w:val="000465C7"/>
    <w:rsid w:val="00050F6B"/>
    <w:rsid w:val="00053700"/>
    <w:rsid w:val="0005585B"/>
    <w:rsid w:val="00056ADD"/>
    <w:rsid w:val="0006093B"/>
    <w:rsid w:val="00062FE6"/>
    <w:rsid w:val="00065DE6"/>
    <w:rsid w:val="00072C8C"/>
    <w:rsid w:val="00073D8C"/>
    <w:rsid w:val="00074E61"/>
    <w:rsid w:val="00081647"/>
    <w:rsid w:val="00085D2B"/>
    <w:rsid w:val="00086CD6"/>
    <w:rsid w:val="00092477"/>
    <w:rsid w:val="000931C0"/>
    <w:rsid w:val="00093AA0"/>
    <w:rsid w:val="000A48A1"/>
    <w:rsid w:val="000A6544"/>
    <w:rsid w:val="000A6AF2"/>
    <w:rsid w:val="000B037C"/>
    <w:rsid w:val="000B0443"/>
    <w:rsid w:val="000B175B"/>
    <w:rsid w:val="000B17CF"/>
    <w:rsid w:val="000B3A0F"/>
    <w:rsid w:val="000B3D62"/>
    <w:rsid w:val="000C6544"/>
    <w:rsid w:val="000D10AA"/>
    <w:rsid w:val="000D37A9"/>
    <w:rsid w:val="000D4EE2"/>
    <w:rsid w:val="000E0415"/>
    <w:rsid w:val="000F599C"/>
    <w:rsid w:val="00100109"/>
    <w:rsid w:val="0010146C"/>
    <w:rsid w:val="001074C7"/>
    <w:rsid w:val="00111760"/>
    <w:rsid w:val="00115ECB"/>
    <w:rsid w:val="00117BA0"/>
    <w:rsid w:val="001220B8"/>
    <w:rsid w:val="00126865"/>
    <w:rsid w:val="00135B50"/>
    <w:rsid w:val="00140DE6"/>
    <w:rsid w:val="00141658"/>
    <w:rsid w:val="00142E4D"/>
    <w:rsid w:val="0015005D"/>
    <w:rsid w:val="00154087"/>
    <w:rsid w:val="00156444"/>
    <w:rsid w:val="00156F3C"/>
    <w:rsid w:val="00160207"/>
    <w:rsid w:val="00162BF7"/>
    <w:rsid w:val="0016628F"/>
    <w:rsid w:val="00170DBB"/>
    <w:rsid w:val="001748C5"/>
    <w:rsid w:val="001772DB"/>
    <w:rsid w:val="0018104F"/>
    <w:rsid w:val="00181192"/>
    <w:rsid w:val="00190AEA"/>
    <w:rsid w:val="00191F6F"/>
    <w:rsid w:val="00195871"/>
    <w:rsid w:val="00196E86"/>
    <w:rsid w:val="001976A3"/>
    <w:rsid w:val="001A0F7B"/>
    <w:rsid w:val="001A2FA5"/>
    <w:rsid w:val="001B4B04"/>
    <w:rsid w:val="001B5F24"/>
    <w:rsid w:val="001B69DC"/>
    <w:rsid w:val="001C6663"/>
    <w:rsid w:val="001C7895"/>
    <w:rsid w:val="001D02FD"/>
    <w:rsid w:val="001D13BA"/>
    <w:rsid w:val="001D1E83"/>
    <w:rsid w:val="001D26DF"/>
    <w:rsid w:val="001D3206"/>
    <w:rsid w:val="001D648C"/>
    <w:rsid w:val="001E47FD"/>
    <w:rsid w:val="001E7F58"/>
    <w:rsid w:val="001F0115"/>
    <w:rsid w:val="001F40A4"/>
    <w:rsid w:val="001F661F"/>
    <w:rsid w:val="00202FFC"/>
    <w:rsid w:val="002115B7"/>
    <w:rsid w:val="00211E0B"/>
    <w:rsid w:val="002122AE"/>
    <w:rsid w:val="00213E9F"/>
    <w:rsid w:val="00217B78"/>
    <w:rsid w:val="00221DF0"/>
    <w:rsid w:val="00231C90"/>
    <w:rsid w:val="002353CC"/>
    <w:rsid w:val="002366A3"/>
    <w:rsid w:val="002405A7"/>
    <w:rsid w:val="00245FA7"/>
    <w:rsid w:val="00247C31"/>
    <w:rsid w:val="0025322D"/>
    <w:rsid w:val="002544BF"/>
    <w:rsid w:val="00254C1C"/>
    <w:rsid w:val="00257E45"/>
    <w:rsid w:val="00261190"/>
    <w:rsid w:val="00262488"/>
    <w:rsid w:val="00262899"/>
    <w:rsid w:val="002706F2"/>
    <w:rsid w:val="00271E2A"/>
    <w:rsid w:val="0027295D"/>
    <w:rsid w:val="00273022"/>
    <w:rsid w:val="00283970"/>
    <w:rsid w:val="00283EA1"/>
    <w:rsid w:val="00285190"/>
    <w:rsid w:val="0028578C"/>
    <w:rsid w:val="00286FDE"/>
    <w:rsid w:val="002B1884"/>
    <w:rsid w:val="002B37B6"/>
    <w:rsid w:val="002B3D6F"/>
    <w:rsid w:val="002B74C8"/>
    <w:rsid w:val="002C7A9B"/>
    <w:rsid w:val="002D037D"/>
    <w:rsid w:val="002D0C22"/>
    <w:rsid w:val="002D1005"/>
    <w:rsid w:val="002D1872"/>
    <w:rsid w:val="002D2D8D"/>
    <w:rsid w:val="002D2FB8"/>
    <w:rsid w:val="002D33A5"/>
    <w:rsid w:val="002D3A9B"/>
    <w:rsid w:val="002D59D3"/>
    <w:rsid w:val="002D6144"/>
    <w:rsid w:val="002E3936"/>
    <w:rsid w:val="003107FA"/>
    <w:rsid w:val="003127A2"/>
    <w:rsid w:val="003229D8"/>
    <w:rsid w:val="00322FAA"/>
    <w:rsid w:val="0032550E"/>
    <w:rsid w:val="00327615"/>
    <w:rsid w:val="003327F0"/>
    <w:rsid w:val="00335925"/>
    <w:rsid w:val="0033745A"/>
    <w:rsid w:val="00337A81"/>
    <w:rsid w:val="00337F26"/>
    <w:rsid w:val="00341051"/>
    <w:rsid w:val="003512C1"/>
    <w:rsid w:val="00357D6F"/>
    <w:rsid w:val="003642AF"/>
    <w:rsid w:val="00366CA7"/>
    <w:rsid w:val="0037026E"/>
    <w:rsid w:val="00370421"/>
    <w:rsid w:val="00371503"/>
    <w:rsid w:val="00373660"/>
    <w:rsid w:val="0037693E"/>
    <w:rsid w:val="0039277A"/>
    <w:rsid w:val="003936C1"/>
    <w:rsid w:val="00395157"/>
    <w:rsid w:val="0039696D"/>
    <w:rsid w:val="003972E0"/>
    <w:rsid w:val="003A3AEF"/>
    <w:rsid w:val="003A737A"/>
    <w:rsid w:val="003A7753"/>
    <w:rsid w:val="003B0C4F"/>
    <w:rsid w:val="003B2B09"/>
    <w:rsid w:val="003B2CBD"/>
    <w:rsid w:val="003B3A99"/>
    <w:rsid w:val="003C2CC4"/>
    <w:rsid w:val="003C3936"/>
    <w:rsid w:val="003C3E16"/>
    <w:rsid w:val="003C6ECD"/>
    <w:rsid w:val="003C7EBB"/>
    <w:rsid w:val="003D0D56"/>
    <w:rsid w:val="003D2270"/>
    <w:rsid w:val="003D4009"/>
    <w:rsid w:val="003D4B23"/>
    <w:rsid w:val="003D4D01"/>
    <w:rsid w:val="003D57CD"/>
    <w:rsid w:val="003E1828"/>
    <w:rsid w:val="003E4C6B"/>
    <w:rsid w:val="003E6173"/>
    <w:rsid w:val="003F1ED3"/>
    <w:rsid w:val="003F548D"/>
    <w:rsid w:val="003F6444"/>
    <w:rsid w:val="00401E7A"/>
    <w:rsid w:val="00402ABE"/>
    <w:rsid w:val="00403D5A"/>
    <w:rsid w:val="00404110"/>
    <w:rsid w:val="00404648"/>
    <w:rsid w:val="0040593A"/>
    <w:rsid w:val="00421612"/>
    <w:rsid w:val="00422AA7"/>
    <w:rsid w:val="00425CB5"/>
    <w:rsid w:val="00426F57"/>
    <w:rsid w:val="00427C61"/>
    <w:rsid w:val="004325CB"/>
    <w:rsid w:val="00436124"/>
    <w:rsid w:val="004449CC"/>
    <w:rsid w:val="00446DE4"/>
    <w:rsid w:val="00454EC6"/>
    <w:rsid w:val="00455E21"/>
    <w:rsid w:val="00460165"/>
    <w:rsid w:val="00460DD9"/>
    <w:rsid w:val="0046499D"/>
    <w:rsid w:val="004679BA"/>
    <w:rsid w:val="00467F71"/>
    <w:rsid w:val="004705A6"/>
    <w:rsid w:val="0047442B"/>
    <w:rsid w:val="00474F1C"/>
    <w:rsid w:val="00477371"/>
    <w:rsid w:val="00481AF5"/>
    <w:rsid w:val="004827D3"/>
    <w:rsid w:val="00485881"/>
    <w:rsid w:val="00492FBB"/>
    <w:rsid w:val="00496EBE"/>
    <w:rsid w:val="004975BF"/>
    <w:rsid w:val="00497EF1"/>
    <w:rsid w:val="004A371D"/>
    <w:rsid w:val="004A41CA"/>
    <w:rsid w:val="004A4C5A"/>
    <w:rsid w:val="004A4EB2"/>
    <w:rsid w:val="004A4F3D"/>
    <w:rsid w:val="004B0298"/>
    <w:rsid w:val="004B036A"/>
    <w:rsid w:val="004B073A"/>
    <w:rsid w:val="004B2692"/>
    <w:rsid w:val="004B288E"/>
    <w:rsid w:val="004B748C"/>
    <w:rsid w:val="004C2C20"/>
    <w:rsid w:val="004C3441"/>
    <w:rsid w:val="004C6E9B"/>
    <w:rsid w:val="004D0C85"/>
    <w:rsid w:val="004E0B23"/>
    <w:rsid w:val="004E2DF8"/>
    <w:rsid w:val="004E31C7"/>
    <w:rsid w:val="004E33F9"/>
    <w:rsid w:val="004E36F5"/>
    <w:rsid w:val="004E3E6C"/>
    <w:rsid w:val="004E7ED6"/>
    <w:rsid w:val="004F6FA2"/>
    <w:rsid w:val="004F7D12"/>
    <w:rsid w:val="005014A3"/>
    <w:rsid w:val="00503228"/>
    <w:rsid w:val="005034AA"/>
    <w:rsid w:val="00505384"/>
    <w:rsid w:val="00507958"/>
    <w:rsid w:val="005163CC"/>
    <w:rsid w:val="0053092F"/>
    <w:rsid w:val="00530B20"/>
    <w:rsid w:val="00532617"/>
    <w:rsid w:val="00532EF8"/>
    <w:rsid w:val="00533DBE"/>
    <w:rsid w:val="0053503F"/>
    <w:rsid w:val="00535116"/>
    <w:rsid w:val="00535BDE"/>
    <w:rsid w:val="0053769E"/>
    <w:rsid w:val="00540050"/>
    <w:rsid w:val="00541C35"/>
    <w:rsid w:val="005420F2"/>
    <w:rsid w:val="00543A6D"/>
    <w:rsid w:val="0054407A"/>
    <w:rsid w:val="00545F0E"/>
    <w:rsid w:val="00546218"/>
    <w:rsid w:val="005547AA"/>
    <w:rsid w:val="005560AA"/>
    <w:rsid w:val="005745F6"/>
    <w:rsid w:val="00583B10"/>
    <w:rsid w:val="005906CF"/>
    <w:rsid w:val="005A0C61"/>
    <w:rsid w:val="005A3BFC"/>
    <w:rsid w:val="005A6542"/>
    <w:rsid w:val="005B0D15"/>
    <w:rsid w:val="005B2C89"/>
    <w:rsid w:val="005B3DB3"/>
    <w:rsid w:val="005B758B"/>
    <w:rsid w:val="005C47BF"/>
    <w:rsid w:val="005D0358"/>
    <w:rsid w:val="005D1A62"/>
    <w:rsid w:val="005D23F3"/>
    <w:rsid w:val="005D2A49"/>
    <w:rsid w:val="005D7387"/>
    <w:rsid w:val="005E1EDC"/>
    <w:rsid w:val="005E22FE"/>
    <w:rsid w:val="005E5FFD"/>
    <w:rsid w:val="005F7D6B"/>
    <w:rsid w:val="00601906"/>
    <w:rsid w:val="00603CBF"/>
    <w:rsid w:val="0060668D"/>
    <w:rsid w:val="00610F80"/>
    <w:rsid w:val="00611326"/>
    <w:rsid w:val="0061196B"/>
    <w:rsid w:val="00611FC4"/>
    <w:rsid w:val="0061427C"/>
    <w:rsid w:val="006170FC"/>
    <w:rsid w:val="006176FB"/>
    <w:rsid w:val="00617FFE"/>
    <w:rsid w:val="0062326E"/>
    <w:rsid w:val="00623801"/>
    <w:rsid w:val="00625098"/>
    <w:rsid w:val="00627380"/>
    <w:rsid w:val="00627ED0"/>
    <w:rsid w:val="00630764"/>
    <w:rsid w:val="006326F0"/>
    <w:rsid w:val="00635219"/>
    <w:rsid w:val="00635EF4"/>
    <w:rsid w:val="00640B26"/>
    <w:rsid w:val="00645B5D"/>
    <w:rsid w:val="0065176D"/>
    <w:rsid w:val="006633C9"/>
    <w:rsid w:val="006653E5"/>
    <w:rsid w:val="00665595"/>
    <w:rsid w:val="00680CDA"/>
    <w:rsid w:val="006866A5"/>
    <w:rsid w:val="0068708F"/>
    <w:rsid w:val="00691F20"/>
    <w:rsid w:val="00693543"/>
    <w:rsid w:val="00693D12"/>
    <w:rsid w:val="00697787"/>
    <w:rsid w:val="006A66DB"/>
    <w:rsid w:val="006A7392"/>
    <w:rsid w:val="006A7757"/>
    <w:rsid w:val="006A7857"/>
    <w:rsid w:val="006A7DFD"/>
    <w:rsid w:val="006B1B5A"/>
    <w:rsid w:val="006B2509"/>
    <w:rsid w:val="006B6238"/>
    <w:rsid w:val="006C16AC"/>
    <w:rsid w:val="006C2521"/>
    <w:rsid w:val="006C45D1"/>
    <w:rsid w:val="006E032B"/>
    <w:rsid w:val="006E10E3"/>
    <w:rsid w:val="006E2481"/>
    <w:rsid w:val="006E3197"/>
    <w:rsid w:val="006E564B"/>
    <w:rsid w:val="006F0395"/>
    <w:rsid w:val="006F0B4D"/>
    <w:rsid w:val="007043A6"/>
    <w:rsid w:val="007107D8"/>
    <w:rsid w:val="0071248A"/>
    <w:rsid w:val="0071349F"/>
    <w:rsid w:val="00714032"/>
    <w:rsid w:val="00714AEE"/>
    <w:rsid w:val="00717623"/>
    <w:rsid w:val="00720DEB"/>
    <w:rsid w:val="0072632A"/>
    <w:rsid w:val="00727A68"/>
    <w:rsid w:val="00732654"/>
    <w:rsid w:val="007330A1"/>
    <w:rsid w:val="00733AAE"/>
    <w:rsid w:val="00734A5D"/>
    <w:rsid w:val="007361DA"/>
    <w:rsid w:val="007439EB"/>
    <w:rsid w:val="007506A9"/>
    <w:rsid w:val="00754226"/>
    <w:rsid w:val="007560E6"/>
    <w:rsid w:val="0076223F"/>
    <w:rsid w:val="00762D74"/>
    <w:rsid w:val="007640D5"/>
    <w:rsid w:val="007673C7"/>
    <w:rsid w:val="007719BA"/>
    <w:rsid w:val="00775EC7"/>
    <w:rsid w:val="00781A60"/>
    <w:rsid w:val="00784208"/>
    <w:rsid w:val="00787DA4"/>
    <w:rsid w:val="00791BCB"/>
    <w:rsid w:val="00793314"/>
    <w:rsid w:val="0079533B"/>
    <w:rsid w:val="007A0B22"/>
    <w:rsid w:val="007A1AF5"/>
    <w:rsid w:val="007A6DC2"/>
    <w:rsid w:val="007A7E59"/>
    <w:rsid w:val="007B525C"/>
    <w:rsid w:val="007B5399"/>
    <w:rsid w:val="007B6BA5"/>
    <w:rsid w:val="007C1201"/>
    <w:rsid w:val="007C3390"/>
    <w:rsid w:val="007C4F4B"/>
    <w:rsid w:val="007C5418"/>
    <w:rsid w:val="007C5A03"/>
    <w:rsid w:val="007C6F15"/>
    <w:rsid w:val="007C710E"/>
    <w:rsid w:val="007C7B1E"/>
    <w:rsid w:val="007D2D6D"/>
    <w:rsid w:val="007D4D7A"/>
    <w:rsid w:val="007D61DF"/>
    <w:rsid w:val="007D7920"/>
    <w:rsid w:val="007E0557"/>
    <w:rsid w:val="007F0B83"/>
    <w:rsid w:val="007F48EF"/>
    <w:rsid w:val="007F4FCD"/>
    <w:rsid w:val="007F6611"/>
    <w:rsid w:val="00802916"/>
    <w:rsid w:val="00802F98"/>
    <w:rsid w:val="0080653A"/>
    <w:rsid w:val="00807005"/>
    <w:rsid w:val="0081004A"/>
    <w:rsid w:val="00811719"/>
    <w:rsid w:val="008121E9"/>
    <w:rsid w:val="00815255"/>
    <w:rsid w:val="0081732C"/>
    <w:rsid w:val="008175E9"/>
    <w:rsid w:val="008242D7"/>
    <w:rsid w:val="00826F10"/>
    <w:rsid w:val="0082702F"/>
    <w:rsid w:val="00827E05"/>
    <w:rsid w:val="008308E6"/>
    <w:rsid w:val="008311A3"/>
    <w:rsid w:val="00832B3A"/>
    <w:rsid w:val="00836AF7"/>
    <w:rsid w:val="0084107B"/>
    <w:rsid w:val="00843C36"/>
    <w:rsid w:val="0084467B"/>
    <w:rsid w:val="008546F5"/>
    <w:rsid w:val="00862FF3"/>
    <w:rsid w:val="0086380D"/>
    <w:rsid w:val="00864872"/>
    <w:rsid w:val="008705FA"/>
    <w:rsid w:val="00871FD5"/>
    <w:rsid w:val="008748E0"/>
    <w:rsid w:val="00875CAA"/>
    <w:rsid w:val="008762FC"/>
    <w:rsid w:val="00877165"/>
    <w:rsid w:val="00882806"/>
    <w:rsid w:val="00883D22"/>
    <w:rsid w:val="00884C4B"/>
    <w:rsid w:val="00887D87"/>
    <w:rsid w:val="00887F74"/>
    <w:rsid w:val="00891141"/>
    <w:rsid w:val="00893791"/>
    <w:rsid w:val="00893960"/>
    <w:rsid w:val="0089738F"/>
    <w:rsid w:val="008979B1"/>
    <w:rsid w:val="008A32BF"/>
    <w:rsid w:val="008A583E"/>
    <w:rsid w:val="008A6B25"/>
    <w:rsid w:val="008A6C4F"/>
    <w:rsid w:val="008A6CA6"/>
    <w:rsid w:val="008B2AE3"/>
    <w:rsid w:val="008B33DF"/>
    <w:rsid w:val="008B6E26"/>
    <w:rsid w:val="008C63EB"/>
    <w:rsid w:val="008C7D7C"/>
    <w:rsid w:val="008C7F06"/>
    <w:rsid w:val="008D16E2"/>
    <w:rsid w:val="008D513D"/>
    <w:rsid w:val="008E0E46"/>
    <w:rsid w:val="008E302A"/>
    <w:rsid w:val="008E4C4C"/>
    <w:rsid w:val="008F08B4"/>
    <w:rsid w:val="008F1826"/>
    <w:rsid w:val="008F2D8E"/>
    <w:rsid w:val="008F2E36"/>
    <w:rsid w:val="008F46E9"/>
    <w:rsid w:val="008F5985"/>
    <w:rsid w:val="008F6FE3"/>
    <w:rsid w:val="008F75A1"/>
    <w:rsid w:val="008F7879"/>
    <w:rsid w:val="00907AD2"/>
    <w:rsid w:val="00911047"/>
    <w:rsid w:val="00917E75"/>
    <w:rsid w:val="00924BEA"/>
    <w:rsid w:val="009302FB"/>
    <w:rsid w:val="00931916"/>
    <w:rsid w:val="009321E9"/>
    <w:rsid w:val="00944678"/>
    <w:rsid w:val="009464AD"/>
    <w:rsid w:val="00947761"/>
    <w:rsid w:val="0096014D"/>
    <w:rsid w:val="009605A3"/>
    <w:rsid w:val="00961A01"/>
    <w:rsid w:val="00963CBA"/>
    <w:rsid w:val="009650E6"/>
    <w:rsid w:val="00965932"/>
    <w:rsid w:val="0096617E"/>
    <w:rsid w:val="009717C3"/>
    <w:rsid w:val="00971BB4"/>
    <w:rsid w:val="00974A8D"/>
    <w:rsid w:val="00987B97"/>
    <w:rsid w:val="0099001C"/>
    <w:rsid w:val="00991261"/>
    <w:rsid w:val="00992F6B"/>
    <w:rsid w:val="00993C2F"/>
    <w:rsid w:val="009A08D4"/>
    <w:rsid w:val="009A1558"/>
    <w:rsid w:val="009A1717"/>
    <w:rsid w:val="009A276C"/>
    <w:rsid w:val="009B1741"/>
    <w:rsid w:val="009B7B66"/>
    <w:rsid w:val="009B7F3C"/>
    <w:rsid w:val="009C127C"/>
    <w:rsid w:val="009C12F6"/>
    <w:rsid w:val="009C2E40"/>
    <w:rsid w:val="009D26EF"/>
    <w:rsid w:val="009D555E"/>
    <w:rsid w:val="009E2F92"/>
    <w:rsid w:val="009E46E9"/>
    <w:rsid w:val="009F1B31"/>
    <w:rsid w:val="009F1D82"/>
    <w:rsid w:val="009F3A17"/>
    <w:rsid w:val="009F3D53"/>
    <w:rsid w:val="009F7870"/>
    <w:rsid w:val="00A00230"/>
    <w:rsid w:val="00A01958"/>
    <w:rsid w:val="00A021BA"/>
    <w:rsid w:val="00A02F4C"/>
    <w:rsid w:val="00A07DC2"/>
    <w:rsid w:val="00A10E05"/>
    <w:rsid w:val="00A1427D"/>
    <w:rsid w:val="00A17045"/>
    <w:rsid w:val="00A17323"/>
    <w:rsid w:val="00A2158F"/>
    <w:rsid w:val="00A230AE"/>
    <w:rsid w:val="00A250EB"/>
    <w:rsid w:val="00A2678C"/>
    <w:rsid w:val="00A31083"/>
    <w:rsid w:val="00A32AEE"/>
    <w:rsid w:val="00A352D7"/>
    <w:rsid w:val="00A37265"/>
    <w:rsid w:val="00A426FB"/>
    <w:rsid w:val="00A47476"/>
    <w:rsid w:val="00A55FB2"/>
    <w:rsid w:val="00A57424"/>
    <w:rsid w:val="00A62A71"/>
    <w:rsid w:val="00A62DA8"/>
    <w:rsid w:val="00A63E4A"/>
    <w:rsid w:val="00A64D33"/>
    <w:rsid w:val="00A72F22"/>
    <w:rsid w:val="00A73939"/>
    <w:rsid w:val="00A74632"/>
    <w:rsid w:val="00A748A6"/>
    <w:rsid w:val="00A766EB"/>
    <w:rsid w:val="00A80459"/>
    <w:rsid w:val="00A805EB"/>
    <w:rsid w:val="00A80F63"/>
    <w:rsid w:val="00A8573F"/>
    <w:rsid w:val="00A85E95"/>
    <w:rsid w:val="00A8760B"/>
    <w:rsid w:val="00A8762E"/>
    <w:rsid w:val="00A87771"/>
    <w:rsid w:val="00A879A4"/>
    <w:rsid w:val="00A90064"/>
    <w:rsid w:val="00A93A6A"/>
    <w:rsid w:val="00AA0D79"/>
    <w:rsid w:val="00AA1504"/>
    <w:rsid w:val="00AA42B2"/>
    <w:rsid w:val="00AA496B"/>
    <w:rsid w:val="00AA68B6"/>
    <w:rsid w:val="00AB19FE"/>
    <w:rsid w:val="00AB3547"/>
    <w:rsid w:val="00AB38F8"/>
    <w:rsid w:val="00AB5565"/>
    <w:rsid w:val="00AC5C02"/>
    <w:rsid w:val="00AC6691"/>
    <w:rsid w:val="00AC6CF5"/>
    <w:rsid w:val="00AD275E"/>
    <w:rsid w:val="00AD30B7"/>
    <w:rsid w:val="00AD6198"/>
    <w:rsid w:val="00AD6396"/>
    <w:rsid w:val="00AD67E3"/>
    <w:rsid w:val="00AE0FFC"/>
    <w:rsid w:val="00AE122F"/>
    <w:rsid w:val="00AE1248"/>
    <w:rsid w:val="00AE50AE"/>
    <w:rsid w:val="00AE5D77"/>
    <w:rsid w:val="00AE5F9C"/>
    <w:rsid w:val="00AE71F3"/>
    <w:rsid w:val="00AF3DD5"/>
    <w:rsid w:val="00B012DF"/>
    <w:rsid w:val="00B1225A"/>
    <w:rsid w:val="00B13651"/>
    <w:rsid w:val="00B13801"/>
    <w:rsid w:val="00B1418F"/>
    <w:rsid w:val="00B14DCA"/>
    <w:rsid w:val="00B150D8"/>
    <w:rsid w:val="00B1615F"/>
    <w:rsid w:val="00B163F4"/>
    <w:rsid w:val="00B25DB7"/>
    <w:rsid w:val="00B266A4"/>
    <w:rsid w:val="00B30179"/>
    <w:rsid w:val="00B30BA7"/>
    <w:rsid w:val="00B30D47"/>
    <w:rsid w:val="00B30E8F"/>
    <w:rsid w:val="00B32301"/>
    <w:rsid w:val="00B32782"/>
    <w:rsid w:val="00B33EC0"/>
    <w:rsid w:val="00B543C9"/>
    <w:rsid w:val="00B5760A"/>
    <w:rsid w:val="00B724A0"/>
    <w:rsid w:val="00B7254E"/>
    <w:rsid w:val="00B72D24"/>
    <w:rsid w:val="00B735E2"/>
    <w:rsid w:val="00B760A8"/>
    <w:rsid w:val="00B76F60"/>
    <w:rsid w:val="00B770F6"/>
    <w:rsid w:val="00B77928"/>
    <w:rsid w:val="00B80297"/>
    <w:rsid w:val="00B80CCF"/>
    <w:rsid w:val="00B81E12"/>
    <w:rsid w:val="00B8484B"/>
    <w:rsid w:val="00B912C5"/>
    <w:rsid w:val="00B91C47"/>
    <w:rsid w:val="00B91E3A"/>
    <w:rsid w:val="00B964C5"/>
    <w:rsid w:val="00B97D28"/>
    <w:rsid w:val="00BA69AB"/>
    <w:rsid w:val="00BB104F"/>
    <w:rsid w:val="00BC0BDB"/>
    <w:rsid w:val="00BC74E9"/>
    <w:rsid w:val="00BD13EB"/>
    <w:rsid w:val="00BD1504"/>
    <w:rsid w:val="00BD1EA1"/>
    <w:rsid w:val="00BD2146"/>
    <w:rsid w:val="00BD37C9"/>
    <w:rsid w:val="00BD62B0"/>
    <w:rsid w:val="00BE2762"/>
    <w:rsid w:val="00BE3F8A"/>
    <w:rsid w:val="00BE4F74"/>
    <w:rsid w:val="00BE59FB"/>
    <w:rsid w:val="00BE618E"/>
    <w:rsid w:val="00BF0B77"/>
    <w:rsid w:val="00BF2962"/>
    <w:rsid w:val="00BF2C8E"/>
    <w:rsid w:val="00BF4542"/>
    <w:rsid w:val="00C004B7"/>
    <w:rsid w:val="00C01530"/>
    <w:rsid w:val="00C0361E"/>
    <w:rsid w:val="00C07CD9"/>
    <w:rsid w:val="00C15CD9"/>
    <w:rsid w:val="00C164A6"/>
    <w:rsid w:val="00C17699"/>
    <w:rsid w:val="00C1778D"/>
    <w:rsid w:val="00C218A6"/>
    <w:rsid w:val="00C21C71"/>
    <w:rsid w:val="00C22EE1"/>
    <w:rsid w:val="00C27390"/>
    <w:rsid w:val="00C31445"/>
    <w:rsid w:val="00C3421B"/>
    <w:rsid w:val="00C3770A"/>
    <w:rsid w:val="00C41A28"/>
    <w:rsid w:val="00C463DD"/>
    <w:rsid w:val="00C51B20"/>
    <w:rsid w:val="00C524BA"/>
    <w:rsid w:val="00C56EB4"/>
    <w:rsid w:val="00C56F3F"/>
    <w:rsid w:val="00C57C37"/>
    <w:rsid w:val="00C60A9D"/>
    <w:rsid w:val="00C60AC5"/>
    <w:rsid w:val="00C6127E"/>
    <w:rsid w:val="00C6210B"/>
    <w:rsid w:val="00C66551"/>
    <w:rsid w:val="00C745C3"/>
    <w:rsid w:val="00C77D44"/>
    <w:rsid w:val="00C8043E"/>
    <w:rsid w:val="00C80ECA"/>
    <w:rsid w:val="00C84CBF"/>
    <w:rsid w:val="00C8562E"/>
    <w:rsid w:val="00C86EEF"/>
    <w:rsid w:val="00C9219C"/>
    <w:rsid w:val="00C945EB"/>
    <w:rsid w:val="00C95302"/>
    <w:rsid w:val="00C95AB8"/>
    <w:rsid w:val="00CA2305"/>
    <w:rsid w:val="00CB6800"/>
    <w:rsid w:val="00CC1C83"/>
    <w:rsid w:val="00CC4CCF"/>
    <w:rsid w:val="00CC65B7"/>
    <w:rsid w:val="00CD14FE"/>
    <w:rsid w:val="00CD2354"/>
    <w:rsid w:val="00CD6C80"/>
    <w:rsid w:val="00CD73C1"/>
    <w:rsid w:val="00CD7653"/>
    <w:rsid w:val="00CD7685"/>
    <w:rsid w:val="00CD7D8E"/>
    <w:rsid w:val="00CE0A90"/>
    <w:rsid w:val="00CE4865"/>
    <w:rsid w:val="00CE4A8F"/>
    <w:rsid w:val="00CF22A3"/>
    <w:rsid w:val="00CF6AE6"/>
    <w:rsid w:val="00D03FFD"/>
    <w:rsid w:val="00D04E00"/>
    <w:rsid w:val="00D055EB"/>
    <w:rsid w:val="00D0666B"/>
    <w:rsid w:val="00D126BB"/>
    <w:rsid w:val="00D16719"/>
    <w:rsid w:val="00D2031B"/>
    <w:rsid w:val="00D22C96"/>
    <w:rsid w:val="00D2318A"/>
    <w:rsid w:val="00D25FE2"/>
    <w:rsid w:val="00D26258"/>
    <w:rsid w:val="00D27AEC"/>
    <w:rsid w:val="00D317BB"/>
    <w:rsid w:val="00D34FBA"/>
    <w:rsid w:val="00D350A0"/>
    <w:rsid w:val="00D355AF"/>
    <w:rsid w:val="00D35D8F"/>
    <w:rsid w:val="00D36906"/>
    <w:rsid w:val="00D37411"/>
    <w:rsid w:val="00D4297A"/>
    <w:rsid w:val="00D43252"/>
    <w:rsid w:val="00D470D5"/>
    <w:rsid w:val="00D515A1"/>
    <w:rsid w:val="00D527B3"/>
    <w:rsid w:val="00D53C77"/>
    <w:rsid w:val="00D55E97"/>
    <w:rsid w:val="00D56C5D"/>
    <w:rsid w:val="00D60489"/>
    <w:rsid w:val="00D62155"/>
    <w:rsid w:val="00D6273B"/>
    <w:rsid w:val="00D63881"/>
    <w:rsid w:val="00D6703D"/>
    <w:rsid w:val="00D7387D"/>
    <w:rsid w:val="00D833D0"/>
    <w:rsid w:val="00D85614"/>
    <w:rsid w:val="00D96E16"/>
    <w:rsid w:val="00D978C6"/>
    <w:rsid w:val="00DA1089"/>
    <w:rsid w:val="00DA284A"/>
    <w:rsid w:val="00DA559E"/>
    <w:rsid w:val="00DA67AD"/>
    <w:rsid w:val="00DB4371"/>
    <w:rsid w:val="00DB4CDB"/>
    <w:rsid w:val="00DB5D0F"/>
    <w:rsid w:val="00DB63C8"/>
    <w:rsid w:val="00DC0F28"/>
    <w:rsid w:val="00DC3242"/>
    <w:rsid w:val="00DD6C58"/>
    <w:rsid w:val="00DE167F"/>
    <w:rsid w:val="00DE30D2"/>
    <w:rsid w:val="00DE478E"/>
    <w:rsid w:val="00DE7F20"/>
    <w:rsid w:val="00DF03A4"/>
    <w:rsid w:val="00DF0793"/>
    <w:rsid w:val="00DF12F7"/>
    <w:rsid w:val="00DF1C68"/>
    <w:rsid w:val="00DF1C69"/>
    <w:rsid w:val="00DF2C64"/>
    <w:rsid w:val="00DF3AAD"/>
    <w:rsid w:val="00E024BA"/>
    <w:rsid w:val="00E02C81"/>
    <w:rsid w:val="00E041AA"/>
    <w:rsid w:val="00E04A75"/>
    <w:rsid w:val="00E06EAB"/>
    <w:rsid w:val="00E1025A"/>
    <w:rsid w:val="00E120AF"/>
    <w:rsid w:val="00E130AB"/>
    <w:rsid w:val="00E137B8"/>
    <w:rsid w:val="00E16F51"/>
    <w:rsid w:val="00E21BBE"/>
    <w:rsid w:val="00E22E6E"/>
    <w:rsid w:val="00E2519A"/>
    <w:rsid w:val="00E2641E"/>
    <w:rsid w:val="00E31C87"/>
    <w:rsid w:val="00E32E6C"/>
    <w:rsid w:val="00E366A9"/>
    <w:rsid w:val="00E366C2"/>
    <w:rsid w:val="00E40F55"/>
    <w:rsid w:val="00E412E9"/>
    <w:rsid w:val="00E44521"/>
    <w:rsid w:val="00E458FC"/>
    <w:rsid w:val="00E4605C"/>
    <w:rsid w:val="00E50FEB"/>
    <w:rsid w:val="00E5372F"/>
    <w:rsid w:val="00E54C89"/>
    <w:rsid w:val="00E61463"/>
    <w:rsid w:val="00E639D2"/>
    <w:rsid w:val="00E677EC"/>
    <w:rsid w:val="00E70663"/>
    <w:rsid w:val="00E70DD9"/>
    <w:rsid w:val="00E70DF5"/>
    <w:rsid w:val="00E7260F"/>
    <w:rsid w:val="00E72804"/>
    <w:rsid w:val="00E80F5F"/>
    <w:rsid w:val="00E81B89"/>
    <w:rsid w:val="00E82B4A"/>
    <w:rsid w:val="00E84CF6"/>
    <w:rsid w:val="00E87921"/>
    <w:rsid w:val="00E95364"/>
    <w:rsid w:val="00E96630"/>
    <w:rsid w:val="00EA2284"/>
    <w:rsid w:val="00EA264E"/>
    <w:rsid w:val="00EA3A41"/>
    <w:rsid w:val="00EA612C"/>
    <w:rsid w:val="00EA791C"/>
    <w:rsid w:val="00EB3EB6"/>
    <w:rsid w:val="00EC01FD"/>
    <w:rsid w:val="00ED1541"/>
    <w:rsid w:val="00ED157F"/>
    <w:rsid w:val="00ED3980"/>
    <w:rsid w:val="00ED71D9"/>
    <w:rsid w:val="00ED76D4"/>
    <w:rsid w:val="00ED7A2A"/>
    <w:rsid w:val="00EE0215"/>
    <w:rsid w:val="00EE4121"/>
    <w:rsid w:val="00EE5E9B"/>
    <w:rsid w:val="00EE7E6D"/>
    <w:rsid w:val="00EF17EB"/>
    <w:rsid w:val="00EF1D7F"/>
    <w:rsid w:val="00EF358F"/>
    <w:rsid w:val="00EF60B2"/>
    <w:rsid w:val="00F012BE"/>
    <w:rsid w:val="00F02CCD"/>
    <w:rsid w:val="00F07968"/>
    <w:rsid w:val="00F124A0"/>
    <w:rsid w:val="00F15589"/>
    <w:rsid w:val="00F256C8"/>
    <w:rsid w:val="00F25D9A"/>
    <w:rsid w:val="00F3471F"/>
    <w:rsid w:val="00F34E69"/>
    <w:rsid w:val="00F40D25"/>
    <w:rsid w:val="00F41C2D"/>
    <w:rsid w:val="00F451D9"/>
    <w:rsid w:val="00F452A5"/>
    <w:rsid w:val="00F47494"/>
    <w:rsid w:val="00F47732"/>
    <w:rsid w:val="00F47E0F"/>
    <w:rsid w:val="00F53EDA"/>
    <w:rsid w:val="00F61319"/>
    <w:rsid w:val="00F64BCC"/>
    <w:rsid w:val="00F6576F"/>
    <w:rsid w:val="00F66B60"/>
    <w:rsid w:val="00F72E14"/>
    <w:rsid w:val="00F72F74"/>
    <w:rsid w:val="00F73015"/>
    <w:rsid w:val="00F73D20"/>
    <w:rsid w:val="00F7753D"/>
    <w:rsid w:val="00F82328"/>
    <w:rsid w:val="00F845C0"/>
    <w:rsid w:val="00F84AB6"/>
    <w:rsid w:val="00F85F34"/>
    <w:rsid w:val="00F86130"/>
    <w:rsid w:val="00F911C3"/>
    <w:rsid w:val="00F9701C"/>
    <w:rsid w:val="00FA06F7"/>
    <w:rsid w:val="00FA0878"/>
    <w:rsid w:val="00FA7DBC"/>
    <w:rsid w:val="00FB05B3"/>
    <w:rsid w:val="00FB171A"/>
    <w:rsid w:val="00FB6A32"/>
    <w:rsid w:val="00FB6CAB"/>
    <w:rsid w:val="00FC09B8"/>
    <w:rsid w:val="00FC0D04"/>
    <w:rsid w:val="00FC68B7"/>
    <w:rsid w:val="00FD10AB"/>
    <w:rsid w:val="00FD27F5"/>
    <w:rsid w:val="00FD4450"/>
    <w:rsid w:val="00FD4F7E"/>
    <w:rsid w:val="00FD5D25"/>
    <w:rsid w:val="00FD7BF6"/>
    <w:rsid w:val="00FF01E3"/>
    <w:rsid w:val="00FF0B0D"/>
    <w:rsid w:val="00FF0C03"/>
    <w:rsid w:val="00FF2D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table" w:styleId="GridTable1Light">
    <w:name w:val="Grid Table 1 Light"/>
    <w:basedOn w:val="TableNormal"/>
    <w:uiPriority w:val="46"/>
    <w:rsid w:val="00625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E0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2133">
      <w:bodyDiv w:val="1"/>
      <w:marLeft w:val="0"/>
      <w:marRight w:val="0"/>
      <w:marTop w:val="0"/>
      <w:marBottom w:val="0"/>
      <w:divBdr>
        <w:top w:val="none" w:sz="0" w:space="0" w:color="auto"/>
        <w:left w:val="none" w:sz="0" w:space="0" w:color="auto"/>
        <w:bottom w:val="none" w:sz="0" w:space="0" w:color="auto"/>
        <w:right w:val="none" w:sz="0" w:space="0" w:color="auto"/>
      </w:divBdr>
      <w:divsChild>
        <w:div w:id="1605964295">
          <w:marLeft w:val="0"/>
          <w:marRight w:val="0"/>
          <w:marTop w:val="0"/>
          <w:marBottom w:val="0"/>
          <w:divBdr>
            <w:top w:val="none" w:sz="0" w:space="0" w:color="auto"/>
            <w:left w:val="none" w:sz="0" w:space="0" w:color="auto"/>
            <w:bottom w:val="none" w:sz="0" w:space="0" w:color="auto"/>
            <w:right w:val="none" w:sz="0" w:space="0" w:color="auto"/>
          </w:divBdr>
        </w:div>
      </w:divsChild>
    </w:div>
    <w:div w:id="14848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81DF1-736B-4FE0-A30E-08F77D071F10}">
  <ds:schemaRefs>
    <ds:schemaRef ds:uri="http://schemas.openxmlformats.org/officeDocument/2006/bibliography"/>
  </ds:schemaRefs>
</ds:datastoreItem>
</file>

<file path=customXml/itemProps2.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0BD2BCA-6965-4BBF-929D-4E06DE95D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3B00F-B97A-4A7F-8CB9-D959CD62C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33</TotalTime>
  <Pages>3</Pages>
  <Words>1008</Words>
  <Characters>5749</Characters>
  <Application>Microsoft Office Word</Application>
  <DocSecurity>0</DocSecurity>
  <Lines>47</Lines>
  <Paragraphs>13</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36</cp:revision>
  <cp:lastPrinted>2018-12-04T07:53:00Z</cp:lastPrinted>
  <dcterms:created xsi:type="dcterms:W3CDTF">2022-11-29T08:42:00Z</dcterms:created>
  <dcterms:modified xsi:type="dcterms:W3CDTF">2022-11-29T19:59:00Z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