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0A73C3DA" w14:textId="77777777" w:rsidTr="00691F20">
        <w:trPr>
          <w:cantSplit/>
          <w:trHeight w:hRule="exact" w:val="851"/>
        </w:trPr>
        <w:tc>
          <w:tcPr>
            <w:tcW w:w="9639" w:type="dxa"/>
            <w:tcBorders>
              <w:bottom w:val="single" w:sz="4" w:space="0" w:color="auto"/>
            </w:tcBorders>
            <w:vAlign w:val="bottom"/>
          </w:tcPr>
          <w:p w14:paraId="67718E7A" w14:textId="074AED98" w:rsidR="0099001C" w:rsidRPr="0099001C" w:rsidRDefault="0099001C" w:rsidP="00752296">
            <w:pPr>
              <w:jc w:val="right"/>
              <w:rPr>
                <w:b/>
                <w:sz w:val="40"/>
                <w:szCs w:val="40"/>
              </w:rPr>
            </w:pPr>
            <w:r w:rsidRPr="0099001C">
              <w:rPr>
                <w:b/>
                <w:sz w:val="40"/>
                <w:szCs w:val="40"/>
              </w:rPr>
              <w:t>UN/SCEGHS/</w:t>
            </w:r>
            <w:r w:rsidR="00752296">
              <w:rPr>
                <w:b/>
                <w:sz w:val="40"/>
                <w:szCs w:val="40"/>
              </w:rPr>
              <w:t>43</w:t>
            </w:r>
            <w:r w:rsidRPr="0099001C">
              <w:rPr>
                <w:b/>
                <w:sz w:val="40"/>
                <w:szCs w:val="40"/>
              </w:rPr>
              <w:t>/INF.</w:t>
            </w:r>
            <w:r w:rsidR="005E531E">
              <w:rPr>
                <w:b/>
                <w:sz w:val="40"/>
                <w:szCs w:val="40"/>
              </w:rPr>
              <w:t>14</w:t>
            </w:r>
          </w:p>
        </w:tc>
      </w:tr>
      <w:tr w:rsidR="0099001C" w14:paraId="7A1136AB" w14:textId="77777777" w:rsidTr="008B6E26">
        <w:trPr>
          <w:cantSplit/>
          <w:trHeight w:hRule="exact" w:val="3114"/>
        </w:trPr>
        <w:tc>
          <w:tcPr>
            <w:tcW w:w="9639" w:type="dxa"/>
            <w:tcBorders>
              <w:top w:val="single" w:sz="4" w:space="0" w:color="auto"/>
            </w:tcBorders>
          </w:tcPr>
          <w:p w14:paraId="162D3A65"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6025F102" w14:textId="0581AEFE" w:rsidR="00965932" w:rsidRPr="00765969" w:rsidRDefault="00965932" w:rsidP="00965932">
            <w:pPr>
              <w:tabs>
                <w:tab w:val="left" w:pos="7230"/>
                <w:tab w:val="right" w:pos="9300"/>
              </w:tabs>
              <w:spacing w:before="120"/>
              <w:rPr>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093495">
              <w:rPr>
                <w:b/>
                <w:lang w:val="en-US"/>
              </w:rPr>
              <w:t xml:space="preserve">11 </w:t>
            </w:r>
            <w:r w:rsidR="00006BA1">
              <w:rPr>
                <w:b/>
                <w:lang w:val="en-US"/>
              </w:rPr>
              <w:t>Novem</w:t>
            </w:r>
            <w:r w:rsidR="00513F9E">
              <w:rPr>
                <w:b/>
                <w:lang w:val="en-US"/>
              </w:rPr>
              <w:t>ber</w:t>
            </w:r>
            <w:r w:rsidRPr="006C2CEE">
              <w:rPr>
                <w:b/>
                <w:lang w:val="en-US"/>
              </w:rPr>
              <w:t xml:space="preserve"> 20</w:t>
            </w:r>
            <w:r w:rsidR="001205DF">
              <w:rPr>
                <w:b/>
                <w:lang w:val="en-US"/>
              </w:rPr>
              <w:t>2</w:t>
            </w:r>
            <w:r w:rsidR="00752296">
              <w:rPr>
                <w:b/>
                <w:lang w:val="en-US"/>
              </w:rPr>
              <w:t>2</w:t>
            </w:r>
          </w:p>
          <w:p w14:paraId="2A9BBC09" w14:textId="0CD37888" w:rsidR="00965932" w:rsidRPr="001C24EB" w:rsidRDefault="00965932" w:rsidP="00965932">
            <w:pPr>
              <w:jc w:val="both"/>
              <w:rPr>
                <w:b/>
                <w:lang w:val="en-US"/>
              </w:rPr>
            </w:pPr>
          </w:p>
          <w:p w14:paraId="07B3196B" w14:textId="77777777" w:rsidR="00752296" w:rsidRDefault="00752296" w:rsidP="001B06A5">
            <w:pPr>
              <w:jc w:val="both"/>
              <w:rPr>
                <w:b/>
              </w:rPr>
            </w:pPr>
            <w:r w:rsidRPr="00752296">
              <w:rPr>
                <w:b/>
              </w:rPr>
              <w:t xml:space="preserve">Forty-third session </w:t>
            </w:r>
          </w:p>
          <w:p w14:paraId="71D8E8C1" w14:textId="77777777" w:rsidR="00752296" w:rsidRDefault="001B06A5" w:rsidP="00752296">
            <w:r w:rsidRPr="004845AC">
              <w:t xml:space="preserve">Geneva, </w:t>
            </w:r>
            <w:r w:rsidR="00752296">
              <w:t>7</w:t>
            </w:r>
            <w:r w:rsidR="00752296" w:rsidRPr="004845AC">
              <w:t>-</w:t>
            </w:r>
            <w:r w:rsidR="00752296">
              <w:t xml:space="preserve">9 </w:t>
            </w:r>
            <w:r w:rsidR="00752296" w:rsidRPr="004845AC">
              <w:t>December 20</w:t>
            </w:r>
            <w:r w:rsidR="00752296">
              <w:t>22</w:t>
            </w:r>
          </w:p>
          <w:p w14:paraId="29662C73" w14:textId="66D437EE" w:rsidR="00752296" w:rsidRPr="00FC47E9" w:rsidRDefault="00752296" w:rsidP="00752296">
            <w:r w:rsidRPr="00FC47E9">
              <w:t xml:space="preserve">Item </w:t>
            </w:r>
            <w:r w:rsidR="000B6D69">
              <w:t>7</w:t>
            </w:r>
            <w:r w:rsidR="000B6D69" w:rsidRPr="00FC47E9">
              <w:t xml:space="preserve"> </w:t>
            </w:r>
            <w:r w:rsidRPr="00FC47E9">
              <w:t>of the provisional agenda</w:t>
            </w:r>
          </w:p>
          <w:p w14:paraId="4E504FC6" w14:textId="10AEA9C1" w:rsidR="0099001C" w:rsidRDefault="00752296" w:rsidP="00752296">
            <w:pPr>
              <w:spacing w:line="240" w:lineRule="exact"/>
            </w:pPr>
            <w:r w:rsidRPr="009435A6">
              <w:rPr>
                <w:b/>
              </w:rPr>
              <w:t xml:space="preserve">Programme of work for the biennium </w:t>
            </w:r>
            <w:r w:rsidR="009435A6" w:rsidRPr="009435A6">
              <w:rPr>
                <w:b/>
              </w:rPr>
              <w:t>20</w:t>
            </w:r>
            <w:r w:rsidR="001205DF">
              <w:rPr>
                <w:b/>
              </w:rPr>
              <w:t>2</w:t>
            </w:r>
            <w:r>
              <w:rPr>
                <w:b/>
              </w:rPr>
              <w:t>3</w:t>
            </w:r>
            <w:r w:rsidR="009435A6" w:rsidRPr="009435A6">
              <w:rPr>
                <w:b/>
              </w:rPr>
              <w:t>-202</w:t>
            </w:r>
            <w:r>
              <w:rPr>
                <w:b/>
              </w:rPr>
              <w:t>4</w:t>
            </w:r>
          </w:p>
        </w:tc>
      </w:tr>
    </w:tbl>
    <w:p w14:paraId="3AF6877D" w14:textId="7672945A" w:rsidR="00752296" w:rsidRPr="0079642A" w:rsidRDefault="00B16065" w:rsidP="0079642A">
      <w:pPr>
        <w:pStyle w:val="HChG"/>
        <w:rPr>
          <w:rFonts w:eastAsia="SimSun"/>
        </w:rPr>
      </w:pPr>
      <w:r w:rsidRPr="00186F99">
        <w:rPr>
          <w:rFonts w:eastAsia="MS Mincho"/>
        </w:rPr>
        <w:tab/>
      </w:r>
      <w:r w:rsidRPr="00186F99">
        <w:rPr>
          <w:rFonts w:eastAsia="MS Mincho"/>
        </w:rPr>
        <w:tab/>
      </w:r>
      <w:r w:rsidR="00752296" w:rsidRPr="0079642A">
        <w:rPr>
          <w:rFonts w:eastAsia="MS Mincho"/>
        </w:rPr>
        <w:t>Review of</w:t>
      </w:r>
      <w:r w:rsidR="00752296" w:rsidRPr="0079642A">
        <w:rPr>
          <w:rFonts w:eastAsia="SimSun"/>
        </w:rPr>
        <w:t xml:space="preserve"> the use of human data for the classification of skin sensitisers in </w:t>
      </w:r>
      <w:r w:rsidR="005E531E" w:rsidRPr="0079642A">
        <w:rPr>
          <w:rFonts w:eastAsia="SimSun"/>
        </w:rPr>
        <w:t>C</w:t>
      </w:r>
      <w:r w:rsidR="00752296" w:rsidRPr="0079642A">
        <w:rPr>
          <w:rFonts w:eastAsia="SimSun"/>
        </w:rPr>
        <w:t>hapter 3.4 of the GHS</w:t>
      </w:r>
    </w:p>
    <w:p w14:paraId="6932B593" w14:textId="24B23A4E" w:rsidR="00605A87" w:rsidRPr="00F32E20" w:rsidRDefault="00605A87" w:rsidP="00605A87">
      <w:pPr>
        <w:pStyle w:val="H1G"/>
      </w:pPr>
      <w:r w:rsidRPr="00F32E20">
        <w:tab/>
      </w:r>
      <w:r w:rsidRPr="00F32E20">
        <w:tab/>
      </w:r>
      <w:r w:rsidRPr="00030C37">
        <w:t xml:space="preserve">Transmitted by the </w:t>
      </w:r>
      <w:r>
        <w:t xml:space="preserve">expert from </w:t>
      </w:r>
      <w:r w:rsidR="00326A95">
        <w:t>Germany</w:t>
      </w:r>
    </w:p>
    <w:p w14:paraId="18525671" w14:textId="77777777" w:rsidR="00752296" w:rsidRPr="00752296" w:rsidRDefault="00752296" w:rsidP="00752296">
      <w:pPr>
        <w:keepNext/>
        <w:keepLines/>
        <w:tabs>
          <w:tab w:val="right" w:pos="851"/>
        </w:tabs>
        <w:kinsoku w:val="0"/>
        <w:overflowPunct w:val="0"/>
        <w:autoSpaceDE w:val="0"/>
        <w:autoSpaceDN w:val="0"/>
        <w:adjustRightInd w:val="0"/>
        <w:snapToGrid w:val="0"/>
        <w:spacing w:before="240" w:after="120" w:line="300" w:lineRule="exact"/>
        <w:ind w:left="1134" w:right="1134" w:hanging="1134"/>
        <w:rPr>
          <w:rFonts w:eastAsia="SimSun"/>
          <w:b/>
          <w:sz w:val="28"/>
          <w:lang w:eastAsia="zh-CN"/>
        </w:rPr>
      </w:pPr>
      <w:r w:rsidRPr="00752296">
        <w:rPr>
          <w:rFonts w:eastAsia="SimSun"/>
          <w:b/>
          <w:sz w:val="28"/>
          <w:lang w:eastAsia="zh-CN"/>
        </w:rPr>
        <w:tab/>
      </w:r>
      <w:r w:rsidRPr="00752296">
        <w:rPr>
          <w:rFonts w:eastAsia="SimSun"/>
          <w:b/>
          <w:sz w:val="28"/>
          <w:lang w:eastAsia="zh-CN"/>
        </w:rPr>
        <w:tab/>
      </w:r>
      <w:r w:rsidRPr="00752296">
        <w:rPr>
          <w:rFonts w:eastAsia="SimSun"/>
          <w:b/>
          <w:sz w:val="28"/>
          <w:lang w:eastAsia="zh-CN"/>
        </w:rPr>
        <w:tab/>
        <w:t>Background</w:t>
      </w:r>
    </w:p>
    <w:p w14:paraId="29CAF848" w14:textId="310B7C5E" w:rsidR="00752296" w:rsidRPr="00752296" w:rsidRDefault="00752296" w:rsidP="00752296">
      <w:pPr>
        <w:kinsoku w:val="0"/>
        <w:overflowPunct w:val="0"/>
        <w:autoSpaceDE w:val="0"/>
        <w:autoSpaceDN w:val="0"/>
        <w:adjustRightInd w:val="0"/>
        <w:snapToGrid w:val="0"/>
        <w:spacing w:after="120"/>
        <w:ind w:left="1134" w:right="1134"/>
        <w:jc w:val="both"/>
        <w:rPr>
          <w:rFonts w:eastAsia="SimSun"/>
          <w:lang w:eastAsia="zh-CN"/>
        </w:rPr>
      </w:pPr>
      <w:r w:rsidRPr="00752296">
        <w:rPr>
          <w:rFonts w:eastAsia="SimSun"/>
          <w:lang w:eastAsia="zh-CN"/>
        </w:rPr>
        <w:t>1.</w:t>
      </w:r>
      <w:r w:rsidRPr="00752296">
        <w:rPr>
          <w:rFonts w:eastAsia="SimSun"/>
          <w:lang w:eastAsia="zh-CN"/>
        </w:rPr>
        <w:tab/>
        <w:t>The German experts noted that with respect to the use of human data, t</w:t>
      </w:r>
      <w:r w:rsidRPr="00752296">
        <w:rPr>
          <w:rFonts w:eastAsia="SimSun"/>
          <w:lang w:val="en-US" w:eastAsia="ja-JP"/>
        </w:rPr>
        <w:t>he current chapter 3.4 of the GHS on skin sensiti</w:t>
      </w:r>
      <w:r w:rsidR="00B915A3">
        <w:rPr>
          <w:rFonts w:eastAsia="SimSun"/>
          <w:lang w:val="en-US" w:eastAsia="ja-JP"/>
        </w:rPr>
        <w:t>z</w:t>
      </w:r>
      <w:r w:rsidRPr="00752296">
        <w:rPr>
          <w:rFonts w:eastAsia="SimSun"/>
          <w:lang w:val="en-US" w:eastAsia="ja-JP"/>
        </w:rPr>
        <w:t xml:space="preserve">ation has several deficiencies, </w:t>
      </w:r>
      <w:r w:rsidR="00DA7709">
        <w:rPr>
          <w:rFonts w:eastAsia="SimSun"/>
          <w:lang w:val="en-US" w:eastAsia="ja-JP"/>
        </w:rPr>
        <w:t xml:space="preserve">including </w:t>
      </w:r>
      <w:r w:rsidRPr="00752296">
        <w:rPr>
          <w:rFonts w:eastAsia="SimSun"/>
          <w:lang w:val="en-US" w:eastAsia="ja-JP"/>
        </w:rPr>
        <w:t>classification criteria which are not precisely defined, and criteria which in some cases potentially underestimate the potency of skin sensiti</w:t>
      </w:r>
      <w:r w:rsidR="00B915A3">
        <w:rPr>
          <w:rFonts w:eastAsia="SimSun"/>
          <w:lang w:val="en-US" w:eastAsia="ja-JP"/>
        </w:rPr>
        <w:t>z</w:t>
      </w:r>
      <w:r w:rsidRPr="00752296">
        <w:rPr>
          <w:rFonts w:eastAsia="SimSun"/>
          <w:lang w:val="en-US" w:eastAsia="ja-JP"/>
        </w:rPr>
        <w:t xml:space="preserve">ers when classifying them based on certain types of human data. </w:t>
      </w:r>
    </w:p>
    <w:p w14:paraId="6AA3AF38" w14:textId="5547C932" w:rsidR="00752296" w:rsidRPr="00752296" w:rsidRDefault="00752296" w:rsidP="00752296">
      <w:pPr>
        <w:kinsoku w:val="0"/>
        <w:overflowPunct w:val="0"/>
        <w:autoSpaceDE w:val="0"/>
        <w:autoSpaceDN w:val="0"/>
        <w:adjustRightInd w:val="0"/>
        <w:snapToGrid w:val="0"/>
        <w:spacing w:after="120"/>
        <w:ind w:left="1134" w:right="1134"/>
        <w:jc w:val="both"/>
        <w:rPr>
          <w:rFonts w:eastAsia="SimSun"/>
          <w:lang w:val="en-US" w:eastAsia="zh-CN"/>
        </w:rPr>
      </w:pPr>
      <w:r w:rsidRPr="00752296">
        <w:rPr>
          <w:rFonts w:eastAsia="SimSun"/>
          <w:lang w:eastAsia="zh-CN"/>
        </w:rPr>
        <w:t>2.</w:t>
      </w:r>
      <w:r w:rsidRPr="00752296">
        <w:rPr>
          <w:rFonts w:eastAsia="SimSun"/>
          <w:lang w:eastAsia="zh-CN"/>
        </w:rPr>
        <w:tab/>
      </w:r>
      <w:r w:rsidRPr="00752296">
        <w:rPr>
          <w:rFonts w:eastAsia="SimSun"/>
          <w:lang w:val="en-US" w:eastAsia="zh-CN"/>
        </w:rPr>
        <w:t xml:space="preserve">In 2021, the </w:t>
      </w:r>
      <w:proofErr w:type="spellStart"/>
      <w:r w:rsidRPr="00752296">
        <w:rPr>
          <w:rFonts w:eastAsia="SimSun"/>
          <w:lang w:val="en-US" w:eastAsia="zh-CN"/>
        </w:rPr>
        <w:t>Organisation</w:t>
      </w:r>
      <w:proofErr w:type="spellEnd"/>
      <w:r w:rsidRPr="00752296">
        <w:rPr>
          <w:rFonts w:eastAsia="SimSun"/>
          <w:lang w:val="en-US" w:eastAsia="zh-CN"/>
        </w:rPr>
        <w:t xml:space="preserve"> for Economic Co-operation and Development (OECD) published Guideline 497 on </w:t>
      </w:r>
      <w:r w:rsidRPr="00752296">
        <w:rPr>
          <w:rFonts w:eastAsia="SimSun"/>
          <w:bCs/>
          <w:lang w:val="en-US" w:eastAsia="zh-CN"/>
        </w:rPr>
        <w:t>Defined Approaches (DAs) for Skin Sensiti</w:t>
      </w:r>
      <w:r w:rsidR="00B915A3">
        <w:rPr>
          <w:rFonts w:eastAsia="SimSun"/>
          <w:bCs/>
          <w:lang w:val="en-US" w:eastAsia="zh-CN"/>
        </w:rPr>
        <w:t>z</w:t>
      </w:r>
      <w:r w:rsidRPr="00752296">
        <w:rPr>
          <w:rFonts w:eastAsia="SimSun"/>
          <w:bCs/>
          <w:lang w:val="en-US" w:eastAsia="zh-CN"/>
        </w:rPr>
        <w:t>ation</w:t>
      </w:r>
      <w:r w:rsidRPr="00752296">
        <w:rPr>
          <w:rFonts w:eastAsia="SimSun"/>
          <w:lang w:val="en-US" w:eastAsia="zh-CN"/>
        </w:rPr>
        <w:t>. The main purpose of this project was to validate the DAs under examination for use in classification and labelling of skin sensiti</w:t>
      </w:r>
      <w:r w:rsidR="00B915A3">
        <w:rPr>
          <w:rFonts w:eastAsia="SimSun"/>
          <w:lang w:val="en-US" w:eastAsia="zh-CN"/>
        </w:rPr>
        <w:t>z</w:t>
      </w:r>
      <w:r w:rsidRPr="00752296">
        <w:rPr>
          <w:rFonts w:eastAsia="SimSun"/>
          <w:lang w:val="en-US" w:eastAsia="zh-CN"/>
        </w:rPr>
        <w:t xml:space="preserve">ers under the </w:t>
      </w:r>
      <w:r w:rsidRPr="00752296">
        <w:rPr>
          <w:rFonts w:eastAsia="SimSun"/>
          <w:bCs/>
          <w:lang w:val="en-US" w:eastAsia="zh-CN"/>
        </w:rPr>
        <w:t>GHS</w:t>
      </w:r>
      <w:r w:rsidRPr="00752296">
        <w:rPr>
          <w:rFonts w:eastAsia="SimSun"/>
          <w:lang w:val="en-US" w:eastAsia="zh-CN"/>
        </w:rPr>
        <w:t xml:space="preserve">. In this context, the human data sub-group (HDSG) of the OECD project, composed of experts from the United States </w:t>
      </w:r>
      <w:r w:rsidR="00B915A3">
        <w:rPr>
          <w:rFonts w:eastAsia="SimSun"/>
          <w:lang w:val="en-US" w:eastAsia="zh-CN"/>
        </w:rPr>
        <w:t xml:space="preserve">of America </w:t>
      </w:r>
      <w:r w:rsidRPr="00752296">
        <w:rPr>
          <w:rFonts w:eastAsia="SimSun"/>
          <w:lang w:val="en-US" w:eastAsia="zh-CN"/>
        </w:rPr>
        <w:t>(National Toxicology Program Interagency Center for the Evaluation of Alternative Toxicological Methods/NICEATM, US Food &amp; Drug Administration/FDA, US Consumer Product Safety Commission/CPSC) and Germany (German Federal Institute for Risk Assessment/</w:t>
      </w:r>
      <w:proofErr w:type="spellStart"/>
      <w:r w:rsidRPr="00752296">
        <w:rPr>
          <w:rFonts w:eastAsia="SimSun"/>
          <w:lang w:val="en-US" w:eastAsia="zh-CN"/>
        </w:rPr>
        <w:t>BfR</w:t>
      </w:r>
      <w:proofErr w:type="spellEnd"/>
      <w:r w:rsidRPr="00752296">
        <w:rPr>
          <w:rFonts w:eastAsia="SimSun"/>
          <w:lang w:val="en-US" w:eastAsia="zh-CN"/>
        </w:rPr>
        <w:t>) curated a large set of human reference data from Human Predictive Patch Tests (HPPT, including the Human Maximi</w:t>
      </w:r>
      <w:r w:rsidR="00B915A3">
        <w:rPr>
          <w:rFonts w:eastAsia="SimSun"/>
          <w:lang w:val="en-US" w:eastAsia="zh-CN"/>
        </w:rPr>
        <w:t>z</w:t>
      </w:r>
      <w:r w:rsidRPr="00752296">
        <w:rPr>
          <w:rFonts w:eastAsia="SimSun"/>
          <w:lang w:val="en-US" w:eastAsia="zh-CN"/>
        </w:rPr>
        <w:t xml:space="preserve">ation Test, HMT, and the Human Repeated Insult Patch Test, HRIPT).  </w:t>
      </w:r>
    </w:p>
    <w:p w14:paraId="2485DD5C" w14:textId="5AFD23ED" w:rsidR="00752296" w:rsidRPr="00752296" w:rsidRDefault="00752296" w:rsidP="00752296">
      <w:pPr>
        <w:kinsoku w:val="0"/>
        <w:overflowPunct w:val="0"/>
        <w:autoSpaceDE w:val="0"/>
        <w:autoSpaceDN w:val="0"/>
        <w:adjustRightInd w:val="0"/>
        <w:snapToGrid w:val="0"/>
        <w:spacing w:after="120"/>
        <w:ind w:left="1134" w:right="1134"/>
        <w:jc w:val="both"/>
        <w:rPr>
          <w:rFonts w:eastAsia="SimSun"/>
          <w:lang w:val="en-US" w:eastAsia="zh-CN"/>
        </w:rPr>
      </w:pPr>
      <w:r w:rsidRPr="00752296">
        <w:rPr>
          <w:rFonts w:eastAsia="SimSun"/>
          <w:lang w:eastAsia="zh-CN"/>
        </w:rPr>
        <w:t xml:space="preserve">3. </w:t>
      </w:r>
      <w:r w:rsidRPr="00752296">
        <w:rPr>
          <w:rFonts w:eastAsia="SimSun"/>
          <w:lang w:eastAsia="zh-CN"/>
        </w:rPr>
        <w:tab/>
        <w:t xml:space="preserve">In the GHS, positive HPPT results (≥ 1 sensitised test subject) currently lead to classification of the tested substance as at least </w:t>
      </w:r>
      <w:r w:rsidR="00197D52">
        <w:rPr>
          <w:rFonts w:eastAsia="SimSun"/>
          <w:lang w:eastAsia="zh-CN"/>
        </w:rPr>
        <w:t>s</w:t>
      </w:r>
      <w:r w:rsidR="00197D52" w:rsidRPr="00752296">
        <w:rPr>
          <w:rFonts w:eastAsia="SimSun"/>
          <w:lang w:eastAsia="zh-CN"/>
        </w:rPr>
        <w:t xml:space="preserve">kin </w:t>
      </w:r>
      <w:r w:rsidR="00197D52">
        <w:rPr>
          <w:rFonts w:eastAsia="SimSun"/>
          <w:lang w:eastAsia="zh-CN"/>
        </w:rPr>
        <w:t>s</w:t>
      </w:r>
      <w:r w:rsidRPr="00752296">
        <w:rPr>
          <w:rFonts w:eastAsia="SimSun"/>
          <w:lang w:eastAsia="zh-CN"/>
        </w:rPr>
        <w:t>ens</w:t>
      </w:r>
      <w:r w:rsidR="00197D52">
        <w:rPr>
          <w:rFonts w:eastAsia="SimSun"/>
          <w:lang w:eastAsia="zh-CN"/>
        </w:rPr>
        <w:t>itizer</w:t>
      </w:r>
      <w:r w:rsidRPr="00752296">
        <w:rPr>
          <w:rFonts w:eastAsia="SimSun"/>
          <w:lang w:eastAsia="zh-CN"/>
        </w:rPr>
        <w:t xml:space="preserve"> 1B. If the positive result is obtained at a dose per skin area (DSA) ≤ 500 µg/cm</w:t>
      </w:r>
      <w:r w:rsidRPr="00752296">
        <w:rPr>
          <w:rFonts w:eastAsia="SimSun"/>
          <w:vertAlign w:val="superscript"/>
          <w:lang w:eastAsia="zh-CN"/>
        </w:rPr>
        <w:t>2</w:t>
      </w:r>
      <w:r w:rsidRPr="00752296">
        <w:rPr>
          <w:rFonts w:eastAsia="SimSun"/>
          <w:lang w:eastAsia="zh-CN"/>
        </w:rPr>
        <w:t xml:space="preserve">, the substance is classified as </w:t>
      </w:r>
      <w:r w:rsidR="00197D52">
        <w:rPr>
          <w:rFonts w:eastAsia="SimSun"/>
          <w:lang w:eastAsia="zh-CN"/>
        </w:rPr>
        <w:t>s</w:t>
      </w:r>
      <w:r w:rsidRPr="00752296">
        <w:rPr>
          <w:rFonts w:eastAsia="SimSun"/>
          <w:lang w:eastAsia="zh-CN"/>
        </w:rPr>
        <w:t xml:space="preserve">kin </w:t>
      </w:r>
      <w:r w:rsidR="00197D52">
        <w:rPr>
          <w:rFonts w:eastAsia="SimSun"/>
          <w:lang w:eastAsia="zh-CN"/>
        </w:rPr>
        <w:t>s</w:t>
      </w:r>
      <w:r w:rsidRPr="00752296">
        <w:rPr>
          <w:rFonts w:eastAsia="SimSun"/>
          <w:lang w:eastAsia="zh-CN"/>
        </w:rPr>
        <w:t>ens</w:t>
      </w:r>
      <w:r w:rsidR="00197D52">
        <w:rPr>
          <w:rFonts w:eastAsia="SimSun"/>
          <w:lang w:eastAsia="zh-CN"/>
        </w:rPr>
        <w:t>itizer</w:t>
      </w:r>
      <w:r w:rsidRPr="00752296">
        <w:rPr>
          <w:rFonts w:eastAsia="SimSun"/>
          <w:lang w:eastAsia="zh-CN"/>
        </w:rPr>
        <w:t xml:space="preserve"> 1A. The current GHS rules, however, do not consider the number of sensiti</w:t>
      </w:r>
      <w:r w:rsidR="00197D52">
        <w:rPr>
          <w:rFonts w:eastAsia="SimSun"/>
          <w:lang w:eastAsia="zh-CN"/>
        </w:rPr>
        <w:t>z</w:t>
      </w:r>
      <w:r w:rsidRPr="00752296">
        <w:rPr>
          <w:rFonts w:eastAsia="SimSun"/>
          <w:lang w:eastAsia="zh-CN"/>
        </w:rPr>
        <w:t xml:space="preserve">ed individuals, thereby potentially ignoring significant differences in potency. For example, a substance positively </w:t>
      </w:r>
      <w:r w:rsidRPr="00752296">
        <w:rPr>
          <w:rFonts w:eastAsia="SimSun"/>
          <w:lang w:val="en-US" w:eastAsia="zh-CN"/>
        </w:rPr>
        <w:t>tested at a DSA of 501 µg/cm</w:t>
      </w:r>
      <w:r w:rsidRPr="00752296">
        <w:rPr>
          <w:rFonts w:eastAsia="SimSun"/>
          <w:vertAlign w:val="superscript"/>
          <w:lang w:val="en-US" w:eastAsia="zh-CN"/>
        </w:rPr>
        <w:t>2</w:t>
      </w:r>
      <w:r w:rsidRPr="00752296">
        <w:rPr>
          <w:rFonts w:eastAsia="SimSun"/>
          <w:lang w:val="en-US" w:eastAsia="zh-CN"/>
        </w:rPr>
        <w:t xml:space="preserve"> would be classified as </w:t>
      </w:r>
      <w:r w:rsidR="00197D52">
        <w:rPr>
          <w:rFonts w:eastAsia="SimSun"/>
          <w:lang w:val="en-US" w:eastAsia="zh-CN"/>
        </w:rPr>
        <w:t>s</w:t>
      </w:r>
      <w:r w:rsidRPr="00752296">
        <w:rPr>
          <w:rFonts w:eastAsia="SimSun"/>
          <w:lang w:val="en-US" w:eastAsia="zh-CN"/>
        </w:rPr>
        <w:t xml:space="preserve">kin </w:t>
      </w:r>
      <w:r w:rsidR="00197D52">
        <w:rPr>
          <w:rFonts w:eastAsia="SimSun"/>
          <w:lang w:val="en-US" w:eastAsia="zh-CN"/>
        </w:rPr>
        <w:t>s</w:t>
      </w:r>
      <w:r w:rsidRPr="00752296">
        <w:rPr>
          <w:rFonts w:eastAsia="SimSun"/>
          <w:lang w:val="en-US" w:eastAsia="zh-CN"/>
        </w:rPr>
        <w:t>ens</w:t>
      </w:r>
      <w:r w:rsidR="00197D52">
        <w:rPr>
          <w:rFonts w:eastAsia="SimSun"/>
          <w:lang w:val="en-US" w:eastAsia="zh-CN"/>
        </w:rPr>
        <w:t>itizer</w:t>
      </w:r>
      <w:r w:rsidRPr="00752296">
        <w:rPr>
          <w:rFonts w:eastAsia="SimSun"/>
          <w:lang w:val="en-US" w:eastAsia="zh-CN"/>
        </w:rPr>
        <w:t xml:space="preserve"> 1B, even if 100% of the test panel were sensiti</w:t>
      </w:r>
      <w:r w:rsidR="00AC1067">
        <w:rPr>
          <w:rFonts w:eastAsia="SimSun"/>
          <w:lang w:val="en-US" w:eastAsia="zh-CN"/>
        </w:rPr>
        <w:t>z</w:t>
      </w:r>
      <w:r w:rsidRPr="00752296">
        <w:rPr>
          <w:rFonts w:eastAsia="SimSun"/>
          <w:lang w:val="en-US" w:eastAsia="zh-CN"/>
        </w:rPr>
        <w:t>ed, while a substance positively tested at 499 µg/cm</w:t>
      </w:r>
      <w:r w:rsidRPr="00752296">
        <w:rPr>
          <w:rFonts w:eastAsia="SimSun"/>
          <w:vertAlign w:val="superscript"/>
          <w:lang w:val="en-US" w:eastAsia="zh-CN"/>
        </w:rPr>
        <w:t>2</w:t>
      </w:r>
      <w:r w:rsidRPr="00752296">
        <w:rPr>
          <w:rFonts w:eastAsia="SimSun"/>
          <w:lang w:val="en-US" w:eastAsia="zh-CN"/>
        </w:rPr>
        <w:t xml:space="preserve"> would be sub-categori</w:t>
      </w:r>
      <w:r w:rsidR="00197D52">
        <w:rPr>
          <w:rFonts w:eastAsia="SimSun"/>
          <w:lang w:val="en-US" w:eastAsia="zh-CN"/>
        </w:rPr>
        <w:t>z</w:t>
      </w:r>
      <w:r w:rsidRPr="00752296">
        <w:rPr>
          <w:rFonts w:eastAsia="SimSun"/>
          <w:lang w:val="en-US" w:eastAsia="zh-CN"/>
        </w:rPr>
        <w:t xml:space="preserve">ed as </w:t>
      </w:r>
      <w:r w:rsidR="00197D52">
        <w:rPr>
          <w:rFonts w:eastAsia="SimSun"/>
          <w:lang w:val="en-US" w:eastAsia="zh-CN"/>
        </w:rPr>
        <w:t>s</w:t>
      </w:r>
      <w:r w:rsidRPr="00752296">
        <w:rPr>
          <w:rFonts w:eastAsia="SimSun"/>
          <w:lang w:val="en-US" w:eastAsia="zh-CN"/>
        </w:rPr>
        <w:t xml:space="preserve">kin </w:t>
      </w:r>
      <w:r w:rsidR="00197D52">
        <w:rPr>
          <w:rFonts w:eastAsia="SimSun"/>
          <w:lang w:val="en-US" w:eastAsia="zh-CN"/>
        </w:rPr>
        <w:t>s</w:t>
      </w:r>
      <w:r w:rsidRPr="00752296">
        <w:rPr>
          <w:rFonts w:eastAsia="SimSun"/>
          <w:lang w:val="en-US" w:eastAsia="zh-CN"/>
        </w:rPr>
        <w:t>ens</w:t>
      </w:r>
      <w:r w:rsidR="00197D52">
        <w:rPr>
          <w:rFonts w:eastAsia="SimSun"/>
          <w:lang w:val="en-US" w:eastAsia="zh-CN"/>
        </w:rPr>
        <w:t>itizer</w:t>
      </w:r>
      <w:r w:rsidRPr="00752296">
        <w:rPr>
          <w:rFonts w:eastAsia="SimSun"/>
          <w:lang w:val="en-US" w:eastAsia="zh-CN"/>
        </w:rPr>
        <w:t xml:space="preserve"> 1A, even if only 1 % of the test panel tested positive. Moreover, due to the fixed 1A/1B cut-off of 500 µg/cm</w:t>
      </w:r>
      <w:r w:rsidRPr="00752296">
        <w:rPr>
          <w:rFonts w:eastAsia="SimSun"/>
          <w:vertAlign w:val="superscript"/>
          <w:lang w:val="en-US" w:eastAsia="zh-CN"/>
        </w:rPr>
        <w:t>2</w:t>
      </w:r>
      <w:r w:rsidRPr="00752296">
        <w:rPr>
          <w:rFonts w:eastAsia="SimSun"/>
          <w:lang w:val="en-US" w:eastAsia="zh-CN"/>
        </w:rPr>
        <w:t>, the current GHS criteria do not take into account the uncertainty associated with HPPT results obtained at borderline DSA values close to said cut-off.</w:t>
      </w:r>
    </w:p>
    <w:p w14:paraId="3E89E4B2" w14:textId="530E9AAA" w:rsidR="00752296" w:rsidRDefault="00752296" w:rsidP="00752296">
      <w:pPr>
        <w:kinsoku w:val="0"/>
        <w:overflowPunct w:val="0"/>
        <w:autoSpaceDE w:val="0"/>
        <w:autoSpaceDN w:val="0"/>
        <w:adjustRightInd w:val="0"/>
        <w:snapToGrid w:val="0"/>
        <w:spacing w:after="120"/>
        <w:ind w:left="1134" w:right="1134"/>
        <w:jc w:val="both"/>
        <w:rPr>
          <w:rFonts w:eastAsia="SimSun"/>
          <w:lang w:val="en-US" w:eastAsia="zh-CN"/>
        </w:rPr>
      </w:pPr>
      <w:r w:rsidRPr="00752296">
        <w:rPr>
          <w:rFonts w:eastAsia="SimSun"/>
          <w:lang w:val="en-US" w:eastAsia="zh-CN"/>
        </w:rPr>
        <w:t xml:space="preserve">4. </w:t>
      </w:r>
      <w:r w:rsidRPr="00752296">
        <w:rPr>
          <w:rFonts w:eastAsia="SimSun"/>
          <w:lang w:val="en-US" w:eastAsia="zh-CN"/>
        </w:rPr>
        <w:tab/>
        <w:t>In order to better reflect potency, while remaining as much as possible in line with the current GHS classification rules, the HDSG introduced the “DSA1+”, i.e. the hypothetical DSA that sensiti</w:t>
      </w:r>
      <w:r w:rsidR="00EC4499">
        <w:rPr>
          <w:rFonts w:eastAsia="SimSun"/>
          <w:lang w:val="en-US" w:eastAsia="zh-CN"/>
        </w:rPr>
        <w:t>z</w:t>
      </w:r>
      <w:r w:rsidRPr="00752296">
        <w:rPr>
          <w:rFonts w:eastAsia="SimSun"/>
          <w:lang w:val="en-US" w:eastAsia="zh-CN"/>
        </w:rPr>
        <w:t>es exactly one test subject. The DSA1+ is estimated from the number of sensiti</w:t>
      </w:r>
      <w:r w:rsidR="00EC4499">
        <w:rPr>
          <w:rFonts w:eastAsia="SimSun"/>
          <w:lang w:val="en-US" w:eastAsia="zh-CN"/>
        </w:rPr>
        <w:t>z</w:t>
      </w:r>
      <w:r w:rsidRPr="00752296">
        <w:rPr>
          <w:rFonts w:eastAsia="SimSun"/>
          <w:lang w:val="en-US" w:eastAsia="zh-CN"/>
        </w:rPr>
        <w:t xml:space="preserve">ed individuals observed in the test, i.e. </w:t>
      </w:r>
      <w:r w:rsidRPr="00752296">
        <w:rPr>
          <w:rFonts w:eastAsia="SimSun"/>
          <w:bCs/>
          <w:i/>
          <w:iCs/>
          <w:lang w:val="en-US" w:eastAsia="zh-CN"/>
        </w:rPr>
        <w:t>DSA1+ = DSA/(number of sensiti</w:t>
      </w:r>
      <w:r w:rsidR="00EC4499">
        <w:rPr>
          <w:rFonts w:eastAsia="SimSun"/>
          <w:bCs/>
          <w:i/>
          <w:iCs/>
          <w:lang w:val="en-US" w:eastAsia="zh-CN"/>
        </w:rPr>
        <w:t>z</w:t>
      </w:r>
      <w:r w:rsidRPr="00752296">
        <w:rPr>
          <w:rFonts w:eastAsia="SimSun"/>
          <w:bCs/>
          <w:i/>
          <w:iCs/>
          <w:lang w:val="en-US" w:eastAsia="zh-CN"/>
        </w:rPr>
        <w:t>ed)</w:t>
      </w:r>
      <w:r w:rsidRPr="00752296">
        <w:rPr>
          <w:rFonts w:eastAsia="SimSun"/>
          <w:lang w:val="en-US" w:eastAsia="zh-CN"/>
        </w:rPr>
        <w:t>. It can be used for GHS classification in the same way as the DSA, i.e. using the 500 µg/cm</w:t>
      </w:r>
      <w:r w:rsidRPr="00752296">
        <w:rPr>
          <w:rFonts w:eastAsia="SimSun"/>
          <w:vertAlign w:val="superscript"/>
          <w:lang w:val="en-US" w:eastAsia="zh-CN"/>
        </w:rPr>
        <w:t>2</w:t>
      </w:r>
      <w:r w:rsidRPr="00752296">
        <w:rPr>
          <w:rFonts w:eastAsia="SimSun"/>
          <w:lang w:val="en-US" w:eastAsia="zh-CN"/>
        </w:rPr>
        <w:t xml:space="preserve"> cut-off. This is depicted in figure</w:t>
      </w:r>
      <w:r w:rsidR="000A53C2">
        <w:rPr>
          <w:rFonts w:eastAsia="SimSun"/>
          <w:lang w:val="en-US" w:eastAsia="zh-CN"/>
        </w:rPr>
        <w:t xml:space="preserve"> 1</w:t>
      </w:r>
      <w:r w:rsidRPr="00752296">
        <w:rPr>
          <w:rFonts w:eastAsia="SimSun"/>
          <w:lang w:val="en-US" w:eastAsia="zh-CN"/>
        </w:rPr>
        <w:t xml:space="preserve">: </w:t>
      </w:r>
    </w:p>
    <w:p w14:paraId="51A363FD" w14:textId="678DAF6E" w:rsidR="00F17E43" w:rsidRPr="00F17E43" w:rsidRDefault="00F17E43" w:rsidP="00F17E43">
      <w:pPr>
        <w:kinsoku w:val="0"/>
        <w:overflowPunct w:val="0"/>
        <w:autoSpaceDE w:val="0"/>
        <w:autoSpaceDN w:val="0"/>
        <w:adjustRightInd w:val="0"/>
        <w:snapToGrid w:val="0"/>
        <w:spacing w:after="120"/>
        <w:ind w:left="1134" w:right="1134"/>
        <w:jc w:val="center"/>
        <w:rPr>
          <w:rFonts w:eastAsia="SimSun"/>
          <w:b/>
          <w:bCs/>
          <w:lang w:val="en-US" w:eastAsia="zh-CN"/>
        </w:rPr>
      </w:pPr>
      <w:r w:rsidRPr="00F17E43">
        <w:rPr>
          <w:rFonts w:eastAsia="SimSun"/>
          <w:b/>
          <w:bCs/>
          <w:lang w:val="en-US" w:eastAsia="zh-CN"/>
        </w:rPr>
        <w:lastRenderedPageBreak/>
        <w:t>Figure 1</w:t>
      </w:r>
    </w:p>
    <w:p w14:paraId="1C53A4C5" w14:textId="77777777" w:rsidR="00F17E43" w:rsidRPr="00752296" w:rsidRDefault="00F17E43" w:rsidP="00752296">
      <w:pPr>
        <w:kinsoku w:val="0"/>
        <w:overflowPunct w:val="0"/>
        <w:autoSpaceDE w:val="0"/>
        <w:autoSpaceDN w:val="0"/>
        <w:adjustRightInd w:val="0"/>
        <w:snapToGrid w:val="0"/>
        <w:spacing w:after="120"/>
        <w:ind w:left="1134" w:right="1134"/>
        <w:jc w:val="both"/>
        <w:rPr>
          <w:rFonts w:eastAsia="SimSun"/>
          <w:lang w:val="en-US" w:eastAsia="zh-CN"/>
        </w:rPr>
      </w:pPr>
    </w:p>
    <w:p w14:paraId="4B174513" w14:textId="77777777" w:rsidR="00752296" w:rsidRPr="00752296" w:rsidRDefault="00752296" w:rsidP="00752296">
      <w:pPr>
        <w:kinsoku w:val="0"/>
        <w:overflowPunct w:val="0"/>
        <w:autoSpaceDE w:val="0"/>
        <w:autoSpaceDN w:val="0"/>
        <w:adjustRightInd w:val="0"/>
        <w:snapToGrid w:val="0"/>
        <w:spacing w:after="120"/>
        <w:ind w:left="1134" w:right="1134"/>
        <w:jc w:val="center"/>
        <w:rPr>
          <w:rFonts w:eastAsia="SimSun"/>
          <w:lang w:val="en-US" w:eastAsia="zh-CN"/>
        </w:rPr>
      </w:pPr>
      <w:r w:rsidRPr="00752296">
        <w:rPr>
          <w:rFonts w:eastAsia="SimSun"/>
          <w:noProof/>
          <w:lang w:val="de-DE" w:eastAsia="de-DE"/>
        </w:rPr>
        <w:drawing>
          <wp:inline distT="0" distB="0" distL="0" distR="0" wp14:anchorId="6E0E958B" wp14:editId="408BE9C9">
            <wp:extent cx="4320000" cy="2725200"/>
            <wp:effectExtent l="0" t="0" r="4445"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2725200"/>
                    </a:xfrm>
                    <a:prstGeom prst="rect">
                      <a:avLst/>
                    </a:prstGeom>
                    <a:noFill/>
                  </pic:spPr>
                </pic:pic>
              </a:graphicData>
            </a:graphic>
          </wp:inline>
        </w:drawing>
      </w:r>
    </w:p>
    <w:p w14:paraId="56C1BD85" w14:textId="05C43B63" w:rsidR="00752296" w:rsidRPr="00752296" w:rsidRDefault="00F17E43" w:rsidP="00752296">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val="en-US" w:eastAsia="zh-CN"/>
        </w:rPr>
        <w:t>5.</w:t>
      </w:r>
      <w:r>
        <w:rPr>
          <w:rFonts w:eastAsia="SimSun"/>
          <w:lang w:val="en-US" w:eastAsia="zh-CN"/>
        </w:rPr>
        <w:tab/>
        <w:t>F</w:t>
      </w:r>
      <w:r w:rsidR="00752296" w:rsidRPr="00752296">
        <w:rPr>
          <w:rFonts w:eastAsia="SimSun"/>
          <w:lang w:val="en-US" w:eastAsia="zh-CN"/>
        </w:rPr>
        <w:t xml:space="preserve">igure </w:t>
      </w:r>
      <w:r>
        <w:rPr>
          <w:rFonts w:eastAsia="SimSun"/>
          <w:lang w:val="en-US" w:eastAsia="zh-CN"/>
        </w:rPr>
        <w:t xml:space="preserve">1 </w:t>
      </w:r>
      <w:r w:rsidR="00752296" w:rsidRPr="00752296">
        <w:rPr>
          <w:rFonts w:eastAsia="SimSun"/>
          <w:lang w:val="en-US" w:eastAsia="zh-CN"/>
        </w:rPr>
        <w:t>shows two substances, one (x) causing exactly one sensiti</w:t>
      </w:r>
      <w:r w:rsidR="00EC4499">
        <w:rPr>
          <w:rFonts w:eastAsia="SimSun"/>
          <w:lang w:val="en-US" w:eastAsia="zh-CN"/>
        </w:rPr>
        <w:t>z</w:t>
      </w:r>
      <w:r w:rsidR="00752296" w:rsidRPr="00752296">
        <w:rPr>
          <w:rFonts w:eastAsia="SimSun"/>
          <w:lang w:val="en-US" w:eastAsia="zh-CN"/>
        </w:rPr>
        <w:t>ed individual at a DSA (which already is the DSA1+) slightly below the 500 µg/cm</w:t>
      </w:r>
      <w:r w:rsidR="00752296" w:rsidRPr="00752296">
        <w:rPr>
          <w:rFonts w:eastAsia="SimSun"/>
          <w:vertAlign w:val="superscript"/>
          <w:lang w:val="en-US" w:eastAsia="zh-CN"/>
        </w:rPr>
        <w:t>2</w:t>
      </w:r>
      <w:r w:rsidR="00752296" w:rsidRPr="00752296">
        <w:rPr>
          <w:rFonts w:eastAsia="SimSun"/>
          <w:lang w:val="en-US" w:eastAsia="zh-CN"/>
        </w:rPr>
        <w:t xml:space="preserve"> cut-off that would be sub-categori</w:t>
      </w:r>
      <w:r w:rsidR="00EC4499">
        <w:rPr>
          <w:rFonts w:eastAsia="SimSun"/>
          <w:lang w:val="en-US" w:eastAsia="zh-CN"/>
        </w:rPr>
        <w:t>z</w:t>
      </w:r>
      <w:r w:rsidR="00752296" w:rsidRPr="00752296">
        <w:rPr>
          <w:rFonts w:eastAsia="SimSun"/>
          <w:lang w:val="en-US" w:eastAsia="zh-CN"/>
        </w:rPr>
        <w:t xml:space="preserve">ed as </w:t>
      </w:r>
      <w:r w:rsidR="00EC4499" w:rsidRPr="00A80813">
        <w:rPr>
          <w:rFonts w:eastAsia="SimSun"/>
          <w:lang w:val="en-US" w:eastAsia="zh-CN"/>
        </w:rPr>
        <w:t>s</w:t>
      </w:r>
      <w:r w:rsidR="00752296" w:rsidRPr="00A80813">
        <w:rPr>
          <w:rFonts w:eastAsia="SimSun"/>
          <w:lang w:val="en-US" w:eastAsia="zh-CN"/>
        </w:rPr>
        <w:t xml:space="preserve">kin </w:t>
      </w:r>
      <w:r w:rsidR="00A80813" w:rsidRPr="00A80813">
        <w:rPr>
          <w:rFonts w:eastAsia="SimSun"/>
          <w:lang w:val="en-US" w:eastAsia="zh-CN"/>
        </w:rPr>
        <w:t>sensitizer</w:t>
      </w:r>
      <w:r w:rsidR="00752296" w:rsidRPr="00752296">
        <w:rPr>
          <w:rFonts w:eastAsia="SimSun"/>
          <w:lang w:val="en-US" w:eastAsia="zh-CN"/>
        </w:rPr>
        <w:t xml:space="preserve"> 1A. The other substance (o) was tested at a slightly higher DSA above 500 µg/cm</w:t>
      </w:r>
      <w:r w:rsidR="00752296" w:rsidRPr="00752296">
        <w:rPr>
          <w:rFonts w:eastAsia="SimSun"/>
          <w:vertAlign w:val="superscript"/>
          <w:lang w:val="en-US" w:eastAsia="zh-CN"/>
        </w:rPr>
        <w:t>2</w:t>
      </w:r>
      <w:r w:rsidR="00752296" w:rsidRPr="00752296">
        <w:rPr>
          <w:rFonts w:eastAsia="SimSun"/>
          <w:lang w:val="en-US" w:eastAsia="zh-CN"/>
        </w:rPr>
        <w:t xml:space="preserve"> and would be sub-categori</w:t>
      </w:r>
      <w:r w:rsidR="00EC4499">
        <w:rPr>
          <w:rFonts w:eastAsia="SimSun"/>
          <w:lang w:val="en-US" w:eastAsia="zh-CN"/>
        </w:rPr>
        <w:t>z</w:t>
      </w:r>
      <w:r w:rsidR="00752296" w:rsidRPr="00752296">
        <w:rPr>
          <w:rFonts w:eastAsia="SimSun"/>
          <w:lang w:val="en-US" w:eastAsia="zh-CN"/>
        </w:rPr>
        <w:t xml:space="preserve">ed as </w:t>
      </w:r>
      <w:r w:rsidR="00EC4499">
        <w:rPr>
          <w:rFonts w:eastAsia="SimSun"/>
          <w:lang w:val="en-US" w:eastAsia="zh-CN"/>
        </w:rPr>
        <w:t>s</w:t>
      </w:r>
      <w:r w:rsidR="00752296" w:rsidRPr="00752296">
        <w:rPr>
          <w:rFonts w:eastAsia="SimSun"/>
          <w:lang w:val="en-US" w:eastAsia="zh-CN"/>
        </w:rPr>
        <w:t xml:space="preserve">kin </w:t>
      </w:r>
      <w:r w:rsidR="00A80813">
        <w:rPr>
          <w:rFonts w:eastAsia="SimSun"/>
          <w:lang w:val="en-US" w:eastAsia="zh-CN"/>
        </w:rPr>
        <w:t>s</w:t>
      </w:r>
      <w:r w:rsidR="00A80813" w:rsidRPr="00752296">
        <w:rPr>
          <w:rFonts w:eastAsia="SimSun"/>
          <w:lang w:val="en-US" w:eastAsia="zh-CN"/>
        </w:rPr>
        <w:t>ens</w:t>
      </w:r>
      <w:r w:rsidR="00A80813">
        <w:rPr>
          <w:rFonts w:eastAsia="SimSun"/>
          <w:lang w:val="en-US" w:eastAsia="zh-CN"/>
        </w:rPr>
        <w:t>itizer</w:t>
      </w:r>
      <w:r w:rsidR="00752296" w:rsidRPr="00752296">
        <w:rPr>
          <w:rFonts w:eastAsia="SimSun"/>
          <w:lang w:val="en-US" w:eastAsia="zh-CN"/>
        </w:rPr>
        <w:t xml:space="preserve"> 1B regardless of the fact that a much higher number of individuals (six) was sensiti</w:t>
      </w:r>
      <w:r w:rsidR="00EC4499">
        <w:rPr>
          <w:rFonts w:eastAsia="SimSun"/>
          <w:lang w:val="en-US" w:eastAsia="zh-CN"/>
        </w:rPr>
        <w:t>z</w:t>
      </w:r>
      <w:r w:rsidR="00752296" w:rsidRPr="00752296">
        <w:rPr>
          <w:rFonts w:eastAsia="SimSun"/>
          <w:lang w:val="en-US" w:eastAsia="zh-CN"/>
        </w:rPr>
        <w:t>ed. In order to compare the potency of both substances, the DSA for the second substance is converted to the DSA1+ by extrapolation. It is shown that the DSA1+ for this substance now clearly falls into the 1A range.</w:t>
      </w:r>
    </w:p>
    <w:p w14:paraId="61908C6D" w14:textId="3861A93C" w:rsidR="00752296" w:rsidRPr="00752296" w:rsidRDefault="00F17E43" w:rsidP="00752296">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val="en-US" w:eastAsia="zh-CN"/>
        </w:rPr>
        <w:t>6.</w:t>
      </w:r>
      <w:r>
        <w:rPr>
          <w:rFonts w:eastAsia="SimSun"/>
          <w:lang w:val="en-US" w:eastAsia="zh-CN"/>
        </w:rPr>
        <w:tab/>
      </w:r>
      <w:r w:rsidR="00752296" w:rsidRPr="00752296">
        <w:rPr>
          <w:rFonts w:eastAsia="SimSun"/>
          <w:lang w:val="en-US" w:eastAsia="zh-CN"/>
        </w:rPr>
        <w:t>Of note, by applying linear extrapolation the HDSG did not imply that the dose-response relationship for skin sensiti</w:t>
      </w:r>
      <w:r w:rsidR="0079306E">
        <w:rPr>
          <w:rFonts w:eastAsia="SimSun"/>
          <w:lang w:val="en-US" w:eastAsia="zh-CN"/>
        </w:rPr>
        <w:t>z</w:t>
      </w:r>
      <w:r w:rsidR="00752296" w:rsidRPr="00752296">
        <w:rPr>
          <w:rFonts w:eastAsia="SimSun"/>
          <w:lang w:val="en-US" w:eastAsia="zh-CN"/>
        </w:rPr>
        <w:t>ation in humans was in fact linear (it is reasonable to assume that it is not). Using linear extrapolation only reflects the fact that the published HPPTs analy</w:t>
      </w:r>
      <w:r w:rsidR="0079306E">
        <w:rPr>
          <w:rFonts w:eastAsia="SimSun"/>
          <w:lang w:val="en-US" w:eastAsia="zh-CN"/>
        </w:rPr>
        <w:t>z</w:t>
      </w:r>
      <w:r w:rsidR="00752296" w:rsidRPr="00752296">
        <w:rPr>
          <w:rFonts w:eastAsia="SimSun"/>
          <w:lang w:val="en-US" w:eastAsia="zh-CN"/>
        </w:rPr>
        <w:t>ed by the group were almost exclusively performed using only one dose group and that, hence, there was no way of knowing (or modelling, for that matter) the real dose-response relationship. Obviously, this simple extrapolation is associated with some uncertainty, which has to be taken into account when determining the overall classification decision.</w:t>
      </w:r>
    </w:p>
    <w:p w14:paraId="01682E22" w14:textId="15A6263C" w:rsidR="00752296" w:rsidRPr="00752296" w:rsidRDefault="00F17E43" w:rsidP="00752296">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val="en-US" w:eastAsia="zh-CN"/>
        </w:rPr>
        <w:t>7.</w:t>
      </w:r>
      <w:r>
        <w:rPr>
          <w:rFonts w:eastAsia="SimSun"/>
          <w:lang w:val="en-US" w:eastAsia="zh-CN"/>
        </w:rPr>
        <w:tab/>
      </w:r>
      <w:r w:rsidR="00752296" w:rsidRPr="00752296">
        <w:rPr>
          <w:rFonts w:eastAsia="SimSun"/>
          <w:lang w:val="en-US" w:eastAsia="zh-CN"/>
        </w:rPr>
        <w:t>As an alternative to the DSA1+, the "DSA05", i.e. the DSA resulting in 5% sensiti</w:t>
      </w:r>
      <w:r w:rsidR="0079306E">
        <w:rPr>
          <w:rFonts w:eastAsia="SimSun"/>
          <w:lang w:val="en-US" w:eastAsia="zh-CN"/>
        </w:rPr>
        <w:t>z</w:t>
      </w:r>
      <w:r w:rsidR="00752296" w:rsidRPr="00752296">
        <w:rPr>
          <w:rFonts w:eastAsia="SimSun"/>
          <w:lang w:val="en-US" w:eastAsia="zh-CN"/>
        </w:rPr>
        <w:t xml:space="preserve">ation incidence, can be used, which can be obtained in an analogous fashion, i.e. </w:t>
      </w:r>
      <w:r w:rsidR="00752296" w:rsidRPr="00752296">
        <w:rPr>
          <w:rFonts w:eastAsia="SimSun"/>
          <w:bCs/>
          <w:i/>
          <w:iCs/>
          <w:lang w:val="en-US" w:eastAsia="zh-CN"/>
        </w:rPr>
        <w:t>DSA05 = [DSA/(positive incidence in %)] x 5 %</w:t>
      </w:r>
      <w:r w:rsidR="00752296" w:rsidRPr="00752296">
        <w:rPr>
          <w:rFonts w:eastAsia="SimSun"/>
          <w:lang w:val="en-US" w:eastAsia="zh-CN"/>
        </w:rPr>
        <w:t>.</w:t>
      </w:r>
    </w:p>
    <w:p w14:paraId="14BE7D7C" w14:textId="2215918F" w:rsidR="00752296" w:rsidRDefault="000A53C2" w:rsidP="00752296">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val="en-US" w:eastAsia="zh-CN"/>
        </w:rPr>
        <w:t>8.</w:t>
      </w:r>
      <w:r>
        <w:rPr>
          <w:rFonts w:eastAsia="SimSun"/>
          <w:lang w:val="en-US" w:eastAsia="zh-CN"/>
        </w:rPr>
        <w:tab/>
      </w:r>
      <w:r w:rsidR="00752296" w:rsidRPr="00752296">
        <w:rPr>
          <w:rFonts w:eastAsia="SimSun"/>
          <w:lang w:val="en-US" w:eastAsia="zh-CN"/>
        </w:rPr>
        <w:t>Current work by the HDSG (Herzler et al. (2022), submission under preparation) shows for a total of 605 positive HPPT test results that, as expected, the current GHS rule based on the DSA leads to a significantly lower number of 1A sub-categori</w:t>
      </w:r>
      <w:r w:rsidR="0079306E">
        <w:rPr>
          <w:rFonts w:eastAsia="SimSun"/>
          <w:lang w:val="en-US" w:eastAsia="zh-CN"/>
        </w:rPr>
        <w:t>z</w:t>
      </w:r>
      <w:r w:rsidR="00752296" w:rsidRPr="00752296">
        <w:rPr>
          <w:rFonts w:eastAsia="SimSun"/>
          <w:lang w:val="en-US" w:eastAsia="zh-CN"/>
        </w:rPr>
        <w:t>ations compared to using DSA1+ or DSA05 (the latter two are fairly comparable, with the DSA1+ resulting in a slightly higher number of 1A results), thereby partially underrepresenting the potency of the tested substances</w:t>
      </w:r>
      <w:r>
        <w:rPr>
          <w:rFonts w:eastAsia="SimSun"/>
          <w:lang w:val="en-US" w:eastAsia="zh-CN"/>
        </w:rPr>
        <w:t xml:space="preserve"> as shown in figure 2</w:t>
      </w:r>
      <w:r w:rsidR="00752296" w:rsidRPr="00752296">
        <w:rPr>
          <w:rFonts w:eastAsia="SimSun"/>
          <w:lang w:val="en-US" w:eastAsia="zh-CN"/>
        </w:rPr>
        <w:t>:</w:t>
      </w:r>
    </w:p>
    <w:p w14:paraId="557DF137" w14:textId="66F1E70E" w:rsidR="000A53C2" w:rsidRPr="000A53C2" w:rsidRDefault="000A53C2" w:rsidP="00860A69">
      <w:pPr>
        <w:keepNext/>
        <w:keepLines/>
        <w:kinsoku w:val="0"/>
        <w:overflowPunct w:val="0"/>
        <w:autoSpaceDE w:val="0"/>
        <w:autoSpaceDN w:val="0"/>
        <w:adjustRightInd w:val="0"/>
        <w:snapToGrid w:val="0"/>
        <w:spacing w:after="120"/>
        <w:ind w:left="1134" w:right="1134"/>
        <w:jc w:val="center"/>
        <w:rPr>
          <w:rFonts w:eastAsia="SimSun"/>
          <w:b/>
          <w:bCs/>
          <w:lang w:val="en-US" w:eastAsia="zh-CN"/>
        </w:rPr>
      </w:pPr>
      <w:r w:rsidRPr="000A53C2">
        <w:rPr>
          <w:rFonts w:eastAsia="SimSun"/>
          <w:b/>
          <w:bCs/>
          <w:lang w:val="en-US" w:eastAsia="zh-CN"/>
        </w:rPr>
        <w:lastRenderedPageBreak/>
        <w:t>Figure 2</w:t>
      </w:r>
    </w:p>
    <w:p w14:paraId="6AE0BB30" w14:textId="77777777" w:rsidR="00752296" w:rsidRPr="00752296" w:rsidRDefault="00752296" w:rsidP="00752296">
      <w:pPr>
        <w:kinsoku w:val="0"/>
        <w:overflowPunct w:val="0"/>
        <w:autoSpaceDE w:val="0"/>
        <w:autoSpaceDN w:val="0"/>
        <w:adjustRightInd w:val="0"/>
        <w:snapToGrid w:val="0"/>
        <w:spacing w:after="120"/>
        <w:ind w:left="1134" w:right="1134"/>
        <w:jc w:val="center"/>
        <w:rPr>
          <w:rFonts w:eastAsia="SimSun"/>
          <w:lang w:val="en-US" w:eastAsia="zh-CN"/>
        </w:rPr>
      </w:pPr>
      <w:r w:rsidRPr="00752296">
        <w:rPr>
          <w:rFonts w:eastAsia="SimSun"/>
          <w:noProof/>
          <w:lang w:val="de-DE" w:eastAsia="de-DE"/>
        </w:rPr>
        <w:drawing>
          <wp:inline distT="0" distB="0" distL="0" distR="0" wp14:anchorId="52949A43" wp14:editId="29EED8CE">
            <wp:extent cx="4320000" cy="3006000"/>
            <wp:effectExtent l="0" t="0" r="4445" b="444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000" cy="3006000"/>
                    </a:xfrm>
                    <a:prstGeom prst="rect">
                      <a:avLst/>
                    </a:prstGeom>
                    <a:noFill/>
                  </pic:spPr>
                </pic:pic>
              </a:graphicData>
            </a:graphic>
          </wp:inline>
        </w:drawing>
      </w:r>
    </w:p>
    <w:p w14:paraId="4A7A0E2B" w14:textId="1F75D972" w:rsidR="00752296" w:rsidRPr="00752296" w:rsidRDefault="000A53C2" w:rsidP="00752296">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val="en-US" w:eastAsia="zh-CN"/>
        </w:rPr>
        <w:t>9</w:t>
      </w:r>
      <w:r w:rsidR="00752296" w:rsidRPr="00752296">
        <w:rPr>
          <w:rFonts w:eastAsia="SimSun"/>
          <w:lang w:val="en-US" w:eastAsia="zh-CN"/>
        </w:rPr>
        <w:t xml:space="preserve">. </w:t>
      </w:r>
      <w:r w:rsidR="00752296" w:rsidRPr="00752296">
        <w:rPr>
          <w:rFonts w:eastAsia="SimSun"/>
          <w:lang w:val="en-US" w:eastAsia="zh-CN"/>
        </w:rPr>
        <w:tab/>
        <w:t>Furthermore, the HDSG developed concepts for establishing the reliability of HPPT results, for identifying and handling borderline HPPT results and for performing, in a consistent way, a weight-of-evidence (</w:t>
      </w:r>
      <w:proofErr w:type="spellStart"/>
      <w:r w:rsidR="00752296" w:rsidRPr="00752296">
        <w:rPr>
          <w:rFonts w:eastAsia="SimSun"/>
          <w:lang w:val="en-US" w:eastAsia="zh-CN"/>
        </w:rPr>
        <w:t>WoE</w:t>
      </w:r>
      <w:proofErr w:type="spellEnd"/>
      <w:r w:rsidR="00752296" w:rsidRPr="00752296">
        <w:rPr>
          <w:rFonts w:eastAsia="SimSun"/>
          <w:lang w:val="en-US" w:eastAsia="zh-CN"/>
        </w:rPr>
        <w:t xml:space="preserve">) analysis of multiple HPPT results for the same test substance, if these were not fully concordant with respect to the classification outcome. A detailed report of this work can be found in Annex 4 to the </w:t>
      </w:r>
      <w:r w:rsidR="00BC6729">
        <w:rPr>
          <w:rFonts w:eastAsia="SimSun"/>
          <w:lang w:val="en-US" w:eastAsia="zh-CN"/>
        </w:rPr>
        <w:t>s</w:t>
      </w:r>
      <w:r w:rsidR="00752296" w:rsidRPr="00752296">
        <w:rPr>
          <w:rFonts w:eastAsia="SimSun"/>
          <w:lang w:val="en-US" w:eastAsia="zh-CN"/>
        </w:rPr>
        <w:t xml:space="preserve">upporting </w:t>
      </w:r>
      <w:r w:rsidR="00BC6729">
        <w:rPr>
          <w:rFonts w:eastAsia="SimSun"/>
          <w:lang w:val="en-US" w:eastAsia="zh-CN"/>
        </w:rPr>
        <w:t>d</w:t>
      </w:r>
      <w:r w:rsidR="00752296" w:rsidRPr="00752296">
        <w:rPr>
          <w:rFonts w:eastAsia="SimSun"/>
          <w:lang w:val="en-US" w:eastAsia="zh-CN"/>
        </w:rPr>
        <w:t>ocument to OECD Guideline Document 497, which was published as No. 336 in the OECD Series on Testing and Assessment</w:t>
      </w:r>
      <w:r w:rsidR="00752296" w:rsidRPr="00752296">
        <w:rPr>
          <w:rFonts w:eastAsia="SimSun"/>
          <w:sz w:val="18"/>
          <w:vertAlign w:val="superscript"/>
          <w:lang w:val="en-US" w:eastAsia="zh-CN"/>
        </w:rPr>
        <w:footnoteReference w:id="2"/>
      </w:r>
      <w:r w:rsidR="00752296" w:rsidRPr="00752296">
        <w:rPr>
          <w:rFonts w:eastAsia="SimSun"/>
          <w:lang w:val="en-US" w:eastAsia="zh-CN"/>
        </w:rPr>
        <w:t>.</w:t>
      </w:r>
    </w:p>
    <w:p w14:paraId="477E753E" w14:textId="201E33C6" w:rsidR="00752296" w:rsidRPr="00752296" w:rsidRDefault="000A53C2" w:rsidP="00752296">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10</w:t>
      </w:r>
      <w:r w:rsidR="00752296" w:rsidRPr="00752296">
        <w:rPr>
          <w:rFonts w:eastAsia="SimSun"/>
          <w:lang w:eastAsia="zh-CN"/>
        </w:rPr>
        <w:t xml:space="preserve">. </w:t>
      </w:r>
      <w:r w:rsidR="00752296" w:rsidRPr="00752296">
        <w:rPr>
          <w:rFonts w:eastAsia="SimSun"/>
          <w:lang w:eastAsia="zh-CN"/>
        </w:rPr>
        <w:tab/>
        <w:t>While studying the current GHS system for classifying skin sensiti</w:t>
      </w:r>
      <w:r w:rsidR="00B77371">
        <w:rPr>
          <w:rFonts w:eastAsia="SimSun"/>
          <w:lang w:eastAsia="zh-CN"/>
        </w:rPr>
        <w:t>z</w:t>
      </w:r>
      <w:r w:rsidR="00752296" w:rsidRPr="00752296">
        <w:rPr>
          <w:rFonts w:eastAsia="SimSun"/>
          <w:lang w:eastAsia="zh-CN"/>
        </w:rPr>
        <w:t xml:space="preserve">ers based on HPPT data, it also became apparent that the current GHS text </w:t>
      </w:r>
      <w:r w:rsidR="00EA61D9">
        <w:rPr>
          <w:rFonts w:eastAsia="SimSun"/>
          <w:lang w:eastAsia="zh-CN"/>
        </w:rPr>
        <w:t>may need to be revised</w:t>
      </w:r>
      <w:r w:rsidR="00752296" w:rsidRPr="00752296">
        <w:rPr>
          <w:rFonts w:eastAsia="SimSun"/>
          <w:lang w:eastAsia="zh-CN"/>
        </w:rPr>
        <w:t xml:space="preserve"> in that it claims that these tests could determine an “induction threshold”. However, in HPPTs usually only one dose/DSA is tested and the result is either positive or negative (i.e. either above or below a hypothetical induction threshold), but does not provide the threshold itself, which could be much higher or lower, depending on the result obtained (i.e. a negative result at a low DSA cannot rule out the possibility of a positive result at a higher DSA, nor can a positive result at a high DSA corresponding to 1B rule out a positive result at a lower DSA in the 1A range). Moreover, it has also been shown that the outcome of an HPPT may vary depending on the procedure used for challenging the test subjects to elicit an allergic reaction (provided the substance/mixture tested has sensitising properties).</w:t>
      </w:r>
    </w:p>
    <w:p w14:paraId="59649B65" w14:textId="58BD9E7D" w:rsidR="00752296" w:rsidRPr="00752296" w:rsidRDefault="000A53C2" w:rsidP="00752296">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11</w:t>
      </w:r>
      <w:r w:rsidR="00752296" w:rsidRPr="00752296">
        <w:rPr>
          <w:rFonts w:eastAsia="SimSun"/>
          <w:lang w:eastAsia="zh-CN"/>
        </w:rPr>
        <w:t>.</w:t>
      </w:r>
      <w:r w:rsidR="00752296" w:rsidRPr="00752296">
        <w:rPr>
          <w:rFonts w:eastAsia="SimSun"/>
          <w:lang w:eastAsia="zh-CN"/>
        </w:rPr>
        <w:tab/>
        <w:t>Finally, during the work of the Informal Working Group on Non-Animal Test Methods (IWG NATM) in the 2021/2022 biennium, it became obvious that, with respect to the use of human data for the classification of skin sensiti</w:t>
      </w:r>
      <w:r w:rsidR="009334B6">
        <w:rPr>
          <w:rFonts w:eastAsia="SimSun"/>
          <w:lang w:eastAsia="zh-CN"/>
        </w:rPr>
        <w:t>z</w:t>
      </w:r>
      <w:r w:rsidR="00752296" w:rsidRPr="00752296">
        <w:rPr>
          <w:rFonts w:eastAsia="SimSun"/>
          <w:lang w:eastAsia="zh-CN"/>
        </w:rPr>
        <w:t>ers, the current GHS text in a number of places uses terminology, such as “relatively high/low and substantial incidence” or “relatively high” exposure, to distinguish between skin sensitisers of sub-categories 1A and 1B, without providing operational definitions. This may lead to divergent interpretations by different competent authorities (e.g. for the E</w:t>
      </w:r>
      <w:r w:rsidR="009334B6">
        <w:rPr>
          <w:rFonts w:eastAsia="SimSun"/>
          <w:lang w:eastAsia="zh-CN"/>
        </w:rPr>
        <w:t xml:space="preserve">uropean </w:t>
      </w:r>
      <w:r w:rsidR="00752296" w:rsidRPr="00752296">
        <w:rPr>
          <w:rFonts w:eastAsia="SimSun"/>
          <w:lang w:eastAsia="zh-CN"/>
        </w:rPr>
        <w:t>U</w:t>
      </w:r>
      <w:r w:rsidR="009334B6">
        <w:rPr>
          <w:rFonts w:eastAsia="SimSun"/>
          <w:lang w:eastAsia="zh-CN"/>
        </w:rPr>
        <w:t>nion</w:t>
      </w:r>
      <w:r w:rsidR="00752296" w:rsidRPr="00752296">
        <w:rPr>
          <w:rFonts w:eastAsia="SimSun"/>
          <w:lang w:eastAsia="zh-CN"/>
        </w:rPr>
        <w:t>, such interpretation has been provided in the “Guidance on the Application of the CLP Criteria”</w:t>
      </w:r>
      <w:r w:rsidR="00752296" w:rsidRPr="00752296">
        <w:rPr>
          <w:rFonts w:eastAsia="SimSun"/>
          <w:sz w:val="18"/>
          <w:vertAlign w:val="superscript"/>
          <w:lang w:eastAsia="zh-CN"/>
        </w:rPr>
        <w:footnoteReference w:id="3"/>
      </w:r>
      <w:r w:rsidR="00752296" w:rsidRPr="00752296">
        <w:rPr>
          <w:rFonts w:eastAsia="SimSun"/>
          <w:lang w:eastAsia="zh-CN"/>
        </w:rPr>
        <w:t xml:space="preserve"> as issued by the European Chemicals Agency, ECHA), potentially hampering the overall goal of classification harmonised on a global scale.</w:t>
      </w:r>
    </w:p>
    <w:p w14:paraId="03AA63A9" w14:textId="77777777" w:rsidR="00752296" w:rsidRPr="00752296" w:rsidRDefault="00752296" w:rsidP="00752296">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SimSun"/>
          <w:b/>
          <w:sz w:val="28"/>
          <w:lang w:eastAsia="zh-CN"/>
        </w:rPr>
      </w:pPr>
      <w:r w:rsidRPr="00752296">
        <w:rPr>
          <w:rFonts w:eastAsia="SimSun"/>
          <w:b/>
          <w:sz w:val="28"/>
          <w:lang w:eastAsia="zh-CN"/>
        </w:rPr>
        <w:lastRenderedPageBreak/>
        <w:tab/>
      </w:r>
      <w:r w:rsidRPr="00752296">
        <w:rPr>
          <w:rFonts w:eastAsia="SimSun"/>
          <w:b/>
          <w:sz w:val="28"/>
          <w:lang w:eastAsia="zh-CN"/>
        </w:rPr>
        <w:tab/>
        <w:t>Proposal</w:t>
      </w:r>
    </w:p>
    <w:p w14:paraId="3ABE0870" w14:textId="33D1A10B" w:rsidR="00752296" w:rsidRPr="00752296" w:rsidRDefault="00857AA2" w:rsidP="00752296">
      <w:pPr>
        <w:kinsoku w:val="0"/>
        <w:overflowPunct w:val="0"/>
        <w:autoSpaceDE w:val="0"/>
        <w:autoSpaceDN w:val="0"/>
        <w:adjustRightInd w:val="0"/>
        <w:snapToGrid w:val="0"/>
        <w:spacing w:after="200"/>
        <w:ind w:left="1134" w:right="1134"/>
        <w:jc w:val="both"/>
        <w:rPr>
          <w:rFonts w:eastAsia="SimSun"/>
          <w:lang w:eastAsia="zh-CN"/>
        </w:rPr>
      </w:pPr>
      <w:r>
        <w:rPr>
          <w:rFonts w:eastAsia="SimSun"/>
          <w:lang w:eastAsia="zh-CN"/>
        </w:rPr>
        <w:t>12</w:t>
      </w:r>
      <w:r w:rsidR="000A53C2">
        <w:rPr>
          <w:rFonts w:eastAsia="SimSun"/>
          <w:lang w:eastAsia="zh-CN"/>
        </w:rPr>
        <w:t>.</w:t>
      </w:r>
      <w:r w:rsidR="000A53C2">
        <w:rPr>
          <w:rFonts w:eastAsia="SimSun"/>
          <w:lang w:eastAsia="zh-CN"/>
        </w:rPr>
        <w:tab/>
      </w:r>
      <w:r w:rsidR="00752296" w:rsidRPr="00752296">
        <w:rPr>
          <w:rFonts w:eastAsia="SimSun"/>
          <w:lang w:eastAsia="zh-CN"/>
        </w:rPr>
        <w:t xml:space="preserve">Germany invites the Sub-Committee to consider the above issues and the inclusion of their discussion into the programme of work of a suitable existing </w:t>
      </w:r>
      <w:r w:rsidR="009C038A">
        <w:rPr>
          <w:rFonts w:eastAsia="SimSun"/>
          <w:lang w:eastAsia="zh-CN"/>
        </w:rPr>
        <w:t>i</w:t>
      </w:r>
      <w:r w:rsidR="00752296" w:rsidRPr="00752296">
        <w:rPr>
          <w:rFonts w:eastAsia="SimSun"/>
          <w:lang w:eastAsia="zh-CN"/>
        </w:rPr>
        <w:t xml:space="preserve">nformal </w:t>
      </w:r>
      <w:r w:rsidR="009C038A">
        <w:rPr>
          <w:rFonts w:eastAsia="SimSun"/>
          <w:lang w:eastAsia="zh-CN"/>
        </w:rPr>
        <w:t>w</w:t>
      </w:r>
      <w:r w:rsidR="009C038A" w:rsidRPr="00752296">
        <w:rPr>
          <w:rFonts w:eastAsia="SimSun"/>
          <w:lang w:eastAsia="zh-CN"/>
        </w:rPr>
        <w:t xml:space="preserve">orking </w:t>
      </w:r>
      <w:r w:rsidR="009C038A">
        <w:rPr>
          <w:rFonts w:eastAsia="SimSun"/>
          <w:lang w:eastAsia="zh-CN"/>
        </w:rPr>
        <w:t>g</w:t>
      </w:r>
      <w:r w:rsidR="009C038A" w:rsidRPr="00752296">
        <w:rPr>
          <w:rFonts w:eastAsia="SimSun"/>
          <w:lang w:eastAsia="zh-CN"/>
        </w:rPr>
        <w:t>roup</w:t>
      </w:r>
      <w:r w:rsidR="00752296" w:rsidRPr="00752296">
        <w:rPr>
          <w:rFonts w:eastAsia="SimSun"/>
          <w:lang w:eastAsia="zh-CN"/>
        </w:rPr>
        <w:t xml:space="preserve">, e.g. the </w:t>
      </w:r>
      <w:r w:rsidR="009C038A">
        <w:rPr>
          <w:rFonts w:eastAsia="SimSun"/>
          <w:lang w:eastAsia="zh-CN"/>
        </w:rPr>
        <w:t>i</w:t>
      </w:r>
      <w:r w:rsidR="00752296" w:rsidRPr="00752296">
        <w:rPr>
          <w:rFonts w:eastAsia="SimSun"/>
          <w:lang w:eastAsia="zh-CN"/>
        </w:rPr>
        <w:t xml:space="preserve">nformal </w:t>
      </w:r>
      <w:r w:rsidR="009C038A">
        <w:rPr>
          <w:rFonts w:eastAsia="SimSun"/>
          <w:lang w:eastAsia="zh-CN"/>
        </w:rPr>
        <w:t>w</w:t>
      </w:r>
      <w:r w:rsidR="00752296" w:rsidRPr="00752296">
        <w:rPr>
          <w:rFonts w:eastAsia="SimSun"/>
          <w:lang w:eastAsia="zh-CN"/>
        </w:rPr>
        <w:t xml:space="preserve">orking </w:t>
      </w:r>
      <w:r w:rsidR="009C038A">
        <w:rPr>
          <w:rFonts w:eastAsia="SimSun"/>
          <w:lang w:eastAsia="zh-CN"/>
        </w:rPr>
        <w:t>g</w:t>
      </w:r>
      <w:r w:rsidR="00752296" w:rsidRPr="00752296">
        <w:rPr>
          <w:rFonts w:eastAsia="SimSun"/>
          <w:lang w:eastAsia="zh-CN"/>
        </w:rPr>
        <w:t xml:space="preserve">roup on </w:t>
      </w:r>
      <w:r w:rsidR="009C038A">
        <w:rPr>
          <w:rFonts w:eastAsia="SimSun"/>
          <w:lang w:eastAsia="zh-CN"/>
        </w:rPr>
        <w:t>p</w:t>
      </w:r>
      <w:r w:rsidR="00752296" w:rsidRPr="00752296">
        <w:rPr>
          <w:rFonts w:eastAsia="SimSun"/>
          <w:lang w:eastAsia="zh-CN"/>
        </w:rPr>
        <w:t xml:space="preserve">ractical </w:t>
      </w:r>
      <w:r w:rsidR="009C038A">
        <w:rPr>
          <w:rFonts w:eastAsia="SimSun"/>
          <w:lang w:eastAsia="zh-CN"/>
        </w:rPr>
        <w:t>c</w:t>
      </w:r>
      <w:r w:rsidR="00752296" w:rsidRPr="00752296">
        <w:rPr>
          <w:rFonts w:eastAsia="SimSun"/>
          <w:lang w:eastAsia="zh-CN"/>
        </w:rPr>
        <w:t xml:space="preserve">lassification </w:t>
      </w:r>
      <w:r w:rsidR="009C038A">
        <w:rPr>
          <w:rFonts w:eastAsia="SimSun"/>
          <w:lang w:eastAsia="zh-CN"/>
        </w:rPr>
        <w:t>i</w:t>
      </w:r>
      <w:r w:rsidR="00752296" w:rsidRPr="00752296">
        <w:rPr>
          <w:rFonts w:eastAsia="SimSun"/>
          <w:lang w:eastAsia="zh-CN"/>
        </w:rPr>
        <w:t xml:space="preserve">ssues (PCI), for the biennium 2023/2024. </w:t>
      </w:r>
    </w:p>
    <w:p w14:paraId="27567373" w14:textId="0C1BFDE3" w:rsidR="00752296" w:rsidRDefault="00857AA2" w:rsidP="00752296">
      <w:pPr>
        <w:kinsoku w:val="0"/>
        <w:overflowPunct w:val="0"/>
        <w:autoSpaceDE w:val="0"/>
        <w:autoSpaceDN w:val="0"/>
        <w:adjustRightInd w:val="0"/>
        <w:snapToGrid w:val="0"/>
        <w:spacing w:after="200"/>
        <w:ind w:left="1134" w:right="1134"/>
        <w:jc w:val="both"/>
        <w:rPr>
          <w:rFonts w:eastAsia="SimSun"/>
          <w:lang w:eastAsia="zh-CN"/>
        </w:rPr>
      </w:pPr>
      <w:r>
        <w:rPr>
          <w:rFonts w:eastAsia="SimSun"/>
          <w:lang w:eastAsia="zh-CN"/>
        </w:rPr>
        <w:t>13</w:t>
      </w:r>
      <w:r w:rsidR="000A53C2">
        <w:rPr>
          <w:rFonts w:eastAsia="SimSun"/>
          <w:lang w:eastAsia="zh-CN"/>
        </w:rPr>
        <w:t>.</w:t>
      </w:r>
      <w:r w:rsidR="000A53C2">
        <w:rPr>
          <w:rFonts w:eastAsia="SimSun"/>
          <w:lang w:eastAsia="zh-CN"/>
        </w:rPr>
        <w:tab/>
      </w:r>
      <w:r w:rsidR="00752296" w:rsidRPr="00752296">
        <w:rPr>
          <w:rFonts w:eastAsia="SimSun"/>
          <w:lang w:eastAsia="zh-CN"/>
        </w:rPr>
        <w:t xml:space="preserve">The aim of discussing the issues outlined above would be to </w:t>
      </w:r>
      <w:r w:rsidR="00752296" w:rsidRPr="00752296">
        <w:rPr>
          <w:rFonts w:eastAsia="SimSun"/>
          <w:lang w:val="en-US" w:eastAsia="ja-JP"/>
        </w:rPr>
        <w:t xml:space="preserve">obtain consensus on potential corrections or clarifications in the respective parts of </w:t>
      </w:r>
      <w:r w:rsidR="00093495">
        <w:rPr>
          <w:rFonts w:eastAsia="SimSun"/>
          <w:lang w:val="en-US" w:eastAsia="ja-JP"/>
        </w:rPr>
        <w:t>C</w:t>
      </w:r>
      <w:r w:rsidR="00752296" w:rsidRPr="00752296">
        <w:rPr>
          <w:rFonts w:eastAsia="SimSun"/>
          <w:lang w:val="en-US" w:eastAsia="ja-JP"/>
        </w:rPr>
        <w:t xml:space="preserve">hapter 3.4. The discussion should </w:t>
      </w:r>
      <w:r w:rsidR="00752296" w:rsidRPr="00752296">
        <w:rPr>
          <w:rFonts w:eastAsia="SimSun"/>
          <w:lang w:eastAsia="zh-CN"/>
        </w:rPr>
        <w:t>include the findings from the OECD project on DAs for skin sensitisation.</w:t>
      </w:r>
    </w:p>
    <w:p w14:paraId="7C9CDE96" w14:textId="28E7AD9B" w:rsidR="0050282D" w:rsidRDefault="00857AA2" w:rsidP="000A53C2">
      <w:pPr>
        <w:kinsoku w:val="0"/>
        <w:overflowPunct w:val="0"/>
        <w:autoSpaceDE w:val="0"/>
        <w:autoSpaceDN w:val="0"/>
        <w:adjustRightInd w:val="0"/>
        <w:snapToGrid w:val="0"/>
        <w:spacing w:after="200"/>
        <w:ind w:left="1134" w:right="1134"/>
        <w:jc w:val="both"/>
        <w:rPr>
          <w:rFonts w:eastAsia="SimSun"/>
          <w:lang w:eastAsia="zh-CN"/>
        </w:rPr>
      </w:pPr>
      <w:r>
        <w:rPr>
          <w:rFonts w:eastAsia="SimSun"/>
          <w:lang w:eastAsia="zh-CN"/>
        </w:rPr>
        <w:t>14</w:t>
      </w:r>
      <w:r w:rsidR="000A53C2">
        <w:rPr>
          <w:rFonts w:eastAsia="SimSun"/>
          <w:lang w:eastAsia="zh-CN"/>
        </w:rPr>
        <w:t>.</w:t>
      </w:r>
      <w:r w:rsidR="000A53C2">
        <w:rPr>
          <w:rFonts w:eastAsia="SimSun"/>
          <w:lang w:eastAsia="zh-CN"/>
        </w:rPr>
        <w:tab/>
      </w:r>
      <w:r w:rsidR="00752296">
        <w:rPr>
          <w:rFonts w:eastAsia="SimSun"/>
          <w:lang w:eastAsia="zh-CN"/>
        </w:rPr>
        <w:t>A</w:t>
      </w:r>
      <w:r w:rsidR="00752296" w:rsidRPr="00752296">
        <w:rPr>
          <w:rFonts w:eastAsia="SimSun"/>
          <w:lang w:eastAsia="zh-CN"/>
        </w:rPr>
        <w:t xml:space="preserve">s a result of these discussions appropriate amendments of the current GHS text and guidance </w:t>
      </w:r>
      <w:r w:rsidR="00752296">
        <w:rPr>
          <w:rFonts w:eastAsia="SimSun"/>
          <w:lang w:eastAsia="zh-CN"/>
        </w:rPr>
        <w:t>may</w:t>
      </w:r>
      <w:r w:rsidR="00752296" w:rsidRPr="00752296">
        <w:rPr>
          <w:rFonts w:eastAsia="SimSun"/>
          <w:lang w:eastAsia="zh-CN"/>
        </w:rPr>
        <w:t xml:space="preserve"> be proposed for consideration </w:t>
      </w:r>
      <w:r w:rsidR="00093495" w:rsidRPr="000A53C2">
        <w:rPr>
          <w:rFonts w:eastAsia="SimSun"/>
          <w:lang w:eastAsia="zh-CN"/>
        </w:rPr>
        <w:t>by</w:t>
      </w:r>
      <w:r w:rsidR="00093495" w:rsidRPr="00752296">
        <w:rPr>
          <w:rFonts w:eastAsia="SimSun"/>
          <w:lang w:eastAsia="zh-CN"/>
        </w:rPr>
        <w:t xml:space="preserve"> </w:t>
      </w:r>
      <w:r w:rsidR="00752296" w:rsidRPr="00752296">
        <w:rPr>
          <w:rFonts w:eastAsia="SimSun"/>
          <w:lang w:eastAsia="zh-CN"/>
        </w:rPr>
        <w:t>the Sub-Committee</w:t>
      </w:r>
      <w:r w:rsidR="00752296">
        <w:rPr>
          <w:rFonts w:eastAsia="SimSun"/>
          <w:lang w:eastAsia="zh-CN"/>
        </w:rPr>
        <w:t>.</w:t>
      </w:r>
    </w:p>
    <w:p w14:paraId="736CF78A" w14:textId="36615E06" w:rsidR="000A53C2" w:rsidRPr="000A53C2" w:rsidRDefault="000A53C2" w:rsidP="000A53C2">
      <w:pPr>
        <w:spacing w:before="240"/>
        <w:jc w:val="center"/>
        <w:rPr>
          <w:rFonts w:eastAsia="SimSun"/>
          <w:u w:val="single"/>
          <w:lang w:eastAsia="zh-CN"/>
        </w:rPr>
      </w:pPr>
      <w:r>
        <w:rPr>
          <w:rFonts w:eastAsia="SimSun"/>
          <w:u w:val="single"/>
          <w:lang w:eastAsia="zh-CN"/>
        </w:rPr>
        <w:tab/>
      </w:r>
      <w:r>
        <w:rPr>
          <w:rFonts w:eastAsia="SimSun"/>
          <w:u w:val="single"/>
          <w:lang w:eastAsia="zh-CN"/>
        </w:rPr>
        <w:tab/>
      </w:r>
      <w:r>
        <w:rPr>
          <w:rFonts w:eastAsia="SimSun"/>
          <w:u w:val="single"/>
          <w:lang w:eastAsia="zh-CN"/>
        </w:rPr>
        <w:tab/>
      </w:r>
    </w:p>
    <w:sectPr w:rsidR="000A53C2" w:rsidRPr="000A53C2" w:rsidSect="00860A69">
      <w:headerReference w:type="even" r:id="rId13"/>
      <w:headerReference w:type="default" r:id="rId14"/>
      <w:footerReference w:type="even" r:id="rId15"/>
      <w:footerReference w:type="default" r:id="rId16"/>
      <w:endnotePr>
        <w:numFmt w:val="decimal"/>
      </w:endnotePr>
      <w:pgSz w:w="11907" w:h="16840" w:code="9"/>
      <w:pgMar w:top="1701" w:right="1134" w:bottom="1701"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97E3" w14:textId="77777777" w:rsidR="00322C16" w:rsidRDefault="00322C16"/>
  </w:endnote>
  <w:endnote w:type="continuationSeparator" w:id="0">
    <w:p w14:paraId="12231766" w14:textId="77777777" w:rsidR="00322C16" w:rsidRDefault="00322C16"/>
  </w:endnote>
  <w:endnote w:type="continuationNotice" w:id="1">
    <w:p w14:paraId="6C04D983" w14:textId="77777777" w:rsidR="00322C16" w:rsidRDefault="00322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5249" w14:textId="124368A4"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DA7709">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813D" w14:textId="1810FB8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DA7709">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BAEF" w14:textId="77777777" w:rsidR="00322C16" w:rsidRPr="000B175B" w:rsidRDefault="00322C16" w:rsidP="000B175B">
      <w:pPr>
        <w:tabs>
          <w:tab w:val="right" w:pos="2155"/>
        </w:tabs>
        <w:spacing w:after="80"/>
        <w:ind w:left="680"/>
        <w:rPr>
          <w:u w:val="single"/>
        </w:rPr>
      </w:pPr>
      <w:r>
        <w:rPr>
          <w:u w:val="single"/>
        </w:rPr>
        <w:tab/>
      </w:r>
    </w:p>
  </w:footnote>
  <w:footnote w:type="continuationSeparator" w:id="0">
    <w:p w14:paraId="36FBB1B4" w14:textId="77777777" w:rsidR="00322C16" w:rsidRPr="00FC68B7" w:rsidRDefault="00322C16" w:rsidP="00FC68B7">
      <w:pPr>
        <w:tabs>
          <w:tab w:val="left" w:pos="2155"/>
        </w:tabs>
        <w:spacing w:after="80"/>
        <w:ind w:left="680"/>
        <w:rPr>
          <w:u w:val="single"/>
        </w:rPr>
      </w:pPr>
      <w:r>
        <w:rPr>
          <w:u w:val="single"/>
        </w:rPr>
        <w:tab/>
      </w:r>
    </w:p>
  </w:footnote>
  <w:footnote w:type="continuationNotice" w:id="1">
    <w:p w14:paraId="6BAF05AF" w14:textId="77777777" w:rsidR="00322C16" w:rsidRDefault="00322C16"/>
  </w:footnote>
  <w:footnote w:id="2">
    <w:p w14:paraId="4B000FDB" w14:textId="4B7DE31F" w:rsidR="00752296" w:rsidRPr="00B709A4" w:rsidRDefault="00752296" w:rsidP="007345FD">
      <w:pPr>
        <w:pStyle w:val="FootnoteText"/>
        <w:tabs>
          <w:tab w:val="clear" w:pos="1021"/>
        </w:tabs>
        <w:rPr>
          <w:lang w:val="fr-CH"/>
        </w:rPr>
      </w:pPr>
      <w:r>
        <w:rPr>
          <w:rStyle w:val="FootnoteReference"/>
        </w:rPr>
        <w:footnoteRef/>
      </w:r>
      <w:r w:rsidRPr="00B709A4">
        <w:rPr>
          <w:lang w:val="fr-CH"/>
        </w:rPr>
        <w:t xml:space="preserve"> </w:t>
      </w:r>
      <w:hyperlink r:id="rId1" w:history="1">
        <w:r w:rsidR="007345FD" w:rsidRPr="00986C04">
          <w:rPr>
            <w:rStyle w:val="Hyperlink"/>
            <w:lang w:val="fr-CH"/>
          </w:rPr>
          <w:t>https://www.oecd.org/officialdocuments/publicdisplaydocumentpdf/?cote=ENV-CBC-MONO(2021)11/ann4%20&amp;doclanguage=en</w:t>
        </w:r>
      </w:hyperlink>
      <w:r>
        <w:rPr>
          <w:lang w:val="fr-CH"/>
        </w:rPr>
        <w:t xml:space="preserve"> (last </w:t>
      </w:r>
      <w:proofErr w:type="spellStart"/>
      <w:r>
        <w:rPr>
          <w:lang w:val="fr-CH"/>
        </w:rPr>
        <w:t>accessed</w:t>
      </w:r>
      <w:proofErr w:type="spellEnd"/>
      <w:r>
        <w:rPr>
          <w:lang w:val="fr-CH"/>
        </w:rPr>
        <w:t xml:space="preserve"> 2022-10-23)</w:t>
      </w:r>
    </w:p>
  </w:footnote>
  <w:footnote w:id="3">
    <w:p w14:paraId="5C6D272A" w14:textId="77777777" w:rsidR="00752296" w:rsidRPr="005C3E86" w:rsidRDefault="00752296" w:rsidP="00752296">
      <w:pPr>
        <w:pStyle w:val="FootnoteText"/>
      </w:pPr>
      <w:r>
        <w:rPr>
          <w:rStyle w:val="FootnoteReference"/>
        </w:rPr>
        <w:footnoteRef/>
      </w:r>
      <w:r w:rsidRPr="005C3E86">
        <w:t xml:space="preserve"> </w:t>
      </w:r>
      <w:hyperlink r:id="rId2" w:history="1">
        <w:r w:rsidRPr="006D39D6">
          <w:rPr>
            <w:rStyle w:val="Hyperlink"/>
            <w:lang w:val="fr-CH"/>
          </w:rPr>
          <w:t>https://echa.europa.eu/documents/10162/2324906/clp_en.pdf</w:t>
        </w:r>
      </w:hyperlink>
      <w:r>
        <w:rPr>
          <w:lang w:val="fr-CH"/>
        </w:rPr>
        <w:t xml:space="preserve"> (last </w:t>
      </w:r>
      <w:proofErr w:type="spellStart"/>
      <w:r>
        <w:rPr>
          <w:lang w:val="fr-CH"/>
        </w:rPr>
        <w:t>accessed</w:t>
      </w:r>
      <w:proofErr w:type="spellEnd"/>
      <w:r>
        <w:rPr>
          <w:lang w:val="fr-CH"/>
        </w:rPr>
        <w:t xml:space="preserve"> 2022-10-23)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9539" w14:textId="53E4FB16" w:rsidR="006A7757" w:rsidRPr="0099001C" w:rsidRDefault="006A7757" w:rsidP="00366CA7">
    <w:pPr>
      <w:pStyle w:val="Header"/>
    </w:pPr>
    <w:r w:rsidRPr="00CC65B7">
      <w:t>UN/SCEGHS/</w:t>
    </w:r>
    <w:r w:rsidR="00752296">
      <w:t>43</w:t>
    </w:r>
    <w:r w:rsidRPr="00CC65B7">
      <w:t>/INF</w:t>
    </w:r>
    <w:r w:rsidR="001205DF">
      <w:t>.</w:t>
    </w:r>
    <w:r w:rsidR="00860A69">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DF49" w14:textId="5A50855C" w:rsidR="006A7757" w:rsidRPr="0099001C" w:rsidRDefault="006A7757" w:rsidP="0099001C">
    <w:pPr>
      <w:pStyle w:val="Header"/>
      <w:jc w:val="right"/>
    </w:pPr>
    <w:r>
      <w:t>UN/SCEGHS/</w:t>
    </w:r>
    <w:r w:rsidR="00752296">
      <w:t>43</w:t>
    </w:r>
    <w:r>
      <w:t>/INF.</w:t>
    </w:r>
    <w:r w:rsidR="00860A69">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25B7B"/>
    <w:multiLevelType w:val="hybridMultilevel"/>
    <w:tmpl w:val="4CF6DD1C"/>
    <w:lvl w:ilvl="0" w:tplc="08090001">
      <w:start w:val="1"/>
      <w:numFmt w:val="bullet"/>
      <w:lvlText w:val=""/>
      <w:lvlJc w:val="left"/>
      <w:pPr>
        <w:ind w:left="1797" w:hanging="360"/>
      </w:pPr>
      <w:rPr>
        <w:rFonts w:ascii="Symbol" w:hAnsi="Symbol" w:hint="default"/>
      </w:rPr>
    </w:lvl>
    <w:lvl w:ilvl="1" w:tplc="4F12E2E2">
      <w:numFmt w:val="bullet"/>
      <w:lvlText w:val="-"/>
      <w:lvlJc w:val="left"/>
      <w:pPr>
        <w:ind w:left="2781" w:hanging="624"/>
      </w:pPr>
      <w:rPr>
        <w:rFonts w:ascii="Times New Roman" w:eastAsia="MS Mincho" w:hAnsi="Times New Roman" w:cs="Times New Roman"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12817F81"/>
    <w:multiLevelType w:val="hybridMultilevel"/>
    <w:tmpl w:val="8B281810"/>
    <w:lvl w:ilvl="0" w:tplc="0407000F">
      <w:start w:val="1"/>
      <w:numFmt w:val="decimal"/>
      <w:lvlText w:val="%1."/>
      <w:lvlJc w:val="left"/>
      <w:pPr>
        <w:ind w:left="2214" w:hanging="360"/>
      </w:pPr>
    </w:lvl>
    <w:lvl w:ilvl="1" w:tplc="04070019" w:tentative="1">
      <w:start w:val="1"/>
      <w:numFmt w:val="lowerLetter"/>
      <w:lvlText w:val="%2."/>
      <w:lvlJc w:val="left"/>
      <w:pPr>
        <w:ind w:left="2934" w:hanging="360"/>
      </w:pPr>
    </w:lvl>
    <w:lvl w:ilvl="2" w:tplc="0407001B" w:tentative="1">
      <w:start w:val="1"/>
      <w:numFmt w:val="lowerRoman"/>
      <w:lvlText w:val="%3."/>
      <w:lvlJc w:val="right"/>
      <w:pPr>
        <w:ind w:left="3654" w:hanging="180"/>
      </w:pPr>
    </w:lvl>
    <w:lvl w:ilvl="3" w:tplc="0407000F" w:tentative="1">
      <w:start w:val="1"/>
      <w:numFmt w:val="decimal"/>
      <w:lvlText w:val="%4."/>
      <w:lvlJc w:val="left"/>
      <w:pPr>
        <w:ind w:left="4374" w:hanging="360"/>
      </w:pPr>
    </w:lvl>
    <w:lvl w:ilvl="4" w:tplc="04070019" w:tentative="1">
      <w:start w:val="1"/>
      <w:numFmt w:val="lowerLetter"/>
      <w:lvlText w:val="%5."/>
      <w:lvlJc w:val="left"/>
      <w:pPr>
        <w:ind w:left="5094" w:hanging="360"/>
      </w:pPr>
    </w:lvl>
    <w:lvl w:ilvl="5" w:tplc="0407001B" w:tentative="1">
      <w:start w:val="1"/>
      <w:numFmt w:val="lowerRoman"/>
      <w:lvlText w:val="%6."/>
      <w:lvlJc w:val="right"/>
      <w:pPr>
        <w:ind w:left="5814" w:hanging="180"/>
      </w:pPr>
    </w:lvl>
    <w:lvl w:ilvl="6" w:tplc="0407000F" w:tentative="1">
      <w:start w:val="1"/>
      <w:numFmt w:val="decimal"/>
      <w:lvlText w:val="%7."/>
      <w:lvlJc w:val="left"/>
      <w:pPr>
        <w:ind w:left="6534" w:hanging="360"/>
      </w:pPr>
    </w:lvl>
    <w:lvl w:ilvl="7" w:tplc="04070019" w:tentative="1">
      <w:start w:val="1"/>
      <w:numFmt w:val="lowerLetter"/>
      <w:lvlText w:val="%8."/>
      <w:lvlJc w:val="left"/>
      <w:pPr>
        <w:ind w:left="7254" w:hanging="360"/>
      </w:pPr>
    </w:lvl>
    <w:lvl w:ilvl="8" w:tplc="0407001B" w:tentative="1">
      <w:start w:val="1"/>
      <w:numFmt w:val="lowerRoman"/>
      <w:lvlText w:val="%9."/>
      <w:lvlJc w:val="right"/>
      <w:pPr>
        <w:ind w:left="7974" w:hanging="180"/>
      </w:pPr>
    </w:lvl>
  </w:abstractNum>
  <w:abstractNum w:abstractNumId="3" w15:restartNumberingAfterBreak="0">
    <w:nsid w:val="170B2F1D"/>
    <w:multiLevelType w:val="hybridMultilevel"/>
    <w:tmpl w:val="709A2F8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1C7A2555"/>
    <w:multiLevelType w:val="hybridMultilevel"/>
    <w:tmpl w:val="467EA8E4"/>
    <w:lvl w:ilvl="0" w:tplc="A53688BE">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A0F2D96"/>
    <w:multiLevelType w:val="hybridMultilevel"/>
    <w:tmpl w:val="054C8D98"/>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328722D3"/>
    <w:multiLevelType w:val="hybridMultilevel"/>
    <w:tmpl w:val="37566890"/>
    <w:lvl w:ilvl="0" w:tplc="657EF0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84579F3"/>
    <w:multiLevelType w:val="hybridMultilevel"/>
    <w:tmpl w:val="4C665A8C"/>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 w15:restartNumberingAfterBreak="0">
    <w:nsid w:val="38E8560B"/>
    <w:multiLevelType w:val="hybridMultilevel"/>
    <w:tmpl w:val="55BC5F7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2" w15:restartNumberingAfterBreak="0">
    <w:nsid w:val="3A99517C"/>
    <w:multiLevelType w:val="hybridMultilevel"/>
    <w:tmpl w:val="785CFA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0B64D40"/>
    <w:multiLevelType w:val="multilevel"/>
    <w:tmpl w:val="C88ADBBE"/>
    <w:lvl w:ilvl="0">
      <w:start w:val="3"/>
      <w:numFmt w:val="decimal"/>
      <w:lvlText w:val="%1."/>
      <w:lvlJc w:val="left"/>
      <w:pPr>
        <w:ind w:left="1494" w:hanging="360"/>
      </w:pPr>
      <w:rPr>
        <w:rFonts w:hint="default"/>
      </w:rPr>
    </w:lvl>
    <w:lvl w:ilvl="1">
      <w:start w:val="2"/>
      <w:numFmt w:val="decimal"/>
      <w:isLgl/>
      <w:lvlText w:val="%1.%2"/>
      <w:lvlJc w:val="left"/>
      <w:pPr>
        <w:ind w:left="1689" w:hanging="555"/>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1854" w:hanging="72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214" w:hanging="108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574" w:hanging="1440"/>
      </w:pPr>
      <w:rPr>
        <w:rFonts w:cs="Times New Roman" w:hint="default"/>
      </w:rPr>
    </w:lvl>
  </w:abstractNum>
  <w:abstractNum w:abstractNumId="14" w15:restartNumberingAfterBreak="0">
    <w:nsid w:val="41FC28EB"/>
    <w:multiLevelType w:val="hybridMultilevel"/>
    <w:tmpl w:val="4B2EA7D6"/>
    <w:lvl w:ilvl="0" w:tplc="9BEAF8DE">
      <w:start w:val="2"/>
      <w:numFmt w:val="bullet"/>
      <w:lvlText w:val="-"/>
      <w:lvlJc w:val="left"/>
      <w:pPr>
        <w:ind w:left="2345"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97C5AEA"/>
    <w:multiLevelType w:val="hybridMultilevel"/>
    <w:tmpl w:val="1D7472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9B155EF"/>
    <w:multiLevelType w:val="multilevel"/>
    <w:tmpl w:val="C88ADBBE"/>
    <w:lvl w:ilvl="0">
      <w:start w:val="3"/>
      <w:numFmt w:val="decimal"/>
      <w:lvlText w:val="%1."/>
      <w:lvlJc w:val="left"/>
      <w:pPr>
        <w:ind w:left="1494" w:hanging="360"/>
      </w:pPr>
      <w:rPr>
        <w:rFonts w:hint="default"/>
      </w:rPr>
    </w:lvl>
    <w:lvl w:ilvl="1">
      <w:start w:val="2"/>
      <w:numFmt w:val="decimal"/>
      <w:isLgl/>
      <w:lvlText w:val="%1.%2"/>
      <w:lvlJc w:val="left"/>
      <w:pPr>
        <w:ind w:left="1689" w:hanging="555"/>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1854" w:hanging="72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214" w:hanging="108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574" w:hanging="1440"/>
      </w:pPr>
      <w:rPr>
        <w:rFonts w:cs="Times New Roman" w:hint="default"/>
      </w:rPr>
    </w:lvl>
  </w:abstractNum>
  <w:abstractNum w:abstractNumId="17" w15:restartNumberingAfterBreak="0">
    <w:nsid w:val="500F07CB"/>
    <w:multiLevelType w:val="multilevel"/>
    <w:tmpl w:val="E43EA9AC"/>
    <w:lvl w:ilvl="0">
      <w:start w:val="1"/>
      <w:numFmt w:val="decimal"/>
      <w:lvlText w:val="%1."/>
      <w:lvlJc w:val="left"/>
      <w:pPr>
        <w:ind w:left="1494" w:hanging="360"/>
      </w:pPr>
    </w:lvl>
    <w:lvl w:ilvl="1">
      <w:start w:val="2"/>
      <w:numFmt w:val="decimal"/>
      <w:isLgl/>
      <w:lvlText w:val="%1.%2"/>
      <w:lvlJc w:val="left"/>
      <w:pPr>
        <w:ind w:left="1689" w:hanging="555"/>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1854" w:hanging="72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214" w:hanging="108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574" w:hanging="1440"/>
      </w:pPr>
      <w:rPr>
        <w:rFonts w:cs="Times New Roman" w:hint="default"/>
      </w:rPr>
    </w:lvl>
  </w:abstractNum>
  <w:abstractNum w:abstractNumId="18"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2A539EF"/>
    <w:multiLevelType w:val="hybridMultilevel"/>
    <w:tmpl w:val="CF0811E0"/>
    <w:lvl w:ilvl="0" w:tplc="50E48B0C">
      <w:start w:val="1"/>
      <w:numFmt w:val="decimal"/>
      <w:lvlText w:val="%1)"/>
      <w:lvlJc w:val="left"/>
      <w:pPr>
        <w:ind w:left="1920" w:hanging="360"/>
      </w:pPr>
      <w:rPr>
        <w:rFonts w:hint="default"/>
      </w:rPr>
    </w:lvl>
    <w:lvl w:ilvl="1" w:tplc="04070019">
      <w:start w:val="1"/>
      <w:numFmt w:val="lowerLetter"/>
      <w:lvlText w:val="%2."/>
      <w:lvlJc w:val="left"/>
      <w:pPr>
        <w:ind w:left="2640" w:hanging="360"/>
      </w:pPr>
    </w:lvl>
    <w:lvl w:ilvl="2" w:tplc="0407001B" w:tentative="1">
      <w:start w:val="1"/>
      <w:numFmt w:val="lowerRoman"/>
      <w:lvlText w:val="%3."/>
      <w:lvlJc w:val="right"/>
      <w:pPr>
        <w:ind w:left="3360" w:hanging="180"/>
      </w:pPr>
    </w:lvl>
    <w:lvl w:ilvl="3" w:tplc="0407000F" w:tentative="1">
      <w:start w:val="1"/>
      <w:numFmt w:val="decimal"/>
      <w:lvlText w:val="%4."/>
      <w:lvlJc w:val="left"/>
      <w:pPr>
        <w:ind w:left="4080" w:hanging="360"/>
      </w:pPr>
    </w:lvl>
    <w:lvl w:ilvl="4" w:tplc="04070019" w:tentative="1">
      <w:start w:val="1"/>
      <w:numFmt w:val="lowerLetter"/>
      <w:lvlText w:val="%5."/>
      <w:lvlJc w:val="left"/>
      <w:pPr>
        <w:ind w:left="4800" w:hanging="360"/>
      </w:pPr>
    </w:lvl>
    <w:lvl w:ilvl="5" w:tplc="0407001B" w:tentative="1">
      <w:start w:val="1"/>
      <w:numFmt w:val="lowerRoman"/>
      <w:lvlText w:val="%6."/>
      <w:lvlJc w:val="right"/>
      <w:pPr>
        <w:ind w:left="5520" w:hanging="180"/>
      </w:pPr>
    </w:lvl>
    <w:lvl w:ilvl="6" w:tplc="0407000F" w:tentative="1">
      <w:start w:val="1"/>
      <w:numFmt w:val="decimal"/>
      <w:lvlText w:val="%7."/>
      <w:lvlJc w:val="left"/>
      <w:pPr>
        <w:ind w:left="6240" w:hanging="360"/>
      </w:pPr>
    </w:lvl>
    <w:lvl w:ilvl="7" w:tplc="04070019" w:tentative="1">
      <w:start w:val="1"/>
      <w:numFmt w:val="lowerLetter"/>
      <w:lvlText w:val="%8."/>
      <w:lvlJc w:val="left"/>
      <w:pPr>
        <w:ind w:left="6960" w:hanging="360"/>
      </w:pPr>
    </w:lvl>
    <w:lvl w:ilvl="8" w:tplc="0407001B" w:tentative="1">
      <w:start w:val="1"/>
      <w:numFmt w:val="lowerRoman"/>
      <w:lvlText w:val="%9."/>
      <w:lvlJc w:val="right"/>
      <w:pPr>
        <w:ind w:left="7680" w:hanging="180"/>
      </w:pPr>
    </w:lvl>
  </w:abstractNum>
  <w:abstractNum w:abstractNumId="20" w15:restartNumberingAfterBreak="0">
    <w:nsid w:val="52ED02A6"/>
    <w:multiLevelType w:val="multilevel"/>
    <w:tmpl w:val="EC08A08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1854" w:hanging="72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214" w:hanging="108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574" w:hanging="1440"/>
      </w:pPr>
      <w:rPr>
        <w:rFonts w:cs="Times New Roman" w:hint="default"/>
      </w:rPr>
    </w:lvl>
  </w:abstractNum>
  <w:abstractNum w:abstractNumId="21" w15:restartNumberingAfterBreak="0">
    <w:nsid w:val="670D2410"/>
    <w:multiLevelType w:val="hybridMultilevel"/>
    <w:tmpl w:val="53E2961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24FFA"/>
    <w:multiLevelType w:val="hybridMultilevel"/>
    <w:tmpl w:val="BD48EAFA"/>
    <w:lvl w:ilvl="0" w:tplc="04070015">
      <w:start w:val="1"/>
      <w:numFmt w:val="decimal"/>
      <w:lvlText w:val="(%1)"/>
      <w:lvlJc w:val="left"/>
      <w:pPr>
        <w:ind w:left="1854" w:hanging="360"/>
      </w:p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73B95B4F"/>
    <w:multiLevelType w:val="hybridMultilevel"/>
    <w:tmpl w:val="E8605AEA"/>
    <w:lvl w:ilvl="0" w:tplc="D38400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2"/>
  </w:num>
  <w:num w:numId="3">
    <w:abstractNumId w:val="18"/>
  </w:num>
  <w:num w:numId="4">
    <w:abstractNumId w:val="5"/>
  </w:num>
  <w:num w:numId="5">
    <w:abstractNumId w:val="7"/>
  </w:num>
  <w:num w:numId="6">
    <w:abstractNumId w:val="8"/>
  </w:num>
  <w:num w:numId="7">
    <w:abstractNumId w:val="24"/>
  </w:num>
  <w:num w:numId="8">
    <w:abstractNumId w:val="0"/>
  </w:num>
  <w:num w:numId="9">
    <w:abstractNumId w:val="5"/>
  </w:num>
  <w:num w:numId="10">
    <w:abstractNumId w:val="1"/>
  </w:num>
  <w:num w:numId="11">
    <w:abstractNumId w:val="14"/>
  </w:num>
  <w:num w:numId="12">
    <w:abstractNumId w:val="9"/>
  </w:num>
  <w:num w:numId="13">
    <w:abstractNumId w:val="12"/>
  </w:num>
  <w:num w:numId="14">
    <w:abstractNumId w:val="15"/>
  </w:num>
  <w:num w:numId="15">
    <w:abstractNumId w:val="6"/>
  </w:num>
  <w:num w:numId="16">
    <w:abstractNumId w:val="25"/>
  </w:num>
  <w:num w:numId="17">
    <w:abstractNumId w:val="21"/>
  </w:num>
  <w:num w:numId="18">
    <w:abstractNumId w:val="17"/>
  </w:num>
  <w:num w:numId="19">
    <w:abstractNumId w:val="20"/>
  </w:num>
  <w:num w:numId="20">
    <w:abstractNumId w:val="11"/>
  </w:num>
  <w:num w:numId="21">
    <w:abstractNumId w:val="16"/>
  </w:num>
  <w:num w:numId="22">
    <w:abstractNumId w:val="19"/>
  </w:num>
  <w:num w:numId="23">
    <w:abstractNumId w:val="23"/>
  </w:num>
  <w:num w:numId="24">
    <w:abstractNumId w:val="13"/>
  </w:num>
  <w:num w:numId="25">
    <w:abstractNumId w:val="4"/>
  </w:num>
  <w:num w:numId="26">
    <w:abstractNumId w:val="10"/>
  </w:num>
  <w:num w:numId="27">
    <w:abstractNumId w:val="2"/>
  </w:num>
  <w:num w:numId="2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activeWritingStyle w:appName="MSWord" w:lang="en-IE" w:vendorID="64" w:dllVersion="6" w:nlCheck="1" w:checkStyle="1"/>
  <w:activeWritingStyle w:appName="MSWord" w:lang="de-DE" w:vendorID="64" w:dllVersion="6" w:nlCheck="1" w:checkStyle="0"/>
  <w:activeWritingStyle w:appName="MSWord" w:lang="en-IE" w:vendorID="64" w:dllVersion="0" w:nlCheck="1" w:checkStyle="0"/>
  <w:activeWritingStyle w:appName="MSWord" w:lang="de-DE"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6BA1"/>
    <w:rsid w:val="00015E91"/>
    <w:rsid w:val="0002286B"/>
    <w:rsid w:val="00026D4E"/>
    <w:rsid w:val="00033B3D"/>
    <w:rsid w:val="0004156C"/>
    <w:rsid w:val="0004629E"/>
    <w:rsid w:val="00050F6B"/>
    <w:rsid w:val="000564A7"/>
    <w:rsid w:val="00072C8C"/>
    <w:rsid w:val="00074F50"/>
    <w:rsid w:val="00081647"/>
    <w:rsid w:val="00081931"/>
    <w:rsid w:val="00085475"/>
    <w:rsid w:val="000921DB"/>
    <w:rsid w:val="000931C0"/>
    <w:rsid w:val="00093495"/>
    <w:rsid w:val="000947F7"/>
    <w:rsid w:val="00094952"/>
    <w:rsid w:val="000A53C2"/>
    <w:rsid w:val="000A6BEC"/>
    <w:rsid w:val="000B175B"/>
    <w:rsid w:val="000B279F"/>
    <w:rsid w:val="000B3A0F"/>
    <w:rsid w:val="000B6D69"/>
    <w:rsid w:val="000C5577"/>
    <w:rsid w:val="000C6544"/>
    <w:rsid w:val="000C7164"/>
    <w:rsid w:val="000D10AA"/>
    <w:rsid w:val="000E0415"/>
    <w:rsid w:val="000F52A9"/>
    <w:rsid w:val="000F71BF"/>
    <w:rsid w:val="00102884"/>
    <w:rsid w:val="001052CE"/>
    <w:rsid w:val="00107CCC"/>
    <w:rsid w:val="00110AE0"/>
    <w:rsid w:val="00120531"/>
    <w:rsid w:val="001205DF"/>
    <w:rsid w:val="001220B8"/>
    <w:rsid w:val="00123536"/>
    <w:rsid w:val="00127BDC"/>
    <w:rsid w:val="001404AB"/>
    <w:rsid w:val="001419AA"/>
    <w:rsid w:val="00156F3C"/>
    <w:rsid w:val="00160860"/>
    <w:rsid w:val="00161AFB"/>
    <w:rsid w:val="00162BF7"/>
    <w:rsid w:val="001635CC"/>
    <w:rsid w:val="00166A1D"/>
    <w:rsid w:val="001803BF"/>
    <w:rsid w:val="00181267"/>
    <w:rsid w:val="00181523"/>
    <w:rsid w:val="00181FC8"/>
    <w:rsid w:val="00186F99"/>
    <w:rsid w:val="00190AEA"/>
    <w:rsid w:val="00193DB5"/>
    <w:rsid w:val="00197D52"/>
    <w:rsid w:val="001A1088"/>
    <w:rsid w:val="001A7163"/>
    <w:rsid w:val="001B06A5"/>
    <w:rsid w:val="001B0CFA"/>
    <w:rsid w:val="001B4B04"/>
    <w:rsid w:val="001C24EB"/>
    <w:rsid w:val="001C61C2"/>
    <w:rsid w:val="001C6663"/>
    <w:rsid w:val="001C7895"/>
    <w:rsid w:val="001C7955"/>
    <w:rsid w:val="001D26DF"/>
    <w:rsid w:val="001D3E96"/>
    <w:rsid w:val="001E47FD"/>
    <w:rsid w:val="001E7774"/>
    <w:rsid w:val="001F3EC1"/>
    <w:rsid w:val="001F67DF"/>
    <w:rsid w:val="00211E0B"/>
    <w:rsid w:val="00214DD4"/>
    <w:rsid w:val="00215E86"/>
    <w:rsid w:val="00222EE5"/>
    <w:rsid w:val="002379F5"/>
    <w:rsid w:val="002405A7"/>
    <w:rsid w:val="0024147B"/>
    <w:rsid w:val="0025322D"/>
    <w:rsid w:val="00257E45"/>
    <w:rsid w:val="00262488"/>
    <w:rsid w:val="0027183E"/>
    <w:rsid w:val="002734BF"/>
    <w:rsid w:val="00277A2E"/>
    <w:rsid w:val="00290F53"/>
    <w:rsid w:val="00292BA5"/>
    <w:rsid w:val="002A4942"/>
    <w:rsid w:val="002A5B0C"/>
    <w:rsid w:val="002A7BDD"/>
    <w:rsid w:val="002B49C0"/>
    <w:rsid w:val="002C7C0A"/>
    <w:rsid w:val="002D59D3"/>
    <w:rsid w:val="002E426E"/>
    <w:rsid w:val="003002C0"/>
    <w:rsid w:val="003042A5"/>
    <w:rsid w:val="003057D1"/>
    <w:rsid w:val="003107FA"/>
    <w:rsid w:val="003115BA"/>
    <w:rsid w:val="003127A2"/>
    <w:rsid w:val="00312C2A"/>
    <w:rsid w:val="003229D8"/>
    <w:rsid w:val="00322C16"/>
    <w:rsid w:val="0032550E"/>
    <w:rsid w:val="00326A95"/>
    <w:rsid w:val="0033745A"/>
    <w:rsid w:val="0034280C"/>
    <w:rsid w:val="00343C63"/>
    <w:rsid w:val="00350101"/>
    <w:rsid w:val="00357F1B"/>
    <w:rsid w:val="00360460"/>
    <w:rsid w:val="003608D4"/>
    <w:rsid w:val="003642AF"/>
    <w:rsid w:val="00366CA7"/>
    <w:rsid w:val="003735AA"/>
    <w:rsid w:val="00386E2E"/>
    <w:rsid w:val="00390A12"/>
    <w:rsid w:val="0039277A"/>
    <w:rsid w:val="003971BF"/>
    <w:rsid w:val="003972E0"/>
    <w:rsid w:val="003A3A56"/>
    <w:rsid w:val="003A4536"/>
    <w:rsid w:val="003B3A99"/>
    <w:rsid w:val="003C2CC4"/>
    <w:rsid w:val="003C3936"/>
    <w:rsid w:val="003D4B23"/>
    <w:rsid w:val="003D65C3"/>
    <w:rsid w:val="003E4E25"/>
    <w:rsid w:val="003E686D"/>
    <w:rsid w:val="003F0366"/>
    <w:rsid w:val="003F1ED3"/>
    <w:rsid w:val="003F40CC"/>
    <w:rsid w:val="00406162"/>
    <w:rsid w:val="00407255"/>
    <w:rsid w:val="004075CE"/>
    <w:rsid w:val="00411689"/>
    <w:rsid w:val="00421612"/>
    <w:rsid w:val="00421B79"/>
    <w:rsid w:val="00422089"/>
    <w:rsid w:val="00426B22"/>
    <w:rsid w:val="004325CB"/>
    <w:rsid w:val="00433215"/>
    <w:rsid w:val="0043517E"/>
    <w:rsid w:val="00440EFE"/>
    <w:rsid w:val="00446DE4"/>
    <w:rsid w:val="00454B64"/>
    <w:rsid w:val="00460DD9"/>
    <w:rsid w:val="00462FA0"/>
    <w:rsid w:val="00465864"/>
    <w:rsid w:val="00467F71"/>
    <w:rsid w:val="0047652A"/>
    <w:rsid w:val="004845AC"/>
    <w:rsid w:val="004A41CA"/>
    <w:rsid w:val="004B4ABB"/>
    <w:rsid w:val="004C534F"/>
    <w:rsid w:val="004C5B0B"/>
    <w:rsid w:val="004C7299"/>
    <w:rsid w:val="004D1D51"/>
    <w:rsid w:val="004E0788"/>
    <w:rsid w:val="004E7ED6"/>
    <w:rsid w:val="0050282D"/>
    <w:rsid w:val="00503228"/>
    <w:rsid w:val="00503662"/>
    <w:rsid w:val="00504B99"/>
    <w:rsid w:val="00505384"/>
    <w:rsid w:val="005062BB"/>
    <w:rsid w:val="00510F50"/>
    <w:rsid w:val="00513F9E"/>
    <w:rsid w:val="00516EB8"/>
    <w:rsid w:val="005211AE"/>
    <w:rsid w:val="0052219D"/>
    <w:rsid w:val="00532EF8"/>
    <w:rsid w:val="00536FB7"/>
    <w:rsid w:val="005420F2"/>
    <w:rsid w:val="00546947"/>
    <w:rsid w:val="00553966"/>
    <w:rsid w:val="005576A6"/>
    <w:rsid w:val="005679BD"/>
    <w:rsid w:val="00567C13"/>
    <w:rsid w:val="00586F70"/>
    <w:rsid w:val="0059369E"/>
    <w:rsid w:val="005A25D0"/>
    <w:rsid w:val="005B08F8"/>
    <w:rsid w:val="005B2C89"/>
    <w:rsid w:val="005B3DB3"/>
    <w:rsid w:val="005C1F03"/>
    <w:rsid w:val="005C2CD2"/>
    <w:rsid w:val="005C6113"/>
    <w:rsid w:val="005E22FE"/>
    <w:rsid w:val="005E3EF0"/>
    <w:rsid w:val="005E531E"/>
    <w:rsid w:val="005E7E9C"/>
    <w:rsid w:val="005F27E6"/>
    <w:rsid w:val="00604313"/>
    <w:rsid w:val="0060576C"/>
    <w:rsid w:val="00605A87"/>
    <w:rsid w:val="00606569"/>
    <w:rsid w:val="00611FC4"/>
    <w:rsid w:val="00614DA7"/>
    <w:rsid w:val="006176FB"/>
    <w:rsid w:val="00627ED0"/>
    <w:rsid w:val="0063283C"/>
    <w:rsid w:val="00632A9E"/>
    <w:rsid w:val="00640B26"/>
    <w:rsid w:val="00644135"/>
    <w:rsid w:val="00651BC5"/>
    <w:rsid w:val="00654EB6"/>
    <w:rsid w:val="00665595"/>
    <w:rsid w:val="0067301B"/>
    <w:rsid w:val="00682B5D"/>
    <w:rsid w:val="00691F20"/>
    <w:rsid w:val="00693543"/>
    <w:rsid w:val="006A7392"/>
    <w:rsid w:val="006A7757"/>
    <w:rsid w:val="006B3AEC"/>
    <w:rsid w:val="006C2CEE"/>
    <w:rsid w:val="006D5EE5"/>
    <w:rsid w:val="006D771F"/>
    <w:rsid w:val="006E564B"/>
    <w:rsid w:val="006F3872"/>
    <w:rsid w:val="006F387E"/>
    <w:rsid w:val="00701FAE"/>
    <w:rsid w:val="00706FD1"/>
    <w:rsid w:val="0071349F"/>
    <w:rsid w:val="00713BDB"/>
    <w:rsid w:val="007141F5"/>
    <w:rsid w:val="0071517D"/>
    <w:rsid w:val="00720D44"/>
    <w:rsid w:val="00720DEB"/>
    <w:rsid w:val="00725633"/>
    <w:rsid w:val="0072632A"/>
    <w:rsid w:val="007314F7"/>
    <w:rsid w:val="00733AAE"/>
    <w:rsid w:val="0073447E"/>
    <w:rsid w:val="007345FD"/>
    <w:rsid w:val="00744418"/>
    <w:rsid w:val="00752296"/>
    <w:rsid w:val="00761358"/>
    <w:rsid w:val="0076297C"/>
    <w:rsid w:val="00765460"/>
    <w:rsid w:val="00765969"/>
    <w:rsid w:val="00766856"/>
    <w:rsid w:val="00766D34"/>
    <w:rsid w:val="00781A60"/>
    <w:rsid w:val="00791E30"/>
    <w:rsid w:val="00792D6F"/>
    <w:rsid w:val="0079306E"/>
    <w:rsid w:val="00795203"/>
    <w:rsid w:val="0079642A"/>
    <w:rsid w:val="007A0B22"/>
    <w:rsid w:val="007A7259"/>
    <w:rsid w:val="007B2C90"/>
    <w:rsid w:val="007B5461"/>
    <w:rsid w:val="007B6BA5"/>
    <w:rsid w:val="007C3390"/>
    <w:rsid w:val="007C4F4B"/>
    <w:rsid w:val="007D024A"/>
    <w:rsid w:val="007F0B83"/>
    <w:rsid w:val="007F28E8"/>
    <w:rsid w:val="007F320F"/>
    <w:rsid w:val="007F48EF"/>
    <w:rsid w:val="007F4FCD"/>
    <w:rsid w:val="007F6611"/>
    <w:rsid w:val="00802053"/>
    <w:rsid w:val="008055CB"/>
    <w:rsid w:val="00806D1B"/>
    <w:rsid w:val="00806F71"/>
    <w:rsid w:val="00811DA1"/>
    <w:rsid w:val="00812F3B"/>
    <w:rsid w:val="0081732C"/>
    <w:rsid w:val="008175E9"/>
    <w:rsid w:val="008242D7"/>
    <w:rsid w:val="0082556A"/>
    <w:rsid w:val="008256AC"/>
    <w:rsid w:val="00827E05"/>
    <w:rsid w:val="008311A3"/>
    <w:rsid w:val="00832886"/>
    <w:rsid w:val="00836AF7"/>
    <w:rsid w:val="00843010"/>
    <w:rsid w:val="00853028"/>
    <w:rsid w:val="00857AA2"/>
    <w:rsid w:val="00860A69"/>
    <w:rsid w:val="00864BFC"/>
    <w:rsid w:val="00871FD5"/>
    <w:rsid w:val="00876F95"/>
    <w:rsid w:val="00880562"/>
    <w:rsid w:val="00885EED"/>
    <w:rsid w:val="0089630E"/>
    <w:rsid w:val="008965DC"/>
    <w:rsid w:val="008979B1"/>
    <w:rsid w:val="008A43E0"/>
    <w:rsid w:val="008A6B25"/>
    <w:rsid w:val="008A6C4F"/>
    <w:rsid w:val="008B161A"/>
    <w:rsid w:val="008B523B"/>
    <w:rsid w:val="008B6E26"/>
    <w:rsid w:val="008B7B93"/>
    <w:rsid w:val="008C1DEB"/>
    <w:rsid w:val="008C6FCF"/>
    <w:rsid w:val="008D44C7"/>
    <w:rsid w:val="008E0E46"/>
    <w:rsid w:val="008E30E7"/>
    <w:rsid w:val="008E4C4C"/>
    <w:rsid w:val="008E656C"/>
    <w:rsid w:val="009008D3"/>
    <w:rsid w:val="00905DFB"/>
    <w:rsid w:val="00907AD2"/>
    <w:rsid w:val="00911047"/>
    <w:rsid w:val="00926FBC"/>
    <w:rsid w:val="009334B6"/>
    <w:rsid w:val="00933602"/>
    <w:rsid w:val="00934EE8"/>
    <w:rsid w:val="0094010F"/>
    <w:rsid w:val="009435A6"/>
    <w:rsid w:val="009455BD"/>
    <w:rsid w:val="00963CBA"/>
    <w:rsid w:val="009650E6"/>
    <w:rsid w:val="00965932"/>
    <w:rsid w:val="0097053D"/>
    <w:rsid w:val="00974A8D"/>
    <w:rsid w:val="0098464A"/>
    <w:rsid w:val="0099001C"/>
    <w:rsid w:val="00991261"/>
    <w:rsid w:val="00993E70"/>
    <w:rsid w:val="00994453"/>
    <w:rsid w:val="00994FDB"/>
    <w:rsid w:val="009B4C87"/>
    <w:rsid w:val="009B5995"/>
    <w:rsid w:val="009C038A"/>
    <w:rsid w:val="009C20D7"/>
    <w:rsid w:val="009C41D9"/>
    <w:rsid w:val="009C5E02"/>
    <w:rsid w:val="009D4474"/>
    <w:rsid w:val="009E181E"/>
    <w:rsid w:val="009F17DC"/>
    <w:rsid w:val="009F3A17"/>
    <w:rsid w:val="009F3D53"/>
    <w:rsid w:val="00A01C24"/>
    <w:rsid w:val="00A03F10"/>
    <w:rsid w:val="00A103F7"/>
    <w:rsid w:val="00A1427D"/>
    <w:rsid w:val="00A30AAE"/>
    <w:rsid w:val="00A361BE"/>
    <w:rsid w:val="00A40454"/>
    <w:rsid w:val="00A426FB"/>
    <w:rsid w:val="00A452D7"/>
    <w:rsid w:val="00A55FB2"/>
    <w:rsid w:val="00A576C0"/>
    <w:rsid w:val="00A6575A"/>
    <w:rsid w:val="00A72F22"/>
    <w:rsid w:val="00A748A6"/>
    <w:rsid w:val="00A7610A"/>
    <w:rsid w:val="00A76C6D"/>
    <w:rsid w:val="00A80459"/>
    <w:rsid w:val="00A805EB"/>
    <w:rsid w:val="00A80813"/>
    <w:rsid w:val="00A8760B"/>
    <w:rsid w:val="00A879A4"/>
    <w:rsid w:val="00A954BE"/>
    <w:rsid w:val="00A96A3F"/>
    <w:rsid w:val="00A96F24"/>
    <w:rsid w:val="00AA4168"/>
    <w:rsid w:val="00AA496B"/>
    <w:rsid w:val="00AA779E"/>
    <w:rsid w:val="00AB4896"/>
    <w:rsid w:val="00AC1067"/>
    <w:rsid w:val="00AC501D"/>
    <w:rsid w:val="00AD3AAD"/>
    <w:rsid w:val="00AE046A"/>
    <w:rsid w:val="00AE0EDE"/>
    <w:rsid w:val="00AE5240"/>
    <w:rsid w:val="00AE71F3"/>
    <w:rsid w:val="00AE78C2"/>
    <w:rsid w:val="00AF12A3"/>
    <w:rsid w:val="00AF7F54"/>
    <w:rsid w:val="00B070C3"/>
    <w:rsid w:val="00B13229"/>
    <w:rsid w:val="00B134DD"/>
    <w:rsid w:val="00B14DA4"/>
    <w:rsid w:val="00B16065"/>
    <w:rsid w:val="00B167B7"/>
    <w:rsid w:val="00B22E0B"/>
    <w:rsid w:val="00B2564C"/>
    <w:rsid w:val="00B30179"/>
    <w:rsid w:val="00B30E8F"/>
    <w:rsid w:val="00B32386"/>
    <w:rsid w:val="00B33EC0"/>
    <w:rsid w:val="00B35DF8"/>
    <w:rsid w:val="00B445B2"/>
    <w:rsid w:val="00B462AE"/>
    <w:rsid w:val="00B500B2"/>
    <w:rsid w:val="00B77371"/>
    <w:rsid w:val="00B773DD"/>
    <w:rsid w:val="00B81E12"/>
    <w:rsid w:val="00B912A2"/>
    <w:rsid w:val="00B915A3"/>
    <w:rsid w:val="00B97D28"/>
    <w:rsid w:val="00BC6251"/>
    <w:rsid w:val="00BC6729"/>
    <w:rsid w:val="00BC74E9"/>
    <w:rsid w:val="00BD0DE0"/>
    <w:rsid w:val="00BD2146"/>
    <w:rsid w:val="00BE4F74"/>
    <w:rsid w:val="00BE618E"/>
    <w:rsid w:val="00BF2E08"/>
    <w:rsid w:val="00C03388"/>
    <w:rsid w:val="00C05C36"/>
    <w:rsid w:val="00C05FCE"/>
    <w:rsid w:val="00C17699"/>
    <w:rsid w:val="00C1778D"/>
    <w:rsid w:val="00C2520A"/>
    <w:rsid w:val="00C252D0"/>
    <w:rsid w:val="00C37199"/>
    <w:rsid w:val="00C37434"/>
    <w:rsid w:val="00C41A28"/>
    <w:rsid w:val="00C463DD"/>
    <w:rsid w:val="00C51910"/>
    <w:rsid w:val="00C6210B"/>
    <w:rsid w:val="00C65B43"/>
    <w:rsid w:val="00C71E7C"/>
    <w:rsid w:val="00C745C3"/>
    <w:rsid w:val="00C80466"/>
    <w:rsid w:val="00C817E9"/>
    <w:rsid w:val="00C82A9B"/>
    <w:rsid w:val="00C853E3"/>
    <w:rsid w:val="00C945EB"/>
    <w:rsid w:val="00C947EC"/>
    <w:rsid w:val="00CA02E6"/>
    <w:rsid w:val="00CA6859"/>
    <w:rsid w:val="00CB162B"/>
    <w:rsid w:val="00CB4594"/>
    <w:rsid w:val="00CC450A"/>
    <w:rsid w:val="00CC65B7"/>
    <w:rsid w:val="00CE4435"/>
    <w:rsid w:val="00CE4A8F"/>
    <w:rsid w:val="00CE4B5C"/>
    <w:rsid w:val="00CF1D14"/>
    <w:rsid w:val="00CF1E77"/>
    <w:rsid w:val="00CF701F"/>
    <w:rsid w:val="00D02AE7"/>
    <w:rsid w:val="00D055EB"/>
    <w:rsid w:val="00D10672"/>
    <w:rsid w:val="00D16379"/>
    <w:rsid w:val="00D16961"/>
    <w:rsid w:val="00D2031B"/>
    <w:rsid w:val="00D23455"/>
    <w:rsid w:val="00D25272"/>
    <w:rsid w:val="00D25FE2"/>
    <w:rsid w:val="00D313F8"/>
    <w:rsid w:val="00D317BB"/>
    <w:rsid w:val="00D35D8F"/>
    <w:rsid w:val="00D4140A"/>
    <w:rsid w:val="00D43252"/>
    <w:rsid w:val="00D46A4C"/>
    <w:rsid w:val="00D506B1"/>
    <w:rsid w:val="00D50BD6"/>
    <w:rsid w:val="00D576E3"/>
    <w:rsid w:val="00D61334"/>
    <w:rsid w:val="00D63881"/>
    <w:rsid w:val="00D7387D"/>
    <w:rsid w:val="00D96FA3"/>
    <w:rsid w:val="00D978C6"/>
    <w:rsid w:val="00DA67AD"/>
    <w:rsid w:val="00DA7709"/>
    <w:rsid w:val="00DB5082"/>
    <w:rsid w:val="00DB5D0F"/>
    <w:rsid w:val="00DB6193"/>
    <w:rsid w:val="00DC058D"/>
    <w:rsid w:val="00DC3242"/>
    <w:rsid w:val="00DD2F8D"/>
    <w:rsid w:val="00DE07CE"/>
    <w:rsid w:val="00DE740F"/>
    <w:rsid w:val="00DE7F20"/>
    <w:rsid w:val="00DF12F7"/>
    <w:rsid w:val="00DF2C64"/>
    <w:rsid w:val="00DF4253"/>
    <w:rsid w:val="00E00F27"/>
    <w:rsid w:val="00E02C81"/>
    <w:rsid w:val="00E04A75"/>
    <w:rsid w:val="00E06EAB"/>
    <w:rsid w:val="00E130AB"/>
    <w:rsid w:val="00E23D05"/>
    <w:rsid w:val="00E31C87"/>
    <w:rsid w:val="00E432A5"/>
    <w:rsid w:val="00E4535F"/>
    <w:rsid w:val="00E500B7"/>
    <w:rsid w:val="00E5709E"/>
    <w:rsid w:val="00E677EC"/>
    <w:rsid w:val="00E70DF5"/>
    <w:rsid w:val="00E7260F"/>
    <w:rsid w:val="00E77825"/>
    <w:rsid w:val="00E80F5F"/>
    <w:rsid w:val="00E81147"/>
    <w:rsid w:val="00E84493"/>
    <w:rsid w:val="00E849BA"/>
    <w:rsid w:val="00E87921"/>
    <w:rsid w:val="00E87E69"/>
    <w:rsid w:val="00E96630"/>
    <w:rsid w:val="00EA1071"/>
    <w:rsid w:val="00EA264E"/>
    <w:rsid w:val="00EA3A41"/>
    <w:rsid w:val="00EA61D9"/>
    <w:rsid w:val="00EA6348"/>
    <w:rsid w:val="00EB64C9"/>
    <w:rsid w:val="00EC1703"/>
    <w:rsid w:val="00EC3D3B"/>
    <w:rsid w:val="00EC4499"/>
    <w:rsid w:val="00ED1541"/>
    <w:rsid w:val="00ED3F89"/>
    <w:rsid w:val="00ED71D9"/>
    <w:rsid w:val="00ED7A2A"/>
    <w:rsid w:val="00EE503A"/>
    <w:rsid w:val="00EE5440"/>
    <w:rsid w:val="00EF0A29"/>
    <w:rsid w:val="00EF1083"/>
    <w:rsid w:val="00EF1D7F"/>
    <w:rsid w:val="00EF358F"/>
    <w:rsid w:val="00F112A7"/>
    <w:rsid w:val="00F124A0"/>
    <w:rsid w:val="00F14E13"/>
    <w:rsid w:val="00F17E43"/>
    <w:rsid w:val="00F23990"/>
    <w:rsid w:val="00F41EF2"/>
    <w:rsid w:val="00F42625"/>
    <w:rsid w:val="00F43A74"/>
    <w:rsid w:val="00F44068"/>
    <w:rsid w:val="00F52210"/>
    <w:rsid w:val="00F52939"/>
    <w:rsid w:val="00F53EDA"/>
    <w:rsid w:val="00F73015"/>
    <w:rsid w:val="00F7753D"/>
    <w:rsid w:val="00F803E5"/>
    <w:rsid w:val="00F85F34"/>
    <w:rsid w:val="00F92ADB"/>
    <w:rsid w:val="00FA06F7"/>
    <w:rsid w:val="00FA2DCC"/>
    <w:rsid w:val="00FA44E6"/>
    <w:rsid w:val="00FB14F5"/>
    <w:rsid w:val="00FB171A"/>
    <w:rsid w:val="00FB212F"/>
    <w:rsid w:val="00FB50A4"/>
    <w:rsid w:val="00FC09B8"/>
    <w:rsid w:val="00FC36E5"/>
    <w:rsid w:val="00FC5C58"/>
    <w:rsid w:val="00FC68B7"/>
    <w:rsid w:val="00FD0322"/>
    <w:rsid w:val="00FD4F7E"/>
    <w:rsid w:val="00FD7BF6"/>
    <w:rsid w:val="00FE16C6"/>
    <w:rsid w:val="00FE3E5E"/>
    <w:rsid w:val="00FE4C89"/>
    <w:rsid w:val="00FF215E"/>
    <w:rsid w:val="00FF68B7"/>
    <w:rsid w:val="00FF6F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8E9B7"/>
  <w15:docId w15:val="{F07AA7A8-304E-454F-8854-80900101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0E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0EF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107CCC"/>
    <w:rPr>
      <w:color w:val="605E5C"/>
      <w:shd w:val="clear" w:color="auto" w:fill="E1DFDD"/>
    </w:rPr>
  </w:style>
  <w:style w:type="character" w:styleId="CommentReference">
    <w:name w:val="annotation reference"/>
    <w:basedOn w:val="DefaultParagraphFont"/>
    <w:semiHidden/>
    <w:unhideWhenUsed/>
    <w:rsid w:val="004C534F"/>
    <w:rPr>
      <w:sz w:val="16"/>
      <w:szCs w:val="16"/>
    </w:rPr>
  </w:style>
  <w:style w:type="paragraph" w:styleId="CommentText">
    <w:name w:val="annotation text"/>
    <w:basedOn w:val="Normal"/>
    <w:link w:val="CommentTextChar"/>
    <w:unhideWhenUsed/>
    <w:rsid w:val="004C534F"/>
    <w:pPr>
      <w:spacing w:line="240" w:lineRule="auto"/>
    </w:pPr>
  </w:style>
  <w:style w:type="character" w:customStyle="1" w:styleId="CommentTextChar">
    <w:name w:val="Comment Text Char"/>
    <w:basedOn w:val="DefaultParagraphFont"/>
    <w:link w:val="CommentText"/>
    <w:rsid w:val="004C534F"/>
    <w:rPr>
      <w:lang w:eastAsia="en-US"/>
    </w:rPr>
  </w:style>
  <w:style w:type="paragraph" w:styleId="CommentSubject">
    <w:name w:val="annotation subject"/>
    <w:basedOn w:val="CommentText"/>
    <w:next w:val="CommentText"/>
    <w:link w:val="CommentSubjectChar"/>
    <w:semiHidden/>
    <w:unhideWhenUsed/>
    <w:rsid w:val="004C534F"/>
    <w:rPr>
      <w:b/>
      <w:bCs/>
    </w:rPr>
  </w:style>
  <w:style w:type="character" w:customStyle="1" w:styleId="CommentSubjectChar">
    <w:name w:val="Comment Subject Char"/>
    <w:basedOn w:val="CommentTextChar"/>
    <w:link w:val="CommentSubject"/>
    <w:semiHidden/>
    <w:rsid w:val="004C534F"/>
    <w:rPr>
      <w:b/>
      <w:bCs/>
      <w:lang w:eastAsia="en-US"/>
    </w:rPr>
  </w:style>
  <w:style w:type="character" w:customStyle="1" w:styleId="H1GChar">
    <w:name w:val="_ H_1_G Char"/>
    <w:link w:val="H1G"/>
    <w:rsid w:val="00605A87"/>
    <w:rPr>
      <w:b/>
      <w:sz w:val="24"/>
      <w:lang w:eastAsia="en-US"/>
    </w:rPr>
  </w:style>
  <w:style w:type="paragraph" w:styleId="ListParagraph">
    <w:name w:val="List Paragraph"/>
    <w:basedOn w:val="Normal"/>
    <w:uiPriority w:val="34"/>
    <w:qFormat/>
    <w:rsid w:val="00411689"/>
    <w:pPr>
      <w:ind w:left="720"/>
      <w:contextualSpacing/>
    </w:pPr>
  </w:style>
  <w:style w:type="paragraph" w:customStyle="1" w:styleId="ParNoG">
    <w:name w:val="_ParNo_G"/>
    <w:basedOn w:val="SingleTxtG"/>
    <w:qFormat/>
    <w:rsid w:val="00C65B43"/>
    <w:pPr>
      <w:suppressAutoHyphens w:val="0"/>
      <w:ind w:left="0"/>
    </w:pPr>
    <w:rPr>
      <w:lang w:eastAsia="zh-CN"/>
    </w:rPr>
  </w:style>
  <w:style w:type="character" w:styleId="UnresolvedMention">
    <w:name w:val="Unresolved Mention"/>
    <w:basedOn w:val="DefaultParagraphFont"/>
    <w:uiPriority w:val="99"/>
    <w:semiHidden/>
    <w:unhideWhenUsed/>
    <w:rsid w:val="0073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547451891">
      <w:bodyDiv w:val="1"/>
      <w:marLeft w:val="0"/>
      <w:marRight w:val="0"/>
      <w:marTop w:val="0"/>
      <w:marBottom w:val="0"/>
      <w:divBdr>
        <w:top w:val="none" w:sz="0" w:space="0" w:color="auto"/>
        <w:left w:val="none" w:sz="0" w:space="0" w:color="auto"/>
        <w:bottom w:val="none" w:sz="0" w:space="0" w:color="auto"/>
        <w:right w:val="none" w:sz="0" w:space="0" w:color="auto"/>
      </w:divBdr>
    </w:div>
    <w:div w:id="632293440">
      <w:bodyDiv w:val="1"/>
      <w:marLeft w:val="0"/>
      <w:marRight w:val="0"/>
      <w:marTop w:val="0"/>
      <w:marBottom w:val="0"/>
      <w:divBdr>
        <w:top w:val="none" w:sz="0" w:space="0" w:color="auto"/>
        <w:left w:val="none" w:sz="0" w:space="0" w:color="auto"/>
        <w:bottom w:val="none" w:sz="0" w:space="0" w:color="auto"/>
        <w:right w:val="none" w:sz="0" w:space="0" w:color="auto"/>
      </w:divBdr>
      <w:divsChild>
        <w:div w:id="45877517">
          <w:marLeft w:val="0"/>
          <w:marRight w:val="0"/>
          <w:marTop w:val="0"/>
          <w:marBottom w:val="0"/>
          <w:divBdr>
            <w:top w:val="none" w:sz="0" w:space="0" w:color="auto"/>
            <w:left w:val="none" w:sz="0" w:space="0" w:color="auto"/>
            <w:bottom w:val="none" w:sz="0" w:space="0" w:color="auto"/>
            <w:right w:val="none" w:sz="0" w:space="0" w:color="auto"/>
          </w:divBdr>
        </w:div>
        <w:div w:id="231814197">
          <w:marLeft w:val="0"/>
          <w:marRight w:val="0"/>
          <w:marTop w:val="0"/>
          <w:marBottom w:val="0"/>
          <w:divBdr>
            <w:top w:val="none" w:sz="0" w:space="0" w:color="auto"/>
            <w:left w:val="none" w:sz="0" w:space="0" w:color="auto"/>
            <w:bottom w:val="none" w:sz="0" w:space="0" w:color="auto"/>
            <w:right w:val="none" w:sz="0" w:space="0" w:color="auto"/>
          </w:divBdr>
        </w:div>
        <w:div w:id="682973097">
          <w:marLeft w:val="0"/>
          <w:marRight w:val="0"/>
          <w:marTop w:val="0"/>
          <w:marBottom w:val="0"/>
          <w:divBdr>
            <w:top w:val="none" w:sz="0" w:space="0" w:color="auto"/>
            <w:left w:val="none" w:sz="0" w:space="0" w:color="auto"/>
            <w:bottom w:val="none" w:sz="0" w:space="0" w:color="auto"/>
            <w:right w:val="none" w:sz="0" w:space="0" w:color="auto"/>
          </w:divBdr>
        </w:div>
        <w:div w:id="1405565914">
          <w:marLeft w:val="0"/>
          <w:marRight w:val="0"/>
          <w:marTop w:val="0"/>
          <w:marBottom w:val="0"/>
          <w:divBdr>
            <w:top w:val="none" w:sz="0" w:space="0" w:color="auto"/>
            <w:left w:val="none" w:sz="0" w:space="0" w:color="auto"/>
            <w:bottom w:val="none" w:sz="0" w:space="0" w:color="auto"/>
            <w:right w:val="none" w:sz="0" w:space="0" w:color="auto"/>
          </w:divBdr>
        </w:div>
        <w:div w:id="2113820002">
          <w:marLeft w:val="0"/>
          <w:marRight w:val="0"/>
          <w:marTop w:val="0"/>
          <w:marBottom w:val="0"/>
          <w:divBdr>
            <w:top w:val="none" w:sz="0" w:space="0" w:color="auto"/>
            <w:left w:val="none" w:sz="0" w:space="0" w:color="auto"/>
            <w:bottom w:val="none" w:sz="0" w:space="0" w:color="auto"/>
            <w:right w:val="none" w:sz="0" w:space="0" w:color="auto"/>
          </w:divBdr>
        </w:div>
      </w:divsChild>
    </w:div>
    <w:div w:id="1553077087">
      <w:bodyDiv w:val="1"/>
      <w:marLeft w:val="0"/>
      <w:marRight w:val="0"/>
      <w:marTop w:val="0"/>
      <w:marBottom w:val="0"/>
      <w:divBdr>
        <w:top w:val="none" w:sz="0" w:space="0" w:color="auto"/>
        <w:left w:val="none" w:sz="0" w:space="0" w:color="auto"/>
        <w:bottom w:val="none" w:sz="0" w:space="0" w:color="auto"/>
        <w:right w:val="none" w:sz="0" w:space="0" w:color="auto"/>
      </w:divBdr>
    </w:div>
    <w:div w:id="1664429878">
      <w:bodyDiv w:val="1"/>
      <w:marLeft w:val="0"/>
      <w:marRight w:val="0"/>
      <w:marTop w:val="0"/>
      <w:marBottom w:val="0"/>
      <w:divBdr>
        <w:top w:val="none" w:sz="0" w:space="0" w:color="auto"/>
        <w:left w:val="none" w:sz="0" w:space="0" w:color="auto"/>
        <w:bottom w:val="none" w:sz="0" w:space="0" w:color="auto"/>
        <w:right w:val="none" w:sz="0" w:space="0" w:color="auto"/>
      </w:divBdr>
      <w:divsChild>
        <w:div w:id="994144693">
          <w:marLeft w:val="0"/>
          <w:marRight w:val="0"/>
          <w:marTop w:val="0"/>
          <w:marBottom w:val="0"/>
          <w:divBdr>
            <w:top w:val="none" w:sz="0" w:space="0" w:color="auto"/>
            <w:left w:val="none" w:sz="0" w:space="0" w:color="auto"/>
            <w:bottom w:val="none" w:sz="0" w:space="0" w:color="auto"/>
            <w:right w:val="none" w:sz="0" w:space="0" w:color="auto"/>
          </w:divBdr>
        </w:div>
        <w:div w:id="1169442019">
          <w:marLeft w:val="0"/>
          <w:marRight w:val="0"/>
          <w:marTop w:val="0"/>
          <w:marBottom w:val="0"/>
          <w:divBdr>
            <w:top w:val="none" w:sz="0" w:space="0" w:color="auto"/>
            <w:left w:val="none" w:sz="0" w:space="0" w:color="auto"/>
            <w:bottom w:val="none" w:sz="0" w:space="0" w:color="auto"/>
            <w:right w:val="none" w:sz="0" w:space="0" w:color="auto"/>
          </w:divBdr>
        </w:div>
      </w:divsChild>
    </w:div>
    <w:div w:id="1866019444">
      <w:bodyDiv w:val="1"/>
      <w:marLeft w:val="0"/>
      <w:marRight w:val="0"/>
      <w:marTop w:val="0"/>
      <w:marBottom w:val="0"/>
      <w:divBdr>
        <w:top w:val="none" w:sz="0" w:space="0" w:color="auto"/>
        <w:left w:val="none" w:sz="0" w:space="0" w:color="auto"/>
        <w:bottom w:val="none" w:sz="0" w:space="0" w:color="auto"/>
        <w:right w:val="none" w:sz="0" w:space="0" w:color="auto"/>
      </w:divBdr>
    </w:div>
    <w:div w:id="2052342487">
      <w:bodyDiv w:val="1"/>
      <w:marLeft w:val="0"/>
      <w:marRight w:val="0"/>
      <w:marTop w:val="0"/>
      <w:marBottom w:val="0"/>
      <w:divBdr>
        <w:top w:val="none" w:sz="0" w:space="0" w:color="auto"/>
        <w:left w:val="none" w:sz="0" w:space="0" w:color="auto"/>
        <w:bottom w:val="none" w:sz="0" w:space="0" w:color="auto"/>
        <w:right w:val="none" w:sz="0" w:space="0" w:color="auto"/>
      </w:divBdr>
      <w:divsChild>
        <w:div w:id="316082300">
          <w:marLeft w:val="0"/>
          <w:marRight w:val="0"/>
          <w:marTop w:val="0"/>
          <w:marBottom w:val="0"/>
          <w:divBdr>
            <w:top w:val="none" w:sz="0" w:space="0" w:color="auto"/>
            <w:left w:val="none" w:sz="0" w:space="0" w:color="auto"/>
            <w:bottom w:val="none" w:sz="0" w:space="0" w:color="auto"/>
            <w:right w:val="none" w:sz="0" w:space="0" w:color="auto"/>
          </w:divBdr>
        </w:div>
        <w:div w:id="412122739">
          <w:marLeft w:val="0"/>
          <w:marRight w:val="0"/>
          <w:marTop w:val="0"/>
          <w:marBottom w:val="0"/>
          <w:divBdr>
            <w:top w:val="none" w:sz="0" w:space="0" w:color="auto"/>
            <w:left w:val="none" w:sz="0" w:space="0" w:color="auto"/>
            <w:bottom w:val="none" w:sz="0" w:space="0" w:color="auto"/>
            <w:right w:val="none" w:sz="0" w:space="0" w:color="auto"/>
          </w:divBdr>
        </w:div>
        <w:div w:id="84131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documents/10162/2324906/clp_en.pdf" TargetMode="External"/><Relationship Id="rId1" Type="http://schemas.openxmlformats.org/officeDocument/2006/relationships/hyperlink" Target="https://www.oecd.org/officialdocuments/publicdisplaydocumentpdf/?cote=ENV-CBC-MONO(2021)11/ann4%20&amp;doc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A6C4-D65A-4D0E-9A38-7656F6048078}">
  <ds:schemaRefs>
    <ds:schemaRef ds:uri="http://schemas.microsoft.com/sharepoint/v3/contenttype/forms"/>
  </ds:schemaRefs>
</ds:datastoreItem>
</file>

<file path=customXml/itemProps2.xml><?xml version="1.0" encoding="utf-8"?>
<ds:datastoreItem xmlns:ds="http://schemas.openxmlformats.org/officeDocument/2006/customXml" ds:itemID="{D635114A-6F33-42F3-9FE6-3EE21239C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BB138-C510-4ECC-BEA7-F917602684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4CDA4600-7307-4179-8F0B-B65C1FAD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4</Pages>
  <Words>1242</Words>
  <Characters>7085</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8311</CharactersWithSpaces>
  <SharedDoc>false</SharedDoc>
  <HLinks>
    <vt:vector size="12" baseType="variant">
      <vt:variant>
        <vt:i4>5832810</vt:i4>
      </vt:variant>
      <vt:variant>
        <vt:i4>3</vt:i4>
      </vt:variant>
      <vt:variant>
        <vt:i4>0</vt:i4>
      </vt:variant>
      <vt:variant>
        <vt:i4>5</vt:i4>
      </vt:variant>
      <vt:variant>
        <vt:lpwstr>https://echa.europa.eu/documents/10162/2324906/clp_en.pdf</vt:lpwstr>
      </vt:variant>
      <vt:variant>
        <vt:lpwstr/>
      </vt:variant>
      <vt:variant>
        <vt:i4>4194335</vt:i4>
      </vt:variant>
      <vt:variant>
        <vt:i4>0</vt:i4>
      </vt:variant>
      <vt:variant>
        <vt:i4>0</vt:i4>
      </vt:variant>
      <vt:variant>
        <vt:i4>5</vt:i4>
      </vt:variant>
      <vt:variant>
        <vt:lpwstr>https://www.oecd.org/officialdocuments/publicdisplaydocumentpdf/?cote=ENV-CBC-MONO(2021)11/ann4%20&amp;doclanguage=en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subject/>
  <dc:creator>Susann Wothe</dc:creator>
  <cp:keywords/>
  <dc:description/>
  <cp:lastModifiedBy>Rosa Garcia Couto</cp:lastModifiedBy>
  <cp:revision>8</cp:revision>
  <cp:lastPrinted>2020-11-09T10:05:00Z</cp:lastPrinted>
  <dcterms:created xsi:type="dcterms:W3CDTF">2022-11-11T13:25:00Z</dcterms:created>
  <dcterms:modified xsi:type="dcterms:W3CDTF">2022-11-11T14:21:00Z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7f76a36a-e94f-4d4b-bdd5-210902cd990e</vt:lpwstr>
  </property>
  <property fmtid="{D5CDD505-2E9C-101B-9397-08002B2CF9AE}" pid="3" name="Content_Steward">
    <vt:lpwstr>Corvaro M u584849</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2018-09-10T10:49:59Z</vt:filetime>
  </property>
  <property fmtid="{D5CDD505-2E9C-101B-9397-08002B2CF9AE}" pid="9" name="Retention_Period_Start_Date">
    <vt:filetime>2018-12-10T13:25:36Z</vt:filetime>
  </property>
  <property fmtid="{D5CDD505-2E9C-101B-9397-08002B2CF9AE}" pid="10" name="Last_Reviewed_Date">
    <vt:lpwstr/>
  </property>
  <property fmtid="{D5CDD505-2E9C-101B-9397-08002B2CF9AE}" pid="11" name="Retention_Review_Frequency">
    <vt:lpwstr/>
  </property>
  <property fmtid="{D5CDD505-2E9C-101B-9397-08002B2CF9AE}" pid="12" name="ContentTypeId">
    <vt:lpwstr>0x0101003B8422D08C252547BB1CFA7F78E2CB83</vt:lpwstr>
  </property>
  <property fmtid="{D5CDD505-2E9C-101B-9397-08002B2CF9AE}" pid="13" name="Office_x0020_of_x0020_Origin">
    <vt:lpwstr/>
  </property>
  <property fmtid="{D5CDD505-2E9C-101B-9397-08002B2CF9AE}" pid="14" name="MediaServiceImageTags">
    <vt:lpwstr/>
  </property>
  <property fmtid="{D5CDD505-2E9C-101B-9397-08002B2CF9AE}" pid="15" name="gba66df640194346a5267c50f24d4797">
    <vt:lpwstr/>
  </property>
  <property fmtid="{D5CDD505-2E9C-101B-9397-08002B2CF9AE}" pid="16" name="Office of Origin">
    <vt:lpwstr/>
  </property>
</Properties>
</file>