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4649BC1D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10AB077" w14:textId="77777777" w:rsidR="00132EA9" w:rsidRPr="00DB58B5" w:rsidRDefault="00132EA9" w:rsidP="00CF7FD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2207E1A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392801E" w14:textId="0EA47FA9" w:rsidR="00132EA9" w:rsidRPr="00DB58B5" w:rsidRDefault="00CF7FDF" w:rsidP="00CF7FDF">
            <w:pPr>
              <w:jc w:val="right"/>
            </w:pPr>
            <w:r w:rsidRPr="00CF7FDF">
              <w:rPr>
                <w:sz w:val="40"/>
              </w:rPr>
              <w:t>ST</w:t>
            </w:r>
            <w:r>
              <w:t>/SG/AC</w:t>
            </w:r>
            <w:r w:rsidR="0090090E" w:rsidRPr="0090090E">
              <w:t>.</w:t>
            </w:r>
            <w:r>
              <w:t>10/C</w:t>
            </w:r>
            <w:r w:rsidR="0090090E" w:rsidRPr="0090090E">
              <w:t>.</w:t>
            </w:r>
            <w:r>
              <w:t>3/2022/58</w:t>
            </w:r>
          </w:p>
        </w:tc>
      </w:tr>
      <w:tr w:rsidR="00132EA9" w:rsidRPr="00DB58B5" w14:paraId="02F0ED0C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C28DB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65FE793" wp14:editId="7843C04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C44008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09F9B9" w14:textId="4FAA77BA" w:rsidR="00132EA9" w:rsidRDefault="00CF7FDF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90090E" w:rsidRPr="0090090E">
              <w:t>.</w:t>
            </w:r>
            <w:r>
              <w:t xml:space="preserve"> </w:t>
            </w:r>
            <w:proofErr w:type="gramStart"/>
            <w:r>
              <w:t>générale</w:t>
            </w:r>
            <w:proofErr w:type="gramEnd"/>
          </w:p>
          <w:p w14:paraId="6D26A36C" w14:textId="77777777" w:rsidR="00CF7FDF" w:rsidRDefault="00CF7FDF" w:rsidP="00CF7FDF">
            <w:pPr>
              <w:spacing w:line="240" w:lineRule="exact"/>
            </w:pPr>
            <w:r>
              <w:t>5 septembre 2022</w:t>
            </w:r>
          </w:p>
          <w:p w14:paraId="35A11FC0" w14:textId="77777777" w:rsidR="00CF7FDF" w:rsidRDefault="00CF7FDF" w:rsidP="00CF7FDF">
            <w:pPr>
              <w:spacing w:line="240" w:lineRule="exact"/>
            </w:pPr>
            <w:r>
              <w:t>Français</w:t>
            </w:r>
          </w:p>
          <w:p w14:paraId="7AD971D5" w14:textId="56A83361" w:rsidR="00CF7FDF" w:rsidRPr="00DB58B5" w:rsidRDefault="00CF7FDF" w:rsidP="00CF7FDF">
            <w:pPr>
              <w:spacing w:line="240" w:lineRule="exact"/>
            </w:pPr>
            <w:r>
              <w:t>Original : anglais</w:t>
            </w:r>
          </w:p>
        </w:tc>
      </w:tr>
    </w:tbl>
    <w:p w14:paraId="3CA8BCAD" w14:textId="77777777" w:rsidR="00CF7FDF" w:rsidRPr="007576EF" w:rsidRDefault="00CF7FDF" w:rsidP="00CF7FDF">
      <w:pPr>
        <w:spacing w:before="120"/>
        <w:rPr>
          <w:b/>
          <w:sz w:val="24"/>
          <w:szCs w:val="24"/>
          <w:lang w:val="fr-FR"/>
        </w:rPr>
      </w:pPr>
      <w:r w:rsidRPr="007576EF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 w:rsidRPr="007576EF">
        <w:rPr>
          <w:b/>
          <w:bCs/>
          <w:sz w:val="24"/>
          <w:szCs w:val="24"/>
          <w:lang w:val="fr-FR"/>
        </w:rPr>
        <w:br/>
        <w:t xml:space="preserve">et du Système général harmonisé de classification </w:t>
      </w:r>
      <w:r w:rsidRPr="007576EF">
        <w:rPr>
          <w:b/>
          <w:bCs/>
          <w:sz w:val="24"/>
          <w:szCs w:val="24"/>
          <w:lang w:val="fr-FR"/>
        </w:rPr>
        <w:br/>
        <w:t>et d’étiquetage des produits chimiques</w:t>
      </w:r>
    </w:p>
    <w:p w14:paraId="305B0F77" w14:textId="77777777" w:rsidR="00CF7FDF" w:rsidRPr="004104CC" w:rsidRDefault="00CF7FDF" w:rsidP="00CF7FDF">
      <w:pPr>
        <w:spacing w:before="120"/>
        <w:rPr>
          <w:rFonts w:ascii="Helv" w:hAnsi="Helv" w:cs="Helv"/>
          <w:b/>
          <w:color w:val="000000"/>
          <w:lang w:val="fr-FR"/>
        </w:rPr>
      </w:pPr>
      <w:r w:rsidRPr="004104CC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4104CC">
        <w:rPr>
          <w:b/>
          <w:bCs/>
          <w:lang w:val="fr-FR"/>
        </w:rPr>
        <w:t>experts du transport des marchandises dangereuses</w:t>
      </w:r>
    </w:p>
    <w:p w14:paraId="306D212C" w14:textId="77777777" w:rsidR="00CF7FDF" w:rsidRPr="004104CC" w:rsidRDefault="00CF7FDF" w:rsidP="00CF7FDF">
      <w:pPr>
        <w:spacing w:before="120"/>
        <w:rPr>
          <w:b/>
          <w:lang w:val="fr-FR"/>
        </w:rPr>
      </w:pPr>
      <w:r w:rsidRPr="004104CC">
        <w:rPr>
          <w:b/>
          <w:bCs/>
          <w:lang w:val="fr-FR"/>
        </w:rPr>
        <w:t>Soixante et unième session</w:t>
      </w:r>
    </w:p>
    <w:p w14:paraId="659E5FC3" w14:textId="77777777" w:rsidR="00CF7FDF" w:rsidRPr="004104CC" w:rsidRDefault="00CF7FDF" w:rsidP="00CF7FDF">
      <w:pPr>
        <w:rPr>
          <w:lang w:val="fr-FR"/>
        </w:rPr>
      </w:pPr>
      <w:r w:rsidRPr="004104CC">
        <w:rPr>
          <w:lang w:val="fr-FR"/>
        </w:rPr>
        <w:t xml:space="preserve">Genève, 28 novembre-6 décembre 2022 </w:t>
      </w:r>
    </w:p>
    <w:p w14:paraId="07CCA053" w14:textId="77777777" w:rsidR="00CF7FDF" w:rsidRPr="004104CC" w:rsidRDefault="00CF7FDF" w:rsidP="00CF7FDF">
      <w:pPr>
        <w:rPr>
          <w:lang w:val="fr-FR"/>
        </w:rPr>
      </w:pPr>
      <w:r w:rsidRPr="004104CC">
        <w:rPr>
          <w:lang w:val="fr-FR"/>
        </w:rPr>
        <w:t>Point 2 b) v) de l</w:t>
      </w:r>
      <w:r>
        <w:rPr>
          <w:lang w:val="fr-FR"/>
        </w:rPr>
        <w:t>’</w:t>
      </w:r>
      <w:r w:rsidRPr="004104CC">
        <w:rPr>
          <w:lang w:val="fr-FR"/>
        </w:rPr>
        <w:t>ordre du jour provisoire</w:t>
      </w:r>
    </w:p>
    <w:p w14:paraId="502F3385" w14:textId="6F470366" w:rsidR="00CF7FDF" w:rsidRPr="004104CC" w:rsidRDefault="00CF7FDF" w:rsidP="00CF7FDF">
      <w:pPr>
        <w:rPr>
          <w:b/>
          <w:bCs/>
          <w:lang w:val="fr-FR"/>
        </w:rPr>
      </w:pPr>
      <w:r w:rsidRPr="004104CC">
        <w:rPr>
          <w:b/>
          <w:bCs/>
          <w:lang w:val="fr-FR"/>
        </w:rPr>
        <w:t xml:space="preserve">Recommandations du Sous-Comité formulées à ses cinquante-huitième, </w:t>
      </w:r>
      <w:r w:rsidR="00D752D3">
        <w:rPr>
          <w:b/>
          <w:bCs/>
          <w:lang w:val="fr-FR"/>
        </w:rPr>
        <w:br/>
      </w:r>
      <w:r w:rsidRPr="004104CC">
        <w:rPr>
          <w:b/>
          <w:bCs/>
          <w:lang w:val="fr-FR"/>
        </w:rPr>
        <w:t xml:space="preserve">cinquante-neuvième et soixantième sessions et questions </w:t>
      </w:r>
      <w:r w:rsidR="00D752D3">
        <w:rPr>
          <w:b/>
          <w:bCs/>
          <w:lang w:val="fr-FR"/>
        </w:rPr>
        <w:br/>
      </w:r>
      <w:proofErr w:type="gramStart"/>
      <w:r w:rsidRPr="004104CC">
        <w:rPr>
          <w:b/>
          <w:bCs/>
          <w:lang w:val="fr-FR"/>
        </w:rPr>
        <w:t>en</w:t>
      </w:r>
      <w:proofErr w:type="gramEnd"/>
      <w:r w:rsidRPr="004104CC">
        <w:rPr>
          <w:b/>
          <w:bCs/>
          <w:lang w:val="fr-FR"/>
        </w:rPr>
        <w:t xml:space="preserve"> suspens : </w:t>
      </w:r>
      <w:r>
        <w:rPr>
          <w:b/>
          <w:bCs/>
          <w:lang w:val="fr-FR"/>
        </w:rPr>
        <w:t>e</w:t>
      </w:r>
      <w:r w:rsidRPr="004104CC">
        <w:rPr>
          <w:b/>
          <w:bCs/>
          <w:lang w:val="fr-FR"/>
        </w:rPr>
        <w:t>xplosifs et questions connexes</w:t>
      </w:r>
    </w:p>
    <w:p w14:paraId="3DD844F7" w14:textId="77777777" w:rsidR="00CF7FDF" w:rsidRPr="004104CC" w:rsidRDefault="00CF7FDF" w:rsidP="00CF7FDF">
      <w:pPr>
        <w:pStyle w:val="HChG"/>
        <w:rPr>
          <w:lang w:val="fr-FR"/>
        </w:rPr>
      </w:pPr>
      <w:r w:rsidRPr="004104CC">
        <w:rPr>
          <w:lang w:val="fr-FR"/>
        </w:rPr>
        <w:tab/>
      </w:r>
      <w:r w:rsidRPr="004104CC">
        <w:rPr>
          <w:lang w:val="fr-FR"/>
        </w:rPr>
        <w:tab/>
        <w:t xml:space="preserve">Affectation de la disposition spéciale 28 aux matières explosibles désensibilisées liquides </w:t>
      </w:r>
      <w:r>
        <w:rPr>
          <w:lang w:val="fr-FR"/>
        </w:rPr>
        <w:t>figurant d</w:t>
      </w:r>
      <w:r w:rsidRPr="004104CC">
        <w:rPr>
          <w:lang w:val="fr-FR"/>
        </w:rPr>
        <w:t xml:space="preserve">ans la liste </w:t>
      </w:r>
      <w:r>
        <w:rPr>
          <w:lang w:val="fr-FR"/>
        </w:rPr>
        <w:br/>
      </w:r>
      <w:r w:rsidRPr="004104CC">
        <w:rPr>
          <w:lang w:val="fr-FR"/>
        </w:rPr>
        <w:t xml:space="preserve">des marchandises dangereuses du Règlement type </w:t>
      </w:r>
      <w:r>
        <w:rPr>
          <w:lang w:val="fr-FR"/>
        </w:rPr>
        <w:br/>
      </w:r>
      <w:r w:rsidRPr="004104CC">
        <w:rPr>
          <w:lang w:val="fr-FR"/>
        </w:rPr>
        <w:t>pour le transport des marchandises dangereuses</w:t>
      </w:r>
    </w:p>
    <w:p w14:paraId="2CDA94CB" w14:textId="09B89826" w:rsidR="00CF7FDF" w:rsidRPr="004104CC" w:rsidRDefault="00CF7FDF" w:rsidP="00CF7FDF">
      <w:pPr>
        <w:pStyle w:val="H1G"/>
        <w:rPr>
          <w:lang w:val="fr-FR"/>
        </w:rPr>
      </w:pPr>
      <w:r w:rsidRPr="004104CC">
        <w:rPr>
          <w:lang w:val="fr-FR"/>
        </w:rPr>
        <w:tab/>
      </w:r>
      <w:r w:rsidRPr="004104CC">
        <w:rPr>
          <w:lang w:val="fr-FR"/>
        </w:rPr>
        <w:tab/>
        <w:t>Communication d</w:t>
      </w:r>
      <w:r>
        <w:rPr>
          <w:lang w:val="fr-FR"/>
        </w:rPr>
        <w:t>e l’</w:t>
      </w:r>
      <w:proofErr w:type="spellStart"/>
      <w:r w:rsidRPr="007A684F">
        <w:rPr>
          <w:lang w:val="fr-FR"/>
        </w:rPr>
        <w:t>European</w:t>
      </w:r>
      <w:proofErr w:type="spellEnd"/>
      <w:r w:rsidRPr="007A684F">
        <w:rPr>
          <w:lang w:val="fr-FR"/>
        </w:rPr>
        <w:t xml:space="preserve"> Chemical </w:t>
      </w:r>
      <w:proofErr w:type="spellStart"/>
      <w:r w:rsidRPr="007A684F">
        <w:rPr>
          <w:lang w:val="fr-FR"/>
        </w:rPr>
        <w:t>Industry</w:t>
      </w:r>
      <w:proofErr w:type="spellEnd"/>
      <w:r w:rsidRPr="007A684F">
        <w:rPr>
          <w:lang w:val="fr-FR"/>
        </w:rPr>
        <w:t xml:space="preserve"> Council </w:t>
      </w:r>
      <w:r w:rsidRPr="004104CC">
        <w:rPr>
          <w:lang w:val="fr-FR"/>
        </w:rPr>
        <w:t>(</w:t>
      </w:r>
      <w:proofErr w:type="spellStart"/>
      <w:r w:rsidRPr="004104CC">
        <w:rPr>
          <w:lang w:val="fr-FR"/>
        </w:rPr>
        <w:t>Cefic</w:t>
      </w:r>
      <w:proofErr w:type="spellEnd"/>
      <w:r w:rsidRPr="004104CC">
        <w:rPr>
          <w:lang w:val="fr-FR"/>
        </w:rPr>
        <w:t>)</w:t>
      </w:r>
      <w:r w:rsidRPr="00CF7FD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588AFA26" w14:textId="77777777" w:rsidR="00CF7FDF" w:rsidRPr="004104CC" w:rsidRDefault="00CF7FDF" w:rsidP="00CF7FDF">
      <w:pPr>
        <w:pStyle w:val="HChG"/>
        <w:rPr>
          <w:lang w:val="fr-FR"/>
        </w:rPr>
      </w:pPr>
      <w:r w:rsidRPr="004104CC">
        <w:rPr>
          <w:lang w:val="fr-FR"/>
        </w:rPr>
        <w:tab/>
      </w:r>
      <w:r w:rsidRPr="004104CC">
        <w:rPr>
          <w:lang w:val="fr-FR"/>
        </w:rPr>
        <w:tab/>
        <w:t>Introduction</w:t>
      </w:r>
    </w:p>
    <w:p w14:paraId="66AB6BCE" w14:textId="44D55CC1" w:rsidR="00CF7FDF" w:rsidRPr="004104CC" w:rsidRDefault="00CF7FDF" w:rsidP="00CF7FDF">
      <w:pPr>
        <w:pStyle w:val="SingleTxtG"/>
        <w:rPr>
          <w:lang w:val="fr-FR"/>
        </w:rPr>
      </w:pPr>
      <w:r w:rsidRPr="004104CC">
        <w:rPr>
          <w:lang w:val="fr-FR"/>
        </w:rPr>
        <w:t>1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ab/>
        <w:t>À la dernière session du Sous-Comité TMD, dans le cadre des débats concernant le document ST/SG/AC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>10/C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>3/2022/9, il a été décidé de modifier la disposition spéciale (DS) 28 comme suit (le</w:t>
      </w:r>
      <w:r>
        <w:rPr>
          <w:lang w:val="fr-FR"/>
        </w:rPr>
        <w:t xml:space="preserve">s ajouts figurent en caractères </w:t>
      </w:r>
      <w:r w:rsidRPr="004104CC">
        <w:rPr>
          <w:lang w:val="fr-FR"/>
        </w:rPr>
        <w:t>souligné</w:t>
      </w:r>
      <w:r>
        <w:rPr>
          <w:lang w:val="fr-FR"/>
        </w:rPr>
        <w:t>s</w:t>
      </w:r>
      <w:r w:rsidRPr="004104CC">
        <w:rPr>
          <w:lang w:val="fr-FR"/>
        </w:rPr>
        <w:t xml:space="preserve">) : </w:t>
      </w:r>
      <w:r>
        <w:rPr>
          <w:lang w:val="fr-FR"/>
        </w:rPr>
        <w:t>« </w:t>
      </w:r>
      <w:r w:rsidRPr="004104CC">
        <w:rPr>
          <w:lang w:val="fr-FR"/>
        </w:rPr>
        <w:t xml:space="preserve">Les dispositions de </w:t>
      </w:r>
      <w:r w:rsidRPr="004104CC">
        <w:rPr>
          <w:u w:val="single"/>
          <w:lang w:val="fr-FR"/>
        </w:rPr>
        <w:t xml:space="preserve">la classe 3 ou </w:t>
      </w:r>
      <w:r w:rsidRPr="004104CC">
        <w:rPr>
          <w:lang w:val="fr-FR"/>
        </w:rPr>
        <w:t>de la division 4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>1 ne peuvent s</w:t>
      </w:r>
      <w:r>
        <w:rPr>
          <w:lang w:val="fr-FR"/>
        </w:rPr>
        <w:t>’</w:t>
      </w:r>
      <w:r w:rsidRPr="004104CC">
        <w:rPr>
          <w:lang w:val="fr-FR"/>
        </w:rPr>
        <w:t xml:space="preserve">appliquer au transport de cette matière que si elle est emballée de façon que le pourcentage en diluant ne tombe à aucun moment, au cours du </w:t>
      </w:r>
      <w:proofErr w:type="gramStart"/>
      <w:r w:rsidRPr="004104CC">
        <w:rPr>
          <w:lang w:val="fr-FR"/>
        </w:rPr>
        <w:t>transport</w:t>
      </w:r>
      <w:proofErr w:type="gramEnd"/>
      <w:r w:rsidRPr="004104CC">
        <w:rPr>
          <w:lang w:val="fr-FR"/>
        </w:rPr>
        <w:t xml:space="preserve">, au-dessous du taux indiqué (voir </w:t>
      </w:r>
      <w:r w:rsidRPr="004104CC">
        <w:rPr>
          <w:u w:val="single"/>
          <w:lang w:val="fr-FR"/>
        </w:rPr>
        <w:t>2</w:t>
      </w:r>
      <w:r w:rsidR="0090090E" w:rsidRPr="0090090E">
        <w:rPr>
          <w:u w:val="single"/>
          <w:lang w:val="fr-FR"/>
        </w:rPr>
        <w:t>.</w:t>
      </w:r>
      <w:r w:rsidRPr="004104CC">
        <w:rPr>
          <w:u w:val="single"/>
          <w:lang w:val="fr-FR"/>
        </w:rPr>
        <w:t>3</w:t>
      </w:r>
      <w:r w:rsidR="0090090E" w:rsidRPr="0090090E">
        <w:rPr>
          <w:u w:val="single"/>
          <w:lang w:val="fr-FR"/>
        </w:rPr>
        <w:t>.</w:t>
      </w:r>
      <w:r w:rsidRPr="004104CC">
        <w:rPr>
          <w:u w:val="single"/>
          <w:lang w:val="fr-FR"/>
        </w:rPr>
        <w:t>1</w:t>
      </w:r>
      <w:r w:rsidR="0090090E" w:rsidRPr="0090090E">
        <w:rPr>
          <w:u w:val="single"/>
          <w:lang w:val="fr-FR"/>
        </w:rPr>
        <w:t>.</w:t>
      </w:r>
      <w:r w:rsidRPr="004104CC">
        <w:rPr>
          <w:u w:val="single"/>
          <w:lang w:val="fr-FR"/>
        </w:rPr>
        <w:t xml:space="preserve">4 et </w:t>
      </w:r>
      <w:r w:rsidRPr="004104CC">
        <w:rPr>
          <w:lang w:val="fr-FR"/>
        </w:rPr>
        <w:t>2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>4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>2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>4)</w:t>
      </w:r>
      <w:r w:rsidR="0090090E" w:rsidRPr="0090090E">
        <w:rPr>
          <w:lang w:val="fr-FR"/>
        </w:rPr>
        <w:t>.</w:t>
      </w:r>
      <w:r>
        <w:rPr>
          <w:lang w:val="fr-FR"/>
        </w:rPr>
        <w:t> »</w:t>
      </w:r>
      <w:r w:rsidR="0090090E" w:rsidRPr="0090090E">
        <w:rPr>
          <w:lang w:val="fr-FR"/>
        </w:rPr>
        <w:t>.</w:t>
      </w:r>
    </w:p>
    <w:p w14:paraId="59539C2B" w14:textId="056D0C97" w:rsidR="00CF7FDF" w:rsidRPr="004104CC" w:rsidRDefault="00CF7FDF" w:rsidP="00CF7FDF">
      <w:pPr>
        <w:pStyle w:val="SingleTxtG"/>
        <w:rPr>
          <w:lang w:val="fr-FR"/>
        </w:rPr>
      </w:pPr>
      <w:r w:rsidRPr="004104CC">
        <w:rPr>
          <w:lang w:val="fr-FR"/>
        </w:rPr>
        <w:t>2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ab/>
        <w:t>La DS 28</w:t>
      </w:r>
      <w:r>
        <w:rPr>
          <w:lang w:val="fr-FR"/>
        </w:rPr>
        <w:t>,</w:t>
      </w:r>
      <w:r w:rsidRPr="004104CC">
        <w:rPr>
          <w:lang w:val="fr-FR"/>
        </w:rPr>
        <w:t xml:space="preserve"> </w:t>
      </w:r>
      <w:r>
        <w:rPr>
          <w:lang w:val="fr-FR"/>
        </w:rPr>
        <w:t xml:space="preserve">dans sa version </w:t>
      </w:r>
      <w:r w:rsidRPr="008A2537">
        <w:rPr>
          <w:lang w:val="fr-FR"/>
        </w:rPr>
        <w:t>précédente</w:t>
      </w:r>
      <w:r>
        <w:rPr>
          <w:lang w:val="fr-FR"/>
        </w:rPr>
        <w:t>,</w:t>
      </w:r>
      <w:r w:rsidRPr="008A2537">
        <w:rPr>
          <w:lang w:val="fr-FR"/>
        </w:rPr>
        <w:t xml:space="preserve"> </w:t>
      </w:r>
      <w:r w:rsidRPr="004104CC">
        <w:rPr>
          <w:lang w:val="fr-FR"/>
        </w:rPr>
        <w:t xml:space="preserve">a été </w:t>
      </w:r>
      <w:r>
        <w:rPr>
          <w:lang w:val="fr-FR"/>
        </w:rPr>
        <w:t>affect</w:t>
      </w:r>
      <w:r w:rsidRPr="004104CC">
        <w:rPr>
          <w:lang w:val="fr-FR"/>
        </w:rPr>
        <w:t xml:space="preserve">ée à la </w:t>
      </w:r>
      <w:r>
        <w:rPr>
          <w:lang w:val="fr-FR"/>
        </w:rPr>
        <w:t xml:space="preserve">plupart </w:t>
      </w:r>
      <w:r w:rsidRPr="004104CC">
        <w:rPr>
          <w:lang w:val="fr-FR"/>
        </w:rPr>
        <w:t>des matières explosibles désensibilisées solides, alors qu</w:t>
      </w:r>
      <w:r>
        <w:rPr>
          <w:lang w:val="fr-FR"/>
        </w:rPr>
        <w:t>’</w:t>
      </w:r>
      <w:r w:rsidRPr="004104CC">
        <w:rPr>
          <w:lang w:val="fr-FR"/>
        </w:rPr>
        <w:t>aucune disposition comparable n</w:t>
      </w:r>
      <w:r>
        <w:rPr>
          <w:lang w:val="fr-FR"/>
        </w:rPr>
        <w:t>’était</w:t>
      </w:r>
      <w:r w:rsidRPr="004104CC">
        <w:rPr>
          <w:lang w:val="fr-FR"/>
        </w:rPr>
        <w:t xml:space="preserve"> </w:t>
      </w:r>
      <w:r>
        <w:rPr>
          <w:lang w:val="fr-FR"/>
        </w:rPr>
        <w:t>affect</w:t>
      </w:r>
      <w:r w:rsidRPr="004104CC">
        <w:rPr>
          <w:lang w:val="fr-FR"/>
        </w:rPr>
        <w:t>ée aux rubriques actuelles des matières explosibles désensibilisées liquides dans le Règlement type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 xml:space="preserve"> </w:t>
      </w:r>
      <w:proofErr w:type="gramStart"/>
      <w:r w:rsidRPr="004104CC">
        <w:rPr>
          <w:lang w:val="fr-FR"/>
        </w:rPr>
        <w:t>Suite aux</w:t>
      </w:r>
      <w:proofErr w:type="gramEnd"/>
      <w:r w:rsidRPr="004104CC">
        <w:rPr>
          <w:lang w:val="fr-FR"/>
        </w:rPr>
        <w:t xml:space="preserve"> débats du Sous-Comité relatifs à la question de savoir si d</w:t>
      </w:r>
      <w:r>
        <w:rPr>
          <w:lang w:val="fr-FR"/>
        </w:rPr>
        <w:t>’</w:t>
      </w:r>
      <w:r w:rsidRPr="004104CC">
        <w:rPr>
          <w:lang w:val="fr-FR"/>
        </w:rPr>
        <w:t>autres rubriques de matières explosibles désensibilisées liquides de la classe 3 pourraient faire l</w:t>
      </w:r>
      <w:r>
        <w:rPr>
          <w:lang w:val="fr-FR"/>
        </w:rPr>
        <w:t>’</w:t>
      </w:r>
      <w:r w:rsidRPr="004104CC">
        <w:rPr>
          <w:lang w:val="fr-FR"/>
        </w:rPr>
        <w:t>objet d</w:t>
      </w:r>
      <w:r>
        <w:rPr>
          <w:lang w:val="fr-FR"/>
        </w:rPr>
        <w:t>’</w:t>
      </w:r>
      <w:r w:rsidRPr="004104CC">
        <w:rPr>
          <w:lang w:val="fr-FR"/>
        </w:rPr>
        <w:t xml:space="preserve">une harmonisation en ce qui concerne la DS 28, le </w:t>
      </w:r>
      <w:proofErr w:type="spellStart"/>
      <w:r w:rsidRPr="004104CC">
        <w:rPr>
          <w:lang w:val="fr-FR"/>
        </w:rPr>
        <w:t>Cefic</w:t>
      </w:r>
      <w:proofErr w:type="spellEnd"/>
      <w:r w:rsidRPr="004104CC">
        <w:rPr>
          <w:lang w:val="fr-FR"/>
        </w:rPr>
        <w:t xml:space="preserve"> s</w:t>
      </w:r>
      <w:r>
        <w:rPr>
          <w:lang w:val="fr-FR"/>
        </w:rPr>
        <w:t>’</w:t>
      </w:r>
      <w:r w:rsidRPr="004104CC">
        <w:rPr>
          <w:lang w:val="fr-FR"/>
        </w:rPr>
        <w:t>est porté volontaire pour élaborer une proposition à ce sujet pour examen à la prochaine session</w:t>
      </w:r>
      <w:r w:rsidR="0090090E" w:rsidRPr="0090090E">
        <w:rPr>
          <w:lang w:val="fr-FR"/>
        </w:rPr>
        <w:t>.</w:t>
      </w:r>
    </w:p>
    <w:p w14:paraId="779B11C2" w14:textId="77777777" w:rsidR="00CF7FDF" w:rsidRPr="004104CC" w:rsidRDefault="00CF7FDF" w:rsidP="00824CD0">
      <w:pPr>
        <w:pStyle w:val="HChG"/>
        <w:rPr>
          <w:lang w:val="fr-FR"/>
        </w:rPr>
      </w:pPr>
      <w:r w:rsidRPr="004104CC">
        <w:rPr>
          <w:lang w:val="fr-FR"/>
        </w:rPr>
        <w:lastRenderedPageBreak/>
        <w:tab/>
      </w:r>
      <w:r w:rsidRPr="004104CC">
        <w:rPr>
          <w:lang w:val="fr-FR"/>
        </w:rPr>
        <w:tab/>
        <w:t>Examen de la question</w:t>
      </w:r>
    </w:p>
    <w:p w14:paraId="13052E26" w14:textId="6D1E1E56" w:rsidR="00CF7FDF" w:rsidRPr="004104CC" w:rsidRDefault="00CF7FDF" w:rsidP="00824CD0">
      <w:pPr>
        <w:pStyle w:val="SingleTxtG"/>
        <w:keepNext/>
        <w:keepLines/>
        <w:rPr>
          <w:lang w:val="fr-FR"/>
        </w:rPr>
      </w:pPr>
      <w:r w:rsidRPr="004104CC">
        <w:rPr>
          <w:lang w:val="fr-FR"/>
        </w:rPr>
        <w:t>3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ab/>
        <w:t>Une analyse de l</w:t>
      </w:r>
      <w:r>
        <w:rPr>
          <w:lang w:val="fr-FR"/>
        </w:rPr>
        <w:t>’</w:t>
      </w:r>
      <w:r w:rsidRPr="004104CC">
        <w:rPr>
          <w:lang w:val="fr-FR"/>
        </w:rPr>
        <w:t>utilisation actuelle de la DS 28 est présentée brièvement ci-dessous :</w:t>
      </w:r>
    </w:p>
    <w:p w14:paraId="48C82638" w14:textId="140BE2B9" w:rsidR="00CF7FDF" w:rsidRPr="004104CC" w:rsidRDefault="00CF7FDF" w:rsidP="00824CD0">
      <w:pPr>
        <w:pStyle w:val="SingleTxtG"/>
        <w:keepNext/>
        <w:keepLines/>
        <w:kinsoku/>
        <w:overflowPunct/>
        <w:autoSpaceDE/>
        <w:autoSpaceDN/>
        <w:adjustRightInd/>
        <w:snapToGrid/>
        <w:ind w:left="1701"/>
        <w:rPr>
          <w:lang w:val="fr-FR"/>
        </w:rPr>
      </w:pPr>
      <w:r w:rsidRPr="004104CC">
        <w:rPr>
          <w:lang w:val="fr-FR"/>
        </w:rPr>
        <w:t xml:space="preserve">La DS 28 est attribuée aux </w:t>
      </w:r>
      <w:r w:rsidRPr="00122AA7">
        <w:rPr>
          <w:lang w:val="fr-FR"/>
        </w:rPr>
        <w:t>rubriques des matières explosibles désensibilisées solides suivantes : Nos ONU 1310, 1320, 1321, 1322, 1336, 1337, 1344, 1347, 1348, 1349, 1354, 1355, 1356, 1357, 1517, 1571, 2852, 3317, 3364, 3365, 3366, 3367, 3368, 3369, 3370 et 3376</w:t>
      </w:r>
      <w:r w:rsidR="0090090E" w:rsidRPr="0090090E">
        <w:rPr>
          <w:lang w:val="fr-FR"/>
        </w:rPr>
        <w:t>.</w:t>
      </w:r>
    </w:p>
    <w:p w14:paraId="416F17F2" w14:textId="39406EEB" w:rsidR="00CF7FDF" w:rsidRPr="004104CC" w:rsidRDefault="00CF7FDF" w:rsidP="00CF7FDF">
      <w:pPr>
        <w:pStyle w:val="SingleTxtG"/>
        <w:kinsoku/>
        <w:overflowPunct/>
        <w:autoSpaceDE/>
        <w:autoSpaceDN/>
        <w:adjustRightInd/>
        <w:snapToGrid/>
        <w:ind w:left="1701"/>
        <w:rPr>
          <w:lang w:val="fr-FR"/>
        </w:rPr>
      </w:pPr>
      <w:r>
        <w:rPr>
          <w:lang w:val="fr-FR"/>
        </w:rPr>
        <w:t>Pour</w:t>
      </w:r>
      <w:r w:rsidRPr="004104CC">
        <w:rPr>
          <w:lang w:val="fr-FR"/>
        </w:rPr>
        <w:t xml:space="preserve"> toutes les rubriques énumérées</w:t>
      </w:r>
      <w:r>
        <w:rPr>
          <w:lang w:val="fr-FR"/>
        </w:rPr>
        <w:t xml:space="preserve"> ici</w:t>
      </w:r>
      <w:r w:rsidRPr="004104CC">
        <w:rPr>
          <w:lang w:val="fr-FR"/>
        </w:rPr>
        <w:t>, l</w:t>
      </w:r>
      <w:r>
        <w:rPr>
          <w:lang w:val="fr-FR"/>
        </w:rPr>
        <w:t>’</w:t>
      </w:r>
      <w:r w:rsidRPr="004104CC">
        <w:rPr>
          <w:lang w:val="fr-FR"/>
        </w:rPr>
        <w:t xml:space="preserve">eau est </w:t>
      </w:r>
      <w:r>
        <w:rPr>
          <w:lang w:val="fr-FR"/>
        </w:rPr>
        <w:t>utilis</w:t>
      </w:r>
      <w:r w:rsidRPr="004104CC">
        <w:rPr>
          <w:lang w:val="fr-FR"/>
        </w:rPr>
        <w:t>ée comme diluant à des concentrations comprises entre 10 et 50 %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 xml:space="preserve"> L</w:t>
      </w:r>
      <w:r>
        <w:rPr>
          <w:lang w:val="fr-FR"/>
        </w:rPr>
        <w:t>’</w:t>
      </w:r>
      <w:r w:rsidRPr="004104CC">
        <w:rPr>
          <w:lang w:val="fr-FR"/>
        </w:rPr>
        <w:t>instruction d</w:t>
      </w:r>
      <w:r>
        <w:rPr>
          <w:lang w:val="fr-FR"/>
        </w:rPr>
        <w:t>’</w:t>
      </w:r>
      <w:r w:rsidRPr="004104CC">
        <w:rPr>
          <w:lang w:val="fr-FR"/>
        </w:rPr>
        <w:t xml:space="preserve">emballage applicable est </w:t>
      </w:r>
      <w:r w:rsidRPr="00122AA7">
        <w:rPr>
          <w:lang w:val="fr-FR"/>
        </w:rPr>
        <w:t>la</w:t>
      </w:r>
      <w:r w:rsidRPr="004104CC">
        <w:rPr>
          <w:b/>
          <w:bCs/>
          <w:lang w:val="fr-FR"/>
        </w:rPr>
        <w:t xml:space="preserve"> </w:t>
      </w:r>
      <w:r w:rsidRPr="004104CC">
        <w:rPr>
          <w:lang w:val="fr-FR"/>
        </w:rPr>
        <w:t>P406 dans tous les cas</w:t>
      </w:r>
      <w:r w:rsidR="0090090E" w:rsidRPr="0090090E">
        <w:rPr>
          <w:lang w:val="fr-FR"/>
        </w:rPr>
        <w:t>.</w:t>
      </w:r>
    </w:p>
    <w:p w14:paraId="5DF68471" w14:textId="32C9B7AE" w:rsidR="00CF7FDF" w:rsidRPr="004104CC" w:rsidRDefault="00CF7FDF" w:rsidP="00CF7FDF">
      <w:pPr>
        <w:pStyle w:val="SingleTxtG"/>
        <w:rPr>
          <w:lang w:val="fr-FR"/>
        </w:rPr>
      </w:pPr>
      <w:r w:rsidRPr="004104CC">
        <w:rPr>
          <w:lang w:val="fr-FR"/>
        </w:rPr>
        <w:t>4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ab/>
        <w:t>Les autres rubriques des matières explosibles désensibilisées solides sont énumérées ci-après :</w:t>
      </w:r>
    </w:p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671"/>
        <w:gridCol w:w="3722"/>
        <w:gridCol w:w="845"/>
        <w:gridCol w:w="930"/>
        <w:gridCol w:w="1100"/>
        <w:gridCol w:w="1185"/>
        <w:gridCol w:w="1184"/>
      </w:tblGrid>
      <w:tr w:rsidR="00CF7FDF" w:rsidRPr="00824CD0" w14:paraId="2EA49644" w14:textId="77777777" w:rsidTr="00824CD0">
        <w:tc>
          <w:tcPr>
            <w:tcW w:w="671" w:type="dxa"/>
          </w:tcPr>
          <w:p w14:paraId="5543C19C" w14:textId="77777777" w:rsidR="00CF7FDF" w:rsidRPr="00824CD0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No ONU</w:t>
            </w:r>
          </w:p>
        </w:tc>
        <w:tc>
          <w:tcPr>
            <w:tcW w:w="3722" w:type="dxa"/>
          </w:tcPr>
          <w:p w14:paraId="2367605B" w14:textId="77777777" w:rsidR="00CF7FDF" w:rsidRPr="00824CD0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 w:hanging="2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845" w:type="dxa"/>
          </w:tcPr>
          <w:p w14:paraId="4FE83F00" w14:textId="77777777" w:rsidR="00CF7FDF" w:rsidRPr="00824CD0" w:rsidRDefault="00CF7FDF" w:rsidP="00824CD0">
            <w:pPr>
              <w:pStyle w:val="SingleTxtG"/>
              <w:tabs>
                <w:tab w:val="left" w:pos="0"/>
              </w:tabs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Classe ou division</w:t>
            </w:r>
          </w:p>
        </w:tc>
        <w:tc>
          <w:tcPr>
            <w:tcW w:w="930" w:type="dxa"/>
          </w:tcPr>
          <w:p w14:paraId="1BC5C8D5" w14:textId="77777777" w:rsidR="00CF7FDF" w:rsidRPr="00824CD0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Groupe d’emballage</w:t>
            </w:r>
          </w:p>
        </w:tc>
        <w:tc>
          <w:tcPr>
            <w:tcW w:w="1100" w:type="dxa"/>
          </w:tcPr>
          <w:p w14:paraId="0DB64117" w14:textId="77777777" w:rsidR="00CF7FDF" w:rsidRPr="00824CD0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 w:hanging="3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Dispositions spéciales</w:t>
            </w:r>
          </w:p>
        </w:tc>
        <w:tc>
          <w:tcPr>
            <w:tcW w:w="1185" w:type="dxa"/>
          </w:tcPr>
          <w:p w14:paraId="23EBBB31" w14:textId="77777777" w:rsidR="00CF7FDF" w:rsidRPr="00824CD0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Instruction d’emballage</w:t>
            </w:r>
          </w:p>
        </w:tc>
        <w:tc>
          <w:tcPr>
            <w:tcW w:w="1184" w:type="dxa"/>
          </w:tcPr>
          <w:p w14:paraId="2579043E" w14:textId="77777777" w:rsidR="00CF7FDF" w:rsidRPr="00824CD0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Dispositions spéciales d’emballage</w:t>
            </w:r>
          </w:p>
        </w:tc>
      </w:tr>
      <w:tr w:rsidR="00CF7FDF" w:rsidRPr="004104CC" w14:paraId="7DAF2F7A" w14:textId="77777777" w:rsidTr="00824CD0">
        <w:tc>
          <w:tcPr>
            <w:tcW w:w="671" w:type="dxa"/>
          </w:tcPr>
          <w:p w14:paraId="7B257D13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1)</w:t>
            </w:r>
          </w:p>
        </w:tc>
        <w:tc>
          <w:tcPr>
            <w:tcW w:w="3722" w:type="dxa"/>
          </w:tcPr>
          <w:p w14:paraId="683C41F4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 w:hanging="2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2)</w:t>
            </w:r>
          </w:p>
        </w:tc>
        <w:tc>
          <w:tcPr>
            <w:tcW w:w="845" w:type="dxa"/>
          </w:tcPr>
          <w:p w14:paraId="6ABB17D0" w14:textId="77777777" w:rsidR="00CF7FDF" w:rsidRPr="004104CC" w:rsidRDefault="00CF7FDF" w:rsidP="00824CD0">
            <w:pPr>
              <w:pStyle w:val="SingleTxtG"/>
              <w:tabs>
                <w:tab w:val="left" w:pos="0"/>
              </w:tabs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3)</w:t>
            </w:r>
          </w:p>
        </w:tc>
        <w:tc>
          <w:tcPr>
            <w:tcW w:w="930" w:type="dxa"/>
          </w:tcPr>
          <w:p w14:paraId="268D6F2A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5)</w:t>
            </w:r>
          </w:p>
        </w:tc>
        <w:tc>
          <w:tcPr>
            <w:tcW w:w="1100" w:type="dxa"/>
          </w:tcPr>
          <w:p w14:paraId="1AEE679D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 w:hanging="3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6)</w:t>
            </w:r>
          </w:p>
        </w:tc>
        <w:tc>
          <w:tcPr>
            <w:tcW w:w="1185" w:type="dxa"/>
          </w:tcPr>
          <w:p w14:paraId="4709C535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8)</w:t>
            </w:r>
          </w:p>
        </w:tc>
        <w:tc>
          <w:tcPr>
            <w:tcW w:w="1184" w:type="dxa"/>
          </w:tcPr>
          <w:p w14:paraId="5CDF4D8E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9)</w:t>
            </w:r>
          </w:p>
        </w:tc>
      </w:tr>
      <w:tr w:rsidR="00CF7FDF" w:rsidRPr="004104CC" w14:paraId="4C8EEB29" w14:textId="77777777" w:rsidTr="00824CD0">
        <w:tc>
          <w:tcPr>
            <w:tcW w:w="671" w:type="dxa"/>
          </w:tcPr>
          <w:p w14:paraId="44BD54EE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2555</w:t>
            </w:r>
          </w:p>
        </w:tc>
        <w:tc>
          <w:tcPr>
            <w:tcW w:w="3722" w:type="dxa"/>
          </w:tcPr>
          <w:p w14:paraId="20DD8D44" w14:textId="708AFCBB" w:rsidR="00CF7FDF" w:rsidRPr="00824CD0" w:rsidRDefault="00CF7FDF" w:rsidP="00824CD0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rFonts w:ascii="TimesNewRoman" w:hAnsi="TimesNewRoman" w:cs="TimesNewRoman"/>
                <w:lang w:val="fr-FR"/>
              </w:rPr>
            </w:pPr>
            <w:r w:rsidRPr="004104CC">
              <w:rPr>
                <w:lang w:val="fr-FR"/>
              </w:rPr>
              <w:t>NITROCELLULOSE AVEC</w:t>
            </w:r>
            <w:r w:rsidR="00824CD0">
              <w:rPr>
                <w:lang w:val="fr-FR"/>
              </w:rPr>
              <w:t xml:space="preserve"> </w:t>
            </w:r>
            <w:r w:rsidR="00824CD0">
              <w:rPr>
                <w:lang w:val="fr-FR"/>
              </w:rPr>
              <w:br/>
            </w:r>
            <w:r w:rsidRPr="004104CC">
              <w:rPr>
                <w:lang w:val="fr-FR"/>
              </w:rPr>
              <w:t>au moins 25 % (masse) d</w:t>
            </w:r>
            <w:r>
              <w:rPr>
                <w:lang w:val="fr-FR"/>
              </w:rPr>
              <w:t>’</w:t>
            </w:r>
            <w:r w:rsidRPr="004104CC">
              <w:rPr>
                <w:lang w:val="fr-FR"/>
              </w:rPr>
              <w:t>EAU</w:t>
            </w:r>
          </w:p>
        </w:tc>
        <w:tc>
          <w:tcPr>
            <w:tcW w:w="845" w:type="dxa"/>
          </w:tcPr>
          <w:p w14:paraId="6E8138D3" w14:textId="12E2A329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4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1</w:t>
            </w:r>
          </w:p>
        </w:tc>
        <w:tc>
          <w:tcPr>
            <w:tcW w:w="930" w:type="dxa"/>
          </w:tcPr>
          <w:p w14:paraId="6E6DEFA9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II</w:t>
            </w:r>
          </w:p>
        </w:tc>
        <w:tc>
          <w:tcPr>
            <w:tcW w:w="1100" w:type="dxa"/>
          </w:tcPr>
          <w:p w14:paraId="0A900DB9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394</w:t>
            </w:r>
          </w:p>
        </w:tc>
        <w:tc>
          <w:tcPr>
            <w:tcW w:w="1185" w:type="dxa"/>
          </w:tcPr>
          <w:p w14:paraId="536B3844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P406</w:t>
            </w:r>
          </w:p>
        </w:tc>
        <w:tc>
          <w:tcPr>
            <w:tcW w:w="1184" w:type="dxa"/>
          </w:tcPr>
          <w:p w14:paraId="535A5C2C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</w:tr>
      <w:tr w:rsidR="00CF7FDF" w:rsidRPr="004104CC" w14:paraId="742DB560" w14:textId="77777777" w:rsidTr="00824CD0">
        <w:tc>
          <w:tcPr>
            <w:tcW w:w="671" w:type="dxa"/>
          </w:tcPr>
          <w:p w14:paraId="21E0624E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2556</w:t>
            </w:r>
          </w:p>
        </w:tc>
        <w:tc>
          <w:tcPr>
            <w:tcW w:w="3722" w:type="dxa"/>
          </w:tcPr>
          <w:p w14:paraId="23ED0CA5" w14:textId="5D16D1F5" w:rsidR="00CF7FDF" w:rsidRPr="004104CC" w:rsidRDefault="00CF7FDF" w:rsidP="00824CD0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lang w:val="fr-FR"/>
              </w:rPr>
            </w:pPr>
            <w:r w:rsidRPr="004104CC">
              <w:rPr>
                <w:lang w:val="fr-FR"/>
              </w:rPr>
              <w:t>NITROCELLULOSE AVEC</w:t>
            </w:r>
            <w:r w:rsidR="00824CD0">
              <w:rPr>
                <w:lang w:val="fr-FR"/>
              </w:rPr>
              <w:t xml:space="preserve"> </w:t>
            </w:r>
            <w:r w:rsidR="00824CD0">
              <w:rPr>
                <w:lang w:val="fr-FR"/>
              </w:rPr>
              <w:br/>
            </w:r>
            <w:r w:rsidRPr="004104CC">
              <w:rPr>
                <w:lang w:val="fr-FR"/>
              </w:rPr>
              <w:t>au moins 25 % (masse) d</w:t>
            </w:r>
            <w:r>
              <w:rPr>
                <w:lang w:val="fr-FR"/>
              </w:rPr>
              <w:t>’</w:t>
            </w:r>
            <w:r w:rsidRPr="004104CC">
              <w:rPr>
                <w:lang w:val="fr-FR"/>
              </w:rPr>
              <w:t>ALCOOL,</w:t>
            </w:r>
            <w:r w:rsidR="00824CD0">
              <w:rPr>
                <w:lang w:val="fr-FR"/>
              </w:rPr>
              <w:t xml:space="preserve"> </w:t>
            </w:r>
            <w:r w:rsidR="00824CD0">
              <w:rPr>
                <w:lang w:val="fr-FR"/>
              </w:rPr>
              <w:br/>
            </w:r>
            <w:r w:rsidRPr="004104CC">
              <w:rPr>
                <w:lang w:val="fr-FR"/>
              </w:rPr>
              <w:t>et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 xml:space="preserve">une teneur en azote ne dépassant pas </w:t>
            </w:r>
            <w:r w:rsidR="00824CD0">
              <w:rPr>
                <w:lang w:val="fr-FR"/>
              </w:rPr>
              <w:br/>
            </w:r>
            <w:r w:rsidRPr="004104CC">
              <w:rPr>
                <w:lang w:val="fr-FR"/>
              </w:rPr>
              <w:t>12,6 % (rapportée à la masse sèche)</w:t>
            </w:r>
          </w:p>
        </w:tc>
        <w:tc>
          <w:tcPr>
            <w:tcW w:w="845" w:type="dxa"/>
          </w:tcPr>
          <w:p w14:paraId="580ACAC4" w14:textId="7FB707E8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4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1</w:t>
            </w:r>
          </w:p>
        </w:tc>
        <w:tc>
          <w:tcPr>
            <w:tcW w:w="930" w:type="dxa"/>
          </w:tcPr>
          <w:p w14:paraId="31119D37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II</w:t>
            </w:r>
          </w:p>
        </w:tc>
        <w:tc>
          <w:tcPr>
            <w:tcW w:w="1100" w:type="dxa"/>
          </w:tcPr>
          <w:p w14:paraId="0BC922EC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394</w:t>
            </w:r>
          </w:p>
        </w:tc>
        <w:tc>
          <w:tcPr>
            <w:tcW w:w="1185" w:type="dxa"/>
          </w:tcPr>
          <w:p w14:paraId="3E4D6657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P406</w:t>
            </w:r>
          </w:p>
        </w:tc>
        <w:tc>
          <w:tcPr>
            <w:tcW w:w="1184" w:type="dxa"/>
          </w:tcPr>
          <w:p w14:paraId="3A5BF0B2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</w:tr>
      <w:tr w:rsidR="00CF7FDF" w:rsidRPr="004104CC" w14:paraId="51CBFFB6" w14:textId="77777777" w:rsidTr="00824CD0">
        <w:tc>
          <w:tcPr>
            <w:tcW w:w="671" w:type="dxa"/>
          </w:tcPr>
          <w:p w14:paraId="1894267A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2557</w:t>
            </w:r>
          </w:p>
        </w:tc>
        <w:tc>
          <w:tcPr>
            <w:tcW w:w="3722" w:type="dxa"/>
          </w:tcPr>
          <w:p w14:paraId="118E0060" w14:textId="3EAE3DD1" w:rsidR="00CF7FDF" w:rsidRPr="004104CC" w:rsidRDefault="00CF7FDF" w:rsidP="00824CD0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lang w:val="fr-FR"/>
              </w:rPr>
            </w:pPr>
            <w:r w:rsidRPr="004104CC">
              <w:rPr>
                <w:lang w:val="fr-FR"/>
              </w:rPr>
              <w:t>NITROCELLULOSE EN MÉLANGE,</w:t>
            </w:r>
            <w:r>
              <w:rPr>
                <w:lang w:val="fr-FR"/>
              </w:rPr>
              <w:t xml:space="preserve"> </w:t>
            </w:r>
            <w:r w:rsidR="00824CD0">
              <w:rPr>
                <w:lang w:val="fr-FR"/>
              </w:rPr>
              <w:br/>
            </w:r>
            <w:r w:rsidRPr="004104CC">
              <w:rPr>
                <w:lang w:val="fr-FR"/>
              </w:rPr>
              <w:t>d</w:t>
            </w:r>
            <w:r>
              <w:rPr>
                <w:lang w:val="fr-FR"/>
              </w:rPr>
              <w:t>’</w:t>
            </w:r>
            <w:r w:rsidRPr="004104CC">
              <w:rPr>
                <w:lang w:val="fr-FR"/>
              </w:rPr>
              <w:t xml:space="preserve">une teneur en azote ne dépassant pas </w:t>
            </w:r>
            <w:r w:rsidR="00824CD0">
              <w:rPr>
                <w:lang w:val="fr-FR"/>
              </w:rPr>
              <w:br/>
            </w:r>
            <w:r w:rsidRPr="004104CC">
              <w:rPr>
                <w:lang w:val="fr-FR"/>
              </w:rPr>
              <w:t>12,6 % (rapportée à la masse sèche)</w:t>
            </w:r>
            <w:r>
              <w:rPr>
                <w:lang w:val="fr-FR"/>
              </w:rPr>
              <w:t xml:space="preserve"> </w:t>
            </w:r>
            <w:r w:rsidR="00824CD0">
              <w:rPr>
                <w:lang w:val="fr-FR"/>
              </w:rPr>
              <w:br/>
            </w:r>
            <w:r w:rsidRPr="004104CC">
              <w:rPr>
                <w:lang w:val="fr-FR"/>
              </w:rPr>
              <w:t>AVEC ou</w:t>
            </w:r>
            <w:r w:rsidR="00824CD0"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 xml:space="preserve">SANS PLASTIFIANT, </w:t>
            </w:r>
            <w:r w:rsidR="00824CD0">
              <w:rPr>
                <w:lang w:val="fr-FR"/>
              </w:rPr>
              <w:br/>
            </w:r>
            <w:r w:rsidRPr="004104CC">
              <w:rPr>
                <w:lang w:val="fr-FR"/>
              </w:rPr>
              <w:t>AVEC</w:t>
            </w:r>
            <w:r w:rsidR="00824CD0"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ou SANS PIGMENT</w:t>
            </w:r>
          </w:p>
        </w:tc>
        <w:tc>
          <w:tcPr>
            <w:tcW w:w="845" w:type="dxa"/>
          </w:tcPr>
          <w:p w14:paraId="0FB10B0A" w14:textId="2FFE75FD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4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1</w:t>
            </w:r>
          </w:p>
        </w:tc>
        <w:tc>
          <w:tcPr>
            <w:tcW w:w="930" w:type="dxa"/>
          </w:tcPr>
          <w:p w14:paraId="16013FE6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II</w:t>
            </w:r>
          </w:p>
        </w:tc>
        <w:tc>
          <w:tcPr>
            <w:tcW w:w="1100" w:type="dxa"/>
          </w:tcPr>
          <w:p w14:paraId="48FD160C" w14:textId="7FCC2731" w:rsidR="00CF7FDF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241</w:t>
            </w:r>
          </w:p>
          <w:p w14:paraId="3043ACBE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394</w:t>
            </w:r>
          </w:p>
        </w:tc>
        <w:tc>
          <w:tcPr>
            <w:tcW w:w="1185" w:type="dxa"/>
          </w:tcPr>
          <w:p w14:paraId="2F46BB75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P406</w:t>
            </w:r>
          </w:p>
        </w:tc>
        <w:tc>
          <w:tcPr>
            <w:tcW w:w="1184" w:type="dxa"/>
          </w:tcPr>
          <w:p w14:paraId="47924774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</w:tr>
      <w:tr w:rsidR="00CF7FDF" w:rsidRPr="004104CC" w14:paraId="6BD02CA9" w14:textId="77777777" w:rsidTr="00824CD0">
        <w:tc>
          <w:tcPr>
            <w:tcW w:w="671" w:type="dxa"/>
          </w:tcPr>
          <w:p w14:paraId="1A1DC967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2907</w:t>
            </w:r>
          </w:p>
        </w:tc>
        <w:tc>
          <w:tcPr>
            <w:tcW w:w="3722" w:type="dxa"/>
          </w:tcPr>
          <w:p w14:paraId="60A363D2" w14:textId="62977598" w:rsidR="00CF7FDF" w:rsidRPr="004104CC" w:rsidRDefault="00CF7FDF" w:rsidP="00824CD0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lang w:val="fr-FR"/>
              </w:rPr>
            </w:pPr>
            <w:r w:rsidRPr="004104CC">
              <w:rPr>
                <w:lang w:val="fr-FR"/>
              </w:rPr>
              <w:t>DINITRATE D</w:t>
            </w:r>
            <w:r>
              <w:rPr>
                <w:lang w:val="fr-FR"/>
              </w:rPr>
              <w:t>’</w:t>
            </w:r>
            <w:r w:rsidRPr="004104CC">
              <w:rPr>
                <w:lang w:val="fr-FR"/>
              </w:rPr>
              <w:t>ISOSORBIDE</w:t>
            </w:r>
            <w:r w:rsidR="00824CD0"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EN MÉLANGE avec au moins 60 %</w:t>
            </w:r>
            <w:r w:rsidR="00824CD0">
              <w:rPr>
                <w:lang w:val="fr-FR"/>
              </w:rPr>
              <w:t xml:space="preserve"> </w:t>
            </w:r>
            <w:r w:rsidR="00824CD0">
              <w:rPr>
                <w:lang w:val="fr-FR"/>
              </w:rPr>
              <w:br/>
            </w:r>
            <w:r w:rsidRPr="004104CC">
              <w:rPr>
                <w:lang w:val="fr-FR"/>
              </w:rPr>
              <w:t>de lactose, de mannose, d</w:t>
            </w:r>
            <w:r>
              <w:rPr>
                <w:lang w:val="fr-FR"/>
              </w:rPr>
              <w:t>’</w:t>
            </w:r>
            <w:r w:rsidRPr="004104CC">
              <w:rPr>
                <w:lang w:val="fr-FR"/>
              </w:rPr>
              <w:t>amidon ou d</w:t>
            </w:r>
            <w:r>
              <w:rPr>
                <w:lang w:val="fr-FR"/>
              </w:rPr>
              <w:t>’</w:t>
            </w:r>
            <w:proofErr w:type="spellStart"/>
            <w:r w:rsidRPr="004104CC">
              <w:rPr>
                <w:lang w:val="fr-FR"/>
              </w:rPr>
              <w:t>hydrogénophosphate</w:t>
            </w:r>
            <w:proofErr w:type="spellEnd"/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de calcium</w:t>
            </w:r>
          </w:p>
        </w:tc>
        <w:tc>
          <w:tcPr>
            <w:tcW w:w="845" w:type="dxa"/>
          </w:tcPr>
          <w:p w14:paraId="77396573" w14:textId="5958C6B5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4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1</w:t>
            </w:r>
          </w:p>
        </w:tc>
        <w:tc>
          <w:tcPr>
            <w:tcW w:w="930" w:type="dxa"/>
          </w:tcPr>
          <w:p w14:paraId="6FF5D7C6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II</w:t>
            </w:r>
          </w:p>
        </w:tc>
        <w:tc>
          <w:tcPr>
            <w:tcW w:w="1100" w:type="dxa"/>
          </w:tcPr>
          <w:p w14:paraId="4563AF74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127</w:t>
            </w:r>
          </w:p>
        </w:tc>
        <w:tc>
          <w:tcPr>
            <w:tcW w:w="1185" w:type="dxa"/>
          </w:tcPr>
          <w:p w14:paraId="1C4EDDF8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P406</w:t>
            </w:r>
          </w:p>
          <w:p w14:paraId="18A62AFE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IBC06</w:t>
            </w:r>
          </w:p>
        </w:tc>
        <w:tc>
          <w:tcPr>
            <w:tcW w:w="1184" w:type="dxa"/>
          </w:tcPr>
          <w:p w14:paraId="39CC1915" w14:textId="77777777" w:rsidR="00CF7FDF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 xml:space="preserve">PP26 </w:t>
            </w:r>
          </w:p>
          <w:p w14:paraId="65EB070E" w14:textId="77777777" w:rsidR="00CF7FDF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 xml:space="preserve">PP80 </w:t>
            </w:r>
          </w:p>
          <w:p w14:paraId="047A886B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B2, B12</w:t>
            </w:r>
          </w:p>
        </w:tc>
      </w:tr>
      <w:tr w:rsidR="00CF7FDF" w:rsidRPr="004104CC" w14:paraId="634541D3" w14:textId="77777777" w:rsidTr="00824CD0">
        <w:tc>
          <w:tcPr>
            <w:tcW w:w="671" w:type="dxa"/>
          </w:tcPr>
          <w:p w14:paraId="2C4E4DA6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3319</w:t>
            </w:r>
          </w:p>
        </w:tc>
        <w:tc>
          <w:tcPr>
            <w:tcW w:w="3722" w:type="dxa"/>
          </w:tcPr>
          <w:p w14:paraId="5305B5B1" w14:textId="10596A41" w:rsidR="00CF7FDF" w:rsidRPr="004104CC" w:rsidRDefault="00CF7FDF" w:rsidP="00824CD0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lang w:val="fr-FR"/>
              </w:rPr>
            </w:pPr>
            <w:r w:rsidRPr="004104CC">
              <w:rPr>
                <w:lang w:val="fr-FR"/>
              </w:rPr>
              <w:t>NITROGLYCÉRINE EN MÉLANGE,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DÉSENSIBILISÉE, SOLIDE, N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S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A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  <w:r w:rsidR="00824CD0">
              <w:rPr>
                <w:lang w:val="fr-FR"/>
              </w:rPr>
              <w:br/>
            </w:r>
            <w:r w:rsidRPr="004104CC">
              <w:rPr>
                <w:lang w:val="fr-FR"/>
              </w:rPr>
              <w:t>avec plus de 2 % mais au plus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 xml:space="preserve">10 % </w:t>
            </w:r>
            <w:r w:rsidR="00824CD0">
              <w:rPr>
                <w:lang w:val="fr-FR"/>
              </w:rPr>
              <w:br/>
            </w:r>
            <w:r w:rsidRPr="004104CC">
              <w:rPr>
                <w:lang w:val="fr-FR"/>
              </w:rPr>
              <w:t>(masse) de nitroglycérine</w:t>
            </w:r>
          </w:p>
        </w:tc>
        <w:tc>
          <w:tcPr>
            <w:tcW w:w="845" w:type="dxa"/>
          </w:tcPr>
          <w:p w14:paraId="1D181FB8" w14:textId="38F1AE51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4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1</w:t>
            </w:r>
          </w:p>
        </w:tc>
        <w:tc>
          <w:tcPr>
            <w:tcW w:w="930" w:type="dxa"/>
          </w:tcPr>
          <w:p w14:paraId="41859635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II</w:t>
            </w:r>
          </w:p>
        </w:tc>
        <w:tc>
          <w:tcPr>
            <w:tcW w:w="1100" w:type="dxa"/>
          </w:tcPr>
          <w:p w14:paraId="3CE04A38" w14:textId="125A4CEE" w:rsidR="00CF7FDF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272</w:t>
            </w:r>
          </w:p>
          <w:p w14:paraId="038C0D74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274</w:t>
            </w:r>
          </w:p>
        </w:tc>
        <w:tc>
          <w:tcPr>
            <w:tcW w:w="1185" w:type="dxa"/>
          </w:tcPr>
          <w:p w14:paraId="2EECDD14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P099</w:t>
            </w:r>
          </w:p>
        </w:tc>
        <w:tc>
          <w:tcPr>
            <w:tcW w:w="1184" w:type="dxa"/>
          </w:tcPr>
          <w:p w14:paraId="4FEA1C1C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</w:tr>
      <w:tr w:rsidR="00CF7FDF" w:rsidRPr="004104CC" w14:paraId="519B5158" w14:textId="77777777" w:rsidTr="00824CD0">
        <w:tc>
          <w:tcPr>
            <w:tcW w:w="671" w:type="dxa"/>
          </w:tcPr>
          <w:p w14:paraId="72FB2BD1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3344</w:t>
            </w:r>
          </w:p>
        </w:tc>
        <w:tc>
          <w:tcPr>
            <w:tcW w:w="3722" w:type="dxa"/>
          </w:tcPr>
          <w:p w14:paraId="58CFB638" w14:textId="65712C38" w:rsidR="00CF7FDF" w:rsidRPr="004104CC" w:rsidRDefault="00CF7FDF" w:rsidP="00824CD0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lang w:val="fr-FR"/>
              </w:rPr>
            </w:pPr>
            <w:r w:rsidRPr="004104CC">
              <w:rPr>
                <w:lang w:val="fr-FR"/>
              </w:rPr>
              <w:t>TÉTRANITRATE DE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PENTAÉRYTHRITE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(TÉTRANITRATE DE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PENTAÉRYTHRITOL,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PENTHRITE, PETN)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EN MÉLANGE, DÉSENSIBILISÉ,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SOLIDE, N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S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A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, avec plus de 10 %</w:t>
            </w:r>
            <w:r w:rsidR="00824CD0">
              <w:rPr>
                <w:lang w:val="fr-FR"/>
              </w:rPr>
              <w:t xml:space="preserve"> </w:t>
            </w:r>
            <w:r w:rsidR="00824CD0">
              <w:rPr>
                <w:lang w:val="fr-FR"/>
              </w:rPr>
              <w:br/>
            </w:r>
            <w:r w:rsidRPr="004104CC">
              <w:rPr>
                <w:lang w:val="fr-FR"/>
              </w:rPr>
              <w:t>mais au plus 20 % (masse) de PETN</w:t>
            </w:r>
          </w:p>
        </w:tc>
        <w:tc>
          <w:tcPr>
            <w:tcW w:w="845" w:type="dxa"/>
          </w:tcPr>
          <w:p w14:paraId="338E737D" w14:textId="245C0073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4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1</w:t>
            </w:r>
          </w:p>
        </w:tc>
        <w:tc>
          <w:tcPr>
            <w:tcW w:w="930" w:type="dxa"/>
          </w:tcPr>
          <w:p w14:paraId="7AF14086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II</w:t>
            </w:r>
          </w:p>
        </w:tc>
        <w:tc>
          <w:tcPr>
            <w:tcW w:w="1100" w:type="dxa"/>
          </w:tcPr>
          <w:p w14:paraId="144544C7" w14:textId="7CE72B0E" w:rsidR="00CF7FDF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272</w:t>
            </w:r>
          </w:p>
          <w:p w14:paraId="406C2F94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274</w:t>
            </w:r>
          </w:p>
        </w:tc>
        <w:tc>
          <w:tcPr>
            <w:tcW w:w="1185" w:type="dxa"/>
          </w:tcPr>
          <w:p w14:paraId="116A1DD4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P406</w:t>
            </w:r>
          </w:p>
        </w:tc>
        <w:tc>
          <w:tcPr>
            <w:tcW w:w="1184" w:type="dxa"/>
          </w:tcPr>
          <w:p w14:paraId="2F07186C" w14:textId="62D5464A" w:rsidR="00CF7FDF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PP26</w:t>
            </w:r>
          </w:p>
          <w:p w14:paraId="3E40A8DF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PP80</w:t>
            </w:r>
          </w:p>
        </w:tc>
      </w:tr>
      <w:tr w:rsidR="00CF7FDF" w:rsidRPr="004104CC" w14:paraId="4CC24D13" w14:textId="77777777" w:rsidTr="00824CD0">
        <w:tc>
          <w:tcPr>
            <w:tcW w:w="671" w:type="dxa"/>
          </w:tcPr>
          <w:p w14:paraId="4E8C911B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3380</w:t>
            </w:r>
          </w:p>
        </w:tc>
        <w:tc>
          <w:tcPr>
            <w:tcW w:w="3722" w:type="dxa"/>
          </w:tcPr>
          <w:p w14:paraId="01A7A77B" w14:textId="532FE723" w:rsidR="00CF7FDF" w:rsidRPr="004104CC" w:rsidRDefault="00CF7FDF" w:rsidP="00824CD0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lang w:val="fr-FR"/>
              </w:rPr>
            </w:pPr>
            <w:r w:rsidRPr="004104CC">
              <w:rPr>
                <w:lang w:val="fr-FR"/>
              </w:rPr>
              <w:t>SOLIDE EXPLOSIBLE DÉSENSIBILISÉ,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N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S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A</w:t>
            </w:r>
            <w:r w:rsidR="0090090E" w:rsidRPr="0090090E">
              <w:rPr>
                <w:lang w:val="fr-FR"/>
              </w:rPr>
              <w:t>.</w:t>
            </w:r>
          </w:p>
        </w:tc>
        <w:tc>
          <w:tcPr>
            <w:tcW w:w="845" w:type="dxa"/>
          </w:tcPr>
          <w:p w14:paraId="17D0D807" w14:textId="290A1DA3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4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1</w:t>
            </w:r>
          </w:p>
        </w:tc>
        <w:tc>
          <w:tcPr>
            <w:tcW w:w="930" w:type="dxa"/>
          </w:tcPr>
          <w:p w14:paraId="41FC3CD1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</w:t>
            </w:r>
          </w:p>
        </w:tc>
        <w:tc>
          <w:tcPr>
            <w:tcW w:w="1100" w:type="dxa"/>
          </w:tcPr>
          <w:p w14:paraId="04B5ECB8" w14:textId="4B6BA016" w:rsidR="00CF7FDF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274</w:t>
            </w:r>
          </w:p>
          <w:p w14:paraId="5246EEEA" w14:textId="7AE94A53" w:rsidR="00CF7FDF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311</w:t>
            </w:r>
          </w:p>
          <w:p w14:paraId="064856F6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394</w:t>
            </w:r>
          </w:p>
        </w:tc>
        <w:tc>
          <w:tcPr>
            <w:tcW w:w="1185" w:type="dxa"/>
          </w:tcPr>
          <w:p w14:paraId="203CC794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P099</w:t>
            </w:r>
          </w:p>
        </w:tc>
        <w:tc>
          <w:tcPr>
            <w:tcW w:w="1184" w:type="dxa"/>
          </w:tcPr>
          <w:p w14:paraId="56C132AF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</w:tr>
      <w:tr w:rsidR="00CF7FDF" w:rsidRPr="004104CC" w14:paraId="595373B3" w14:textId="77777777" w:rsidTr="00824CD0">
        <w:tc>
          <w:tcPr>
            <w:tcW w:w="671" w:type="dxa"/>
          </w:tcPr>
          <w:p w14:paraId="5513A226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3474</w:t>
            </w:r>
          </w:p>
        </w:tc>
        <w:tc>
          <w:tcPr>
            <w:tcW w:w="3722" w:type="dxa"/>
          </w:tcPr>
          <w:p w14:paraId="5D9EB90C" w14:textId="176058D8" w:rsidR="00CF7FDF" w:rsidRPr="004104CC" w:rsidRDefault="00CF7FDF" w:rsidP="00824CD0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lang w:val="fr-FR"/>
              </w:rPr>
            </w:pPr>
            <w:r w:rsidRPr="004104CC">
              <w:rPr>
                <w:lang w:val="fr-FR"/>
              </w:rPr>
              <w:t>1-HYDROXYBENZOTRIAZOLE</w:t>
            </w:r>
            <w:r w:rsidR="00824CD0"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MONOHYDRATÉ</w:t>
            </w:r>
          </w:p>
        </w:tc>
        <w:tc>
          <w:tcPr>
            <w:tcW w:w="845" w:type="dxa"/>
          </w:tcPr>
          <w:p w14:paraId="2D2DEC6F" w14:textId="50C01A50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4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1</w:t>
            </w:r>
          </w:p>
        </w:tc>
        <w:tc>
          <w:tcPr>
            <w:tcW w:w="930" w:type="dxa"/>
          </w:tcPr>
          <w:p w14:paraId="55D42774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</w:t>
            </w:r>
          </w:p>
        </w:tc>
        <w:tc>
          <w:tcPr>
            <w:tcW w:w="1100" w:type="dxa"/>
          </w:tcPr>
          <w:p w14:paraId="46FA71C5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  <w:tc>
          <w:tcPr>
            <w:tcW w:w="1185" w:type="dxa"/>
          </w:tcPr>
          <w:p w14:paraId="10EB6A3C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P406</w:t>
            </w:r>
          </w:p>
        </w:tc>
        <w:tc>
          <w:tcPr>
            <w:tcW w:w="1184" w:type="dxa"/>
          </w:tcPr>
          <w:p w14:paraId="32574734" w14:textId="77777777" w:rsidR="00CF7FDF" w:rsidRPr="004104CC" w:rsidRDefault="00CF7FDF" w:rsidP="00824CD0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PP48</w:t>
            </w:r>
          </w:p>
        </w:tc>
      </w:tr>
    </w:tbl>
    <w:p w14:paraId="718A83C0" w14:textId="3BCFBF52" w:rsidR="00CF7FDF" w:rsidRPr="004104CC" w:rsidRDefault="00CF7FDF" w:rsidP="00824CD0">
      <w:pPr>
        <w:pStyle w:val="SingleTxtG"/>
        <w:kinsoku/>
        <w:overflowPunct/>
        <w:autoSpaceDE/>
        <w:autoSpaceDN/>
        <w:adjustRightInd/>
        <w:snapToGrid/>
        <w:spacing w:before="240"/>
        <w:ind w:left="1701"/>
        <w:rPr>
          <w:lang w:val="fr-FR"/>
        </w:rPr>
      </w:pPr>
      <w:r w:rsidRPr="004104CC">
        <w:rPr>
          <w:lang w:val="fr-FR"/>
        </w:rPr>
        <w:t xml:space="preserve">Pour les </w:t>
      </w:r>
      <w:r>
        <w:rPr>
          <w:lang w:val="fr-FR"/>
        </w:rPr>
        <w:t>Nos</w:t>
      </w:r>
      <w:r w:rsidRPr="004104CC">
        <w:rPr>
          <w:lang w:val="fr-FR"/>
        </w:rPr>
        <w:t xml:space="preserve"> ONU 2555 et 2556, le diluant est l</w:t>
      </w:r>
      <w:r>
        <w:rPr>
          <w:lang w:val="fr-FR"/>
        </w:rPr>
        <w:t>’</w:t>
      </w:r>
      <w:r w:rsidRPr="004104CC">
        <w:rPr>
          <w:lang w:val="fr-FR"/>
        </w:rPr>
        <w:t>eau ou l</w:t>
      </w:r>
      <w:r>
        <w:rPr>
          <w:lang w:val="fr-FR"/>
        </w:rPr>
        <w:t>’</w:t>
      </w:r>
      <w:r w:rsidRPr="004104CC">
        <w:rPr>
          <w:lang w:val="fr-FR"/>
        </w:rPr>
        <w:t xml:space="preserve">alcool, tandis que les </w:t>
      </w:r>
      <w:r>
        <w:rPr>
          <w:lang w:val="fr-FR"/>
        </w:rPr>
        <w:t>Nos</w:t>
      </w:r>
      <w:r w:rsidR="0090090E">
        <w:rPr>
          <w:lang w:val="fr-FR"/>
        </w:rPr>
        <w:t> </w:t>
      </w:r>
      <w:r w:rsidRPr="004104CC">
        <w:rPr>
          <w:lang w:val="fr-FR"/>
        </w:rPr>
        <w:t>ONU 2557, 2907, 3319 et 3344 semblent avoir un diluant solide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 xml:space="preserve"> En ce qui concerne ces quatre derniers numéros, il n</w:t>
      </w:r>
      <w:r>
        <w:rPr>
          <w:lang w:val="fr-FR"/>
        </w:rPr>
        <w:t>’</w:t>
      </w:r>
      <w:r w:rsidRPr="004104CC">
        <w:rPr>
          <w:lang w:val="fr-FR"/>
        </w:rPr>
        <w:t>est pas possible que le diluant s</w:t>
      </w:r>
      <w:r>
        <w:rPr>
          <w:lang w:val="fr-FR"/>
        </w:rPr>
        <w:t>’</w:t>
      </w:r>
      <w:r w:rsidRPr="004104CC">
        <w:rPr>
          <w:lang w:val="fr-FR"/>
        </w:rPr>
        <w:t>évapore</w:t>
      </w:r>
      <w:r>
        <w:rPr>
          <w:lang w:val="fr-FR"/>
        </w:rPr>
        <w:t>,</w:t>
      </w:r>
      <w:r w:rsidRPr="004104CC">
        <w:rPr>
          <w:lang w:val="fr-FR"/>
        </w:rPr>
        <w:t xml:space="preserve"> </w:t>
      </w:r>
      <w:r>
        <w:rPr>
          <w:lang w:val="fr-FR"/>
        </w:rPr>
        <w:t xml:space="preserve">si bien que </w:t>
      </w:r>
      <w:r w:rsidRPr="004104CC">
        <w:rPr>
          <w:lang w:val="fr-FR"/>
        </w:rPr>
        <w:t xml:space="preserve">la </w:t>
      </w:r>
      <w:r>
        <w:rPr>
          <w:lang w:val="fr-FR"/>
        </w:rPr>
        <w:t>D</w:t>
      </w:r>
      <w:r w:rsidRPr="004104CC">
        <w:rPr>
          <w:lang w:val="fr-FR"/>
        </w:rPr>
        <w:t>S 28 n</w:t>
      </w:r>
      <w:r>
        <w:rPr>
          <w:lang w:val="fr-FR"/>
        </w:rPr>
        <w:t>’</w:t>
      </w:r>
      <w:r w:rsidRPr="004104CC">
        <w:rPr>
          <w:lang w:val="fr-FR"/>
        </w:rPr>
        <w:t>est pas requise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 xml:space="preserve"> Pour les </w:t>
      </w:r>
      <w:r>
        <w:rPr>
          <w:lang w:val="fr-FR"/>
        </w:rPr>
        <w:t>No</w:t>
      </w:r>
      <w:r w:rsidRPr="004104CC">
        <w:rPr>
          <w:lang w:val="fr-FR"/>
        </w:rPr>
        <w:t>s ONU 2555 et 2556, la DS 28 devrait être ajoutée par souci de cohérence</w:t>
      </w:r>
      <w:r w:rsidR="0090090E" w:rsidRPr="0090090E">
        <w:rPr>
          <w:lang w:val="fr-FR"/>
        </w:rPr>
        <w:t>.</w:t>
      </w:r>
    </w:p>
    <w:p w14:paraId="69ED41E7" w14:textId="028223BB" w:rsidR="00CF7FDF" w:rsidRPr="004104CC" w:rsidRDefault="00CF7FDF" w:rsidP="00CF7FDF">
      <w:pPr>
        <w:pStyle w:val="SingleTxtG"/>
        <w:kinsoku/>
        <w:overflowPunct/>
        <w:autoSpaceDE/>
        <w:autoSpaceDN/>
        <w:adjustRightInd/>
        <w:snapToGrid/>
        <w:ind w:left="1701"/>
        <w:rPr>
          <w:lang w:val="fr-FR"/>
        </w:rPr>
      </w:pPr>
      <w:r w:rsidRPr="004104CC">
        <w:rPr>
          <w:lang w:val="fr-FR"/>
        </w:rPr>
        <w:lastRenderedPageBreak/>
        <w:t xml:space="preserve">Le </w:t>
      </w:r>
      <w:r>
        <w:rPr>
          <w:lang w:val="fr-FR"/>
        </w:rPr>
        <w:t>No</w:t>
      </w:r>
      <w:r w:rsidRPr="004104CC">
        <w:rPr>
          <w:lang w:val="fr-FR"/>
        </w:rPr>
        <w:t xml:space="preserve"> ONU 3380 se voit </w:t>
      </w:r>
      <w:r>
        <w:rPr>
          <w:lang w:val="fr-FR"/>
        </w:rPr>
        <w:t>affect</w:t>
      </w:r>
      <w:r w:rsidRPr="004104CC">
        <w:rPr>
          <w:lang w:val="fr-FR"/>
        </w:rPr>
        <w:t>er la DS 311, qui prévoit l</w:t>
      </w:r>
      <w:r>
        <w:rPr>
          <w:lang w:val="fr-FR"/>
        </w:rPr>
        <w:t>’</w:t>
      </w:r>
      <w:r w:rsidRPr="004104CC">
        <w:rPr>
          <w:lang w:val="fr-FR"/>
        </w:rPr>
        <w:t xml:space="preserve">application de dispositions équivalentes à la DS 28 </w:t>
      </w:r>
      <w:r w:rsidRPr="00824CD0">
        <w:rPr>
          <w:lang w:val="fr-FR"/>
        </w:rPr>
        <w:t>sous réserve de l’approbation de l’autorité compétente</w:t>
      </w:r>
      <w:r w:rsidR="0090090E" w:rsidRPr="0090090E">
        <w:rPr>
          <w:lang w:val="fr-FR"/>
        </w:rPr>
        <w:t>.</w:t>
      </w:r>
    </w:p>
    <w:p w14:paraId="4E061D26" w14:textId="1D4C6D15" w:rsidR="00CF7FDF" w:rsidRPr="004104CC" w:rsidRDefault="00CF7FDF" w:rsidP="00CF7FDF">
      <w:pPr>
        <w:pStyle w:val="SingleTxtG"/>
        <w:kinsoku/>
        <w:overflowPunct/>
        <w:autoSpaceDE/>
        <w:autoSpaceDN/>
        <w:adjustRightInd/>
        <w:snapToGrid/>
        <w:ind w:left="1701"/>
        <w:rPr>
          <w:lang w:val="fr-FR"/>
        </w:rPr>
      </w:pPr>
      <w:r w:rsidRPr="004104CC">
        <w:rPr>
          <w:lang w:val="fr-FR"/>
        </w:rPr>
        <w:t xml:space="preserve">Le </w:t>
      </w:r>
      <w:r>
        <w:rPr>
          <w:lang w:val="fr-FR"/>
        </w:rPr>
        <w:t>No</w:t>
      </w:r>
      <w:r w:rsidRPr="004104CC">
        <w:rPr>
          <w:lang w:val="fr-FR"/>
        </w:rPr>
        <w:t xml:space="preserve"> ONU 3474 est un cas particulier car l</w:t>
      </w:r>
      <w:r>
        <w:rPr>
          <w:lang w:val="fr-FR"/>
        </w:rPr>
        <w:t>’</w:t>
      </w:r>
      <w:r w:rsidRPr="004104CC">
        <w:rPr>
          <w:lang w:val="fr-FR"/>
        </w:rPr>
        <w:t xml:space="preserve">eau </w:t>
      </w:r>
      <w:r>
        <w:rPr>
          <w:lang w:val="fr-FR"/>
        </w:rPr>
        <w:t xml:space="preserve">utilisée </w:t>
      </w:r>
      <w:r w:rsidRPr="004104CC">
        <w:rPr>
          <w:lang w:val="fr-FR"/>
        </w:rPr>
        <w:t xml:space="preserve">comme diluant </w:t>
      </w:r>
      <w:r>
        <w:rPr>
          <w:lang w:val="fr-FR"/>
        </w:rPr>
        <w:t>fait partie de</w:t>
      </w:r>
      <w:r w:rsidRPr="004104CC">
        <w:rPr>
          <w:lang w:val="fr-FR"/>
        </w:rPr>
        <w:t xml:space="preserve"> sa structure cristalline (c</w:t>
      </w:r>
      <w:r>
        <w:rPr>
          <w:lang w:val="fr-FR"/>
        </w:rPr>
        <w:t>’</w:t>
      </w:r>
      <w:r w:rsidRPr="004104CC">
        <w:rPr>
          <w:lang w:val="fr-FR"/>
        </w:rPr>
        <w:t>est-à-dire que le diluant est chimiquement lié)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 xml:space="preserve"> La DS 28 semble facultative dans ce cas, mais son </w:t>
      </w:r>
      <w:r>
        <w:rPr>
          <w:lang w:val="fr-FR"/>
        </w:rPr>
        <w:t>affecta</w:t>
      </w:r>
      <w:r w:rsidRPr="004104CC">
        <w:rPr>
          <w:lang w:val="fr-FR"/>
        </w:rPr>
        <w:t>tion à cette rubrique ne constituerait pas un inconvénient du point de vue de la sécurité</w:t>
      </w:r>
      <w:r w:rsidR="0090090E" w:rsidRPr="0090090E">
        <w:rPr>
          <w:lang w:val="fr-FR"/>
        </w:rPr>
        <w:t>.</w:t>
      </w:r>
    </w:p>
    <w:p w14:paraId="5B9919AA" w14:textId="0EFB5403" w:rsidR="00CF7FDF" w:rsidRPr="004104CC" w:rsidRDefault="00CF7FDF" w:rsidP="00CF7FDF">
      <w:pPr>
        <w:pStyle w:val="SingleTxtG"/>
        <w:rPr>
          <w:lang w:val="fr-FR"/>
        </w:rPr>
      </w:pPr>
      <w:r w:rsidRPr="004104CC">
        <w:rPr>
          <w:lang w:val="fr-FR"/>
        </w:rPr>
        <w:t>5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ab/>
        <w:t>Les rubriques des matières explosibles désensibilisées liquides figurant dans la liste des marchandises dangereuses sont</w:t>
      </w:r>
      <w:r w:rsidR="0090090E">
        <w:rPr>
          <w:lang w:val="fr-FR"/>
        </w:rPr>
        <w:t xml:space="preserve"> </w:t>
      </w:r>
      <w:r w:rsidRPr="004104CC">
        <w:rPr>
          <w:lang w:val="fr-FR"/>
        </w:rPr>
        <w:t>les suivantes :</w:t>
      </w:r>
    </w:p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671"/>
        <w:gridCol w:w="3722"/>
        <w:gridCol w:w="845"/>
        <w:gridCol w:w="1098"/>
        <w:gridCol w:w="1078"/>
        <w:gridCol w:w="1039"/>
        <w:gridCol w:w="1184"/>
      </w:tblGrid>
      <w:tr w:rsidR="00CF7FDF" w:rsidRPr="00824CD0" w14:paraId="3B691CA6" w14:textId="77777777" w:rsidTr="00824CD0">
        <w:tc>
          <w:tcPr>
            <w:tcW w:w="671" w:type="dxa"/>
          </w:tcPr>
          <w:p w14:paraId="1B7A66F3" w14:textId="77777777" w:rsidR="00CF7FDF" w:rsidRPr="00824CD0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No ONU</w:t>
            </w:r>
          </w:p>
        </w:tc>
        <w:tc>
          <w:tcPr>
            <w:tcW w:w="3722" w:type="dxa"/>
          </w:tcPr>
          <w:p w14:paraId="41CC4A19" w14:textId="77777777" w:rsidR="00CF7FDF" w:rsidRPr="00824CD0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 w:hanging="2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845" w:type="dxa"/>
          </w:tcPr>
          <w:p w14:paraId="55438868" w14:textId="77777777" w:rsidR="00CF7FDF" w:rsidRPr="00824CD0" w:rsidRDefault="00CF7FDF" w:rsidP="00D752D3">
            <w:pPr>
              <w:pStyle w:val="SingleTxtG"/>
              <w:tabs>
                <w:tab w:val="left" w:pos="0"/>
              </w:tabs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Classe ou division</w:t>
            </w:r>
          </w:p>
        </w:tc>
        <w:tc>
          <w:tcPr>
            <w:tcW w:w="1098" w:type="dxa"/>
          </w:tcPr>
          <w:p w14:paraId="1AD4EA21" w14:textId="77777777" w:rsidR="00CF7FDF" w:rsidRPr="00824CD0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Groupe d’emballage</w:t>
            </w:r>
          </w:p>
        </w:tc>
        <w:tc>
          <w:tcPr>
            <w:tcW w:w="1078" w:type="dxa"/>
          </w:tcPr>
          <w:p w14:paraId="7526C07D" w14:textId="77777777" w:rsidR="00CF7FDF" w:rsidRPr="00824CD0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 w:hanging="3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Dispositions spéciales</w:t>
            </w:r>
          </w:p>
        </w:tc>
        <w:tc>
          <w:tcPr>
            <w:tcW w:w="1039" w:type="dxa"/>
          </w:tcPr>
          <w:p w14:paraId="6AB366B5" w14:textId="77777777" w:rsidR="00CF7FDF" w:rsidRPr="00824CD0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Instruction d’emballage</w:t>
            </w:r>
          </w:p>
        </w:tc>
        <w:tc>
          <w:tcPr>
            <w:tcW w:w="1184" w:type="dxa"/>
          </w:tcPr>
          <w:p w14:paraId="7F780BC9" w14:textId="77777777" w:rsidR="00CF7FDF" w:rsidRPr="00824CD0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824CD0">
              <w:rPr>
                <w:b/>
                <w:bCs/>
                <w:sz w:val="16"/>
                <w:szCs w:val="16"/>
                <w:lang w:val="fr-FR"/>
              </w:rPr>
              <w:t>Dispositions spéciales d’emballage</w:t>
            </w:r>
          </w:p>
        </w:tc>
      </w:tr>
      <w:tr w:rsidR="00CF7FDF" w:rsidRPr="004104CC" w14:paraId="7BF85E6F" w14:textId="77777777" w:rsidTr="00824CD0">
        <w:tc>
          <w:tcPr>
            <w:tcW w:w="671" w:type="dxa"/>
          </w:tcPr>
          <w:p w14:paraId="4A7CE53F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1)</w:t>
            </w:r>
          </w:p>
        </w:tc>
        <w:tc>
          <w:tcPr>
            <w:tcW w:w="3722" w:type="dxa"/>
          </w:tcPr>
          <w:p w14:paraId="34736CAB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 w:hanging="2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2)</w:t>
            </w:r>
          </w:p>
        </w:tc>
        <w:tc>
          <w:tcPr>
            <w:tcW w:w="845" w:type="dxa"/>
          </w:tcPr>
          <w:p w14:paraId="4B1C9A3C" w14:textId="77777777" w:rsidR="00CF7FDF" w:rsidRPr="004104CC" w:rsidRDefault="00CF7FDF" w:rsidP="00D752D3">
            <w:pPr>
              <w:pStyle w:val="SingleTxtG"/>
              <w:tabs>
                <w:tab w:val="left" w:pos="0"/>
              </w:tabs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3)</w:t>
            </w:r>
          </w:p>
        </w:tc>
        <w:tc>
          <w:tcPr>
            <w:tcW w:w="1098" w:type="dxa"/>
          </w:tcPr>
          <w:p w14:paraId="2355DFE4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5)</w:t>
            </w:r>
          </w:p>
        </w:tc>
        <w:tc>
          <w:tcPr>
            <w:tcW w:w="1078" w:type="dxa"/>
          </w:tcPr>
          <w:p w14:paraId="307AFD7A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 w:hanging="3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6)</w:t>
            </w:r>
          </w:p>
        </w:tc>
        <w:tc>
          <w:tcPr>
            <w:tcW w:w="1039" w:type="dxa"/>
          </w:tcPr>
          <w:p w14:paraId="795B0E61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8)</w:t>
            </w:r>
          </w:p>
        </w:tc>
        <w:tc>
          <w:tcPr>
            <w:tcW w:w="1184" w:type="dxa"/>
          </w:tcPr>
          <w:p w14:paraId="35439002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9)</w:t>
            </w:r>
          </w:p>
        </w:tc>
      </w:tr>
      <w:tr w:rsidR="00CF7FDF" w:rsidRPr="004104CC" w14:paraId="1ECFA8BD" w14:textId="77777777" w:rsidTr="00824CD0">
        <w:tc>
          <w:tcPr>
            <w:tcW w:w="671" w:type="dxa"/>
          </w:tcPr>
          <w:p w14:paraId="024BD3FF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1204</w:t>
            </w:r>
          </w:p>
        </w:tc>
        <w:tc>
          <w:tcPr>
            <w:tcW w:w="3722" w:type="dxa"/>
          </w:tcPr>
          <w:p w14:paraId="321080EE" w14:textId="1B4031BE" w:rsidR="00CF7FDF" w:rsidRPr="004104CC" w:rsidRDefault="00CF7FDF" w:rsidP="00D752D3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lang w:val="fr-FR"/>
              </w:rPr>
            </w:pPr>
            <w:r w:rsidRPr="004104CC">
              <w:rPr>
                <w:lang w:val="fr-FR"/>
              </w:rPr>
              <w:t>NITROGLYCÉRINE EN SOLUTION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ALCOOLIQUE avec au plus 1 %</w:t>
            </w:r>
            <w:r>
              <w:rPr>
                <w:lang w:val="fr-FR"/>
              </w:rPr>
              <w:t xml:space="preserve"> </w:t>
            </w:r>
            <w:r w:rsidR="0090090E">
              <w:rPr>
                <w:lang w:val="fr-FR"/>
              </w:rPr>
              <w:br/>
            </w:r>
            <w:r w:rsidRPr="004104CC">
              <w:rPr>
                <w:lang w:val="fr-FR"/>
              </w:rPr>
              <w:t>de nitroglycérine</w:t>
            </w:r>
          </w:p>
        </w:tc>
        <w:tc>
          <w:tcPr>
            <w:tcW w:w="845" w:type="dxa"/>
          </w:tcPr>
          <w:p w14:paraId="3E2EF325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</w:t>
            </w:r>
          </w:p>
        </w:tc>
        <w:tc>
          <w:tcPr>
            <w:tcW w:w="1098" w:type="dxa"/>
          </w:tcPr>
          <w:p w14:paraId="2A32A444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II</w:t>
            </w:r>
          </w:p>
        </w:tc>
        <w:tc>
          <w:tcPr>
            <w:tcW w:w="1078" w:type="dxa"/>
          </w:tcPr>
          <w:p w14:paraId="73D485AA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  <w:tc>
          <w:tcPr>
            <w:tcW w:w="1039" w:type="dxa"/>
          </w:tcPr>
          <w:p w14:paraId="3B18B71B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P001 IBC02</w:t>
            </w:r>
          </w:p>
        </w:tc>
        <w:tc>
          <w:tcPr>
            <w:tcW w:w="1184" w:type="dxa"/>
          </w:tcPr>
          <w:p w14:paraId="3E355376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PP5</w:t>
            </w:r>
          </w:p>
        </w:tc>
      </w:tr>
      <w:tr w:rsidR="00CF7FDF" w:rsidRPr="004104CC" w14:paraId="38BA394C" w14:textId="77777777" w:rsidTr="00824CD0">
        <w:tc>
          <w:tcPr>
            <w:tcW w:w="671" w:type="dxa"/>
          </w:tcPr>
          <w:p w14:paraId="1F893075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2059</w:t>
            </w:r>
          </w:p>
        </w:tc>
        <w:tc>
          <w:tcPr>
            <w:tcW w:w="3722" w:type="dxa"/>
          </w:tcPr>
          <w:p w14:paraId="6D14AB27" w14:textId="77777777" w:rsidR="00CF7FDF" w:rsidRPr="004104CC" w:rsidRDefault="00CF7FDF" w:rsidP="00D752D3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lang w:val="fr-FR"/>
              </w:rPr>
            </w:pPr>
            <w:r w:rsidRPr="004104CC">
              <w:rPr>
                <w:lang w:val="fr-FR"/>
              </w:rPr>
              <w:t>NITROCELLULOSE EN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SOLUTION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INFLAMMABLE contenant au plus 12,6 % (rapportée à la masse sèche) d</w:t>
            </w:r>
            <w:r>
              <w:rPr>
                <w:lang w:val="fr-FR"/>
              </w:rPr>
              <w:t>’</w:t>
            </w:r>
            <w:r w:rsidRPr="004104CC">
              <w:rPr>
                <w:lang w:val="fr-FR"/>
              </w:rPr>
              <w:t>azote et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55 % de nitrocellulose</w:t>
            </w:r>
          </w:p>
        </w:tc>
        <w:tc>
          <w:tcPr>
            <w:tcW w:w="845" w:type="dxa"/>
          </w:tcPr>
          <w:p w14:paraId="4CF6EF47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</w:t>
            </w:r>
          </w:p>
        </w:tc>
        <w:tc>
          <w:tcPr>
            <w:tcW w:w="1098" w:type="dxa"/>
          </w:tcPr>
          <w:p w14:paraId="3846573A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</w:t>
            </w:r>
          </w:p>
        </w:tc>
        <w:tc>
          <w:tcPr>
            <w:tcW w:w="1078" w:type="dxa"/>
          </w:tcPr>
          <w:p w14:paraId="7D8D1D24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198</w:t>
            </w:r>
          </w:p>
        </w:tc>
        <w:tc>
          <w:tcPr>
            <w:tcW w:w="1039" w:type="dxa"/>
          </w:tcPr>
          <w:p w14:paraId="29A3DC73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P001</w:t>
            </w:r>
          </w:p>
        </w:tc>
        <w:tc>
          <w:tcPr>
            <w:tcW w:w="1184" w:type="dxa"/>
          </w:tcPr>
          <w:p w14:paraId="0E4CF0B0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</w:tr>
      <w:tr w:rsidR="00CF7FDF" w:rsidRPr="004104CC" w14:paraId="1F33D546" w14:textId="77777777" w:rsidTr="00824CD0">
        <w:tc>
          <w:tcPr>
            <w:tcW w:w="671" w:type="dxa"/>
          </w:tcPr>
          <w:p w14:paraId="5B34FCA3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2059</w:t>
            </w:r>
          </w:p>
        </w:tc>
        <w:tc>
          <w:tcPr>
            <w:tcW w:w="3722" w:type="dxa"/>
          </w:tcPr>
          <w:p w14:paraId="1ACCE5DD" w14:textId="77777777" w:rsidR="00CF7FDF" w:rsidRPr="004104CC" w:rsidRDefault="00CF7FDF" w:rsidP="00D752D3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rFonts w:ascii="TimesNewRoman" w:hAnsi="TimesNewRoman" w:cs="TimesNewRoman"/>
                <w:lang w:val="fr-FR"/>
              </w:rPr>
            </w:pPr>
            <w:r w:rsidRPr="004104CC">
              <w:rPr>
                <w:lang w:val="fr-FR"/>
              </w:rPr>
              <w:t>NITROCELLULOSE EN SOLUTION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INFLAMMABLE contenant au plus 12,6 % (rapportée à la masse sèche) d</w:t>
            </w:r>
            <w:r>
              <w:rPr>
                <w:lang w:val="fr-FR"/>
              </w:rPr>
              <w:t>’</w:t>
            </w:r>
            <w:r w:rsidRPr="004104CC">
              <w:rPr>
                <w:lang w:val="fr-FR"/>
              </w:rPr>
              <w:t>azote et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55 % de nitrocellulose</w:t>
            </w:r>
          </w:p>
        </w:tc>
        <w:tc>
          <w:tcPr>
            <w:tcW w:w="845" w:type="dxa"/>
          </w:tcPr>
          <w:p w14:paraId="419B114C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</w:t>
            </w:r>
          </w:p>
        </w:tc>
        <w:tc>
          <w:tcPr>
            <w:tcW w:w="1098" w:type="dxa"/>
          </w:tcPr>
          <w:p w14:paraId="74F36B6B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II</w:t>
            </w:r>
          </w:p>
        </w:tc>
        <w:tc>
          <w:tcPr>
            <w:tcW w:w="1078" w:type="dxa"/>
          </w:tcPr>
          <w:p w14:paraId="396CEDC5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198</w:t>
            </w:r>
          </w:p>
        </w:tc>
        <w:tc>
          <w:tcPr>
            <w:tcW w:w="1039" w:type="dxa"/>
          </w:tcPr>
          <w:p w14:paraId="22EA68D3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P001 IBC02</w:t>
            </w:r>
          </w:p>
        </w:tc>
        <w:tc>
          <w:tcPr>
            <w:tcW w:w="1184" w:type="dxa"/>
          </w:tcPr>
          <w:p w14:paraId="15C41A5B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</w:tr>
      <w:tr w:rsidR="00CF7FDF" w:rsidRPr="004104CC" w14:paraId="6D57CA6E" w14:textId="77777777" w:rsidTr="00824CD0">
        <w:tc>
          <w:tcPr>
            <w:tcW w:w="671" w:type="dxa"/>
          </w:tcPr>
          <w:p w14:paraId="2289AB75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2059</w:t>
            </w:r>
          </w:p>
        </w:tc>
        <w:tc>
          <w:tcPr>
            <w:tcW w:w="3722" w:type="dxa"/>
          </w:tcPr>
          <w:p w14:paraId="168376DB" w14:textId="77777777" w:rsidR="00CF7FDF" w:rsidRPr="004104CC" w:rsidRDefault="00CF7FDF" w:rsidP="00D752D3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rFonts w:ascii="TimesNewRoman" w:hAnsi="TimesNewRoman" w:cs="TimesNewRoman"/>
                <w:lang w:val="fr-FR"/>
              </w:rPr>
            </w:pPr>
            <w:r w:rsidRPr="004104CC">
              <w:rPr>
                <w:lang w:val="fr-FR"/>
              </w:rPr>
              <w:t>NITROCELLULOSE EN SOLUTION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INFLAMMABLE contenant au plus 12,6 % (rapportée à la masse sèche) d</w:t>
            </w:r>
            <w:r>
              <w:rPr>
                <w:lang w:val="fr-FR"/>
              </w:rPr>
              <w:t>’</w:t>
            </w:r>
            <w:r w:rsidRPr="004104CC">
              <w:rPr>
                <w:lang w:val="fr-FR"/>
              </w:rPr>
              <w:t>azote et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55 % de nitrocellulose</w:t>
            </w:r>
          </w:p>
        </w:tc>
        <w:tc>
          <w:tcPr>
            <w:tcW w:w="845" w:type="dxa"/>
          </w:tcPr>
          <w:p w14:paraId="4C7370BF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</w:t>
            </w:r>
          </w:p>
        </w:tc>
        <w:tc>
          <w:tcPr>
            <w:tcW w:w="1098" w:type="dxa"/>
          </w:tcPr>
          <w:p w14:paraId="03B92A47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III</w:t>
            </w:r>
          </w:p>
        </w:tc>
        <w:tc>
          <w:tcPr>
            <w:tcW w:w="1078" w:type="dxa"/>
          </w:tcPr>
          <w:p w14:paraId="7197A5EE" w14:textId="5B3E5283" w:rsidR="00CF7FDF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198</w:t>
            </w:r>
          </w:p>
          <w:p w14:paraId="61C587E1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223</w:t>
            </w:r>
          </w:p>
        </w:tc>
        <w:tc>
          <w:tcPr>
            <w:tcW w:w="1039" w:type="dxa"/>
          </w:tcPr>
          <w:p w14:paraId="71FABCA5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P001 IBC03 LP01</w:t>
            </w:r>
          </w:p>
        </w:tc>
        <w:tc>
          <w:tcPr>
            <w:tcW w:w="1184" w:type="dxa"/>
          </w:tcPr>
          <w:p w14:paraId="3B23F416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</w:tr>
      <w:tr w:rsidR="00CF7FDF" w:rsidRPr="004104CC" w14:paraId="76F66A46" w14:textId="77777777" w:rsidTr="00824CD0">
        <w:tc>
          <w:tcPr>
            <w:tcW w:w="671" w:type="dxa"/>
          </w:tcPr>
          <w:p w14:paraId="5BFDC104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3064</w:t>
            </w:r>
          </w:p>
        </w:tc>
        <w:tc>
          <w:tcPr>
            <w:tcW w:w="3722" w:type="dxa"/>
          </w:tcPr>
          <w:p w14:paraId="30E29563" w14:textId="77777777" w:rsidR="00CF7FDF" w:rsidRPr="004104CC" w:rsidRDefault="00CF7FDF" w:rsidP="00D752D3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lang w:val="fr-FR"/>
              </w:rPr>
            </w:pPr>
            <w:r w:rsidRPr="004104CC">
              <w:rPr>
                <w:lang w:val="fr-FR"/>
              </w:rPr>
              <w:t>NITROGLYCÉRINE EN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SOLUTION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ALCOOLIQUE avec plus de 1 %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mais pas plus de 5 % de nitroglycérine</w:t>
            </w:r>
          </w:p>
        </w:tc>
        <w:tc>
          <w:tcPr>
            <w:tcW w:w="845" w:type="dxa"/>
          </w:tcPr>
          <w:p w14:paraId="7F89D61F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</w:t>
            </w:r>
          </w:p>
        </w:tc>
        <w:tc>
          <w:tcPr>
            <w:tcW w:w="1098" w:type="dxa"/>
          </w:tcPr>
          <w:p w14:paraId="65E85753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II</w:t>
            </w:r>
          </w:p>
        </w:tc>
        <w:tc>
          <w:tcPr>
            <w:tcW w:w="1078" w:type="dxa"/>
          </w:tcPr>
          <w:p w14:paraId="1D6AF2EE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359</w:t>
            </w:r>
          </w:p>
        </w:tc>
        <w:tc>
          <w:tcPr>
            <w:tcW w:w="1039" w:type="dxa"/>
          </w:tcPr>
          <w:p w14:paraId="2AF65DE4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P300</w:t>
            </w:r>
          </w:p>
        </w:tc>
        <w:tc>
          <w:tcPr>
            <w:tcW w:w="1184" w:type="dxa"/>
          </w:tcPr>
          <w:p w14:paraId="487CCDF7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</w:tr>
      <w:tr w:rsidR="00CF7FDF" w:rsidRPr="004104CC" w14:paraId="1EA6B923" w14:textId="77777777" w:rsidTr="00824CD0">
        <w:tc>
          <w:tcPr>
            <w:tcW w:w="671" w:type="dxa"/>
          </w:tcPr>
          <w:p w14:paraId="6657EEB2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3343</w:t>
            </w:r>
          </w:p>
        </w:tc>
        <w:tc>
          <w:tcPr>
            <w:tcW w:w="3722" w:type="dxa"/>
          </w:tcPr>
          <w:p w14:paraId="325E41A7" w14:textId="5723B604" w:rsidR="00CF7FDF" w:rsidRPr="00D752D3" w:rsidRDefault="00CF7FDF" w:rsidP="00D752D3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rFonts w:ascii="TimesNewRoman" w:hAnsi="TimesNewRoman" w:cs="TimesNewRoman"/>
                <w:lang w:val="fr-FR"/>
              </w:rPr>
            </w:pPr>
            <w:r w:rsidRPr="004104CC">
              <w:rPr>
                <w:lang w:val="fr-FR"/>
              </w:rPr>
              <w:t>NITROGLYCÉRINE EN MÉLANGE,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DÉSENSIBILISÉE, LIQUIDE,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INFLAMMABLE, N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S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A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 xml:space="preserve"> avec au plus</w:t>
            </w:r>
            <w:r>
              <w:rPr>
                <w:lang w:val="fr-FR"/>
              </w:rPr>
              <w:t xml:space="preserve"> </w:t>
            </w:r>
            <w:r w:rsidR="00D752D3">
              <w:rPr>
                <w:lang w:val="fr-FR"/>
              </w:rPr>
              <w:br/>
            </w:r>
            <w:r w:rsidRPr="004104CC">
              <w:rPr>
                <w:lang w:val="fr-FR"/>
              </w:rPr>
              <w:t>30 % (masse) de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nitroglycérine</w:t>
            </w:r>
          </w:p>
        </w:tc>
        <w:tc>
          <w:tcPr>
            <w:tcW w:w="845" w:type="dxa"/>
          </w:tcPr>
          <w:p w14:paraId="650965D4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</w:t>
            </w:r>
          </w:p>
        </w:tc>
        <w:tc>
          <w:tcPr>
            <w:tcW w:w="1098" w:type="dxa"/>
          </w:tcPr>
          <w:p w14:paraId="34945EC4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  <w:tc>
          <w:tcPr>
            <w:tcW w:w="1078" w:type="dxa"/>
          </w:tcPr>
          <w:p w14:paraId="3B045C7F" w14:textId="4BC18CAB" w:rsidR="00CF7FDF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274</w:t>
            </w:r>
          </w:p>
          <w:p w14:paraId="315D3F11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278</w:t>
            </w:r>
          </w:p>
        </w:tc>
        <w:tc>
          <w:tcPr>
            <w:tcW w:w="1039" w:type="dxa"/>
          </w:tcPr>
          <w:p w14:paraId="61493B3A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P099</w:t>
            </w:r>
          </w:p>
        </w:tc>
        <w:tc>
          <w:tcPr>
            <w:tcW w:w="1184" w:type="dxa"/>
          </w:tcPr>
          <w:p w14:paraId="517207EC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</w:tr>
      <w:tr w:rsidR="00CF7FDF" w:rsidRPr="004104CC" w14:paraId="55CC8047" w14:textId="77777777" w:rsidTr="00824CD0">
        <w:tc>
          <w:tcPr>
            <w:tcW w:w="671" w:type="dxa"/>
          </w:tcPr>
          <w:p w14:paraId="7D19235E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3357</w:t>
            </w:r>
          </w:p>
        </w:tc>
        <w:tc>
          <w:tcPr>
            <w:tcW w:w="3722" w:type="dxa"/>
          </w:tcPr>
          <w:p w14:paraId="5B0B66FF" w14:textId="005487A5" w:rsidR="00CF7FDF" w:rsidRPr="004104CC" w:rsidRDefault="00CF7FDF" w:rsidP="0090090E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lang w:val="fr-FR"/>
              </w:rPr>
            </w:pPr>
            <w:r w:rsidRPr="004104CC">
              <w:rPr>
                <w:lang w:val="fr-FR"/>
              </w:rPr>
              <w:t>NITROGLYCÉRINE EN MÉLANGE,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DÉSENSIBILISÉE, LIQUIDE, N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S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A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  <w:r w:rsidR="00104335">
              <w:rPr>
                <w:lang w:val="fr-FR"/>
              </w:rPr>
              <w:br/>
            </w:r>
            <w:r w:rsidRPr="004104CC">
              <w:rPr>
                <w:lang w:val="fr-FR"/>
              </w:rPr>
              <w:t>avec au plus 30 %</w:t>
            </w:r>
            <w:r w:rsidR="0090090E"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(masse) de nitroglycérine</w:t>
            </w:r>
          </w:p>
        </w:tc>
        <w:tc>
          <w:tcPr>
            <w:tcW w:w="845" w:type="dxa"/>
          </w:tcPr>
          <w:p w14:paraId="5F7B2D16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</w:t>
            </w:r>
          </w:p>
        </w:tc>
        <w:tc>
          <w:tcPr>
            <w:tcW w:w="1098" w:type="dxa"/>
          </w:tcPr>
          <w:p w14:paraId="137D86C7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II</w:t>
            </w:r>
          </w:p>
        </w:tc>
        <w:tc>
          <w:tcPr>
            <w:tcW w:w="1078" w:type="dxa"/>
          </w:tcPr>
          <w:p w14:paraId="51A83557" w14:textId="2AF673B4" w:rsidR="00CF7FDF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274</w:t>
            </w:r>
          </w:p>
          <w:p w14:paraId="3D133B86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288</w:t>
            </w:r>
          </w:p>
        </w:tc>
        <w:tc>
          <w:tcPr>
            <w:tcW w:w="1039" w:type="dxa"/>
          </w:tcPr>
          <w:p w14:paraId="25DF5341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P099</w:t>
            </w:r>
          </w:p>
        </w:tc>
        <w:tc>
          <w:tcPr>
            <w:tcW w:w="1184" w:type="dxa"/>
          </w:tcPr>
          <w:p w14:paraId="0389BAB6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</w:tr>
      <w:tr w:rsidR="00CF7FDF" w:rsidRPr="004104CC" w14:paraId="68C3221B" w14:textId="77777777" w:rsidTr="00824CD0">
        <w:tc>
          <w:tcPr>
            <w:tcW w:w="671" w:type="dxa"/>
          </w:tcPr>
          <w:p w14:paraId="21620B6C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3379</w:t>
            </w:r>
          </w:p>
        </w:tc>
        <w:tc>
          <w:tcPr>
            <w:tcW w:w="3722" w:type="dxa"/>
          </w:tcPr>
          <w:p w14:paraId="495CE9BA" w14:textId="47A7A808" w:rsidR="00CF7FDF" w:rsidRPr="004104CC" w:rsidRDefault="00CF7FDF" w:rsidP="00D752D3">
            <w:pPr>
              <w:suppressAutoHyphens w:val="0"/>
              <w:kinsoku/>
              <w:overflowPunct/>
              <w:snapToGrid/>
              <w:spacing w:before="60" w:after="60" w:line="220" w:lineRule="atLeast"/>
              <w:ind w:left="28" w:right="28"/>
              <w:rPr>
                <w:lang w:val="fr-FR"/>
              </w:rPr>
            </w:pPr>
            <w:r w:rsidRPr="004104CC">
              <w:rPr>
                <w:lang w:val="fr-FR"/>
              </w:rPr>
              <w:t>LIQUIDE EXPLOSIBLE DÉSENSIBILISÉ,</w:t>
            </w:r>
            <w:r>
              <w:rPr>
                <w:lang w:val="fr-FR"/>
              </w:rPr>
              <w:t xml:space="preserve"> </w:t>
            </w:r>
            <w:r w:rsidRPr="004104CC">
              <w:rPr>
                <w:lang w:val="fr-FR"/>
              </w:rPr>
              <w:t>N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S</w:t>
            </w:r>
            <w:r w:rsidR="0090090E" w:rsidRPr="0090090E">
              <w:rPr>
                <w:lang w:val="fr-FR"/>
              </w:rPr>
              <w:t>.</w:t>
            </w:r>
            <w:r w:rsidRPr="004104CC">
              <w:rPr>
                <w:lang w:val="fr-FR"/>
              </w:rPr>
              <w:t>A</w:t>
            </w:r>
            <w:r w:rsidR="0090090E" w:rsidRPr="0090090E">
              <w:rPr>
                <w:lang w:val="fr-FR"/>
              </w:rPr>
              <w:t>.</w:t>
            </w:r>
          </w:p>
        </w:tc>
        <w:tc>
          <w:tcPr>
            <w:tcW w:w="845" w:type="dxa"/>
          </w:tcPr>
          <w:p w14:paraId="0C7F66F4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</w:t>
            </w:r>
          </w:p>
        </w:tc>
        <w:tc>
          <w:tcPr>
            <w:tcW w:w="1098" w:type="dxa"/>
          </w:tcPr>
          <w:p w14:paraId="0E9D6514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I</w:t>
            </w:r>
          </w:p>
        </w:tc>
        <w:tc>
          <w:tcPr>
            <w:tcW w:w="1078" w:type="dxa"/>
          </w:tcPr>
          <w:p w14:paraId="473B59DA" w14:textId="1F1FA20E" w:rsidR="00CF7FDF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274</w:t>
            </w:r>
          </w:p>
          <w:p w14:paraId="4AF2D2C4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311</w:t>
            </w:r>
          </w:p>
        </w:tc>
        <w:tc>
          <w:tcPr>
            <w:tcW w:w="1039" w:type="dxa"/>
          </w:tcPr>
          <w:p w14:paraId="608C897C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  <w:r w:rsidRPr="004104CC">
              <w:rPr>
                <w:lang w:val="fr-FR"/>
              </w:rPr>
              <w:t>P099</w:t>
            </w:r>
          </w:p>
        </w:tc>
        <w:tc>
          <w:tcPr>
            <w:tcW w:w="1184" w:type="dxa"/>
          </w:tcPr>
          <w:p w14:paraId="0A83438D" w14:textId="77777777" w:rsidR="00CF7FDF" w:rsidRPr="004104CC" w:rsidRDefault="00CF7FDF" w:rsidP="00D752D3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60" w:after="60" w:line="220" w:lineRule="atLeast"/>
              <w:ind w:left="28" w:right="28"/>
              <w:jc w:val="center"/>
              <w:rPr>
                <w:lang w:val="fr-FR"/>
              </w:rPr>
            </w:pPr>
          </w:p>
        </w:tc>
      </w:tr>
    </w:tbl>
    <w:p w14:paraId="21005441" w14:textId="2655C2C3" w:rsidR="00CF7FDF" w:rsidRPr="004104CC" w:rsidRDefault="00CF7FDF" w:rsidP="0090090E">
      <w:pPr>
        <w:pStyle w:val="SingleTxtG"/>
        <w:kinsoku/>
        <w:overflowPunct/>
        <w:autoSpaceDE/>
        <w:autoSpaceDN/>
        <w:adjustRightInd/>
        <w:snapToGrid/>
        <w:spacing w:before="240"/>
        <w:ind w:left="1701"/>
        <w:rPr>
          <w:lang w:val="fr-FR"/>
        </w:rPr>
      </w:pPr>
      <w:r w:rsidRPr="004104CC">
        <w:rPr>
          <w:lang w:val="fr-FR"/>
        </w:rPr>
        <w:t xml:space="preserve">La description du solvant ou du diluant est dans tous </w:t>
      </w:r>
      <w:proofErr w:type="gramStart"/>
      <w:r w:rsidRPr="004104CC">
        <w:rPr>
          <w:lang w:val="fr-FR"/>
        </w:rPr>
        <w:t>les cas très générale</w:t>
      </w:r>
      <w:proofErr w:type="gramEnd"/>
      <w:r w:rsidRPr="004104CC">
        <w:rPr>
          <w:lang w:val="fr-FR"/>
        </w:rPr>
        <w:t xml:space="preserve"> et ne fournit pas de valeur concernant le point d</w:t>
      </w:r>
      <w:r>
        <w:rPr>
          <w:lang w:val="fr-FR"/>
        </w:rPr>
        <w:t>’</w:t>
      </w:r>
      <w:r w:rsidRPr="004104CC">
        <w:rPr>
          <w:lang w:val="fr-FR"/>
        </w:rPr>
        <w:t>ébullition ou la volatilité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 xml:space="preserve"> À l</w:t>
      </w:r>
      <w:r>
        <w:rPr>
          <w:lang w:val="fr-FR"/>
        </w:rPr>
        <w:t>’</w:t>
      </w:r>
      <w:r w:rsidRPr="004104CC">
        <w:rPr>
          <w:lang w:val="fr-FR"/>
        </w:rPr>
        <w:t xml:space="preserve">exception de la disposition spéciale 311 </w:t>
      </w:r>
      <w:r>
        <w:rPr>
          <w:lang w:val="fr-FR"/>
        </w:rPr>
        <w:t>affect</w:t>
      </w:r>
      <w:r w:rsidRPr="004104CC">
        <w:rPr>
          <w:lang w:val="fr-FR"/>
        </w:rPr>
        <w:t xml:space="preserve">ée au </w:t>
      </w:r>
      <w:r>
        <w:rPr>
          <w:lang w:val="fr-FR"/>
        </w:rPr>
        <w:t>No</w:t>
      </w:r>
      <w:r w:rsidRPr="004104CC">
        <w:rPr>
          <w:lang w:val="fr-FR"/>
        </w:rPr>
        <w:t xml:space="preserve"> ONU 3379, il n</w:t>
      </w:r>
      <w:r>
        <w:rPr>
          <w:lang w:val="fr-FR"/>
        </w:rPr>
        <w:t>’</w:t>
      </w:r>
      <w:r w:rsidRPr="004104CC">
        <w:rPr>
          <w:lang w:val="fr-FR"/>
        </w:rPr>
        <w:t>existe pas de dispositions comparables à la disposition spéciale 28 pour les rubriques actuelles des matières explosibles désensibilisées liquides dans le Règlement type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 xml:space="preserve"> Les </w:t>
      </w:r>
      <w:r>
        <w:rPr>
          <w:lang w:val="fr-FR"/>
        </w:rPr>
        <w:t>No</w:t>
      </w:r>
      <w:r w:rsidRPr="004104CC">
        <w:rPr>
          <w:lang w:val="fr-FR"/>
        </w:rPr>
        <w:t>s ONU 1204 et</w:t>
      </w:r>
      <w:r w:rsidR="0090090E">
        <w:rPr>
          <w:lang w:val="fr-FR"/>
        </w:rPr>
        <w:t> </w:t>
      </w:r>
      <w:r w:rsidRPr="004104CC">
        <w:rPr>
          <w:lang w:val="fr-FR"/>
        </w:rPr>
        <w:t>3064 sont tous deux des solutions très diluées avec de l</w:t>
      </w:r>
      <w:r>
        <w:rPr>
          <w:lang w:val="fr-FR"/>
        </w:rPr>
        <w:t>’</w:t>
      </w:r>
      <w:r w:rsidRPr="004104CC">
        <w:rPr>
          <w:lang w:val="fr-FR"/>
        </w:rPr>
        <w:t>alcool, mais, sur de longues périodes, le solvant peut néanmoins s</w:t>
      </w:r>
      <w:r>
        <w:rPr>
          <w:lang w:val="fr-FR"/>
        </w:rPr>
        <w:t>’</w:t>
      </w:r>
      <w:r w:rsidRPr="004104CC">
        <w:rPr>
          <w:lang w:val="fr-FR"/>
        </w:rPr>
        <w:t>évaporer, de sorte qu</w:t>
      </w:r>
      <w:r>
        <w:rPr>
          <w:lang w:val="fr-FR"/>
        </w:rPr>
        <w:t>’</w:t>
      </w:r>
      <w:r w:rsidRPr="004104CC">
        <w:rPr>
          <w:lang w:val="fr-FR"/>
        </w:rPr>
        <w:t>une prescription relative à la qualité de l</w:t>
      </w:r>
      <w:r>
        <w:rPr>
          <w:lang w:val="fr-FR"/>
        </w:rPr>
        <w:t>’</w:t>
      </w:r>
      <w:r w:rsidRPr="004104CC">
        <w:rPr>
          <w:lang w:val="fr-FR"/>
        </w:rPr>
        <w:t>emballage, telle que celle qui est énoncée dans la DS 28, peut être utile</w:t>
      </w:r>
      <w:r w:rsidR="0090090E" w:rsidRPr="0090090E">
        <w:rPr>
          <w:lang w:val="fr-FR"/>
        </w:rPr>
        <w:t>.</w:t>
      </w:r>
    </w:p>
    <w:p w14:paraId="24AD116A" w14:textId="44DFEAED" w:rsidR="00CF7FDF" w:rsidRPr="004104CC" w:rsidRDefault="00CF7FDF" w:rsidP="00CF7FDF">
      <w:pPr>
        <w:pStyle w:val="SingleTxtG"/>
        <w:kinsoku/>
        <w:overflowPunct/>
        <w:autoSpaceDE/>
        <w:autoSpaceDN/>
        <w:adjustRightInd/>
        <w:snapToGrid/>
        <w:ind w:left="1701"/>
        <w:rPr>
          <w:lang w:val="fr-FR"/>
        </w:rPr>
      </w:pPr>
      <w:r w:rsidRPr="004104CC">
        <w:rPr>
          <w:lang w:val="fr-FR"/>
        </w:rPr>
        <w:t xml:space="preserve">Il est à noter que la rubrique du </w:t>
      </w:r>
      <w:r>
        <w:rPr>
          <w:lang w:val="fr-FR"/>
        </w:rPr>
        <w:t>No</w:t>
      </w:r>
      <w:r w:rsidRPr="004104CC">
        <w:rPr>
          <w:lang w:val="fr-FR"/>
        </w:rPr>
        <w:t xml:space="preserve"> ONU 3343 est la seule rubrique à laquelle aucun groupe d</w:t>
      </w:r>
      <w:r>
        <w:rPr>
          <w:lang w:val="fr-FR"/>
        </w:rPr>
        <w:t>’</w:t>
      </w:r>
      <w:r w:rsidRPr="004104CC">
        <w:rPr>
          <w:lang w:val="fr-FR"/>
        </w:rPr>
        <w:t>emballage n</w:t>
      </w:r>
      <w:r>
        <w:rPr>
          <w:lang w:val="fr-FR"/>
        </w:rPr>
        <w:t>’</w:t>
      </w:r>
      <w:r w:rsidRPr="004104CC">
        <w:rPr>
          <w:lang w:val="fr-FR"/>
        </w:rPr>
        <w:t xml:space="preserve">a été </w:t>
      </w:r>
      <w:r>
        <w:rPr>
          <w:lang w:val="fr-FR"/>
        </w:rPr>
        <w:t>affect</w:t>
      </w:r>
      <w:r w:rsidRPr="004104CC">
        <w:rPr>
          <w:lang w:val="fr-FR"/>
        </w:rPr>
        <w:t>ée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 xml:space="preserve"> Le Sous-Comité voudra peut-être décider si un groupe d</w:t>
      </w:r>
      <w:r>
        <w:rPr>
          <w:lang w:val="fr-FR"/>
        </w:rPr>
        <w:t>’</w:t>
      </w:r>
      <w:r w:rsidRPr="004104CC">
        <w:rPr>
          <w:lang w:val="fr-FR"/>
        </w:rPr>
        <w:t xml:space="preserve">emballage doit </w:t>
      </w:r>
      <w:r>
        <w:rPr>
          <w:lang w:val="fr-FR"/>
        </w:rPr>
        <w:t xml:space="preserve">lui </w:t>
      </w:r>
      <w:r w:rsidRPr="004104CC">
        <w:rPr>
          <w:lang w:val="fr-FR"/>
        </w:rPr>
        <w:t xml:space="preserve">être </w:t>
      </w:r>
      <w:r>
        <w:rPr>
          <w:lang w:val="fr-FR"/>
        </w:rPr>
        <w:t>affect</w:t>
      </w:r>
      <w:r w:rsidRPr="004104CC">
        <w:rPr>
          <w:lang w:val="fr-FR"/>
        </w:rPr>
        <w:t>é pour des raisons de cohérence</w:t>
      </w:r>
      <w:r w:rsidR="0090090E" w:rsidRPr="0090090E">
        <w:rPr>
          <w:lang w:val="fr-FR"/>
        </w:rPr>
        <w:t>.</w:t>
      </w:r>
    </w:p>
    <w:p w14:paraId="1E81D425" w14:textId="77777777" w:rsidR="00CF7FDF" w:rsidRPr="004104CC" w:rsidRDefault="00CF7FDF" w:rsidP="00CF7FDF">
      <w:pPr>
        <w:pStyle w:val="HChG"/>
        <w:spacing w:before="240" w:after="120"/>
        <w:rPr>
          <w:lang w:val="fr-FR"/>
        </w:rPr>
      </w:pPr>
      <w:r w:rsidRPr="004104CC">
        <w:rPr>
          <w:lang w:val="fr-FR"/>
        </w:rPr>
        <w:lastRenderedPageBreak/>
        <w:tab/>
      </w:r>
      <w:r w:rsidRPr="004104CC">
        <w:rPr>
          <w:lang w:val="fr-FR"/>
        </w:rPr>
        <w:tab/>
      </w:r>
      <w:r w:rsidRPr="004104CC">
        <w:rPr>
          <w:bCs/>
          <w:lang w:val="fr-FR"/>
        </w:rPr>
        <w:t>Proposition</w:t>
      </w:r>
    </w:p>
    <w:p w14:paraId="75B4519A" w14:textId="07BCEF69" w:rsidR="00CF7FDF" w:rsidRPr="004104CC" w:rsidRDefault="00CF7FDF" w:rsidP="00CF7FDF">
      <w:pPr>
        <w:pStyle w:val="SingleTxtG"/>
        <w:rPr>
          <w:lang w:val="fr-FR"/>
        </w:rPr>
      </w:pPr>
      <w:r w:rsidRPr="004104CC">
        <w:rPr>
          <w:lang w:val="fr-FR"/>
        </w:rPr>
        <w:t>6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ab/>
        <w:t>Sur la base de</w:t>
      </w:r>
      <w:r>
        <w:rPr>
          <w:lang w:val="fr-FR"/>
        </w:rPr>
        <w:t>s</w:t>
      </w:r>
      <w:r w:rsidRPr="004104CC">
        <w:rPr>
          <w:lang w:val="fr-FR"/>
        </w:rPr>
        <w:t xml:space="preserve"> </w:t>
      </w:r>
      <w:r>
        <w:rPr>
          <w:lang w:val="fr-FR"/>
        </w:rPr>
        <w:t xml:space="preserve">éléments examinés </w:t>
      </w:r>
      <w:r w:rsidRPr="004104CC">
        <w:rPr>
          <w:lang w:val="fr-FR"/>
        </w:rPr>
        <w:t xml:space="preserve">ci-dessus, le </w:t>
      </w:r>
      <w:proofErr w:type="spellStart"/>
      <w:r w:rsidRPr="004104CC">
        <w:rPr>
          <w:lang w:val="fr-FR"/>
        </w:rPr>
        <w:t>Cefic</w:t>
      </w:r>
      <w:proofErr w:type="spellEnd"/>
      <w:r w:rsidRPr="004104CC">
        <w:rPr>
          <w:lang w:val="fr-FR"/>
        </w:rPr>
        <w:t xml:space="preserve"> propose les amendements suivants au 3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>2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>2 :</w:t>
      </w:r>
    </w:p>
    <w:p w14:paraId="21AB69B2" w14:textId="156B158A" w:rsidR="00CF7FDF" w:rsidRPr="004104CC" w:rsidRDefault="00CF7FDF" w:rsidP="00CF7FDF">
      <w:pPr>
        <w:pStyle w:val="SingleTxtG"/>
        <w:rPr>
          <w:lang w:val="fr-FR"/>
        </w:rPr>
      </w:pPr>
      <w:r w:rsidRPr="004104CC">
        <w:rPr>
          <w:lang w:val="fr-FR"/>
        </w:rPr>
        <w:t>7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ab/>
        <w:t>Pour les matières explosibles désensibilisées solides</w:t>
      </w:r>
      <w:r w:rsidRPr="001E1D2D">
        <w:rPr>
          <w:lang w:val="fr-FR"/>
        </w:rPr>
        <w:t>, affecter</w:t>
      </w:r>
      <w:r w:rsidRPr="004104CC">
        <w:rPr>
          <w:lang w:val="fr-FR"/>
        </w:rPr>
        <w:t xml:space="preserve"> la DS 28 aux rubriques ONU 2555, 2556 et 3474</w:t>
      </w:r>
      <w:r w:rsidR="0090090E" w:rsidRPr="0090090E">
        <w:rPr>
          <w:lang w:val="fr-FR"/>
        </w:rPr>
        <w:t>.</w:t>
      </w:r>
    </w:p>
    <w:p w14:paraId="4802A91B" w14:textId="0DDC7B58" w:rsidR="00CF7FDF" w:rsidRPr="004104CC" w:rsidRDefault="00CF7FDF" w:rsidP="00CF7FDF">
      <w:pPr>
        <w:pStyle w:val="SingleTxtG"/>
        <w:rPr>
          <w:lang w:val="fr-FR"/>
        </w:rPr>
      </w:pPr>
      <w:r w:rsidRPr="004104CC">
        <w:rPr>
          <w:lang w:val="fr-FR"/>
        </w:rPr>
        <w:t>8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ab/>
        <w:t xml:space="preserve">Pour les matières explosibles désensibilisées liquides, </w:t>
      </w:r>
      <w:r>
        <w:rPr>
          <w:lang w:val="fr-FR"/>
        </w:rPr>
        <w:t>affect</w:t>
      </w:r>
      <w:r w:rsidRPr="004104CC">
        <w:rPr>
          <w:lang w:val="fr-FR"/>
        </w:rPr>
        <w:t xml:space="preserve">er la DS 28 aux </w:t>
      </w:r>
      <w:r w:rsidRPr="001E1D2D">
        <w:rPr>
          <w:lang w:val="fr-FR"/>
        </w:rPr>
        <w:t>rubriques</w:t>
      </w:r>
      <w:r w:rsidRPr="004104CC">
        <w:rPr>
          <w:b/>
          <w:bCs/>
          <w:lang w:val="fr-FR"/>
        </w:rPr>
        <w:t xml:space="preserve"> </w:t>
      </w:r>
      <w:r w:rsidRPr="004104CC">
        <w:rPr>
          <w:lang w:val="fr-FR"/>
        </w:rPr>
        <w:t>ONU 1204, 2059, 3064, 3343 et 3357</w:t>
      </w:r>
      <w:r w:rsidR="0090090E" w:rsidRPr="0090090E">
        <w:rPr>
          <w:lang w:val="fr-FR"/>
        </w:rPr>
        <w:t>.</w:t>
      </w:r>
    </w:p>
    <w:p w14:paraId="291E49AD" w14:textId="7672CAA5" w:rsidR="00CF7FDF" w:rsidRPr="004104CC" w:rsidRDefault="00CF7FDF" w:rsidP="00CF7FDF">
      <w:pPr>
        <w:pStyle w:val="SingleTxtG"/>
        <w:rPr>
          <w:lang w:val="fr-FR"/>
        </w:rPr>
      </w:pPr>
      <w:r w:rsidRPr="004104CC">
        <w:rPr>
          <w:lang w:val="fr-FR"/>
        </w:rPr>
        <w:t>9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ab/>
        <w:t>Ajouter le groupe d</w:t>
      </w:r>
      <w:r>
        <w:rPr>
          <w:lang w:val="fr-FR"/>
        </w:rPr>
        <w:t>’</w:t>
      </w:r>
      <w:r w:rsidRPr="004104CC">
        <w:rPr>
          <w:lang w:val="fr-FR"/>
        </w:rPr>
        <w:t>emballage II dans la cinquième colonne de la rubrique ONU 3343</w:t>
      </w:r>
      <w:r w:rsidR="0090090E" w:rsidRPr="0090090E">
        <w:rPr>
          <w:lang w:val="fr-FR"/>
        </w:rPr>
        <w:t>.</w:t>
      </w:r>
    </w:p>
    <w:p w14:paraId="09FD35A9" w14:textId="77777777" w:rsidR="00CF7FDF" w:rsidRPr="004104CC" w:rsidRDefault="00CF7FDF" w:rsidP="00CF7FDF">
      <w:pPr>
        <w:pStyle w:val="HChG"/>
        <w:rPr>
          <w:lang w:val="fr-FR"/>
        </w:rPr>
      </w:pPr>
      <w:r w:rsidRPr="004104CC">
        <w:rPr>
          <w:lang w:val="fr-FR"/>
        </w:rPr>
        <w:tab/>
      </w:r>
      <w:r w:rsidRPr="004104CC">
        <w:rPr>
          <w:lang w:val="fr-FR"/>
        </w:rPr>
        <w:tab/>
      </w:r>
      <w:r w:rsidRPr="004104CC">
        <w:rPr>
          <w:bCs/>
          <w:lang w:val="fr-FR"/>
        </w:rPr>
        <w:t>Justification</w:t>
      </w:r>
    </w:p>
    <w:p w14:paraId="6FC291CA" w14:textId="045843C7" w:rsidR="00CF7FDF" w:rsidRDefault="00CF7FDF" w:rsidP="00CF7FDF">
      <w:pPr>
        <w:pStyle w:val="SingleTxtG"/>
      </w:pPr>
      <w:r w:rsidRPr="004104CC">
        <w:rPr>
          <w:lang w:val="fr-FR"/>
        </w:rPr>
        <w:t>10</w:t>
      </w:r>
      <w:r w:rsidR="0090090E" w:rsidRPr="0090090E">
        <w:rPr>
          <w:lang w:val="fr-FR"/>
        </w:rPr>
        <w:t>.</w:t>
      </w:r>
      <w:r w:rsidRPr="004104CC">
        <w:rPr>
          <w:lang w:val="fr-FR"/>
        </w:rPr>
        <w:tab/>
        <w:t>Sur la base de l</w:t>
      </w:r>
      <w:r>
        <w:rPr>
          <w:lang w:val="fr-FR"/>
        </w:rPr>
        <w:t>’</w:t>
      </w:r>
      <w:r w:rsidRPr="004104CC">
        <w:rPr>
          <w:lang w:val="fr-FR"/>
        </w:rPr>
        <w:t>analyse des rubriques actuelles, les amendements proposés permettront d</w:t>
      </w:r>
      <w:r>
        <w:rPr>
          <w:lang w:val="fr-FR"/>
        </w:rPr>
        <w:t>’</w:t>
      </w:r>
      <w:r w:rsidRPr="004104CC">
        <w:rPr>
          <w:lang w:val="fr-FR"/>
        </w:rPr>
        <w:t xml:space="preserve">adopter des prescriptions </w:t>
      </w:r>
      <w:r>
        <w:rPr>
          <w:lang w:val="fr-FR"/>
        </w:rPr>
        <w:t xml:space="preserve">unifiées </w:t>
      </w:r>
      <w:r w:rsidRPr="004104CC">
        <w:rPr>
          <w:lang w:val="fr-FR"/>
        </w:rPr>
        <w:t xml:space="preserve">et cohérentes relatives à la qualité </w:t>
      </w:r>
      <w:r>
        <w:rPr>
          <w:lang w:val="fr-FR"/>
        </w:rPr>
        <w:t xml:space="preserve">en vue du </w:t>
      </w:r>
      <w:r w:rsidRPr="004104CC">
        <w:rPr>
          <w:lang w:val="fr-FR"/>
        </w:rPr>
        <w:t>transport en toute sécurité des matières explosibles désensibilisées</w:t>
      </w:r>
      <w:r w:rsidR="0090090E" w:rsidRPr="0090090E">
        <w:rPr>
          <w:lang w:val="fr-FR"/>
        </w:rPr>
        <w:t>.</w:t>
      </w:r>
    </w:p>
    <w:p w14:paraId="316F4B56" w14:textId="6BE01181" w:rsidR="00446FE5" w:rsidRPr="00CF7FDF" w:rsidRDefault="00CF7FDF" w:rsidP="00CF7FD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CF7FDF" w:rsidSect="00CF7F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2303" w14:textId="77777777" w:rsidR="00881A4D" w:rsidRDefault="00881A4D" w:rsidP="00F95C08">
      <w:pPr>
        <w:spacing w:line="240" w:lineRule="auto"/>
      </w:pPr>
    </w:p>
  </w:endnote>
  <w:endnote w:type="continuationSeparator" w:id="0">
    <w:p w14:paraId="2933FE02" w14:textId="77777777" w:rsidR="00881A4D" w:rsidRPr="00AC3823" w:rsidRDefault="00881A4D" w:rsidP="00AC3823">
      <w:pPr>
        <w:pStyle w:val="Footer"/>
      </w:pPr>
    </w:p>
  </w:endnote>
  <w:endnote w:type="continuationNotice" w:id="1">
    <w:p w14:paraId="1F397B9F" w14:textId="77777777" w:rsidR="00881A4D" w:rsidRDefault="00881A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1D28" w14:textId="2CFADBD8" w:rsidR="00CF7FDF" w:rsidRPr="00CF7FDF" w:rsidRDefault="00CF7FDF" w:rsidP="00CF7FDF">
    <w:pPr>
      <w:pStyle w:val="Footer"/>
      <w:tabs>
        <w:tab w:val="right" w:pos="9638"/>
      </w:tabs>
    </w:pPr>
    <w:r w:rsidRPr="00CF7FDF">
      <w:rPr>
        <w:b/>
        <w:sz w:val="18"/>
      </w:rPr>
      <w:fldChar w:fldCharType="begin"/>
    </w:r>
    <w:r w:rsidRPr="00CF7FDF">
      <w:rPr>
        <w:b/>
        <w:sz w:val="18"/>
      </w:rPr>
      <w:instrText xml:space="preserve"> PAGE  \* MERGEFORMAT </w:instrText>
    </w:r>
    <w:r w:rsidRPr="00CF7FDF">
      <w:rPr>
        <w:b/>
        <w:sz w:val="18"/>
      </w:rPr>
      <w:fldChar w:fldCharType="separate"/>
    </w:r>
    <w:r w:rsidRPr="00CF7FDF">
      <w:rPr>
        <w:b/>
        <w:noProof/>
        <w:sz w:val="18"/>
      </w:rPr>
      <w:t>2</w:t>
    </w:r>
    <w:r w:rsidRPr="00CF7FDF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90090E" w:rsidRPr="0090090E">
      <w:t>.</w:t>
    </w:r>
    <w:r>
      <w:t>22-13879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1663" w14:textId="17339923" w:rsidR="00CF7FDF" w:rsidRPr="00CF7FDF" w:rsidRDefault="00CF7FDF" w:rsidP="00CF7FDF">
    <w:pPr>
      <w:pStyle w:val="Footer"/>
      <w:tabs>
        <w:tab w:val="right" w:pos="9638"/>
      </w:tabs>
      <w:rPr>
        <w:b/>
        <w:sz w:val="18"/>
      </w:rPr>
    </w:pPr>
    <w:r>
      <w:t>GE</w:t>
    </w:r>
    <w:r w:rsidR="0090090E" w:rsidRPr="0090090E">
      <w:t>.</w:t>
    </w:r>
    <w:r>
      <w:t>22-13879</w:t>
    </w:r>
    <w:r>
      <w:tab/>
    </w:r>
    <w:r w:rsidRPr="00CF7FDF">
      <w:rPr>
        <w:b/>
        <w:sz w:val="18"/>
      </w:rPr>
      <w:fldChar w:fldCharType="begin"/>
    </w:r>
    <w:r w:rsidRPr="00CF7FDF">
      <w:rPr>
        <w:b/>
        <w:sz w:val="18"/>
      </w:rPr>
      <w:instrText xml:space="preserve"> PAGE  \* MERGEFORMAT </w:instrText>
    </w:r>
    <w:r w:rsidRPr="00CF7FDF">
      <w:rPr>
        <w:b/>
        <w:sz w:val="18"/>
      </w:rPr>
      <w:fldChar w:fldCharType="separate"/>
    </w:r>
    <w:r w:rsidRPr="00CF7FDF">
      <w:rPr>
        <w:b/>
        <w:noProof/>
        <w:sz w:val="18"/>
      </w:rPr>
      <w:t>3</w:t>
    </w:r>
    <w:r w:rsidRPr="00CF7F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F439" w14:textId="13085CF0" w:rsidR="0068456F" w:rsidRPr="00CF7FDF" w:rsidRDefault="00CF7FDF" w:rsidP="00CF7FDF">
    <w:pPr>
      <w:pStyle w:val="Footer"/>
      <w:spacing w:before="120"/>
      <w:rPr>
        <w:sz w:val="20"/>
      </w:rPr>
    </w:pPr>
    <w:r>
      <w:rPr>
        <w:sz w:val="20"/>
      </w:rPr>
      <w:t>GE</w:t>
    </w:r>
    <w:r w:rsidR="0090090E" w:rsidRPr="0090090E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9F0548" wp14:editId="597D07D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13879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B40459C" wp14:editId="2C959CE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131022    131022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4CE3" w14:textId="77777777" w:rsidR="00881A4D" w:rsidRPr="00AC3823" w:rsidRDefault="00881A4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7E481C" w14:textId="77777777" w:rsidR="00881A4D" w:rsidRPr="00AC3823" w:rsidRDefault="00881A4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F62185" w14:textId="77777777" w:rsidR="00881A4D" w:rsidRPr="00AC3823" w:rsidRDefault="00881A4D">
      <w:pPr>
        <w:spacing w:line="240" w:lineRule="auto"/>
        <w:rPr>
          <w:sz w:val="2"/>
          <w:szCs w:val="2"/>
        </w:rPr>
      </w:pPr>
    </w:p>
  </w:footnote>
  <w:footnote w:id="2">
    <w:p w14:paraId="09B1A4A1" w14:textId="7F7DECA8" w:rsidR="00CF7FDF" w:rsidRPr="00CF7FDF" w:rsidRDefault="00CF7FDF">
      <w:pPr>
        <w:pStyle w:val="FootnoteText"/>
      </w:pPr>
      <w:r>
        <w:rPr>
          <w:rStyle w:val="FootnoteReference"/>
        </w:rPr>
        <w:tab/>
      </w:r>
      <w:r w:rsidRPr="00CF7FD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</w:t>
      </w:r>
      <w:r w:rsidR="0090090E" w:rsidRPr="0090090E">
        <w:rPr>
          <w:lang w:val="fr-FR"/>
        </w:rPr>
        <w:t>.</w:t>
      </w:r>
      <w:r>
        <w:rPr>
          <w:lang w:val="fr-FR"/>
        </w:rPr>
        <w:t xml:space="preserve"> 20), par</w:t>
      </w:r>
      <w:r w:rsidR="0090090E" w:rsidRPr="0090090E">
        <w:rPr>
          <w:lang w:val="fr-FR"/>
        </w:rPr>
        <w:t>.</w:t>
      </w:r>
      <w:r>
        <w:rPr>
          <w:lang w:val="fr-FR"/>
        </w:rPr>
        <w:t xml:space="preserve"> 20</w:t>
      </w:r>
      <w:r w:rsidR="0090090E" w:rsidRPr="0090090E">
        <w:rPr>
          <w:lang w:val="fr-FR"/>
        </w:rPr>
        <w:t>.</w:t>
      </w:r>
      <w:r>
        <w:rPr>
          <w:lang w:val="fr-FR"/>
        </w:rPr>
        <w:t>51</w:t>
      </w:r>
      <w:r w:rsidR="0090090E" w:rsidRPr="0090090E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E229" w14:textId="0FB0EE80" w:rsidR="00CF7FDF" w:rsidRPr="00CF7FDF" w:rsidRDefault="00BA379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ST/SG/AC.10/C.3/2022/58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2A1A" w14:textId="33CB4623" w:rsidR="00CF7FDF" w:rsidRPr="00CF7FDF" w:rsidRDefault="00BA3795" w:rsidP="00CF7FD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ST/SG/AC.10/C.3/2022/58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4D"/>
    <w:rsid w:val="00017F94"/>
    <w:rsid w:val="00023842"/>
    <w:rsid w:val="000305D3"/>
    <w:rsid w:val="000334F9"/>
    <w:rsid w:val="0007796D"/>
    <w:rsid w:val="000B7790"/>
    <w:rsid w:val="00104335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23ABA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D621E"/>
    <w:rsid w:val="0068456F"/>
    <w:rsid w:val="0071601D"/>
    <w:rsid w:val="007A62E6"/>
    <w:rsid w:val="0080684C"/>
    <w:rsid w:val="008123E0"/>
    <w:rsid w:val="00824CD0"/>
    <w:rsid w:val="00871C75"/>
    <w:rsid w:val="008776DC"/>
    <w:rsid w:val="00881A4D"/>
    <w:rsid w:val="008B40CD"/>
    <w:rsid w:val="0090090E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BA3795"/>
    <w:rsid w:val="00C02897"/>
    <w:rsid w:val="00CF7FDF"/>
    <w:rsid w:val="00D3439C"/>
    <w:rsid w:val="00D752D3"/>
    <w:rsid w:val="00DB1831"/>
    <w:rsid w:val="00DD3BFD"/>
    <w:rsid w:val="00DF6678"/>
    <w:rsid w:val="00E373EA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0AF8D"/>
  <w15:docId w15:val="{5B39F977-4B4B-4B84-A23C-A10928C4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CF7FD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CF7FD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CF7FD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53D0297-7170-4DAA-887A-A0166E58C3CE}"/>
</file>

<file path=customXml/itemProps2.xml><?xml version="1.0" encoding="utf-8"?>
<ds:datastoreItem xmlns:ds="http://schemas.openxmlformats.org/officeDocument/2006/customXml" ds:itemID="{503AAA89-78CE-41F8-95E5-8C6C5D72EDD8}"/>
</file>

<file path=customXml/itemProps3.xml><?xml version="1.0" encoding="utf-8"?>
<ds:datastoreItem xmlns:ds="http://schemas.openxmlformats.org/officeDocument/2006/customXml" ds:itemID="{0C74A6FC-4C56-4AEB-B7D8-E39BDEAEF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ST/SG/AC.10/C.3/2022/58</vt:lpstr>
    </vt:vector>
  </TitlesOfParts>
  <Company>DCM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ST/SG/AC.10/C.3/2022/58</dc:title>
  <dc:subject/>
  <dc:creator>Maud DARICHE</dc:creator>
  <cp:keywords/>
  <cp:lastModifiedBy>Laurence Berthet</cp:lastModifiedBy>
  <cp:revision>3</cp:revision>
  <cp:lastPrinted>2022-10-13T07:44:00Z</cp:lastPrinted>
  <dcterms:created xsi:type="dcterms:W3CDTF">2022-10-13T07:43:00Z</dcterms:created>
  <dcterms:modified xsi:type="dcterms:W3CDTF">2022-10-13T07:44:00Z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