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C715BD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FB55677" w14:textId="77777777" w:rsidR="00F35BAF" w:rsidRPr="00DB58B5" w:rsidRDefault="00F35BAF" w:rsidP="00265F2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AC2FC5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55802D5" w14:textId="49C9A132" w:rsidR="00F35BAF" w:rsidRPr="00DB58B5" w:rsidRDefault="00265F2F" w:rsidP="00265F2F">
            <w:pPr>
              <w:jc w:val="right"/>
            </w:pPr>
            <w:r w:rsidRPr="00265F2F">
              <w:rPr>
                <w:sz w:val="40"/>
              </w:rPr>
              <w:t>ECE</w:t>
            </w:r>
            <w:r>
              <w:t>/TRANS/WP.15/AC.2/2023/7</w:t>
            </w:r>
          </w:p>
        </w:tc>
      </w:tr>
      <w:tr w:rsidR="00F35BAF" w:rsidRPr="00DB58B5" w14:paraId="2D9F9D4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3DD960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BF35611" wp14:editId="5139B2A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D28B7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4FAB312" w14:textId="77777777" w:rsidR="00F35BAF" w:rsidRDefault="00265F2F" w:rsidP="00C97039">
            <w:pPr>
              <w:spacing w:before="240"/>
            </w:pPr>
            <w:r>
              <w:t>Distr. générale</w:t>
            </w:r>
          </w:p>
          <w:p w14:paraId="0ED811E3" w14:textId="77777777" w:rsidR="00265F2F" w:rsidRDefault="00265F2F" w:rsidP="00265F2F">
            <w:pPr>
              <w:spacing w:line="240" w:lineRule="exact"/>
            </w:pPr>
            <w:r>
              <w:t>11 novembre 2022</w:t>
            </w:r>
          </w:p>
          <w:p w14:paraId="04B6B428" w14:textId="77777777" w:rsidR="00265F2F" w:rsidRDefault="00265F2F" w:rsidP="00265F2F">
            <w:pPr>
              <w:spacing w:line="240" w:lineRule="exact"/>
            </w:pPr>
            <w:r>
              <w:t>Français</w:t>
            </w:r>
          </w:p>
          <w:p w14:paraId="163C97FE" w14:textId="1A9AF0E4" w:rsidR="00265F2F" w:rsidRPr="00DB58B5" w:rsidRDefault="00265F2F" w:rsidP="00265F2F">
            <w:pPr>
              <w:spacing w:line="240" w:lineRule="exact"/>
            </w:pPr>
            <w:r>
              <w:t>Original : anglais</w:t>
            </w:r>
          </w:p>
        </w:tc>
      </w:tr>
    </w:tbl>
    <w:p w14:paraId="5F60800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41BABD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9C440D9" w14:textId="77777777" w:rsidR="00265F2F" w:rsidRPr="009E01B8" w:rsidRDefault="00265F2F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28F8B30E" w14:textId="77777777" w:rsidR="00265F2F" w:rsidRPr="004812F5" w:rsidRDefault="00265F2F" w:rsidP="00AF0CB5">
      <w:pPr>
        <w:spacing w:before="120"/>
        <w:rPr>
          <w:b/>
        </w:rPr>
      </w:pPr>
      <w:r w:rsidRPr="004812F5">
        <w:rPr>
          <w:b/>
          <w:lang w:val="fr-FR"/>
        </w:rPr>
        <w:t xml:space="preserve">Réunion commune d’experts </w:t>
      </w:r>
      <w:r>
        <w:rPr>
          <w:b/>
          <w:lang w:val="fr-FR"/>
        </w:rPr>
        <w:t xml:space="preserve">du </w:t>
      </w:r>
      <w:r w:rsidRPr="004812F5">
        <w:rPr>
          <w:b/>
          <w:lang w:val="fr-FR"/>
        </w:rPr>
        <w:t>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14:paraId="71475F2D" w14:textId="77777777" w:rsidR="00265F2F" w:rsidRPr="0058098A" w:rsidRDefault="00265F2F" w:rsidP="00265F2F">
      <w:pPr>
        <w:spacing w:before="120"/>
        <w:rPr>
          <w:b/>
        </w:rPr>
      </w:pPr>
      <w:r w:rsidRPr="0058098A">
        <w:rPr>
          <w:b/>
          <w:bCs/>
          <w:lang w:val="fr-FR"/>
        </w:rPr>
        <w:t>Quarante et unième session</w:t>
      </w:r>
    </w:p>
    <w:p w14:paraId="5A1B37CF" w14:textId="77777777" w:rsidR="00265F2F" w:rsidRPr="0058098A" w:rsidRDefault="00265F2F" w:rsidP="00265F2F">
      <w:r w:rsidRPr="0058098A">
        <w:rPr>
          <w:lang w:val="fr-FR"/>
        </w:rPr>
        <w:t>Genève, 23-27 janvier 2023</w:t>
      </w:r>
    </w:p>
    <w:p w14:paraId="6138E0C8" w14:textId="77777777" w:rsidR="00265F2F" w:rsidRPr="0058098A" w:rsidRDefault="00265F2F" w:rsidP="00265F2F">
      <w:r w:rsidRPr="0058098A">
        <w:rPr>
          <w:lang w:val="fr-FR"/>
        </w:rPr>
        <w:t>Point 5 b) de l’ordre du jour provisoire</w:t>
      </w:r>
    </w:p>
    <w:p w14:paraId="5E1437AA" w14:textId="77777777" w:rsidR="00265F2F" w:rsidRPr="0058098A" w:rsidRDefault="00265F2F" w:rsidP="00265F2F">
      <w:pPr>
        <w:rPr>
          <w:b/>
          <w:bCs/>
        </w:rPr>
      </w:pPr>
      <w:r w:rsidRPr="0058098A">
        <w:rPr>
          <w:b/>
          <w:bCs/>
          <w:lang w:val="fr-FR"/>
        </w:rPr>
        <w:t xml:space="preserve">Propositions d’amendements au Règlement annexé à l’ADN : </w:t>
      </w:r>
      <w:r w:rsidRPr="0058098A">
        <w:rPr>
          <w:b/>
          <w:bCs/>
          <w:lang w:val="fr-FR"/>
        </w:rPr>
        <w:br/>
        <w:t>autres propositions</w:t>
      </w:r>
      <w:r w:rsidRPr="0058098A">
        <w:rPr>
          <w:lang w:val="fr-FR"/>
        </w:rPr>
        <w:t xml:space="preserve"> </w:t>
      </w:r>
    </w:p>
    <w:p w14:paraId="48A85AE3" w14:textId="77777777" w:rsidR="00265F2F" w:rsidRPr="00F66E00" w:rsidRDefault="00265F2F" w:rsidP="00265F2F">
      <w:pPr>
        <w:pStyle w:val="HChG"/>
      </w:pPr>
      <w:r w:rsidRPr="00F66E00">
        <w:rPr>
          <w:lang w:val="fr-FR"/>
        </w:rPr>
        <w:tab/>
      </w:r>
      <w:r w:rsidRPr="00F66E00">
        <w:rPr>
          <w:lang w:val="fr-FR"/>
        </w:rPr>
        <w:tab/>
        <w:t>Disposition transitoire du paragraphe 9.3.X.40.2</w:t>
      </w:r>
    </w:p>
    <w:p w14:paraId="7DB3800A" w14:textId="77777777" w:rsidR="00265F2F" w:rsidRPr="00F66E00" w:rsidRDefault="00265F2F" w:rsidP="00265F2F">
      <w:pPr>
        <w:pStyle w:val="H1G"/>
      </w:pPr>
      <w:r w:rsidRPr="00F66E00">
        <w:rPr>
          <w:lang w:val="fr-FR"/>
        </w:rPr>
        <w:tab/>
      </w:r>
      <w:r w:rsidRPr="00F66E00">
        <w:rPr>
          <w:lang w:val="fr-FR"/>
        </w:rPr>
        <w:tab/>
        <w:t xml:space="preserve">Communication du groupe de travail informel des sociétés </w:t>
      </w:r>
      <w:r>
        <w:rPr>
          <w:lang w:val="fr-FR"/>
        </w:rPr>
        <w:br/>
      </w:r>
      <w:r w:rsidRPr="00F66E00">
        <w:rPr>
          <w:lang w:val="fr-FR"/>
        </w:rPr>
        <w:t>de classification ADN recommandées</w:t>
      </w:r>
      <w:r w:rsidRPr="00F66E00">
        <w:rPr>
          <w:rStyle w:val="Appelnotedebasdep"/>
          <w:szCs w:val="24"/>
          <w:lang w:val="fr-FR"/>
        </w:rPr>
        <w:footnoteReference w:customMarkFollows="1" w:id="2"/>
        <w:t>*</w:t>
      </w:r>
      <w:r w:rsidRPr="006F0725">
        <w:rPr>
          <w:vertAlign w:val="superscript"/>
          <w:lang w:val="fr-FR"/>
        </w:rPr>
        <w:t>,</w:t>
      </w:r>
      <w:r>
        <w:rPr>
          <w:vertAlign w:val="superscript"/>
          <w:lang w:val="fr-FR"/>
        </w:rPr>
        <w:t xml:space="preserve"> </w:t>
      </w:r>
      <w:r w:rsidRPr="00F66E00">
        <w:rPr>
          <w:rStyle w:val="Appelnotedebasdep"/>
          <w:szCs w:val="24"/>
          <w:lang w:val="fr-FR"/>
        </w:rPr>
        <w:footnoteReference w:customMarkFollows="1" w:id="3"/>
        <w:t>**</w:t>
      </w:r>
    </w:p>
    <w:p w14:paraId="6A440E12" w14:textId="77777777" w:rsidR="00265F2F" w:rsidRPr="00F66E00" w:rsidRDefault="00265F2F" w:rsidP="00265F2F">
      <w:pPr>
        <w:pStyle w:val="HChG"/>
      </w:pPr>
      <w:r w:rsidRPr="00F66E00">
        <w:rPr>
          <w:lang w:val="fr-FR"/>
        </w:rPr>
        <w:tab/>
      </w:r>
      <w:r w:rsidRPr="00F66E00">
        <w:rPr>
          <w:lang w:val="fr-FR"/>
        </w:rPr>
        <w:tab/>
        <w:t>Introduction</w:t>
      </w:r>
    </w:p>
    <w:p w14:paraId="4FDCADEB" w14:textId="77777777" w:rsidR="00265F2F" w:rsidRPr="00F66E00" w:rsidRDefault="00265F2F" w:rsidP="00265F2F">
      <w:pPr>
        <w:pStyle w:val="SingleTxtG"/>
      </w:pPr>
      <w:r w:rsidRPr="00F66E00">
        <w:rPr>
          <w:lang w:val="fr-FR"/>
        </w:rPr>
        <w:t>1.</w:t>
      </w:r>
      <w:r w:rsidRPr="00F66E00">
        <w:rPr>
          <w:lang w:val="fr-FR"/>
        </w:rPr>
        <w:tab/>
      </w:r>
      <w:r>
        <w:rPr>
          <w:lang w:val="fr-FR"/>
        </w:rPr>
        <w:t>À</w:t>
      </w:r>
      <w:r w:rsidRPr="00F66E00">
        <w:rPr>
          <w:lang w:val="fr-FR"/>
        </w:rPr>
        <w:t xml:space="preserve"> sa quarantième session, le Comité de sécurité de l</w:t>
      </w:r>
      <w:r>
        <w:rPr>
          <w:lang w:val="fr-FR"/>
        </w:rPr>
        <w:t>’</w:t>
      </w:r>
      <w:r w:rsidRPr="00F66E00">
        <w:rPr>
          <w:lang w:val="fr-FR"/>
        </w:rPr>
        <w:t>ADN a approuvé dans son principe l</w:t>
      </w:r>
      <w:r>
        <w:rPr>
          <w:lang w:val="fr-FR"/>
        </w:rPr>
        <w:t>’</w:t>
      </w:r>
      <w:r w:rsidRPr="00F66E00">
        <w:rPr>
          <w:lang w:val="fr-FR"/>
        </w:rPr>
        <w:t>interprétation du groupe de travail informel des sociétés de classification ADN recommandées</w:t>
      </w:r>
      <w:r>
        <w:rPr>
          <w:lang w:val="fr-FR"/>
        </w:rPr>
        <w:t>,</w:t>
      </w:r>
      <w:r w:rsidRPr="00F66E00">
        <w:rPr>
          <w:lang w:val="fr-FR"/>
        </w:rPr>
        <w:t xml:space="preserve"> selon laquelle la disposition transitoire </w:t>
      </w:r>
      <w:r>
        <w:rPr>
          <w:lang w:val="fr-FR"/>
        </w:rPr>
        <w:t>énoncée au</w:t>
      </w:r>
      <w:r w:rsidRPr="00F66E00">
        <w:rPr>
          <w:lang w:val="fr-FR"/>
        </w:rPr>
        <w:t xml:space="preserve"> 1.6.7.2.2.2 pour le paragraphe</w:t>
      </w:r>
      <w:r>
        <w:rPr>
          <w:lang w:val="fr-FR"/>
        </w:rPr>
        <w:t> </w:t>
      </w:r>
      <w:r w:rsidRPr="00F66E00">
        <w:rPr>
          <w:lang w:val="fr-FR"/>
        </w:rPr>
        <w:t>9.3.</w:t>
      </w:r>
      <w:r>
        <w:rPr>
          <w:lang w:val="fr-FR"/>
        </w:rPr>
        <w:t>X</w:t>
      </w:r>
      <w:r w:rsidRPr="00F66E00">
        <w:rPr>
          <w:lang w:val="fr-FR"/>
        </w:rPr>
        <w:t>.40.2 s</w:t>
      </w:r>
      <w:r>
        <w:rPr>
          <w:lang w:val="fr-FR"/>
        </w:rPr>
        <w:t>’</w:t>
      </w:r>
      <w:r w:rsidRPr="00F66E00">
        <w:rPr>
          <w:lang w:val="fr-FR"/>
        </w:rPr>
        <w:t>appliquait également aux autres locaux mentionnés au</w:t>
      </w:r>
      <w:r>
        <w:rPr>
          <w:lang w:val="fr-FR"/>
        </w:rPr>
        <w:t>dit paragraphe,</w:t>
      </w:r>
      <w:r w:rsidRPr="00F66E00">
        <w:rPr>
          <w:lang w:val="fr-FR"/>
        </w:rPr>
        <w:t xml:space="preserve"> et pas seulement à la salle des machines. Il a été convenu que la meilleure façon de procéder </w:t>
      </w:r>
      <w:r>
        <w:rPr>
          <w:lang w:val="fr-FR"/>
        </w:rPr>
        <w:t>consistait à</w:t>
      </w:r>
      <w:r w:rsidRPr="00F66E00">
        <w:rPr>
          <w:lang w:val="fr-FR"/>
        </w:rPr>
        <w:t xml:space="preserve"> modifier les dispositions du 1.6.7.2.2.2 pour le 9.3.X.40.2.</w:t>
      </w:r>
    </w:p>
    <w:p w14:paraId="6008E0FE" w14:textId="77777777" w:rsidR="00265F2F" w:rsidRPr="00F66E00" w:rsidRDefault="00265F2F" w:rsidP="00265F2F">
      <w:pPr>
        <w:pStyle w:val="HChG"/>
      </w:pPr>
      <w:r w:rsidRPr="00F66E00">
        <w:rPr>
          <w:lang w:val="fr-FR"/>
        </w:rPr>
        <w:tab/>
      </w:r>
      <w:r w:rsidRPr="00F66E00">
        <w:rPr>
          <w:lang w:val="fr-FR"/>
        </w:rPr>
        <w:tab/>
        <w:t>Proposition d</w:t>
      </w:r>
      <w:r>
        <w:rPr>
          <w:lang w:val="fr-FR"/>
        </w:rPr>
        <w:t>’</w:t>
      </w:r>
      <w:r w:rsidRPr="00F66E00">
        <w:rPr>
          <w:lang w:val="fr-FR"/>
        </w:rPr>
        <w:t>amendement</w:t>
      </w:r>
    </w:p>
    <w:p w14:paraId="4FAC5B32" w14:textId="77777777" w:rsidR="00265F2F" w:rsidRPr="00F66E00" w:rsidRDefault="00265F2F" w:rsidP="00265F2F">
      <w:pPr>
        <w:pStyle w:val="SingleTxtG"/>
      </w:pPr>
      <w:r w:rsidRPr="00F66E00">
        <w:rPr>
          <w:lang w:val="fr-FR"/>
        </w:rPr>
        <w:t>2.</w:t>
      </w:r>
      <w:r w:rsidRPr="00F66E00">
        <w:rPr>
          <w:lang w:val="fr-FR"/>
        </w:rPr>
        <w:tab/>
        <w:t>Le Comité de sécurité de l</w:t>
      </w:r>
      <w:r>
        <w:rPr>
          <w:lang w:val="fr-FR"/>
        </w:rPr>
        <w:t>’</w:t>
      </w:r>
      <w:r w:rsidRPr="00F66E00">
        <w:rPr>
          <w:lang w:val="fr-FR"/>
        </w:rPr>
        <w:t>ADN est prié d</w:t>
      </w:r>
      <w:r>
        <w:rPr>
          <w:lang w:val="fr-FR"/>
        </w:rPr>
        <w:t>’</w:t>
      </w:r>
      <w:r w:rsidRPr="00F66E00">
        <w:rPr>
          <w:lang w:val="fr-FR"/>
        </w:rPr>
        <w:t>examiner et d</w:t>
      </w:r>
      <w:r>
        <w:rPr>
          <w:lang w:val="fr-FR"/>
        </w:rPr>
        <w:t>’</w:t>
      </w:r>
      <w:r w:rsidRPr="00F66E00">
        <w:rPr>
          <w:lang w:val="fr-FR"/>
        </w:rPr>
        <w:t xml:space="preserve">adopter la proposition </w:t>
      </w:r>
      <w:r>
        <w:rPr>
          <w:lang w:val="fr-FR"/>
        </w:rPr>
        <w:t>d’amendement</w:t>
      </w:r>
      <w:r w:rsidRPr="00F66E00">
        <w:rPr>
          <w:lang w:val="fr-FR"/>
        </w:rPr>
        <w:t xml:space="preserve"> ci-après </w:t>
      </w:r>
      <w:r>
        <w:rPr>
          <w:lang w:val="fr-FR"/>
        </w:rPr>
        <w:t xml:space="preserve">pour le </w:t>
      </w:r>
      <w:r w:rsidRPr="00F66E00">
        <w:rPr>
          <w:lang w:val="fr-FR"/>
        </w:rPr>
        <w:t>1.6.7.2.2.2 de l</w:t>
      </w:r>
      <w:r>
        <w:rPr>
          <w:lang w:val="fr-FR"/>
        </w:rPr>
        <w:t>’</w:t>
      </w:r>
      <w:r w:rsidRPr="00F66E00">
        <w:rPr>
          <w:lang w:val="fr-FR"/>
        </w:rPr>
        <w:t>ADN.</w:t>
      </w:r>
    </w:p>
    <w:p w14:paraId="22336EB9" w14:textId="77777777" w:rsidR="00265F2F" w:rsidRPr="00F66E00" w:rsidRDefault="00265F2F" w:rsidP="00265F2F">
      <w:pPr>
        <w:pStyle w:val="SingleTxtG"/>
        <w:keepNext/>
      </w:pPr>
      <w:r w:rsidRPr="00F66E00">
        <w:rPr>
          <w:lang w:val="fr-FR"/>
        </w:rPr>
        <w:lastRenderedPageBreak/>
        <w:t>3.</w:t>
      </w:r>
      <w:r w:rsidRPr="00F66E00">
        <w:rPr>
          <w:lang w:val="fr-FR"/>
        </w:rPr>
        <w:tab/>
        <w:t>Il est proposé d</w:t>
      </w:r>
      <w:r>
        <w:rPr>
          <w:lang w:val="fr-FR"/>
        </w:rPr>
        <w:t>’</w:t>
      </w:r>
      <w:r w:rsidRPr="00F66E00">
        <w:rPr>
          <w:lang w:val="fr-FR"/>
        </w:rPr>
        <w:t xml:space="preserve">ajouter </w:t>
      </w:r>
      <w:r>
        <w:rPr>
          <w:lang w:val="fr-FR"/>
        </w:rPr>
        <w:t>aux</w:t>
      </w:r>
      <w:r w:rsidRPr="00F66E00">
        <w:rPr>
          <w:lang w:val="fr-FR"/>
        </w:rPr>
        <w:t xml:space="preserve"> </w:t>
      </w:r>
      <w:r w:rsidRPr="00133719">
        <w:rPr>
          <w:lang w:val="fr-FR"/>
        </w:rPr>
        <w:t xml:space="preserve">dispositions transitoires </w:t>
      </w:r>
      <w:r>
        <w:rPr>
          <w:lang w:val="fr-FR"/>
        </w:rPr>
        <w:t xml:space="preserve">du </w:t>
      </w:r>
      <w:r w:rsidRPr="008A2E12">
        <w:rPr>
          <w:lang w:val="fr-FR"/>
        </w:rPr>
        <w:t xml:space="preserve">1.6.7.2.2.2 </w:t>
      </w:r>
      <w:r w:rsidRPr="00F66E00">
        <w:rPr>
          <w:lang w:val="fr-FR"/>
        </w:rPr>
        <w:t xml:space="preserve">les </w:t>
      </w:r>
      <w:r>
        <w:rPr>
          <w:lang w:val="fr-FR"/>
        </w:rPr>
        <w:t>locaux énumérés dans le</w:t>
      </w:r>
      <w:r w:rsidRPr="008A2E12">
        <w:t xml:space="preserve"> </w:t>
      </w:r>
      <w:r w:rsidRPr="008A2E12">
        <w:rPr>
          <w:lang w:val="fr-FR"/>
        </w:rPr>
        <w:t>paragraphe 9.3.X.40.2</w:t>
      </w:r>
      <w:r>
        <w:rPr>
          <w:lang w:val="fr-FR"/>
        </w:rPr>
        <w:t>, comme suit</w:t>
      </w:r>
      <w:r w:rsidRPr="00F66E00">
        <w:rPr>
          <w:lang w:val="fr-FR"/>
        </w:rPr>
        <w:t xml:space="preserve"> (les modifications sont indiquées en caractères italiques et soulignés) 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2385"/>
        <w:gridCol w:w="5407"/>
      </w:tblGrid>
      <w:tr w:rsidR="00265F2F" w:rsidRPr="006F0725" w14:paraId="604FC465" w14:textId="77777777" w:rsidTr="00344D52">
        <w:trPr>
          <w:cantSplit/>
          <w:tblHeader/>
        </w:trPr>
        <w:tc>
          <w:tcPr>
            <w:tcW w:w="9348" w:type="dxa"/>
            <w:gridSpan w:val="3"/>
          </w:tcPr>
          <w:p w14:paraId="2A2B75B7" w14:textId="77777777" w:rsidR="00265F2F" w:rsidRPr="006F0725" w:rsidRDefault="00265F2F" w:rsidP="00344D52">
            <w:pPr>
              <w:keepNext/>
              <w:spacing w:before="40" w:after="40"/>
              <w:rPr>
                <w:snapToGrid w:val="0"/>
              </w:rPr>
            </w:pPr>
            <w:r w:rsidRPr="006F0725">
              <w:rPr>
                <w:lang w:val="fr-FR"/>
              </w:rPr>
              <w:t xml:space="preserve">1.6.7.2.2.2  Tableau des dispositions transitoires générales </w:t>
            </w:r>
            <w:r>
              <w:rPr>
                <w:lang w:val="fr-FR"/>
              </w:rPr>
              <w:t>−</w:t>
            </w:r>
            <w:r w:rsidRPr="006F0725">
              <w:rPr>
                <w:lang w:val="fr-FR"/>
              </w:rPr>
              <w:t xml:space="preserve"> Bateaux-citernes</w:t>
            </w:r>
          </w:p>
        </w:tc>
      </w:tr>
      <w:tr w:rsidR="00265F2F" w:rsidRPr="00F66E00" w14:paraId="1B6CF6FF" w14:textId="77777777" w:rsidTr="00344D52">
        <w:trPr>
          <w:cantSplit/>
          <w:tblHeader/>
        </w:trPr>
        <w:tc>
          <w:tcPr>
            <w:tcW w:w="1791" w:type="dxa"/>
          </w:tcPr>
          <w:p w14:paraId="6F2E4B81" w14:textId="77777777" w:rsidR="00265F2F" w:rsidRPr="006F0725" w:rsidRDefault="00265F2F" w:rsidP="00344D52">
            <w:pPr>
              <w:spacing w:before="40" w:after="40"/>
              <w:jc w:val="center"/>
              <w:rPr>
                <w:snapToGrid w:val="0"/>
              </w:rPr>
            </w:pPr>
            <w:r w:rsidRPr="006F0725">
              <w:rPr>
                <w:lang w:val="fr-FR"/>
              </w:rPr>
              <w:t>Paragraphes</w:t>
            </w:r>
          </w:p>
        </w:tc>
        <w:tc>
          <w:tcPr>
            <w:tcW w:w="2313" w:type="dxa"/>
          </w:tcPr>
          <w:p w14:paraId="5E137485" w14:textId="77777777" w:rsidR="00265F2F" w:rsidRPr="006F0725" w:rsidRDefault="00265F2F" w:rsidP="00344D52">
            <w:pPr>
              <w:spacing w:before="40" w:after="40"/>
              <w:jc w:val="center"/>
              <w:rPr>
                <w:snapToGrid w:val="0"/>
              </w:rPr>
            </w:pPr>
            <w:r w:rsidRPr="006F0725">
              <w:rPr>
                <w:lang w:val="fr-FR"/>
              </w:rPr>
              <w:t>Objet</w:t>
            </w:r>
          </w:p>
        </w:tc>
        <w:tc>
          <w:tcPr>
            <w:tcW w:w="5244" w:type="dxa"/>
          </w:tcPr>
          <w:p w14:paraId="2B69F872" w14:textId="77777777" w:rsidR="00265F2F" w:rsidRPr="006F0725" w:rsidRDefault="00265F2F" w:rsidP="00344D52">
            <w:pPr>
              <w:spacing w:before="40" w:after="40"/>
              <w:jc w:val="center"/>
              <w:rPr>
                <w:snapToGrid w:val="0"/>
              </w:rPr>
            </w:pPr>
            <w:r w:rsidRPr="006F0725">
              <w:rPr>
                <w:lang w:val="fr-FR"/>
              </w:rPr>
              <w:t>Délai et observations</w:t>
            </w:r>
          </w:p>
        </w:tc>
      </w:tr>
      <w:tr w:rsidR="00265F2F" w:rsidRPr="006F0725" w14:paraId="2855406D" w14:textId="77777777" w:rsidTr="00344D52">
        <w:trPr>
          <w:cantSplit/>
        </w:trPr>
        <w:tc>
          <w:tcPr>
            <w:tcW w:w="1791" w:type="dxa"/>
          </w:tcPr>
          <w:p w14:paraId="3E4C5659" w14:textId="77777777" w:rsidR="00265F2F" w:rsidRPr="006F0725" w:rsidRDefault="00265F2F" w:rsidP="00344D52">
            <w:pPr>
              <w:spacing w:before="40" w:after="40"/>
              <w:rPr>
                <w:snapToGrid w:val="0"/>
              </w:rPr>
            </w:pPr>
            <w:r w:rsidRPr="006F0725">
              <w:rPr>
                <w:lang w:val="fr-FR"/>
              </w:rPr>
              <w:t>9.3.1.40.2</w:t>
            </w:r>
          </w:p>
          <w:p w14:paraId="119979A3" w14:textId="77777777" w:rsidR="00265F2F" w:rsidRPr="006F0725" w:rsidRDefault="00265F2F" w:rsidP="00344D52">
            <w:pPr>
              <w:spacing w:before="40" w:after="40"/>
              <w:rPr>
                <w:snapToGrid w:val="0"/>
              </w:rPr>
            </w:pPr>
            <w:r w:rsidRPr="006F0725">
              <w:rPr>
                <w:lang w:val="fr-FR"/>
              </w:rPr>
              <w:t>9.3.2.40.2</w:t>
            </w:r>
          </w:p>
          <w:p w14:paraId="47DC2BDF" w14:textId="77777777" w:rsidR="00265F2F" w:rsidRPr="006F0725" w:rsidRDefault="00265F2F" w:rsidP="00344D52">
            <w:pPr>
              <w:spacing w:before="40" w:after="40"/>
              <w:rPr>
                <w:snapToGrid w:val="0"/>
              </w:rPr>
            </w:pPr>
            <w:r w:rsidRPr="006F0725">
              <w:rPr>
                <w:lang w:val="fr-FR"/>
              </w:rPr>
              <w:t>9.3.3.40.2</w:t>
            </w:r>
          </w:p>
        </w:tc>
        <w:tc>
          <w:tcPr>
            <w:tcW w:w="2313" w:type="dxa"/>
          </w:tcPr>
          <w:p w14:paraId="648BD2B1" w14:textId="77777777" w:rsidR="00265F2F" w:rsidRPr="006F0725" w:rsidRDefault="00265F2F" w:rsidP="00344D52">
            <w:pPr>
              <w:spacing w:before="40" w:after="40"/>
              <w:rPr>
                <w:i/>
                <w:iCs/>
                <w:snapToGrid w:val="0"/>
                <w:u w:val="single"/>
              </w:rPr>
            </w:pPr>
            <w:r w:rsidRPr="006F0725">
              <w:rPr>
                <w:lang w:val="fr-FR"/>
              </w:rPr>
              <w:t>Installation d’extinction d’incendie fixée à demeure dans la salle des machines</w:t>
            </w:r>
            <w:r w:rsidRPr="006F0725">
              <w:rPr>
                <w:i/>
                <w:iCs/>
                <w:u w:val="single"/>
                <w:lang w:val="fr-FR"/>
              </w:rPr>
              <w:t>, les salles des pompes et tout local contenant des matériels indispensables.</w:t>
            </w:r>
            <w:r w:rsidRPr="006F0725">
              <w:rPr>
                <w:lang w:val="fr-FR"/>
              </w:rPr>
              <w:t xml:space="preserve"> </w:t>
            </w:r>
          </w:p>
        </w:tc>
        <w:tc>
          <w:tcPr>
            <w:tcW w:w="5244" w:type="dxa"/>
          </w:tcPr>
          <w:p w14:paraId="631EB17B" w14:textId="77777777" w:rsidR="00265F2F" w:rsidRPr="006F0725" w:rsidRDefault="00265F2F" w:rsidP="00344D52">
            <w:pPr>
              <w:spacing w:before="40" w:after="40"/>
              <w:jc w:val="center"/>
              <w:rPr>
                <w:snapToGrid w:val="0"/>
              </w:rPr>
            </w:pPr>
            <w:r w:rsidRPr="006F0725">
              <w:rPr>
                <w:lang w:val="fr-FR"/>
              </w:rPr>
              <w:t>N.R.T.</w:t>
            </w:r>
          </w:p>
          <w:p w14:paraId="2B8BAC14" w14:textId="77777777" w:rsidR="00265F2F" w:rsidRPr="006F0725" w:rsidRDefault="00265F2F" w:rsidP="00344D52">
            <w:pPr>
              <w:spacing w:before="40" w:after="40"/>
              <w:jc w:val="center"/>
              <w:rPr>
                <w:snapToGrid w:val="0"/>
              </w:rPr>
            </w:pPr>
            <w:r w:rsidRPr="006F0725">
              <w:rPr>
                <w:lang w:val="fr-FR"/>
              </w:rPr>
              <w:t xml:space="preserve">Renouvellement du certificat d’agrément après </w:t>
            </w:r>
            <w:r>
              <w:rPr>
                <w:lang w:val="fr-FR"/>
              </w:rPr>
              <w:br/>
            </w:r>
            <w:r w:rsidRPr="006F0725">
              <w:rPr>
                <w:lang w:val="fr-FR"/>
              </w:rPr>
              <w:t>le 31 décembre 2034</w:t>
            </w:r>
          </w:p>
        </w:tc>
      </w:tr>
    </w:tbl>
    <w:p w14:paraId="6995622C" w14:textId="77777777" w:rsidR="00265F2F" w:rsidRPr="00F66E00" w:rsidRDefault="00265F2F" w:rsidP="00265F2F">
      <w:pPr>
        <w:spacing w:before="240"/>
        <w:jc w:val="center"/>
        <w:rPr>
          <w:sz w:val="24"/>
          <w:szCs w:val="24"/>
          <w:u w:val="single"/>
        </w:rPr>
      </w:pPr>
      <w:r w:rsidRPr="00F66E00">
        <w:rPr>
          <w:sz w:val="24"/>
          <w:szCs w:val="24"/>
          <w:u w:val="single"/>
        </w:rPr>
        <w:tab/>
      </w:r>
      <w:r w:rsidRPr="00F66E00">
        <w:rPr>
          <w:sz w:val="24"/>
          <w:szCs w:val="24"/>
          <w:u w:val="single"/>
        </w:rPr>
        <w:tab/>
      </w:r>
      <w:r w:rsidRPr="00F66E00">
        <w:rPr>
          <w:sz w:val="24"/>
          <w:szCs w:val="24"/>
          <w:u w:val="single"/>
        </w:rPr>
        <w:tab/>
      </w:r>
    </w:p>
    <w:p w14:paraId="678B26FA" w14:textId="77777777" w:rsidR="00F9573C" w:rsidRDefault="00F9573C" w:rsidP="00265F2F">
      <w:pPr>
        <w:spacing w:before="120"/>
      </w:pPr>
    </w:p>
    <w:sectPr w:rsidR="00F9573C" w:rsidSect="00265F2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95BE" w14:textId="77777777" w:rsidR="00EF1404" w:rsidRDefault="00EF1404" w:rsidP="00F95C08">
      <w:pPr>
        <w:spacing w:line="240" w:lineRule="auto"/>
      </w:pPr>
    </w:p>
  </w:endnote>
  <w:endnote w:type="continuationSeparator" w:id="0">
    <w:p w14:paraId="543E8B55" w14:textId="77777777" w:rsidR="00EF1404" w:rsidRPr="00AC3823" w:rsidRDefault="00EF1404" w:rsidP="00AC3823">
      <w:pPr>
        <w:pStyle w:val="Pieddepage"/>
      </w:pPr>
    </w:p>
  </w:endnote>
  <w:endnote w:type="continuationNotice" w:id="1">
    <w:p w14:paraId="494944CC" w14:textId="77777777" w:rsidR="00EF1404" w:rsidRDefault="00EF14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8CFC" w14:textId="07BAFA9A" w:rsidR="00265F2F" w:rsidRPr="00265F2F" w:rsidRDefault="00265F2F" w:rsidP="00265F2F">
    <w:pPr>
      <w:pStyle w:val="Pieddepage"/>
      <w:tabs>
        <w:tab w:val="right" w:pos="9638"/>
      </w:tabs>
    </w:pPr>
    <w:r w:rsidRPr="00265F2F">
      <w:rPr>
        <w:b/>
        <w:sz w:val="18"/>
      </w:rPr>
      <w:fldChar w:fldCharType="begin"/>
    </w:r>
    <w:r w:rsidRPr="00265F2F">
      <w:rPr>
        <w:b/>
        <w:sz w:val="18"/>
      </w:rPr>
      <w:instrText xml:space="preserve"> PAGE  \* MERGEFORMAT </w:instrText>
    </w:r>
    <w:r w:rsidRPr="00265F2F">
      <w:rPr>
        <w:b/>
        <w:sz w:val="18"/>
      </w:rPr>
      <w:fldChar w:fldCharType="separate"/>
    </w:r>
    <w:r w:rsidRPr="00265F2F">
      <w:rPr>
        <w:b/>
        <w:noProof/>
        <w:sz w:val="18"/>
      </w:rPr>
      <w:t>2</w:t>
    </w:r>
    <w:r w:rsidRPr="00265F2F">
      <w:rPr>
        <w:b/>
        <w:sz w:val="18"/>
      </w:rPr>
      <w:fldChar w:fldCharType="end"/>
    </w:r>
    <w:r>
      <w:rPr>
        <w:b/>
        <w:sz w:val="18"/>
      </w:rPr>
      <w:tab/>
    </w:r>
    <w:r>
      <w:t>GE.22-25491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041F" w14:textId="3E7F7AB2" w:rsidR="00265F2F" w:rsidRPr="00265F2F" w:rsidRDefault="00265F2F" w:rsidP="00265F2F">
    <w:pPr>
      <w:pStyle w:val="Pieddepage"/>
      <w:tabs>
        <w:tab w:val="right" w:pos="9638"/>
      </w:tabs>
      <w:rPr>
        <w:b/>
        <w:sz w:val="18"/>
      </w:rPr>
    </w:pPr>
    <w:r>
      <w:t>GE.22-25491</w:t>
    </w:r>
    <w:r>
      <w:tab/>
    </w:r>
    <w:r w:rsidRPr="00265F2F">
      <w:rPr>
        <w:b/>
        <w:sz w:val="18"/>
      </w:rPr>
      <w:fldChar w:fldCharType="begin"/>
    </w:r>
    <w:r w:rsidRPr="00265F2F">
      <w:rPr>
        <w:b/>
        <w:sz w:val="18"/>
      </w:rPr>
      <w:instrText xml:space="preserve"> PAGE  \* MERGEFORMAT </w:instrText>
    </w:r>
    <w:r w:rsidRPr="00265F2F">
      <w:rPr>
        <w:b/>
        <w:sz w:val="18"/>
      </w:rPr>
      <w:fldChar w:fldCharType="separate"/>
    </w:r>
    <w:r w:rsidRPr="00265F2F">
      <w:rPr>
        <w:b/>
        <w:noProof/>
        <w:sz w:val="18"/>
      </w:rPr>
      <w:t>3</w:t>
    </w:r>
    <w:r w:rsidRPr="00265F2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8B5D" w14:textId="6D2A82BA" w:rsidR="007F20FA" w:rsidRPr="00265F2F" w:rsidRDefault="00265F2F" w:rsidP="00265F2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98965A9" wp14:editId="6EF763C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22-25491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F85DDCC" wp14:editId="1180A1B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211122    211122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85E8" w14:textId="77777777" w:rsidR="00EF1404" w:rsidRPr="00AC3823" w:rsidRDefault="00EF140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DDA737" w14:textId="77777777" w:rsidR="00EF1404" w:rsidRPr="00AC3823" w:rsidRDefault="00EF140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8C8B378" w14:textId="77777777" w:rsidR="00EF1404" w:rsidRPr="00AC3823" w:rsidRDefault="00EF1404">
      <w:pPr>
        <w:spacing w:line="240" w:lineRule="auto"/>
        <w:rPr>
          <w:sz w:val="2"/>
          <w:szCs w:val="2"/>
        </w:rPr>
      </w:pPr>
    </w:p>
  </w:footnote>
  <w:footnote w:id="2">
    <w:p w14:paraId="22E42441" w14:textId="77777777" w:rsidR="00265F2F" w:rsidRPr="00F66E00" w:rsidRDefault="00265F2F" w:rsidP="00265F2F">
      <w:pPr>
        <w:pStyle w:val="Notedebasdepage"/>
      </w:pPr>
      <w:r>
        <w:rPr>
          <w:lang w:val="fr-FR"/>
        </w:rPr>
        <w:tab/>
      </w:r>
      <w:r w:rsidRPr="00265F2F">
        <w:rPr>
          <w:sz w:val="20"/>
          <w:lang w:val="fr-FR"/>
        </w:rPr>
        <w:t>*</w:t>
      </w:r>
      <w:r>
        <w:rPr>
          <w:lang w:val="fr-FR"/>
        </w:rPr>
        <w:tab/>
        <w:t>Diffusée en langue allemande par la Commission centrale pour la navigation du Rhin sous la cote CCNR-ZKR/ADN/WP.15/AC.2/2023/7.</w:t>
      </w:r>
    </w:p>
  </w:footnote>
  <w:footnote w:id="3">
    <w:p w14:paraId="254F852A" w14:textId="77777777" w:rsidR="00265F2F" w:rsidRPr="00F66E00" w:rsidRDefault="00265F2F" w:rsidP="00265F2F">
      <w:pPr>
        <w:pStyle w:val="Notedebasdepage"/>
      </w:pPr>
      <w:r>
        <w:rPr>
          <w:lang w:val="fr-FR"/>
        </w:rPr>
        <w:tab/>
      </w:r>
      <w:r w:rsidRPr="00265F2F">
        <w:rPr>
          <w:sz w:val="20"/>
          <w:lang w:val="fr-FR"/>
        </w:rPr>
        <w:t>**</w:t>
      </w:r>
      <w:r>
        <w:rPr>
          <w:lang w:val="fr-FR"/>
        </w:rPr>
        <w:tab/>
        <w:t>A/76/6 (Sect. 20), par.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9286" w14:textId="2EF1BAD6" w:rsidR="00265F2F" w:rsidRPr="00265F2F" w:rsidRDefault="00265F2F">
    <w:pPr>
      <w:pStyle w:val="En-tte"/>
    </w:pPr>
    <w:fldSimple w:instr=" TITLE  \* MERGEFORMAT ">
      <w:r>
        <w:t>ECE/TRANS/WP.15/AC.2/2023/7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3FF1" w14:textId="32C8663C" w:rsidR="00265F2F" w:rsidRPr="00265F2F" w:rsidRDefault="00265F2F" w:rsidP="00265F2F">
    <w:pPr>
      <w:pStyle w:val="En-tte"/>
      <w:jc w:val="right"/>
    </w:pPr>
    <w:fldSimple w:instr=" TITLE  \* MERGEFORMAT ">
      <w:r>
        <w:t>ECE/TRANS/WP.15/AC.2/2023/7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0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65F2F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098A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12CE"/>
    <w:rsid w:val="00EA6547"/>
    <w:rsid w:val="00ED7237"/>
    <w:rsid w:val="00EF1404"/>
    <w:rsid w:val="00EF2E22"/>
    <w:rsid w:val="00F30928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F0B9"/>
  <w15:docId w15:val="{B1533AD2-900B-4D2B-BBA0-533C94D8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265F2F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265F2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265F2F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0A0DF-B139-4DED-805F-D1A56108D84B}"/>
</file>

<file path=customXml/itemProps2.xml><?xml version="1.0" encoding="utf-8"?>
<ds:datastoreItem xmlns:ds="http://schemas.openxmlformats.org/officeDocument/2006/customXml" ds:itemID="{54306419-8D56-49C2-9AB1-E74F385F9FFA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261</Words>
  <Characters>1829</Characters>
  <Application>Microsoft Office Word</Application>
  <DocSecurity>0</DocSecurity>
  <Lines>152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ECE/TRANS/WP.15/AC.2/2023/7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2022-11-21T12:07:00Z</dcterms:created>
  <dcterms:modified xsi:type="dcterms:W3CDTF">2022-11-21T12:07:00Z</dcterms:modified>
</cp:coreProperties>
</file>