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39EDCE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4365E02" w14:textId="77777777" w:rsidR="002D5AAC" w:rsidRDefault="002D5AAC" w:rsidP="00C7247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4C1597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891921A" w14:textId="22A588C3" w:rsidR="002D5AAC" w:rsidRDefault="00C72470" w:rsidP="00C72470">
            <w:pPr>
              <w:jc w:val="right"/>
            </w:pPr>
            <w:r w:rsidRPr="00C72470">
              <w:rPr>
                <w:sz w:val="40"/>
              </w:rPr>
              <w:t>ECE</w:t>
            </w:r>
            <w:r>
              <w:t>/TRANS/WP.15/AC.2/2023/1</w:t>
            </w:r>
          </w:p>
        </w:tc>
      </w:tr>
      <w:tr w:rsidR="002D5AAC" w14:paraId="762F6D1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8DE54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2811B6B" wp14:editId="7E058B3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A2DB8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748A464" w14:textId="77777777" w:rsidR="002D5AAC" w:rsidRDefault="00C7247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5394143" w14:textId="77777777" w:rsidR="00C72470" w:rsidRDefault="00C72470" w:rsidP="00C7247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November 2022</w:t>
            </w:r>
          </w:p>
          <w:p w14:paraId="3FD3D30C" w14:textId="77777777" w:rsidR="00C72470" w:rsidRDefault="00C72470" w:rsidP="00C7247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8CD4726" w14:textId="0A34F2E4" w:rsidR="00C72470" w:rsidRPr="008D53B6" w:rsidRDefault="00C72470" w:rsidP="00C7247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147A22E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91E3B78" w14:textId="77777777" w:rsidR="00C72470" w:rsidRPr="00253329" w:rsidRDefault="00C72470" w:rsidP="00C72470">
      <w:pPr>
        <w:spacing w:before="120"/>
        <w:rPr>
          <w:sz w:val="28"/>
          <w:szCs w:val="28"/>
        </w:rPr>
      </w:pPr>
      <w:r w:rsidRPr="00253329">
        <w:rPr>
          <w:sz w:val="28"/>
          <w:szCs w:val="28"/>
        </w:rPr>
        <w:t>Комитет по внутреннему транспорту</w:t>
      </w:r>
    </w:p>
    <w:p w14:paraId="57DC38F8" w14:textId="77777777" w:rsidR="00C72470" w:rsidRPr="00253329" w:rsidRDefault="00C72470" w:rsidP="00C72470">
      <w:pPr>
        <w:spacing w:before="120" w:line="240" w:lineRule="auto"/>
        <w:rPr>
          <w:b/>
          <w:sz w:val="24"/>
          <w:szCs w:val="24"/>
        </w:rPr>
      </w:pPr>
      <w:r w:rsidRPr="00253329">
        <w:rPr>
          <w:b/>
          <w:bCs/>
          <w:sz w:val="24"/>
          <w:szCs w:val="24"/>
        </w:rPr>
        <w:t>Рабочая группа по перевозкам опасных грузов</w:t>
      </w:r>
    </w:p>
    <w:p w14:paraId="36825BC9" w14:textId="5B7BF396" w:rsidR="00C72470" w:rsidRPr="00D86466" w:rsidRDefault="00C72470" w:rsidP="00C72470">
      <w:pPr>
        <w:spacing w:before="120" w:line="240" w:lineRule="auto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4207F1C1" w14:textId="77777777" w:rsidR="00C72470" w:rsidRPr="00D86466" w:rsidRDefault="00C72470" w:rsidP="00C72470">
      <w:pPr>
        <w:spacing w:before="120"/>
        <w:rPr>
          <w:b/>
        </w:rPr>
      </w:pPr>
      <w:r>
        <w:rPr>
          <w:b/>
          <w:bCs/>
        </w:rPr>
        <w:t>Сорок первая сессия</w:t>
      </w:r>
    </w:p>
    <w:p w14:paraId="45D25ABF" w14:textId="77777777" w:rsidR="00C72470" w:rsidRPr="00D86466" w:rsidRDefault="00C72470" w:rsidP="00C72470">
      <w:pPr>
        <w:rPr>
          <w:bCs/>
        </w:rPr>
      </w:pPr>
      <w:r>
        <w:t>Женева, 23–27 января 2023 года</w:t>
      </w:r>
    </w:p>
    <w:p w14:paraId="31F01EDD" w14:textId="77777777" w:rsidR="00C72470" w:rsidRPr="00D86466" w:rsidRDefault="00C72470" w:rsidP="00C72470">
      <w:r>
        <w:t>Пункт 5 b) предварительной повестки дня</w:t>
      </w:r>
    </w:p>
    <w:p w14:paraId="2A340F75" w14:textId="1CB1A8D2" w:rsidR="00C72470" w:rsidRPr="00D86466" w:rsidRDefault="00C72470" w:rsidP="00C72470">
      <w:pPr>
        <w:rPr>
          <w:b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>
        <w:rPr>
          <w:b/>
          <w:bCs/>
        </w:rPr>
        <w:t>прилагаемые к ВОПОГ:</w:t>
      </w:r>
      <w:r w:rsidRPr="00C72470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2A41B247" w14:textId="6B11E81A" w:rsidR="00C72470" w:rsidRPr="00D86466" w:rsidRDefault="00C72470" w:rsidP="00C72470">
      <w:pPr>
        <w:pStyle w:val="HChG"/>
      </w:pPr>
      <w:r>
        <w:tab/>
      </w:r>
      <w:r>
        <w:tab/>
      </w:r>
      <w:r>
        <w:rPr>
          <w:bCs/>
        </w:rPr>
        <w:t>Предложения неофициальной рабочей группы по</w:t>
      </w:r>
      <w:r>
        <w:rPr>
          <w:bCs/>
          <w:lang w:val="en-US"/>
        </w:rPr>
        <w:t> </w:t>
      </w:r>
      <w:r>
        <w:rPr>
          <w:bCs/>
        </w:rPr>
        <w:t>веществам</w:t>
      </w:r>
    </w:p>
    <w:p w14:paraId="35611F2B" w14:textId="77777777" w:rsidR="00C72470" w:rsidRPr="00D86466" w:rsidRDefault="00C72470" w:rsidP="00C72470">
      <w:pPr>
        <w:pStyle w:val="H1G"/>
        <w:rPr>
          <w:rFonts w:eastAsia="Calibri"/>
        </w:rPr>
      </w:pPr>
      <w:r>
        <w:tab/>
      </w:r>
      <w:r>
        <w:tab/>
      </w:r>
      <w:r>
        <w:rPr>
          <w:bCs/>
        </w:rPr>
        <w:t>Передано правительством Германии</w:t>
      </w:r>
      <w:r w:rsidRPr="00C72470">
        <w:rPr>
          <w:rFonts w:eastAsia="Calibri"/>
          <w:b w:val="0"/>
          <w:bCs/>
          <w:sz w:val="20"/>
          <w:szCs w:val="16"/>
        </w:rPr>
        <w:footnoteReference w:customMarkFollows="1" w:id="1"/>
        <w:t>*</w:t>
      </w:r>
      <w:r w:rsidRPr="00C72470">
        <w:rPr>
          <w:rFonts w:eastAsia="Calibri"/>
          <w:b w:val="0"/>
          <w:bCs/>
          <w:vertAlign w:val="superscript"/>
        </w:rPr>
        <w:t xml:space="preserve">, </w:t>
      </w:r>
      <w:r w:rsidRPr="00C72470">
        <w:rPr>
          <w:rFonts w:eastAsia="Calibri"/>
          <w:b w:val="0"/>
          <w:bCs/>
          <w:sz w:val="20"/>
          <w:szCs w:val="16"/>
        </w:rPr>
        <w:footnoteReference w:customMarkFollows="1" w:id="2"/>
        <w:t>**</w:t>
      </w:r>
    </w:p>
    <w:p w14:paraId="69F57223" w14:textId="77777777" w:rsidR="00C72470" w:rsidRPr="00D86466" w:rsidRDefault="00C72470" w:rsidP="00C72470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0828876E" w14:textId="0738F5C5" w:rsidR="00C72470" w:rsidRPr="00D86466" w:rsidRDefault="00C72470" w:rsidP="00C72470">
      <w:pPr>
        <w:pStyle w:val="SingleTxtG"/>
      </w:pPr>
      <w:r>
        <w:t>1.</w:t>
      </w:r>
      <w:r>
        <w:tab/>
        <w:t xml:space="preserve">Двенадцатое совещание неофициальной рабочей группы по веществам состоялось 31 мая </w:t>
      </w:r>
      <w:r w:rsidRPr="00C72470">
        <w:t>—</w:t>
      </w:r>
      <w:r>
        <w:t xml:space="preserve"> 2 июня 2022 года. Соответствующий доклад был представлен на сороковой сессии Комитета по вопросам безопасности (неофициальный документ INF.12).</w:t>
      </w:r>
    </w:p>
    <w:p w14:paraId="15E02ADB" w14:textId="77777777" w:rsidR="00C72470" w:rsidRPr="00D86466" w:rsidRDefault="00C72470" w:rsidP="00C72470">
      <w:pPr>
        <w:pStyle w:val="SingleTxtG"/>
      </w:pPr>
      <w:r>
        <w:t>2.</w:t>
      </w:r>
      <w:r>
        <w:tab/>
        <w:t>Предлагаемые поправки к Правилам, прилагаемым к ВОПОГ, содержащиеся в докладе неофициальной рабочей группы по веществам, были рассмотрены и одобрены Комитетом по вопросам безопасности. Делегация Германии взяла на себя обязательство представить эти предложения Комитету по вопросам безопасности в виде официального документа для принятия решения.</w:t>
      </w:r>
    </w:p>
    <w:p w14:paraId="53D8C742" w14:textId="77777777" w:rsidR="00C72470" w:rsidRPr="00D86466" w:rsidRDefault="00C72470" w:rsidP="00C72470">
      <w:pPr>
        <w:pStyle w:val="SingleTxtG"/>
        <w:rPr>
          <w:color w:val="000000"/>
        </w:rPr>
      </w:pPr>
      <w:r>
        <w:t>3.</w:t>
      </w:r>
      <w:r>
        <w:tab/>
        <w:t>Если не указано иное, предлагаемые поправки относятся к четырем языковым вариантам.</w:t>
      </w:r>
    </w:p>
    <w:p w14:paraId="3E61158E" w14:textId="77777777" w:rsidR="00C72470" w:rsidRPr="00D86466" w:rsidRDefault="00C72470" w:rsidP="00C72470">
      <w:pPr>
        <w:pStyle w:val="HChG"/>
      </w:pPr>
      <w:r>
        <w:lastRenderedPageBreak/>
        <w:tab/>
      </w:r>
      <w:r>
        <w:tab/>
      </w:r>
      <w:r>
        <w:rPr>
          <w:bCs/>
        </w:rPr>
        <w:t>Предложения о поправках</w:t>
      </w:r>
    </w:p>
    <w:p w14:paraId="2D84B59D" w14:textId="66DFB4B6" w:rsidR="00C72470" w:rsidRPr="00D86466" w:rsidRDefault="00C72470" w:rsidP="00C72470">
      <w:pPr>
        <w:pStyle w:val="H1G"/>
      </w:pPr>
      <w:r>
        <w:rPr>
          <w:bCs/>
        </w:rPr>
        <w:tab/>
        <w:t>I.</w:t>
      </w:r>
      <w:r>
        <w:tab/>
      </w:r>
      <w:r>
        <w:rPr>
          <w:bCs/>
        </w:rPr>
        <w:t xml:space="preserve">Вещества, опасные для окружающей среды (температура </w:t>
      </w:r>
      <w:r w:rsidR="00B04FE1">
        <w:rPr>
          <w:bCs/>
        </w:rPr>
        <w:br/>
      </w:r>
      <w:r>
        <w:rPr>
          <w:bCs/>
        </w:rPr>
        <w:t xml:space="preserve">вспышки &gt; 60 ºC и ≤ 100 ºC), отнесенные к № ООН 3082 </w:t>
      </w:r>
      <w:r w:rsidR="00B04FE1">
        <w:rPr>
          <w:bCs/>
        </w:rPr>
        <w:br/>
      </w:r>
      <w:r>
        <w:rPr>
          <w:bCs/>
        </w:rPr>
        <w:t>или идентификационному номеру вещества 9003</w:t>
      </w:r>
    </w:p>
    <w:p w14:paraId="57381762" w14:textId="77777777" w:rsidR="00C72470" w:rsidRPr="00D86466" w:rsidRDefault="00C72470" w:rsidP="00C72470">
      <w:pPr>
        <w:pStyle w:val="SingleTxtG"/>
      </w:pPr>
      <w:r>
        <w:t>4.</w:t>
      </w:r>
      <w:r>
        <w:tab/>
        <w:t>Цель состоит в том, чтобы уточнить, что № ООН 3082 должен иметь приоритет перед идентификационным номером вещества 9003, специфичным для ВОПОГ, и обеспечить, чтобы информация о температуре вспышки перевозимых веществ не была утрачена. В этой связи предлагается добавить в колонку 20 таблицы С новое замечание, чтобы обратить внимание на возможность низкой температуры вспышки. Вследствие этой поправки из колонки 5 таблицы С в общей позиции для идентификационного номера вещества 9003</w:t>
      </w:r>
      <w:r w:rsidRPr="00BF65A4">
        <w:t xml:space="preserve"> </w:t>
      </w:r>
      <w:r>
        <w:t>должен быть исключен</w:t>
      </w:r>
      <w:r w:rsidRPr="00BF65A4">
        <w:t xml:space="preserve"> </w:t>
      </w:r>
      <w:r>
        <w:t>вид опасности «N1», поскольку соответствие критериям «N1» обязательно подразумевает</w:t>
      </w:r>
      <w:r w:rsidRPr="00430FDF">
        <w:t xml:space="preserve"> </w:t>
      </w:r>
      <w:r>
        <w:t>отнесение к № ООН 3082.</w:t>
      </w:r>
    </w:p>
    <w:p w14:paraId="1DE5F228" w14:textId="77777777" w:rsidR="00C72470" w:rsidRPr="00D86466" w:rsidRDefault="00C72470" w:rsidP="00C72470">
      <w:pPr>
        <w:pStyle w:val="SingleTxtG"/>
        <w:rPr>
          <w:b/>
          <w:bCs/>
          <w:u w:val="single"/>
        </w:rPr>
      </w:pPr>
      <w:r>
        <w:rPr>
          <w:b/>
          <w:bCs/>
          <w:u w:val="single"/>
        </w:rPr>
        <w:t>Предложение:</w:t>
      </w:r>
    </w:p>
    <w:p w14:paraId="19879D0F" w14:textId="27099E20" w:rsidR="00C72470" w:rsidRPr="00D86466" w:rsidRDefault="00C72470" w:rsidP="00C72470">
      <w:pPr>
        <w:pStyle w:val="SingleTxtG"/>
      </w:pPr>
      <w:r>
        <w:t>5.</w:t>
      </w:r>
      <w:r>
        <w:tab/>
        <w:t>В подразделе 3.2.3.1 «Пояснения к таблице С» добавить</w:t>
      </w:r>
      <w:r w:rsidRPr="00742E91">
        <w:t xml:space="preserve"> </w:t>
      </w:r>
      <w:r>
        <w:t>в пояснения по колонке</w:t>
      </w:r>
      <w:r w:rsidR="00B04FE1">
        <w:rPr>
          <w:lang w:val="en-US"/>
        </w:rPr>
        <w:t> </w:t>
      </w:r>
      <w:r>
        <w:t>20 следующее новое замечание:</w:t>
      </w:r>
    </w:p>
    <w:p w14:paraId="02A10898" w14:textId="77777777" w:rsidR="00C72470" w:rsidRPr="00D86466" w:rsidRDefault="00C72470" w:rsidP="00C72470">
      <w:pPr>
        <w:pStyle w:val="SingleTxtG"/>
      </w:pPr>
      <w:r>
        <w:t>«</w:t>
      </w:r>
      <w:proofErr w:type="spellStart"/>
      <w:r>
        <w:t>xx</w:t>
      </w:r>
      <w:proofErr w:type="spellEnd"/>
      <w:r>
        <w:tab/>
        <w:t>Температура вспышки перевозимых веществ может варьироваться от 60 °C до 100 °C.».</w:t>
      </w:r>
    </w:p>
    <w:p w14:paraId="76D34EE9" w14:textId="77777777" w:rsidR="00C72470" w:rsidRPr="00D86466" w:rsidRDefault="00C72470" w:rsidP="00C72470">
      <w:pPr>
        <w:pStyle w:val="SingleTxtG"/>
      </w:pPr>
      <w:r>
        <w:t>6.</w:t>
      </w:r>
      <w:r>
        <w:tab/>
        <w:t>В подразделах 3.2.3.3 и 3.2.4.3 добавить</w:t>
      </w:r>
      <w:r w:rsidRPr="00680A06">
        <w:t xml:space="preserve"> </w:t>
      </w:r>
      <w:r>
        <w:t>для колонки 20 следующее:</w:t>
      </w:r>
    </w:p>
    <w:p w14:paraId="23873A7B" w14:textId="1DEFF293" w:rsidR="00C72470" w:rsidRPr="00D86466" w:rsidRDefault="00C72470" w:rsidP="00C72470">
      <w:pPr>
        <w:pStyle w:val="SingleTxtG"/>
        <w:ind w:left="2835" w:hanging="1701"/>
      </w:pPr>
      <w:r>
        <w:t xml:space="preserve">«Замечание </w:t>
      </w:r>
      <w:proofErr w:type="spellStart"/>
      <w:r>
        <w:t>xx</w:t>
      </w:r>
      <w:proofErr w:type="spellEnd"/>
      <w:r>
        <w:t>:</w:t>
      </w:r>
      <w:r>
        <w:tab/>
        <w:t xml:space="preserve">Замечание </w:t>
      </w:r>
      <w:proofErr w:type="spellStart"/>
      <w:r>
        <w:t>xx</w:t>
      </w:r>
      <w:proofErr w:type="spellEnd"/>
      <w:r>
        <w:t xml:space="preserve"> должно указываться в колонке 20 для перевозки №</w:t>
      </w:r>
      <w:r>
        <w:rPr>
          <w:lang w:val="en-US"/>
        </w:rPr>
        <w:t> </w:t>
      </w:r>
      <w:r>
        <w:t>ООН 3082 ВЕЩЕСТВО, ОПАСНОЕ ДЛЯ ОКРУЖАЮЩЕЙ СРЕДЫ, ЖИДКОЕ, Н.У.К. (ТЯЖЕЛОЕ ПЕЧНОЕ ТОПЛИВО).».</w:t>
      </w:r>
    </w:p>
    <w:p w14:paraId="15DB5894" w14:textId="77777777" w:rsidR="00C72470" w:rsidRPr="00D86466" w:rsidRDefault="00C72470" w:rsidP="00C72470">
      <w:pPr>
        <w:pStyle w:val="SingleTxtG"/>
      </w:pPr>
      <w:r>
        <w:t>7.</w:t>
      </w:r>
      <w:r>
        <w:tab/>
        <w:t>В подразделе 3.2.3.2, таблица С, в позиции для идентификационного номера вещества 9003 «ВЕЩЕСТВА С ТЕМПЕРАТУРОЙ ВСПЫШКИ БОЛЕЕ 60 °C, НО НЕ БОЛЕЕ 100 °C, которые не отнесены к какому-либо другому классу» исключить в колонке 5 вид опасности «N1».</w:t>
      </w:r>
    </w:p>
    <w:p w14:paraId="1AE1DBB7" w14:textId="77777777" w:rsidR="00C72470" w:rsidRPr="00D86466" w:rsidRDefault="00C72470" w:rsidP="00C72470">
      <w:pPr>
        <w:pStyle w:val="H1G"/>
      </w:pPr>
      <w:r>
        <w:rPr>
          <w:bCs/>
        </w:rPr>
        <w:tab/>
        <w:t>II.</w:t>
      </w:r>
      <w:r>
        <w:tab/>
        <w:t>Вещества, не характеризующиеся другими опасными свойствами, кроме температуры самовоспламенения ≤ 200 °C</w:t>
      </w:r>
    </w:p>
    <w:p w14:paraId="65B6CCED" w14:textId="41468BBD" w:rsidR="00C72470" w:rsidRPr="00D86466" w:rsidRDefault="00C72470" w:rsidP="00C72470">
      <w:pPr>
        <w:pStyle w:val="SingleTxtG"/>
      </w:pPr>
      <w:r>
        <w:t>8.</w:t>
      </w:r>
      <w:r>
        <w:tab/>
        <w:t>При строгом применении схемы принятия решения, приведенной в подразделе</w:t>
      </w:r>
      <w:r>
        <w:rPr>
          <w:lang w:val="en-US"/>
        </w:rPr>
        <w:t> </w:t>
      </w:r>
      <w:r>
        <w:t>3.2.3.3, исходя из указаний в первой рамке для веществ, не имеющих других опасных свойств, кроме температуры воспламенения ≤ 200 °C, можно сделать вывод, что такие</w:t>
      </w:r>
      <w:r w:rsidRPr="00A05AF9">
        <w:t xml:space="preserve"> </w:t>
      </w:r>
      <w:r>
        <w:t>вещества должны рассматриваться как неопасные грузы. Это не оправдано с точки зрения безопасности.</w:t>
      </w:r>
    </w:p>
    <w:p w14:paraId="30E08AF2" w14:textId="77777777" w:rsidR="00C72470" w:rsidRPr="00D86466" w:rsidRDefault="00C72470" w:rsidP="00C72470">
      <w:pPr>
        <w:pStyle w:val="SingleTxtG"/>
        <w:rPr>
          <w:b/>
          <w:u w:val="single"/>
        </w:rPr>
      </w:pPr>
      <w:bookmarkStart w:id="0" w:name="_Hlk105745953"/>
      <w:r>
        <w:rPr>
          <w:b/>
          <w:bCs/>
          <w:u w:val="single"/>
        </w:rPr>
        <w:t>Предложение:</w:t>
      </w:r>
    </w:p>
    <w:bookmarkEnd w:id="0"/>
    <w:p w14:paraId="313F4081" w14:textId="28D5A4BD" w:rsidR="00C72470" w:rsidRPr="00D86466" w:rsidRDefault="00C72470" w:rsidP="00C72470">
      <w:pPr>
        <w:pStyle w:val="SingleTxtG"/>
      </w:pPr>
      <w:r>
        <w:t>9.</w:t>
      </w:r>
      <w:r>
        <w:tab/>
        <w:t>В первой рамке в схеме принятия решения, приведенной в подразделе 3.2.3.3, после второй строки, помеченной ч</w:t>
      </w:r>
      <w:r w:rsidR="00645CCD">
        <w:t>е</w:t>
      </w:r>
      <w:r>
        <w:t>рным кружком, включить дополнительную строку следующего содержания:</w:t>
      </w:r>
    </w:p>
    <w:p w14:paraId="629A5F7D" w14:textId="271DBEED" w:rsidR="00C72470" w:rsidRPr="00D86466" w:rsidRDefault="00C72470" w:rsidP="00C72470">
      <w:pPr>
        <w:pStyle w:val="SingleTxtG"/>
      </w:pPr>
      <w:r>
        <w:t xml:space="preserve">«• </w:t>
      </w:r>
      <w:r w:rsidR="00645CCD">
        <w:tab/>
      </w:r>
      <w:r>
        <w:t>Температура самовоспламенения ≤ 200 °C».</w:t>
      </w:r>
    </w:p>
    <w:p w14:paraId="574E3B51" w14:textId="540C96AF" w:rsidR="00C72470" w:rsidRPr="00D86466" w:rsidRDefault="00C72470" w:rsidP="00C72470">
      <w:pPr>
        <w:pStyle w:val="H1G"/>
      </w:pPr>
      <w:r>
        <w:rPr>
          <w:bCs/>
        </w:rPr>
        <w:tab/>
        <w:t>III.</w:t>
      </w:r>
      <w:r>
        <w:tab/>
      </w:r>
      <w:r>
        <w:rPr>
          <w:bCs/>
        </w:rPr>
        <w:t>Отсутствие замечания 44 для № ООН 2924 и отсутствие замечания</w:t>
      </w:r>
      <w:r>
        <w:rPr>
          <w:bCs/>
          <w:lang w:val="en-US"/>
        </w:rPr>
        <w:t> </w:t>
      </w:r>
      <w:r>
        <w:rPr>
          <w:bCs/>
        </w:rPr>
        <w:t>34 для № ООН 1764 и № ООН 2430</w:t>
      </w:r>
      <w:bookmarkStart w:id="1" w:name="_Hlk116048903"/>
      <w:bookmarkEnd w:id="1"/>
    </w:p>
    <w:p w14:paraId="6F466465" w14:textId="73828371" w:rsidR="00C72470" w:rsidRPr="00D86466" w:rsidRDefault="00C72470" w:rsidP="00C72470">
      <w:pPr>
        <w:pStyle w:val="SingleTxtG"/>
      </w:pPr>
      <w:r>
        <w:t>10.</w:t>
      </w:r>
      <w:r>
        <w:tab/>
        <w:t>Во второй позиции для № ООН 2924 «ЛЕГКОВОСПЛАМЕНЯЮЩАЯСЯ ЖИДКОСТЬ КОРРОЗИОННАЯ, Н.У.К.», группа упаковки III, для которой в колонке</w:t>
      </w:r>
      <w:r>
        <w:rPr>
          <w:lang w:val="en-US"/>
        </w:rPr>
        <w:t> </w:t>
      </w:r>
      <w:r>
        <w:t>16 указана подгруппа взрывоопасности «(II B3)», в колонке 20 отсутствует замечание 44. Кроме того, в двух позициях под № ООН 2924 для группы упаковки III в колонке 20 указано замечание, которое относится исключительно к веществам класса</w:t>
      </w:r>
      <w:r>
        <w:rPr>
          <w:lang w:val="en-US"/>
        </w:rPr>
        <w:t> </w:t>
      </w:r>
      <w:r>
        <w:t>8.</w:t>
      </w:r>
    </w:p>
    <w:p w14:paraId="7A866BF3" w14:textId="77777777" w:rsidR="00C72470" w:rsidRPr="00D86466" w:rsidRDefault="00C72470" w:rsidP="00C72470">
      <w:pPr>
        <w:pStyle w:val="SingleTxtG"/>
      </w:pPr>
      <w:r>
        <w:lastRenderedPageBreak/>
        <w:t>11.</w:t>
      </w:r>
      <w:r>
        <w:tab/>
        <w:t>В двух позициях для № ООН 2430 «АЛКИЛФЕНОЛЫ ТВЕРДЫЕ, Н.У.К. (НОНИЛФЕНОЛ, СМЕСЬ ИЗОМЕРОВ РАСПЛАВЛЕННАЯ)» в колонке 20 отсутствует замечание 34.</w:t>
      </w:r>
    </w:p>
    <w:p w14:paraId="11E853D3" w14:textId="77777777" w:rsidR="00C72470" w:rsidRPr="00D86466" w:rsidRDefault="00C72470" w:rsidP="00C72470">
      <w:pPr>
        <w:pStyle w:val="SingleTxtG"/>
        <w:rPr>
          <w:b/>
          <w:u w:val="single"/>
        </w:rPr>
      </w:pPr>
      <w:r>
        <w:rPr>
          <w:b/>
          <w:bCs/>
          <w:u w:val="single"/>
        </w:rPr>
        <w:t>Предложения:</w:t>
      </w:r>
    </w:p>
    <w:p w14:paraId="18E47396" w14:textId="77777777" w:rsidR="00C72470" w:rsidRPr="00D86466" w:rsidRDefault="00C72470" w:rsidP="00C72470">
      <w:pPr>
        <w:pStyle w:val="SingleTxtG"/>
      </w:pPr>
      <w:r>
        <w:t>12.</w:t>
      </w:r>
      <w:r>
        <w:tab/>
        <w:t>В подразделе 3.2.3.2, таблица С, в первой позиции для № ООН 2924 «ЛЕГКОВОСПЛАМЕНЯЮЩАЯСЯ ЖИДКОСТЬ КОРРОЗИОННАЯ, Н.У.К.», группа упаковки III (без указания «II B3»), исключить «; 34» в колонке 20.</w:t>
      </w:r>
    </w:p>
    <w:p w14:paraId="0F33023C" w14:textId="77777777" w:rsidR="00C72470" w:rsidRPr="00D86466" w:rsidRDefault="00C72470" w:rsidP="00C72470">
      <w:pPr>
        <w:pStyle w:val="SingleTxtG"/>
      </w:pPr>
      <w:r>
        <w:t>13.</w:t>
      </w:r>
      <w:r>
        <w:tab/>
        <w:t>В подразделе 3.2.3.2, таблица С, во второй позиции для № ООН 2924 «ЛЕГКОВОСПЛАМЕНЯЮЩАЯСЯ ЖИДКОСТЬ КОРРОЗИОННАЯ, Н.У.К.», группа упаковки III (с указанием «II B3»), заменить «; 34» на «; 44» в колонке 20.</w:t>
      </w:r>
    </w:p>
    <w:p w14:paraId="32E968E0" w14:textId="77777777" w:rsidR="00C72470" w:rsidRPr="006E5E3F" w:rsidRDefault="00C72470" w:rsidP="00C72470">
      <w:pPr>
        <w:pStyle w:val="SingleTxtG"/>
      </w:pPr>
      <w:r>
        <w:t>14.</w:t>
      </w:r>
      <w:r>
        <w:tab/>
        <w:t>В подразделе 3.2.3.2, таблица С, для № ООН 1764 «КИСЛОТА</w:t>
      </w:r>
      <w:r w:rsidRPr="00250912">
        <w:rPr>
          <w:sz w:val="16"/>
          <w:szCs w:val="16"/>
          <w:lang w:eastAsia="ru-RU"/>
        </w:rPr>
        <w:t xml:space="preserve"> </w:t>
      </w:r>
      <w:r w:rsidRPr="00250912">
        <w:rPr>
          <w:lang w:eastAsia="ru-RU"/>
        </w:rPr>
        <w:t>ДИХЛОРУКСУСНАЯ</w:t>
      </w:r>
      <w:r>
        <w:t>» и для № ООН 2430 «АЛКИЛФЕНОЛЫ</w:t>
      </w:r>
      <w:r w:rsidRPr="00EE7C98">
        <w:rPr>
          <w:rFonts w:eastAsia="Calibri"/>
          <w:noProof/>
        </w:rPr>
        <w:t xml:space="preserve"> ТВЕРДЫЕ</w:t>
      </w:r>
      <w:r>
        <w:t>, Н.У.К. (</w:t>
      </w:r>
      <w:r w:rsidRPr="006E5E3F">
        <w:rPr>
          <w:rFonts w:eastAsia="Calibri"/>
          <w:color w:val="000000"/>
          <w:lang w:bidi="th-TH"/>
        </w:rPr>
        <w:t>НОНИЛФЕНОЛ, СМЕСЬ ИЗОМЕРОВ РАСПЛАВЛЕННАЯ)</w:t>
      </w:r>
      <w:r>
        <w:t>» (обе позиции) добавить «; 34» в колонку 20.</w:t>
      </w:r>
      <w:bookmarkStart w:id="2" w:name="_Hlk114203376"/>
      <w:bookmarkEnd w:id="2"/>
    </w:p>
    <w:p w14:paraId="3F69323E" w14:textId="2CAC3F4D" w:rsidR="00C72470" w:rsidRPr="00D86466" w:rsidRDefault="00C72470" w:rsidP="00C72470">
      <w:pPr>
        <w:pStyle w:val="H1G"/>
      </w:pPr>
      <w:r>
        <w:rPr>
          <w:bCs/>
        </w:rPr>
        <w:tab/>
        <w:t>IV.</w:t>
      </w:r>
      <w:r>
        <w:tab/>
      </w:r>
      <w:r>
        <w:rPr>
          <w:bCs/>
        </w:rPr>
        <w:t>Согласование групп взрывоопасности между Кодексом МКХ и</w:t>
      </w:r>
      <w:r>
        <w:rPr>
          <w:bCs/>
          <w:lang w:val="en-US"/>
        </w:rPr>
        <w:t> </w:t>
      </w:r>
      <w:r>
        <w:rPr>
          <w:bCs/>
        </w:rPr>
        <w:t>ВОПОГ</w:t>
      </w:r>
    </w:p>
    <w:p w14:paraId="41B93855" w14:textId="77777777" w:rsidR="00C72470" w:rsidRPr="00D86466" w:rsidRDefault="00C72470" w:rsidP="00C72470">
      <w:pPr>
        <w:pStyle w:val="SingleTxtG"/>
      </w:pPr>
      <w:r>
        <w:t>15.</w:t>
      </w:r>
      <w:r>
        <w:tab/>
        <w:t>На основе предложения, внесенного Европейским советом химической промышленности (ЕСФХП) (неофициальный документ INF.21 тридцать шестой сессии), предлагается согласовать пять позиций, приведенных в таблице С, с указаниями в отношении группы взрывоопасности, содержащимися в Международном кодексе постройки и оборудования судов, перевозящих опасные грузы наливом (Кодекс МКХ). Указания, взятые из Кодекса МКХ, необходимо дополнить</w:t>
      </w:r>
      <w:r w:rsidRPr="00CF2A52">
        <w:t xml:space="preserve"> </w:t>
      </w:r>
      <w:r>
        <w:t xml:space="preserve">сноской 9), предусмотренной для этой цели, которая указывает, что речь идет о </w:t>
      </w:r>
      <w:proofErr w:type="spellStart"/>
      <w:r>
        <w:t>классификаци</w:t>
      </w:r>
      <w:proofErr w:type="spellEnd"/>
      <w:r>
        <w:t xml:space="preserve"> в соответствии с Кодексом МКХ Международной морской организации (ИМО).</w:t>
      </w:r>
      <w:bookmarkStart w:id="3" w:name="_Hlk114210988"/>
      <w:bookmarkStart w:id="4" w:name="_Hlk107913273"/>
      <w:bookmarkEnd w:id="3"/>
      <w:bookmarkEnd w:id="4"/>
    </w:p>
    <w:p w14:paraId="79B2FD7A" w14:textId="77777777" w:rsidR="00C72470" w:rsidRPr="00D86466" w:rsidRDefault="00C72470" w:rsidP="00C72470">
      <w:pPr>
        <w:pStyle w:val="SingleTxtG"/>
        <w:rPr>
          <w:b/>
          <w:u w:val="single"/>
        </w:rPr>
      </w:pPr>
      <w:r>
        <w:rPr>
          <w:b/>
          <w:bCs/>
          <w:u w:val="single"/>
        </w:rPr>
        <w:t>Предложение:</w:t>
      </w:r>
    </w:p>
    <w:p w14:paraId="62B32109" w14:textId="77777777" w:rsidR="00C72470" w:rsidRPr="00D86466" w:rsidRDefault="00C72470" w:rsidP="00C72470">
      <w:pPr>
        <w:pStyle w:val="SingleTxtG"/>
        <w:rPr>
          <w:bCs/>
        </w:rPr>
      </w:pPr>
      <w:r>
        <w:t>16.</w:t>
      </w:r>
      <w:r>
        <w:tab/>
        <w:t>В подразделе 3.2.3.2, таблица С, в позициях для</w:t>
      </w:r>
      <w:bookmarkStart w:id="5" w:name="_Hlk106976351"/>
    </w:p>
    <w:p w14:paraId="0D074FE2" w14:textId="77777777" w:rsidR="00C72470" w:rsidRPr="00D86466" w:rsidRDefault="00C72470" w:rsidP="00C72470">
      <w:pPr>
        <w:pStyle w:val="SingleTxtG"/>
        <w:rPr>
          <w:bCs/>
        </w:rPr>
      </w:pPr>
      <w:r>
        <w:tab/>
        <w:t>№ ООН 1108 «1-ПЕНТЕН (н-амилен)»,</w:t>
      </w:r>
    </w:p>
    <w:p w14:paraId="6C903D02" w14:textId="77777777" w:rsidR="00C72470" w:rsidRPr="00D86466" w:rsidRDefault="00C72470" w:rsidP="00C72470">
      <w:pPr>
        <w:pStyle w:val="SingleTxtG"/>
        <w:rPr>
          <w:bCs/>
        </w:rPr>
      </w:pPr>
      <w:r>
        <w:tab/>
        <w:t>№ ООН 1157 «ДИИЗОБУТИЛКЕТОН»,</w:t>
      </w:r>
    </w:p>
    <w:p w14:paraId="7481607F" w14:textId="77777777" w:rsidR="00C72470" w:rsidRPr="00D86466" w:rsidRDefault="00C72470" w:rsidP="00C72470">
      <w:pPr>
        <w:pStyle w:val="SingleTxtG"/>
        <w:rPr>
          <w:bCs/>
        </w:rPr>
      </w:pPr>
      <w:r>
        <w:tab/>
        <w:t>№ ООН 2323 «ТРИЭТИЛФОСФИТ»,</w:t>
      </w:r>
    </w:p>
    <w:p w14:paraId="225FE232" w14:textId="77777777" w:rsidR="00C72470" w:rsidRPr="00D86466" w:rsidRDefault="00C72470" w:rsidP="00C72470">
      <w:pPr>
        <w:pStyle w:val="SingleTxtG"/>
        <w:rPr>
          <w:bCs/>
        </w:rPr>
      </w:pPr>
      <w:r>
        <w:tab/>
        <w:t>№ ООН 2370 «1-ГЕКСЕН» и</w:t>
      </w:r>
    </w:p>
    <w:p w14:paraId="53756DF5" w14:textId="77777777" w:rsidR="00C72470" w:rsidRPr="00D86466" w:rsidRDefault="00C72470" w:rsidP="00C72470">
      <w:pPr>
        <w:pStyle w:val="SingleTxtG"/>
        <w:rPr>
          <w:bCs/>
        </w:rPr>
      </w:pPr>
      <w:r>
        <w:tab/>
        <w:t>№ ООН 3079 «МЕТАКРИЛОНИТРИЛ СТАБИЛИЗИРОВАННЫЙ»</w:t>
      </w:r>
    </w:p>
    <w:p w14:paraId="5B082904" w14:textId="77777777" w:rsidR="00C72470" w:rsidRPr="00D86466" w:rsidRDefault="00C72470" w:rsidP="00C72470">
      <w:pPr>
        <w:pStyle w:val="SingleTxtG"/>
        <w:rPr>
          <w:bCs/>
        </w:rPr>
      </w:pPr>
      <w:r>
        <w:t>заменить «II B</w:t>
      </w:r>
      <w:r>
        <w:rPr>
          <w:vertAlign w:val="superscript"/>
        </w:rPr>
        <w:t>4)</w:t>
      </w:r>
      <w:r>
        <w:t>» на «II A</w:t>
      </w:r>
      <w:r>
        <w:rPr>
          <w:vertAlign w:val="superscript"/>
        </w:rPr>
        <w:t>9)</w:t>
      </w:r>
      <w:r>
        <w:t>» в колонке 16.</w:t>
      </w:r>
    </w:p>
    <w:bookmarkEnd w:id="5"/>
    <w:p w14:paraId="631A7690" w14:textId="77777777" w:rsidR="00C72470" w:rsidRPr="00D86466" w:rsidRDefault="00C72470" w:rsidP="00C72470">
      <w:pPr>
        <w:pStyle w:val="H1G"/>
      </w:pPr>
      <w:r>
        <w:rPr>
          <w:bCs/>
        </w:rPr>
        <w:tab/>
        <w:t>V.</w:t>
      </w:r>
      <w:r>
        <w:tab/>
        <w:t>Поправка</w:t>
      </w:r>
      <w:r>
        <w:rPr>
          <w:bCs/>
        </w:rPr>
        <w:t xml:space="preserve"> в колонке 16 таблицы С для № ООН 2527</w:t>
      </w:r>
    </w:p>
    <w:p w14:paraId="094352AD" w14:textId="77777777" w:rsidR="00C72470" w:rsidRPr="00D86466" w:rsidRDefault="00C72470" w:rsidP="00C72470">
      <w:pPr>
        <w:pStyle w:val="SingleTxtG"/>
      </w:pPr>
      <w:r>
        <w:t>17.</w:t>
      </w:r>
      <w:r>
        <w:tab/>
        <w:t>Учитывая указания, содержащиеся в представленном ЕСФХП неофициальном документе INF.21</w:t>
      </w:r>
      <w:r w:rsidRPr="006A56C1">
        <w:t xml:space="preserve"> </w:t>
      </w:r>
      <w:r>
        <w:t>тридцать шестой сессии, по поводу аналогий по структуре и свойствам с замещенными метиловыми, этиловыми и н-бутиловыми соединениями, предлагается адаптировать указания в отношении группы взрывоопасности в позиции для № ООН 2527 «ИЗОБУТИЛАКРИЛАТ СТАБИЛИЗИРОВАННЫЙ».</w:t>
      </w:r>
    </w:p>
    <w:p w14:paraId="76C75A96" w14:textId="77777777" w:rsidR="00C72470" w:rsidRPr="00D86466" w:rsidRDefault="00C72470" w:rsidP="00C72470">
      <w:pPr>
        <w:pStyle w:val="SingleTxtG"/>
        <w:rPr>
          <w:b/>
          <w:u w:val="single"/>
        </w:rPr>
      </w:pPr>
      <w:r>
        <w:rPr>
          <w:b/>
          <w:bCs/>
          <w:u w:val="single"/>
        </w:rPr>
        <w:t>Предложение:</w:t>
      </w:r>
    </w:p>
    <w:p w14:paraId="58EB1EFB" w14:textId="77777777" w:rsidR="00C72470" w:rsidRPr="00D86466" w:rsidRDefault="00C72470" w:rsidP="00C72470">
      <w:pPr>
        <w:pStyle w:val="SingleTxtG"/>
        <w:rPr>
          <w:bCs/>
        </w:rPr>
      </w:pPr>
      <w:r>
        <w:t>18.</w:t>
      </w:r>
      <w:r>
        <w:tab/>
        <w:t>В подразделе 3.2.3.2, таблица С, в позиции для № ООН 2527 «ИЗОБУТИЛАКРИЛАТ СТАБИЛИЗИРОВАННЫЙ» заменить «II B</w:t>
      </w:r>
      <w:r>
        <w:rPr>
          <w:vertAlign w:val="superscript"/>
        </w:rPr>
        <w:t>9)</w:t>
      </w:r>
      <w:r>
        <w:t>» на «II B3</w:t>
      </w:r>
      <w:r>
        <w:rPr>
          <w:vertAlign w:val="superscript"/>
        </w:rPr>
        <w:t>14)</w:t>
      </w:r>
      <w:r>
        <w:t>» в колонке 16.</w:t>
      </w:r>
    </w:p>
    <w:p w14:paraId="4F107200" w14:textId="670529BD" w:rsidR="00C72470" w:rsidRPr="00D86466" w:rsidRDefault="00C72470" w:rsidP="00C72470">
      <w:pPr>
        <w:pStyle w:val="H1G"/>
        <w:pageBreakBefore/>
      </w:pPr>
      <w:r>
        <w:rPr>
          <w:bCs/>
        </w:rPr>
        <w:lastRenderedPageBreak/>
        <w:tab/>
        <w:t>VI.</w:t>
      </w:r>
      <w:r>
        <w:tab/>
      </w:r>
      <w:r>
        <w:rPr>
          <w:bCs/>
        </w:rPr>
        <w:t xml:space="preserve">Проверка в таблице A всех позиций без группы упаковки, </w:t>
      </w:r>
      <w:r>
        <w:rPr>
          <w:bCs/>
        </w:rPr>
        <w:br/>
      </w:r>
      <w:r>
        <w:rPr>
          <w:bCs/>
        </w:rPr>
        <w:t>для которых требуется использование синих конусов/огней</w:t>
      </w:r>
    </w:p>
    <w:p w14:paraId="44F25CA4" w14:textId="77777777" w:rsidR="00C72470" w:rsidRPr="00D86466" w:rsidRDefault="00C72470" w:rsidP="00C72470">
      <w:pPr>
        <w:pStyle w:val="SingleTxtG"/>
      </w:pPr>
      <w:r>
        <w:t>19.</w:t>
      </w:r>
      <w:r>
        <w:tab/>
        <w:t>Синие конусы (огни) требуются для веществ классов 3–9 в зависимости от классификационного кода (легковоспламеняющиеся и/или токсичные свойства) и группы упаковки (группа упаковки I или II). Синие конусы (огни), как правило, не предписываются для группы упаковки III и для изделий, не отнесенных ни к одной группе упаковки в соответствии с системой.</w:t>
      </w:r>
    </w:p>
    <w:p w14:paraId="20D8D5F9" w14:textId="77777777" w:rsidR="00C72470" w:rsidRPr="00D86466" w:rsidRDefault="00C72470" w:rsidP="00C72470">
      <w:pPr>
        <w:pStyle w:val="SingleTxtG"/>
      </w:pPr>
      <w:r>
        <w:t>20.</w:t>
      </w:r>
      <w:r>
        <w:tab/>
        <w:t>Поэтому предлагается заменить записи в колонке 12 таблицы A на «0» для двух позиций, в которых указаны изделия класса 3, для трех позиций, в которых указаны изделия класса 6.1, и для двух позиций, в которых указаны изделия класса 9.</w:t>
      </w:r>
    </w:p>
    <w:p w14:paraId="3995757E" w14:textId="77777777" w:rsidR="00C72470" w:rsidRPr="00D86466" w:rsidRDefault="00C72470" w:rsidP="00C72470">
      <w:pPr>
        <w:pStyle w:val="SingleTxtG"/>
      </w:pPr>
      <w:r>
        <w:t>21.</w:t>
      </w:r>
      <w:r>
        <w:tab/>
        <w:t xml:space="preserve">Система не предусматривает группы упаковки для класса 2. Требование о наличии или отсутствии синих конусов (огней) устанавливается для всех веществ в соответствии с классификационным кодом (воспламеняемость и/или токсичность). Аналогичным образом, синие конусы (огни) не должны предписываться для изделий, содержащих </w:t>
      </w:r>
      <w:proofErr w:type="spellStart"/>
      <w:r>
        <w:t>газы</w:t>
      </w:r>
      <w:proofErr w:type="spellEnd"/>
      <w:r>
        <w:t>. Поэтому для семи позиций класса 2 предлагается заменить «1» или «2» на «0» в колонке 12 таблицы А.</w:t>
      </w:r>
    </w:p>
    <w:p w14:paraId="35C939EA" w14:textId="77777777" w:rsidR="00C72470" w:rsidRPr="00D86466" w:rsidRDefault="00C72470" w:rsidP="00C72470">
      <w:pPr>
        <w:pStyle w:val="SingleTxtG"/>
        <w:rPr>
          <w:b/>
          <w:u w:val="single"/>
        </w:rPr>
      </w:pPr>
      <w:r>
        <w:rPr>
          <w:b/>
          <w:bCs/>
          <w:u w:val="single"/>
        </w:rPr>
        <w:t>Предложение:</w:t>
      </w:r>
    </w:p>
    <w:p w14:paraId="03BFA95E" w14:textId="77777777" w:rsidR="00C72470" w:rsidRPr="00D86466" w:rsidRDefault="00C72470" w:rsidP="00C72470">
      <w:pPr>
        <w:pStyle w:val="SingleTxtG"/>
      </w:pPr>
      <w:r>
        <w:t>22.</w:t>
      </w:r>
      <w:r>
        <w:tab/>
        <w:t>В таблице А главы 3.2 в позиции для № ООН 3540 «ИЗДЕЛИЯ, СОДЕРЖАЩИЕ ЛЕГКОВОСПЛАМЕНЯЮЩУЮСЯ ЖИДКОСТЬ, Н.У.К.» заменить «1» на «0» в колонке 12.</w:t>
      </w:r>
      <w:bookmarkStart w:id="6" w:name="_Hlk115281408"/>
      <w:bookmarkStart w:id="7" w:name="_Hlk115281537"/>
      <w:bookmarkEnd w:id="6"/>
    </w:p>
    <w:bookmarkEnd w:id="7"/>
    <w:p w14:paraId="6AD12914" w14:textId="60B8389B" w:rsidR="00C72470" w:rsidRPr="00D86466" w:rsidRDefault="00C72470" w:rsidP="00C72470">
      <w:pPr>
        <w:pStyle w:val="SingleTxtG"/>
      </w:pPr>
      <w:r>
        <w:t>23.</w:t>
      </w:r>
      <w:r>
        <w:tab/>
        <w:t>В таблице А главы 3.2 в позициях для № ООН 1700 «СВЕЧИ ГАЗОВЫЕ СЛЕЗОТОЧИВЫЕ», № ООН 2016 «БОЕПРИПАСЫ С ОТРАВЛЯЮЩИМИ ВЕЩЕСТВАМИ НЕВЗРЫВЧАТЫЕ без разрывного или вышибного заряда и взрывателя» и № ООН 2017 «БОЕПРИПАСЫ СЛЕЗОТОЧИВЫЕ НЕВЗРЫВЧАТЫЕ без разрывного или вышибного заряда и взрывателя» заменить «2» на «0» в колонке</w:t>
      </w:r>
      <w:r>
        <w:rPr>
          <w:lang w:val="en-US"/>
        </w:rPr>
        <w:t> </w:t>
      </w:r>
      <w:r>
        <w:t>12.</w:t>
      </w:r>
    </w:p>
    <w:p w14:paraId="7521CB5D" w14:textId="3C6369D8" w:rsidR="00C72470" w:rsidRPr="00D86466" w:rsidRDefault="00C72470" w:rsidP="00C72470">
      <w:pPr>
        <w:pStyle w:val="SingleTxtG"/>
      </w:pPr>
      <w:r>
        <w:t>24.</w:t>
      </w:r>
      <w:r>
        <w:tab/>
        <w:t xml:space="preserve">В таблице А главы 3.2 в позициях для № ООН 3473 «КАССЕТЫ ТОПЛИВНЫХ ЭЛЕМЕНТОВ или КАССЕТЫ ТОПЛИВНЫХ ЭЛЕМЕНТОВ, СОДЕРЖАЩИЕСЯ В ОБОРУДОВАНИИ, или КАССЕТЫ ТОПЛИВНЫХ ЭЛЕМЕНТОВ, УПАКОВАННЫЕ С ОБОРУДОВАНИЕМ, содержащие легковоспламеняющиеся жидкости», </w:t>
      </w:r>
      <w:r w:rsidR="00645CCD">
        <w:br/>
      </w:r>
      <w:r>
        <w:t>№ ООН 3359 «ФУМИГИРОВАННАЯ ГРУЗОВАЯ ТРАНСПОРТНАЯ ЕДИНИЦА» и</w:t>
      </w:r>
      <w:r w:rsidR="00645CCD">
        <w:t> </w:t>
      </w:r>
      <w:r>
        <w:t>№ ООН 3363 «ГРУЗЫ ОПАСНЫЕ В ИЗДЕЛИЯХ или ГРУЗЫ ОПАСНЫЕ В МАШИНАХ или ГРУЗЫ ОПАСНЫЕ В ПРИБОРАХ» включить «0» в колонку 12.</w:t>
      </w:r>
    </w:p>
    <w:p w14:paraId="2C83AC97" w14:textId="77777777" w:rsidR="00C72470" w:rsidRPr="00D86466" w:rsidRDefault="00C72470" w:rsidP="00C72470">
      <w:pPr>
        <w:pStyle w:val="SingleTxtG"/>
      </w:pPr>
      <w:r>
        <w:t>25.</w:t>
      </w:r>
      <w:r>
        <w:tab/>
        <w:t>В таблице А главы 3.2 в позициях для № ООН 1057 «ЗАЖИГАЛКИ или БАЛЛОНЧИКИ ДЛЯ ЗАПРАВКИ ЗАЖИГАЛОК, содержащие воспламеняющийся газ», № ООН 3150 «УСТРОЙСТВА МАЛЫЕ, ПРИВОДИМЫЕ В ДЕЙСТВИЕ УГЛЕВОДОРОДНЫМ ГАЗОМ, или БАЛЛОНЫ</w:t>
      </w:r>
      <w:r w:rsidRPr="00E25774">
        <w:t xml:space="preserve"> </w:t>
      </w:r>
      <w:r>
        <w:t>С УГЛЕВОДОРОДНЫМ ГАЗОМ ДЛЯ МАЛЫХ УСТРОЙСТВ с выпускным приспособлением», № ООН 3358 «РЕФРИЖЕРАТОРНЫЕ УСТАНОВКИ, содержащие</w:t>
      </w:r>
      <w:r w:rsidRPr="00E25774">
        <w:t xml:space="preserve"> </w:t>
      </w:r>
      <w:r>
        <w:t xml:space="preserve">воспламеняющийся нетоксичный сжиженный газ», № ООН 3478 «КАССЕТЫ ТОПЛИВНЫХ ЭЛЕМЕНТОВ или КАССЕТЫ ТОПЛИВНЫХ ЭЛЕМЕНТОВ, СОДЕРЖАЩИЕСЯ В ОБОРУДОВАНИИ, или КАССЕТЫ ТОПЛИВНЫХ ЭЛЕМЕНТОВ, УПАКОВАННЫЕ С ОБОРУДОВАНЕМ, содержащие сжиженный воспламеняющий газ», № ООН 3479 «КАССЕТЫ ТОПЛИВНЫХ ЭЛЕМЕНТОВ или КАССЕТЫ ТОПЛИВНЫХ ЭЛЕМЕНТОВ, СОДЕРЖАЩИЕСЯ В ОБОРУДОВАНИИ, или КАССЕТЫ ТОПЛИВНЫХ ЭЛЕМЕНТОВ, УПАКОВАННЫЕ С ОБОРУДОВАНИЕМ, содержащие водород в </w:t>
      </w:r>
      <w:proofErr w:type="spellStart"/>
      <w:r>
        <w:t>металлгидриде</w:t>
      </w:r>
      <w:proofErr w:type="spellEnd"/>
      <w:r>
        <w:t>» и № ООН 3537 «ИЗДЕЛИЯ, СОДЕРЖАЩИЕ ВОСПЛАМЕНЯЮЩИЙСЯ ГАЗ, Н.У.К.» заменить «1» на «0» в колонке 12.</w:t>
      </w:r>
    </w:p>
    <w:p w14:paraId="5280F5CB" w14:textId="77777777" w:rsidR="00C72470" w:rsidRPr="00D86466" w:rsidRDefault="00C72470" w:rsidP="00C72470">
      <w:pPr>
        <w:pStyle w:val="SingleTxtG"/>
      </w:pPr>
      <w:r>
        <w:t>26.</w:t>
      </w:r>
      <w:r>
        <w:tab/>
        <w:t>В таблице А главы 3.2 в позиции для № ООН 3539 «ИЗДЕЛИЯ, СОДЕРЖАЩИЕ ТОКСИЧНЫЙ ГАЗ, Н.У.К.» заменить «2» на «0»</w:t>
      </w:r>
      <w:r w:rsidRPr="00430FDF">
        <w:t xml:space="preserve"> </w:t>
      </w:r>
      <w:r>
        <w:t>в колонке 12.</w:t>
      </w:r>
    </w:p>
    <w:p w14:paraId="38625DE3" w14:textId="16608EFE" w:rsidR="00C72470" w:rsidRPr="00D86466" w:rsidRDefault="00C72470" w:rsidP="00C72470">
      <w:pPr>
        <w:pStyle w:val="H1G"/>
      </w:pPr>
      <w:r>
        <w:rPr>
          <w:bCs/>
        </w:rPr>
        <w:lastRenderedPageBreak/>
        <w:tab/>
        <w:t>VII.</w:t>
      </w:r>
      <w:r>
        <w:tab/>
      </w:r>
      <w:r>
        <w:rPr>
          <w:bCs/>
        </w:rPr>
        <w:t xml:space="preserve">Исправление ошибки в колонке 2 таблицы С в позиции </w:t>
      </w:r>
      <w:r>
        <w:rPr>
          <w:bCs/>
        </w:rPr>
        <w:br/>
      </w:r>
      <w:r>
        <w:rPr>
          <w:bCs/>
        </w:rPr>
        <w:t>для № ООН 1972</w:t>
      </w:r>
    </w:p>
    <w:p w14:paraId="30B8B1F2" w14:textId="77777777" w:rsidR="00C72470" w:rsidRPr="00D86466" w:rsidRDefault="00C72470" w:rsidP="00C72470">
      <w:pPr>
        <w:pStyle w:val="SingleTxtG"/>
      </w:pPr>
      <w:r>
        <w:t>27.</w:t>
      </w:r>
      <w:r>
        <w:tab/>
        <w:t>В вариантах таблицы С на английском, немецком и русском языках в позиции для № ООН 1972 «МЕТАН ОХЛАЖДЕННЫЙ ЖИДКИЙ или ГАЗ ПРИРОДНЫЙ ОХЛАЖДЕННЫЙ ЖИДКИЙ с высоким содержанием метана», в которой предписана перевозка в мембранных танках (G-2-4), в наименовании и описании (колонка 2) дважды отсутствует дополнение «ЖИДКИЙ».</w:t>
      </w:r>
    </w:p>
    <w:p w14:paraId="388F5AA5" w14:textId="77777777" w:rsidR="00C72470" w:rsidRPr="00D86466" w:rsidRDefault="00C72470" w:rsidP="00C72470">
      <w:pPr>
        <w:pStyle w:val="SingleTxtG"/>
      </w:pPr>
      <w:r>
        <w:t>28.</w:t>
      </w:r>
      <w:r>
        <w:tab/>
        <w:t>Кроме того, в варианте на немецком языке в схеме принятия решения (3.2.3.3) и в критериях классификации веществ (3.2.4.3 L.) допущена опечатка в замечании 42.</w:t>
      </w:r>
    </w:p>
    <w:p w14:paraId="6E953B96" w14:textId="77777777" w:rsidR="00C72470" w:rsidRPr="00D86466" w:rsidRDefault="00C72470" w:rsidP="00C72470">
      <w:pPr>
        <w:pStyle w:val="SingleTxtG"/>
        <w:rPr>
          <w:b/>
          <w:u w:val="single"/>
        </w:rPr>
      </w:pPr>
      <w:r>
        <w:rPr>
          <w:b/>
          <w:bCs/>
          <w:u w:val="single"/>
        </w:rPr>
        <w:t>Предложение:</w:t>
      </w:r>
    </w:p>
    <w:p w14:paraId="6E1BECEA" w14:textId="77777777" w:rsidR="00C72470" w:rsidRPr="00D86466" w:rsidRDefault="00C72470" w:rsidP="00C72470">
      <w:pPr>
        <w:pStyle w:val="SingleTxtG"/>
      </w:pPr>
      <w:r>
        <w:t>29.</w:t>
      </w:r>
      <w:r>
        <w:tab/>
        <w:t>В вариантах подраздела 3.2.3.2 таблицы С на английском, немецком и русском языках в позиции для № ООН 1972 «МЕТАН ОХЛАЖДЕННЫЙ ЖИДКИЙ или ГАЗ ПРИРОДНЫЙ ОХЛАЖДЕННЫЙ ЖИДКИЙ с высоким содержанием метана», в которой предписана перевозка в мембранных танках (G-2-4), включить слово «ЖИДКИЙ»</w:t>
      </w:r>
      <w:r w:rsidRPr="001F46D9">
        <w:t xml:space="preserve"> </w:t>
      </w:r>
      <w:r>
        <w:t>каждый раз после слова «ОХЛАЖДЕННЫЙ»</w:t>
      </w:r>
      <w:r w:rsidRPr="001A4359">
        <w:t xml:space="preserve"> </w:t>
      </w:r>
      <w:r>
        <w:t>в колонке 2 «Наименование и описание».</w:t>
      </w:r>
    </w:p>
    <w:p w14:paraId="405CBDED" w14:textId="6277164D" w:rsidR="00C72470" w:rsidRPr="00D86466" w:rsidRDefault="00C72470" w:rsidP="00C72470">
      <w:pPr>
        <w:pStyle w:val="SingleTxtG"/>
      </w:pPr>
      <w:r>
        <w:t>30.</w:t>
      </w:r>
      <w:r>
        <w:tab/>
        <w:t>В варианте на немецком языке в схеме принятия решения, содержащейся в подразделе 3.2.3.3, и в критериях классификации веществ, содержащихся в подразделе</w:t>
      </w:r>
      <w:r>
        <w:rPr>
          <w:lang w:val="en-US"/>
        </w:rPr>
        <w:t> </w:t>
      </w:r>
      <w:r>
        <w:t>3.2.4.3</w:t>
      </w:r>
      <w:r>
        <w:rPr>
          <w:lang w:val="en-US"/>
        </w:rPr>
        <w:t> </w:t>
      </w:r>
      <w:r>
        <w:t>L., заменить во всех случаях «TIEFGEHÜHLT» на «TIEFGEKÜHLT» в замечании 42.</w:t>
      </w:r>
    </w:p>
    <w:p w14:paraId="40EEFCBF" w14:textId="77777777" w:rsidR="00C72470" w:rsidRPr="00D86466" w:rsidRDefault="00C72470" w:rsidP="00C72470">
      <w:pPr>
        <w:spacing w:before="240"/>
        <w:jc w:val="center"/>
        <w:rPr>
          <w:u w:val="single"/>
        </w:rPr>
      </w:pPr>
      <w:r w:rsidRPr="00D86466">
        <w:rPr>
          <w:u w:val="single"/>
        </w:rPr>
        <w:tab/>
      </w:r>
      <w:r w:rsidRPr="00D86466">
        <w:rPr>
          <w:u w:val="single"/>
        </w:rPr>
        <w:tab/>
      </w:r>
      <w:r w:rsidRPr="00D86466">
        <w:rPr>
          <w:u w:val="single"/>
        </w:rPr>
        <w:tab/>
      </w:r>
    </w:p>
    <w:p w14:paraId="3B9DC37A" w14:textId="77777777" w:rsidR="00E12C5F" w:rsidRPr="008D53B6" w:rsidRDefault="00E12C5F" w:rsidP="00D9145B"/>
    <w:sectPr w:rsidR="00E12C5F" w:rsidRPr="008D53B6" w:rsidSect="00C7247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CC96" w14:textId="77777777" w:rsidR="00E26831" w:rsidRPr="00A312BC" w:rsidRDefault="00E26831" w:rsidP="00A312BC"/>
  </w:endnote>
  <w:endnote w:type="continuationSeparator" w:id="0">
    <w:p w14:paraId="3DC5B8DC" w14:textId="77777777" w:rsidR="00E26831" w:rsidRPr="00A312BC" w:rsidRDefault="00E2683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5EDB" w14:textId="31314DDB" w:rsidR="00C72470" w:rsidRPr="00C72470" w:rsidRDefault="00C72470">
    <w:pPr>
      <w:pStyle w:val="a8"/>
    </w:pPr>
    <w:r w:rsidRPr="00C72470">
      <w:rPr>
        <w:b/>
        <w:sz w:val="18"/>
      </w:rPr>
      <w:fldChar w:fldCharType="begin"/>
    </w:r>
    <w:r w:rsidRPr="00C72470">
      <w:rPr>
        <w:b/>
        <w:sz w:val="18"/>
      </w:rPr>
      <w:instrText xml:space="preserve"> PAGE  \* MERGEFORMAT </w:instrText>
    </w:r>
    <w:r w:rsidRPr="00C72470">
      <w:rPr>
        <w:b/>
        <w:sz w:val="18"/>
      </w:rPr>
      <w:fldChar w:fldCharType="separate"/>
    </w:r>
    <w:r w:rsidRPr="00C72470">
      <w:rPr>
        <w:b/>
        <w:noProof/>
        <w:sz w:val="18"/>
      </w:rPr>
      <w:t>2</w:t>
    </w:r>
    <w:r w:rsidRPr="00C72470">
      <w:rPr>
        <w:b/>
        <w:sz w:val="18"/>
      </w:rPr>
      <w:fldChar w:fldCharType="end"/>
    </w:r>
    <w:r>
      <w:rPr>
        <w:b/>
        <w:sz w:val="18"/>
      </w:rPr>
      <w:tab/>
    </w:r>
    <w:r>
      <w:t>GE.22-25238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979F" w14:textId="024CAC95" w:rsidR="00C72470" w:rsidRPr="00C72470" w:rsidRDefault="00C72470" w:rsidP="00C72470">
    <w:pPr>
      <w:pStyle w:val="a8"/>
      <w:tabs>
        <w:tab w:val="clear" w:pos="9639"/>
        <w:tab w:val="right" w:pos="9638"/>
      </w:tabs>
      <w:rPr>
        <w:b/>
        <w:sz w:val="18"/>
      </w:rPr>
    </w:pPr>
    <w:r>
      <w:t>GE.22-25238</w:t>
    </w:r>
    <w:r>
      <w:tab/>
    </w:r>
    <w:r w:rsidRPr="00C72470">
      <w:rPr>
        <w:b/>
        <w:sz w:val="18"/>
      </w:rPr>
      <w:fldChar w:fldCharType="begin"/>
    </w:r>
    <w:r w:rsidRPr="00C72470">
      <w:rPr>
        <w:b/>
        <w:sz w:val="18"/>
      </w:rPr>
      <w:instrText xml:space="preserve"> PAGE  \* MERGEFORMAT </w:instrText>
    </w:r>
    <w:r w:rsidRPr="00C72470">
      <w:rPr>
        <w:b/>
        <w:sz w:val="18"/>
      </w:rPr>
      <w:fldChar w:fldCharType="separate"/>
    </w:r>
    <w:r w:rsidRPr="00C72470">
      <w:rPr>
        <w:b/>
        <w:noProof/>
        <w:sz w:val="18"/>
      </w:rPr>
      <w:t>3</w:t>
    </w:r>
    <w:r w:rsidRPr="00C7247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9E30" w14:textId="0927F3CE" w:rsidR="00042B72" w:rsidRPr="00C72470" w:rsidRDefault="00C72470" w:rsidP="00C7247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D5E1759" wp14:editId="6750275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22-25238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4A91CBB" wp14:editId="515CFF8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161122  181122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9E743" w14:textId="77777777" w:rsidR="00E26831" w:rsidRPr="001075E9" w:rsidRDefault="00E2683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E8DBEF" w14:textId="77777777" w:rsidR="00E26831" w:rsidRDefault="00E2683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B630873" w14:textId="77777777" w:rsidR="00C72470" w:rsidRPr="00D86466" w:rsidRDefault="00C72470" w:rsidP="00C72470">
      <w:pPr>
        <w:pStyle w:val="ad"/>
        <w:rPr>
          <w:sz w:val="16"/>
          <w:szCs w:val="16"/>
        </w:rPr>
      </w:pPr>
      <w:r>
        <w:tab/>
      </w:r>
      <w:r w:rsidRPr="00B04FE1">
        <w:t>*</w:t>
      </w:r>
      <w:r w:rsidRPr="00B04FE1">
        <w:tab/>
      </w:r>
      <w:r>
        <w:t>Распространено на немецком языке Центральной комиссией судоходства по Рейну под условным обозначением CCNR-ZKR/ADN/WP.15/AC.2/2023/1.</w:t>
      </w:r>
    </w:p>
  </w:footnote>
  <w:footnote w:id="2">
    <w:p w14:paraId="1147EE2F" w14:textId="77777777" w:rsidR="00C72470" w:rsidRPr="00D06DF5" w:rsidRDefault="00C72470" w:rsidP="00C72470">
      <w:pPr>
        <w:pStyle w:val="ad"/>
        <w:rPr>
          <w:sz w:val="16"/>
          <w:szCs w:val="16"/>
        </w:rPr>
      </w:pPr>
      <w:r>
        <w:tab/>
      </w:r>
      <w:r w:rsidRPr="00B04FE1">
        <w:t>**</w:t>
      </w:r>
      <w:r>
        <w:tab/>
        <w:t>A/76/6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5E0A" w14:textId="79318461" w:rsidR="00C72470" w:rsidRPr="00C72470" w:rsidRDefault="00C72470">
    <w:pPr>
      <w:pStyle w:val="a5"/>
    </w:pPr>
    <w:fldSimple w:instr=" TITLE  \* MERGEFORMAT ">
      <w:r w:rsidR="00B07F88">
        <w:t>ECE/TRANS/WP.15/AC.2/2023/1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633B" w14:textId="3D72C23E" w:rsidR="00C72470" w:rsidRPr="00C72470" w:rsidRDefault="00C72470" w:rsidP="00C72470">
    <w:pPr>
      <w:pStyle w:val="a5"/>
      <w:jc w:val="right"/>
    </w:pPr>
    <w:fldSimple w:instr=" TITLE  \* MERGEFORMAT ">
      <w:r w:rsidR="00B07F88">
        <w:t>ECE/TRANS/WP.15/AC.2/2023/1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3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5CCD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4FE1"/>
    <w:rsid w:val="00B07F88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2470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6831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ACB2C"/>
  <w15:docId w15:val="{F15C5F3B-241B-4FE2-B85B-98D1E6A2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C72470"/>
    <w:rPr>
      <w:lang w:val="ru-RU" w:eastAsia="en-US"/>
    </w:rPr>
  </w:style>
  <w:style w:type="character" w:customStyle="1" w:styleId="HChGChar">
    <w:name w:val="_ H _Ch_G Char"/>
    <w:link w:val="HChG"/>
    <w:rsid w:val="00C72470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96B98F-C286-463C-96C0-C223F99878D4}"/>
</file>

<file path=customXml/itemProps2.xml><?xml version="1.0" encoding="utf-8"?>
<ds:datastoreItem xmlns:ds="http://schemas.openxmlformats.org/officeDocument/2006/customXml" ds:itemID="{C5E0D726-3005-4B42-B9A0-2E4DA1DB9EE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5</Pages>
  <Words>1499</Words>
  <Characters>9072</Characters>
  <Application>Microsoft Office Word</Application>
  <DocSecurity>0</DocSecurity>
  <Lines>198</Lines>
  <Paragraphs>72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ECE/TRANS/WP.15/AC.2/2023/1</vt:lpstr>
      <vt:lpstr>A/</vt:lpstr>
      <vt:lpstr>A/</vt:lpstr>
    </vt:vector>
  </TitlesOfParts>
  <Company>DCM</Company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ECE/TRANS/WP.15/AC.2/2023/1</dc:title>
  <dc:subject/>
  <dc:creator>Anna BLAGODATSKIKH</dc:creator>
  <cp:keywords/>
  <cp:lastModifiedBy>Anna Blagodatskikh</cp:lastModifiedBy>
  <cp:revision>3</cp:revision>
  <cp:lastPrinted>2022-11-18T08:52:00Z</cp:lastPrinted>
  <dcterms:created xsi:type="dcterms:W3CDTF">2022-11-18T08:52:00Z</dcterms:created>
  <dcterms:modified xsi:type="dcterms:W3CDTF">2022-11-18T08:54:00Z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