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5DCE8DA" w14:textId="77777777" w:rsidTr="005316B0">
        <w:trPr>
          <w:trHeight w:hRule="exact" w:val="851"/>
        </w:trPr>
        <w:tc>
          <w:tcPr>
            <w:tcW w:w="1276" w:type="dxa"/>
            <w:tcBorders>
              <w:bottom w:val="single" w:sz="4" w:space="0" w:color="auto"/>
            </w:tcBorders>
          </w:tcPr>
          <w:p w14:paraId="7E3211A7" w14:textId="77777777" w:rsidR="001433FD" w:rsidRPr="00DB58B5" w:rsidRDefault="001433FD" w:rsidP="0001207F"/>
        </w:tc>
        <w:tc>
          <w:tcPr>
            <w:tcW w:w="2268" w:type="dxa"/>
            <w:tcBorders>
              <w:bottom w:val="single" w:sz="4" w:space="0" w:color="auto"/>
            </w:tcBorders>
            <w:vAlign w:val="bottom"/>
          </w:tcPr>
          <w:p w14:paraId="61DC258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99BC62" w14:textId="63AB0903" w:rsidR="001433FD" w:rsidRPr="004F4BE1" w:rsidRDefault="004F4BE1" w:rsidP="004F4BE1">
            <w:pPr>
              <w:jc w:val="right"/>
            </w:pPr>
            <w:r w:rsidRPr="004F4BE1">
              <w:rPr>
                <w:sz w:val="40"/>
              </w:rPr>
              <w:t>ECE</w:t>
            </w:r>
            <w:r>
              <w:t>/TRANS/WP.15/AC.2/2023/1</w:t>
            </w:r>
          </w:p>
        </w:tc>
      </w:tr>
      <w:tr w:rsidR="001433FD" w:rsidRPr="00DB58B5" w14:paraId="409991C7" w14:textId="77777777" w:rsidTr="007D3236">
        <w:trPr>
          <w:trHeight w:hRule="exact" w:val="2835"/>
        </w:trPr>
        <w:tc>
          <w:tcPr>
            <w:tcW w:w="1276" w:type="dxa"/>
            <w:tcBorders>
              <w:top w:val="single" w:sz="4" w:space="0" w:color="auto"/>
              <w:bottom w:val="single" w:sz="12" w:space="0" w:color="auto"/>
            </w:tcBorders>
          </w:tcPr>
          <w:p w14:paraId="06DDA03B" w14:textId="77777777" w:rsidR="001433FD" w:rsidRPr="00DB58B5" w:rsidRDefault="001433FD" w:rsidP="007D3236">
            <w:pPr>
              <w:spacing w:before="120"/>
              <w:jc w:val="center"/>
            </w:pPr>
            <w:r>
              <w:rPr>
                <w:noProof/>
                <w:lang w:eastAsia="fr-CH"/>
              </w:rPr>
              <w:drawing>
                <wp:inline distT="0" distB="0" distL="0" distR="0" wp14:anchorId="17EDD130" wp14:editId="197EE4D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58B14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95D354" w14:textId="77777777" w:rsidR="0001207F" w:rsidRDefault="00CD28D4" w:rsidP="00CD28D4">
            <w:pPr>
              <w:spacing w:before="240" w:line="240" w:lineRule="exact"/>
            </w:pPr>
            <w:r>
              <w:t>Distr. générale</w:t>
            </w:r>
          </w:p>
          <w:p w14:paraId="76D8EB98" w14:textId="742E07C1" w:rsidR="00CD28D4" w:rsidRDefault="0038022F" w:rsidP="00CD28D4">
            <w:pPr>
              <w:spacing w:line="240" w:lineRule="exact"/>
            </w:pPr>
            <w:r>
              <w:t>9</w:t>
            </w:r>
            <w:r w:rsidR="00CD28D4">
              <w:t xml:space="preserve"> novembre 2022</w:t>
            </w:r>
          </w:p>
          <w:p w14:paraId="7AD31B41" w14:textId="77777777" w:rsidR="00CD28D4" w:rsidRDefault="00CD28D4" w:rsidP="00CD28D4">
            <w:pPr>
              <w:spacing w:line="240" w:lineRule="exact"/>
            </w:pPr>
          </w:p>
          <w:p w14:paraId="0FC98254" w14:textId="77777777" w:rsidR="00CD28D4" w:rsidRPr="00DB58B5" w:rsidRDefault="00CD28D4" w:rsidP="00CD28D4">
            <w:pPr>
              <w:spacing w:line="240" w:lineRule="exact"/>
            </w:pPr>
            <w:r>
              <w:t>Original : français</w:t>
            </w:r>
          </w:p>
        </w:tc>
      </w:tr>
    </w:tbl>
    <w:p w14:paraId="5E7A6126" w14:textId="77BE8912" w:rsidR="00564657" w:rsidRDefault="00564657" w:rsidP="00CD28D4">
      <w:pPr>
        <w:spacing w:before="120"/>
        <w:rPr>
          <w:b/>
          <w:sz w:val="28"/>
          <w:szCs w:val="28"/>
        </w:rPr>
      </w:pPr>
      <w:r w:rsidRPr="000312C0">
        <w:rPr>
          <w:b/>
          <w:sz w:val="28"/>
          <w:szCs w:val="28"/>
        </w:rPr>
        <w:t>Commission économique pour l</w:t>
      </w:r>
      <w:r w:rsidR="001520A4">
        <w:rPr>
          <w:b/>
          <w:sz w:val="28"/>
          <w:szCs w:val="28"/>
        </w:rPr>
        <w:t>’</w:t>
      </w:r>
      <w:r w:rsidRPr="000312C0">
        <w:rPr>
          <w:b/>
          <w:sz w:val="28"/>
          <w:szCs w:val="28"/>
        </w:rPr>
        <w:t>Europe</w:t>
      </w:r>
    </w:p>
    <w:p w14:paraId="6BB2876E" w14:textId="77777777" w:rsidR="003E21C0" w:rsidRPr="009E01B8" w:rsidRDefault="003E21C0" w:rsidP="003E21C0">
      <w:pPr>
        <w:spacing w:before="120"/>
        <w:rPr>
          <w:sz w:val="28"/>
          <w:szCs w:val="28"/>
        </w:rPr>
      </w:pPr>
      <w:r w:rsidRPr="009E01B8">
        <w:rPr>
          <w:sz w:val="28"/>
          <w:szCs w:val="28"/>
        </w:rPr>
        <w:t>Comité des transports intérieurs</w:t>
      </w:r>
    </w:p>
    <w:p w14:paraId="3B027674" w14:textId="77777777" w:rsidR="003E21C0" w:rsidRPr="009E01B8" w:rsidRDefault="003E21C0" w:rsidP="003E21C0">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688724C4" w14:textId="4CD00941" w:rsidR="003E21C0" w:rsidRPr="004812F5" w:rsidRDefault="003E21C0" w:rsidP="003E21C0">
      <w:pPr>
        <w:spacing w:before="120" w:line="240" w:lineRule="auto"/>
        <w:rPr>
          <w:b/>
        </w:rPr>
      </w:pPr>
      <w:r w:rsidRPr="004812F5">
        <w:rPr>
          <w:b/>
          <w:lang w:val="fr-FR"/>
        </w:rPr>
        <w:t>Réunion commune d</w:t>
      </w:r>
      <w:r w:rsidR="001520A4">
        <w:rPr>
          <w:b/>
          <w:lang w:val="fr-FR"/>
        </w:rPr>
        <w:t>’</w:t>
      </w:r>
      <w:r w:rsidRPr="004812F5">
        <w:rPr>
          <w:b/>
          <w:lang w:val="fr-FR"/>
        </w:rPr>
        <w:t>experts sur le Règlement annexé</w:t>
      </w:r>
      <w:r>
        <w:rPr>
          <w:b/>
          <w:lang w:val="fr-FR"/>
        </w:rPr>
        <w:br/>
      </w:r>
      <w:r w:rsidRPr="004812F5">
        <w:rPr>
          <w:b/>
          <w:lang w:val="fr-FR"/>
        </w:rPr>
        <w:t>à l</w:t>
      </w:r>
      <w:r w:rsidR="001520A4">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1520A4">
        <w:rPr>
          <w:b/>
          <w:bCs/>
          <w:lang w:val="fr-FR"/>
        </w:rPr>
        <w:t>’</w:t>
      </w:r>
      <w:r w:rsidRPr="004812F5">
        <w:rPr>
          <w:b/>
          <w:bCs/>
          <w:lang w:val="fr-FR"/>
        </w:rPr>
        <w:t>ADN)</w:t>
      </w:r>
    </w:p>
    <w:p w14:paraId="239A713C" w14:textId="77777777" w:rsidR="003E21C0" w:rsidRPr="00CC271C" w:rsidRDefault="003E21C0" w:rsidP="003E21C0">
      <w:pPr>
        <w:spacing w:before="120"/>
        <w:rPr>
          <w:b/>
        </w:rPr>
      </w:pPr>
      <w:r w:rsidRPr="004F53D2">
        <w:rPr>
          <w:b/>
        </w:rPr>
        <w:t>Quarante</w:t>
      </w:r>
      <w:r>
        <w:rPr>
          <w:b/>
        </w:rPr>
        <w:t xml:space="preserve"> </w:t>
      </w:r>
      <w:r w:rsidRPr="004F53D2">
        <w:rPr>
          <w:b/>
        </w:rPr>
        <w:t>et</w:t>
      </w:r>
      <w:r>
        <w:rPr>
          <w:b/>
        </w:rPr>
        <w:t xml:space="preserve"> </w:t>
      </w:r>
      <w:r w:rsidRPr="004F53D2">
        <w:rPr>
          <w:b/>
        </w:rPr>
        <w:t>unième</w:t>
      </w:r>
      <w:r w:rsidRPr="00545DEF" w:rsidDel="00545DEF">
        <w:rPr>
          <w:b/>
        </w:rPr>
        <w:t xml:space="preserve"> </w:t>
      </w:r>
      <w:r w:rsidRPr="00CC271C">
        <w:rPr>
          <w:b/>
        </w:rPr>
        <w:t>session</w:t>
      </w:r>
    </w:p>
    <w:p w14:paraId="76F6D233" w14:textId="77777777" w:rsidR="003E21C0" w:rsidRDefault="003E21C0" w:rsidP="003E21C0">
      <w:pPr>
        <w:rPr>
          <w:bCs/>
          <w:lang w:val="fr-FR"/>
        </w:rPr>
      </w:pPr>
      <w:r>
        <w:t xml:space="preserve">Genève, </w:t>
      </w:r>
      <w:r>
        <w:rPr>
          <w:bCs/>
          <w:lang w:val="fr-FR"/>
        </w:rPr>
        <w:t>23-27 janvier 2023</w:t>
      </w:r>
    </w:p>
    <w:p w14:paraId="75EAF2B3" w14:textId="6CC41CC3" w:rsidR="003E21C0" w:rsidRDefault="003E21C0" w:rsidP="003E21C0">
      <w:r>
        <w:t xml:space="preserve">Point </w:t>
      </w:r>
      <w:r w:rsidR="002C5359">
        <w:t>5 b)</w:t>
      </w:r>
      <w:r>
        <w:t xml:space="preserve"> de l</w:t>
      </w:r>
      <w:r w:rsidR="001520A4">
        <w:t>’</w:t>
      </w:r>
      <w:r>
        <w:t>ordre du jour provisoire</w:t>
      </w:r>
    </w:p>
    <w:p w14:paraId="5F3048FA" w14:textId="4639100A" w:rsidR="00645E30" w:rsidRPr="00A31222" w:rsidRDefault="005E4122" w:rsidP="00645E30">
      <w:pPr>
        <w:kinsoku/>
        <w:overflowPunct/>
        <w:autoSpaceDE/>
        <w:autoSpaceDN/>
        <w:adjustRightInd/>
        <w:snapToGrid/>
        <w:rPr>
          <w:b/>
        </w:rPr>
      </w:pPr>
      <w:r w:rsidRPr="00645E30">
        <w:rPr>
          <w:b/>
          <w:lang w:eastAsia="en-US"/>
        </w:rPr>
        <w:t>Propositions</w:t>
      </w:r>
      <w:r w:rsidRPr="00A31222">
        <w:rPr>
          <w:b/>
        </w:rPr>
        <w:t xml:space="preserve"> d</w:t>
      </w:r>
      <w:r w:rsidR="001520A4">
        <w:rPr>
          <w:b/>
        </w:rPr>
        <w:t>’</w:t>
      </w:r>
      <w:r w:rsidRPr="00A31222">
        <w:rPr>
          <w:b/>
        </w:rPr>
        <w:t>amendements au Règlement annexé à l</w:t>
      </w:r>
      <w:r w:rsidR="001520A4">
        <w:rPr>
          <w:b/>
        </w:rPr>
        <w:t>’</w:t>
      </w:r>
      <w:r w:rsidRPr="00A31222">
        <w:rPr>
          <w:b/>
        </w:rPr>
        <w:t xml:space="preserve">ADN : </w:t>
      </w:r>
    </w:p>
    <w:p w14:paraId="6756100C" w14:textId="494E62C7" w:rsidR="003E21C0" w:rsidRPr="00A31222" w:rsidRDefault="005E4122" w:rsidP="00645E30">
      <w:pPr>
        <w:kinsoku/>
        <w:overflowPunct/>
        <w:autoSpaceDE/>
        <w:autoSpaceDN/>
        <w:adjustRightInd/>
        <w:snapToGrid/>
        <w:rPr>
          <w:b/>
        </w:rPr>
      </w:pPr>
      <w:r w:rsidRPr="00A31222">
        <w:rPr>
          <w:b/>
        </w:rPr>
        <w:t>autres propositions</w:t>
      </w:r>
    </w:p>
    <w:p w14:paraId="1F381663" w14:textId="0FA111B0" w:rsidR="00FA3377" w:rsidRPr="00D06DF5" w:rsidRDefault="00CD5A39" w:rsidP="00CD5A39">
      <w:pPr>
        <w:pStyle w:val="HChG"/>
        <w:rPr>
          <w:lang w:val="fr-FR"/>
        </w:rPr>
      </w:pPr>
      <w:r>
        <w:rPr>
          <w:lang w:val="fr-FR"/>
        </w:rPr>
        <w:tab/>
      </w:r>
      <w:r>
        <w:rPr>
          <w:lang w:val="fr-FR"/>
        </w:rPr>
        <w:tab/>
      </w:r>
      <w:r w:rsidR="00FA3377" w:rsidRPr="00D06DF5">
        <w:rPr>
          <w:lang w:val="fr-FR"/>
        </w:rPr>
        <w:t>Propositions du groupe de travail informel « Matières »</w:t>
      </w:r>
    </w:p>
    <w:p w14:paraId="45BF9D52" w14:textId="384CE8E8" w:rsidR="00FA3377" w:rsidRPr="00D06DF5" w:rsidRDefault="00FA3377" w:rsidP="00CD5A39">
      <w:pPr>
        <w:pStyle w:val="H1G"/>
        <w:rPr>
          <w:rFonts w:eastAsia="Calibri"/>
          <w:lang w:val="fr-FR"/>
        </w:rPr>
      </w:pPr>
      <w:r w:rsidRPr="00D06DF5">
        <w:rPr>
          <w:rFonts w:eastAsia="Calibri"/>
          <w:lang w:val="fr-FR"/>
        </w:rPr>
        <w:tab/>
      </w:r>
      <w:r w:rsidRPr="00D06DF5">
        <w:rPr>
          <w:rFonts w:eastAsia="Calibri"/>
          <w:lang w:val="fr-FR"/>
        </w:rPr>
        <w:tab/>
        <w:t>Communication du Gouvernement de l</w:t>
      </w:r>
      <w:r w:rsidR="001520A4">
        <w:rPr>
          <w:rFonts w:eastAsia="Calibri"/>
          <w:lang w:val="fr-FR"/>
        </w:rPr>
        <w:t>’</w:t>
      </w:r>
      <w:r w:rsidRPr="00D06DF5">
        <w:rPr>
          <w:rFonts w:eastAsia="Calibri"/>
          <w:lang w:val="fr-FR"/>
        </w:rPr>
        <w:t>Allemagne</w:t>
      </w:r>
      <w:r w:rsidR="001520A4" w:rsidRPr="001520A4">
        <w:rPr>
          <w:rStyle w:val="Appelnotedebasdep"/>
          <w:rFonts w:eastAsia="Calibri"/>
          <w:b w:val="0"/>
          <w:bCs/>
          <w:sz w:val="20"/>
          <w:vertAlign w:val="baseline"/>
        </w:rPr>
        <w:footnoteReference w:customMarkFollows="1" w:id="2"/>
        <w:t>*</w:t>
      </w:r>
      <w:r w:rsidRPr="001520A4">
        <w:rPr>
          <w:rFonts w:eastAsia="Calibri"/>
          <w:b w:val="0"/>
          <w:bCs/>
          <w:sz w:val="20"/>
          <w:vertAlign w:val="superscript"/>
          <w:lang w:val="fr-FR"/>
        </w:rPr>
        <w:t>,</w:t>
      </w:r>
      <w:r w:rsidRPr="001520A4">
        <w:rPr>
          <w:rFonts w:eastAsia="Calibri"/>
          <w:b w:val="0"/>
          <w:bCs/>
          <w:lang w:val="fr-FR"/>
        </w:rPr>
        <w:t xml:space="preserve"> </w:t>
      </w:r>
      <w:r w:rsidR="001520A4" w:rsidRPr="001520A4">
        <w:rPr>
          <w:rStyle w:val="Appelnotedebasdep"/>
          <w:rFonts w:eastAsia="Calibri"/>
          <w:b w:val="0"/>
          <w:bCs/>
          <w:sz w:val="20"/>
          <w:vertAlign w:val="baseline"/>
        </w:rPr>
        <w:footnoteReference w:customMarkFollows="1" w:id="3"/>
        <w:t>**</w:t>
      </w:r>
    </w:p>
    <w:p w14:paraId="05E9A405" w14:textId="2D86521D" w:rsidR="00FA3377" w:rsidRPr="00D06DF5" w:rsidRDefault="00033780" w:rsidP="00033780">
      <w:pPr>
        <w:pStyle w:val="HChG"/>
        <w:rPr>
          <w:lang w:val="fr-FR"/>
        </w:rPr>
      </w:pPr>
      <w:r>
        <w:rPr>
          <w:lang w:val="fr-FR"/>
        </w:rPr>
        <w:tab/>
      </w:r>
      <w:r>
        <w:rPr>
          <w:lang w:val="fr-FR"/>
        </w:rPr>
        <w:tab/>
      </w:r>
      <w:r w:rsidR="00FA3377" w:rsidRPr="00D06DF5">
        <w:rPr>
          <w:lang w:val="fr-FR"/>
        </w:rPr>
        <w:t>Introduction</w:t>
      </w:r>
    </w:p>
    <w:p w14:paraId="6B95A54C" w14:textId="069B4E28" w:rsidR="00FA3377" w:rsidRPr="00D06DF5" w:rsidRDefault="00FA3377" w:rsidP="00033780">
      <w:pPr>
        <w:pStyle w:val="SingleTxtG"/>
        <w:rPr>
          <w:lang w:val="fr-FR"/>
        </w:rPr>
      </w:pPr>
      <w:r w:rsidRPr="00D06DF5">
        <w:rPr>
          <w:lang w:val="fr-FR"/>
        </w:rPr>
        <w:t>1.</w:t>
      </w:r>
      <w:r w:rsidRPr="00D06DF5">
        <w:rPr>
          <w:lang w:val="fr-FR"/>
        </w:rPr>
        <w:tab/>
        <w:t>La douzième réunion du groupe de travail informel « Matières » s</w:t>
      </w:r>
      <w:r w:rsidR="001520A4">
        <w:rPr>
          <w:lang w:val="fr-FR"/>
        </w:rPr>
        <w:t>’</w:t>
      </w:r>
      <w:r w:rsidRPr="00D06DF5">
        <w:rPr>
          <w:lang w:val="fr-FR"/>
        </w:rPr>
        <w:t>est tenue du 31 mai au 2</w:t>
      </w:r>
      <w:r>
        <w:rPr>
          <w:lang w:val="fr-FR"/>
        </w:rPr>
        <w:t> </w:t>
      </w:r>
      <w:r w:rsidRPr="00D06DF5">
        <w:rPr>
          <w:lang w:val="fr-FR"/>
        </w:rPr>
        <w:t>juin</w:t>
      </w:r>
      <w:r>
        <w:rPr>
          <w:lang w:val="fr-FR"/>
        </w:rPr>
        <w:t> </w:t>
      </w:r>
      <w:r w:rsidRPr="00D06DF5">
        <w:rPr>
          <w:lang w:val="fr-FR"/>
        </w:rPr>
        <w:t>2022. Le compte rendu correspondant a été présenté lors de la quarantième session du Comité de sécurité (</w:t>
      </w:r>
      <w:r w:rsidR="00D86A6F">
        <w:rPr>
          <w:lang w:val="fr-FR"/>
        </w:rPr>
        <w:t>document inform</w:t>
      </w:r>
      <w:r w:rsidR="00DB7790">
        <w:rPr>
          <w:lang w:val="fr-FR"/>
        </w:rPr>
        <w:t>e</w:t>
      </w:r>
      <w:r w:rsidR="00D86A6F">
        <w:t xml:space="preserve">l </w:t>
      </w:r>
      <w:r w:rsidRPr="00D06DF5">
        <w:rPr>
          <w:lang w:val="fr-FR"/>
        </w:rPr>
        <w:t>INF.12).</w:t>
      </w:r>
    </w:p>
    <w:p w14:paraId="1CD9260A" w14:textId="2FB84499" w:rsidR="00FA3377" w:rsidRPr="00D06DF5" w:rsidRDefault="00FA3377" w:rsidP="00033780">
      <w:pPr>
        <w:pStyle w:val="SingleTxtG"/>
        <w:rPr>
          <w:lang w:val="fr-FR"/>
        </w:rPr>
      </w:pPr>
      <w:r w:rsidRPr="00D06DF5">
        <w:rPr>
          <w:lang w:val="fr-FR"/>
        </w:rPr>
        <w:t>2.</w:t>
      </w:r>
      <w:r w:rsidRPr="00D06DF5">
        <w:rPr>
          <w:lang w:val="fr-FR"/>
        </w:rPr>
        <w:tab/>
        <w:t>Les propositions de modification du règlement annexé à l</w:t>
      </w:r>
      <w:r w:rsidR="001520A4">
        <w:rPr>
          <w:lang w:val="fr-FR"/>
        </w:rPr>
        <w:t>’</w:t>
      </w:r>
      <w:r w:rsidRPr="00D06DF5">
        <w:rPr>
          <w:lang w:val="fr-FR"/>
        </w:rPr>
        <w:t>ADN contenues dans le compte rendu du groupe de travail informel « Matières » ont été examinées et approuvées par le Comité de sécurité. La délégation allemande s</w:t>
      </w:r>
      <w:r w:rsidR="001520A4">
        <w:rPr>
          <w:lang w:val="fr-FR"/>
        </w:rPr>
        <w:t>’</w:t>
      </w:r>
      <w:r w:rsidRPr="00D06DF5">
        <w:rPr>
          <w:lang w:val="fr-FR"/>
        </w:rPr>
        <w:t>est chargée de présenter ces propositions au Comité de sécurité dans un document formel pour décision.</w:t>
      </w:r>
    </w:p>
    <w:p w14:paraId="603DD3F7" w14:textId="055C6657" w:rsidR="00FA3377" w:rsidRPr="00D06DF5" w:rsidRDefault="00FA3377" w:rsidP="00033780">
      <w:pPr>
        <w:pStyle w:val="SingleTxtG"/>
        <w:rPr>
          <w:color w:val="000000"/>
          <w:lang w:val="fr-FR"/>
        </w:rPr>
      </w:pPr>
      <w:r w:rsidRPr="00D06DF5">
        <w:rPr>
          <w:color w:val="000000"/>
          <w:lang w:val="fr-FR"/>
        </w:rPr>
        <w:t>3.</w:t>
      </w:r>
      <w:r w:rsidRPr="00D06DF5">
        <w:rPr>
          <w:color w:val="000000"/>
          <w:lang w:val="fr-FR"/>
        </w:rPr>
        <w:tab/>
        <w:t>Sauf indication contraire, les propositions de modification s</w:t>
      </w:r>
      <w:r w:rsidR="001520A4">
        <w:rPr>
          <w:color w:val="000000"/>
          <w:lang w:val="fr-FR"/>
        </w:rPr>
        <w:t>’</w:t>
      </w:r>
      <w:r w:rsidRPr="00D06DF5">
        <w:rPr>
          <w:color w:val="000000"/>
          <w:lang w:val="fr-FR"/>
        </w:rPr>
        <w:t>appliquent aux quatre versions linguistiques.</w:t>
      </w:r>
    </w:p>
    <w:p w14:paraId="7BF06798" w14:textId="61283760" w:rsidR="00FA3377" w:rsidRPr="00D06DF5" w:rsidRDefault="009901A5" w:rsidP="009901A5">
      <w:pPr>
        <w:pStyle w:val="HChG"/>
        <w:rPr>
          <w:lang w:val="fr-FR"/>
        </w:rPr>
      </w:pPr>
      <w:r>
        <w:rPr>
          <w:lang w:val="fr-FR"/>
        </w:rPr>
        <w:lastRenderedPageBreak/>
        <w:tab/>
      </w:r>
      <w:r>
        <w:rPr>
          <w:lang w:val="fr-FR"/>
        </w:rPr>
        <w:tab/>
      </w:r>
      <w:r w:rsidR="00FA3377" w:rsidRPr="00D06DF5">
        <w:rPr>
          <w:lang w:val="fr-FR"/>
        </w:rPr>
        <w:t>Demandes de modifications</w:t>
      </w:r>
    </w:p>
    <w:p w14:paraId="6CF359A6" w14:textId="73349D92" w:rsidR="00FA3377" w:rsidRPr="00D06DF5" w:rsidRDefault="003B441B" w:rsidP="003B441B">
      <w:pPr>
        <w:pStyle w:val="H1G"/>
        <w:rPr>
          <w:lang w:val="fr-FR"/>
        </w:rPr>
      </w:pPr>
      <w:r>
        <w:rPr>
          <w:lang w:val="fr-FR"/>
        </w:rPr>
        <w:tab/>
      </w:r>
      <w:r w:rsidR="00FA3377" w:rsidRPr="00D06DF5">
        <w:rPr>
          <w:lang w:val="fr-FR"/>
        </w:rPr>
        <w:t>I.</w:t>
      </w:r>
      <w:r w:rsidR="00FA3377" w:rsidRPr="00D06DF5">
        <w:rPr>
          <w:lang w:val="fr-FR"/>
        </w:rPr>
        <w:tab/>
        <w:t>Matières dangereuses du point de vue de l</w:t>
      </w:r>
      <w:r w:rsidR="001520A4">
        <w:rPr>
          <w:lang w:val="fr-FR"/>
        </w:rPr>
        <w:t>’</w:t>
      </w:r>
      <w:r w:rsidR="00FA3377" w:rsidRPr="00D06DF5">
        <w:rPr>
          <w:lang w:val="fr-FR"/>
        </w:rPr>
        <w:t>environnement (point d</w:t>
      </w:r>
      <w:r w:rsidR="001520A4">
        <w:rPr>
          <w:lang w:val="fr-FR"/>
        </w:rPr>
        <w:t>’</w:t>
      </w:r>
      <w:r w:rsidR="00FA3377" w:rsidRPr="00D06DF5">
        <w:rPr>
          <w:lang w:val="fr-FR"/>
        </w:rPr>
        <w:t>éclair &gt; à 60</w:t>
      </w:r>
      <w:r w:rsidR="000C1939">
        <w:rPr>
          <w:lang w:val="fr-FR"/>
        </w:rPr>
        <w:t> </w:t>
      </w:r>
      <w:r w:rsidR="00FA3377" w:rsidRPr="00D06DF5">
        <w:rPr>
          <w:lang w:val="fr-FR"/>
        </w:rPr>
        <w:t>ºC et ≤ à 100</w:t>
      </w:r>
      <w:r w:rsidR="00FA3377">
        <w:rPr>
          <w:lang w:val="fr-FR"/>
        </w:rPr>
        <w:t> </w:t>
      </w:r>
      <w:r w:rsidR="00FA3377" w:rsidRPr="00D06DF5">
        <w:rPr>
          <w:lang w:val="fr-FR"/>
        </w:rPr>
        <w:t>ºC), classées sous le N</w:t>
      </w:r>
      <w:r w:rsidR="0090275E">
        <w:rPr>
          <w:lang w:val="fr-FR"/>
        </w:rPr>
        <w:t>o</w:t>
      </w:r>
      <w:r w:rsidR="00FA3377" w:rsidRPr="00D06DF5">
        <w:rPr>
          <w:lang w:val="fr-FR"/>
        </w:rPr>
        <w:t xml:space="preserve"> ONU</w:t>
      </w:r>
      <w:r w:rsidR="0090275E">
        <w:rPr>
          <w:lang w:val="fr-FR"/>
        </w:rPr>
        <w:t> </w:t>
      </w:r>
      <w:r w:rsidR="00FA3377" w:rsidRPr="00D06DF5">
        <w:rPr>
          <w:lang w:val="fr-FR"/>
        </w:rPr>
        <w:t>3082 ou le numéro d</w:t>
      </w:r>
      <w:r w:rsidR="001520A4">
        <w:rPr>
          <w:lang w:val="fr-FR"/>
        </w:rPr>
        <w:t>’</w:t>
      </w:r>
      <w:r w:rsidR="00FA3377" w:rsidRPr="00D06DF5">
        <w:rPr>
          <w:lang w:val="fr-FR"/>
        </w:rPr>
        <w:t>identification de la matière 9003</w:t>
      </w:r>
    </w:p>
    <w:p w14:paraId="309DFCC6" w14:textId="5CC78356" w:rsidR="00FA3377" w:rsidRDefault="00FA3377" w:rsidP="000C1939">
      <w:pPr>
        <w:pStyle w:val="SingleTxtG"/>
        <w:rPr>
          <w:lang w:val="fr-FR"/>
        </w:rPr>
      </w:pPr>
      <w:r w:rsidRPr="00D06DF5">
        <w:rPr>
          <w:lang w:val="fr-FR"/>
        </w:rPr>
        <w:t>4.</w:t>
      </w:r>
      <w:r w:rsidRPr="00D06DF5">
        <w:rPr>
          <w:lang w:val="fr-FR"/>
        </w:rPr>
        <w:tab/>
        <w:t>Il s</w:t>
      </w:r>
      <w:r w:rsidR="001520A4">
        <w:rPr>
          <w:lang w:val="fr-FR"/>
        </w:rPr>
        <w:t>’</w:t>
      </w:r>
      <w:r w:rsidRPr="00D06DF5">
        <w:rPr>
          <w:lang w:val="fr-FR"/>
        </w:rPr>
        <w:t>agit de clarifier le fait que le numéro ONU 3082 doit être considéré en priorité par rapport au numéro d</w:t>
      </w:r>
      <w:r w:rsidR="001520A4">
        <w:rPr>
          <w:lang w:val="fr-FR"/>
        </w:rPr>
        <w:t>’</w:t>
      </w:r>
      <w:r w:rsidRPr="00D06DF5">
        <w:rPr>
          <w:lang w:val="fr-FR"/>
        </w:rPr>
        <w:t>identification de la matière 9003 spécifique à l</w:t>
      </w:r>
      <w:r w:rsidR="001520A4">
        <w:rPr>
          <w:lang w:val="fr-FR"/>
        </w:rPr>
        <w:t>’</w:t>
      </w:r>
      <w:r w:rsidRPr="00D06DF5">
        <w:rPr>
          <w:lang w:val="fr-FR"/>
        </w:rPr>
        <w:t>ADN et de garantir que l</w:t>
      </w:r>
      <w:r w:rsidR="001520A4">
        <w:rPr>
          <w:lang w:val="fr-FR"/>
        </w:rPr>
        <w:t>’</w:t>
      </w:r>
      <w:r w:rsidRPr="00D06DF5">
        <w:rPr>
          <w:lang w:val="fr-FR"/>
        </w:rPr>
        <w:t>information relative au point d</w:t>
      </w:r>
      <w:r w:rsidR="001520A4">
        <w:rPr>
          <w:lang w:val="fr-FR"/>
        </w:rPr>
        <w:t>’</w:t>
      </w:r>
      <w:r w:rsidRPr="00D06DF5">
        <w:rPr>
          <w:lang w:val="fr-FR"/>
        </w:rPr>
        <w:t>éclair des matières transportées ne soit pas perdue. À cet effet, il est proposé d</w:t>
      </w:r>
      <w:r w:rsidR="001520A4">
        <w:rPr>
          <w:lang w:val="fr-FR"/>
        </w:rPr>
        <w:t>’</w:t>
      </w:r>
      <w:r w:rsidRPr="00D06DF5">
        <w:rPr>
          <w:lang w:val="fr-FR"/>
        </w:rPr>
        <w:t>ajouter une nouvelle observation dans la colonne (20) du tableau C, afin d</w:t>
      </w:r>
      <w:r w:rsidR="001520A4">
        <w:rPr>
          <w:lang w:val="fr-FR"/>
        </w:rPr>
        <w:t>’</w:t>
      </w:r>
      <w:r w:rsidRPr="00D06DF5">
        <w:rPr>
          <w:lang w:val="fr-FR"/>
        </w:rPr>
        <w:t>attirer l</w:t>
      </w:r>
      <w:r w:rsidR="001520A4">
        <w:rPr>
          <w:lang w:val="fr-FR"/>
        </w:rPr>
        <w:t>’</w:t>
      </w:r>
      <w:r w:rsidRPr="00D06DF5">
        <w:rPr>
          <w:lang w:val="fr-FR"/>
        </w:rPr>
        <w:t>attention sur la possibilité d</w:t>
      </w:r>
      <w:r w:rsidR="001520A4">
        <w:rPr>
          <w:lang w:val="fr-FR"/>
        </w:rPr>
        <w:t>’</w:t>
      </w:r>
      <w:r w:rsidRPr="00D06DF5">
        <w:rPr>
          <w:lang w:val="fr-FR"/>
        </w:rPr>
        <w:t>un faible point d</w:t>
      </w:r>
      <w:r w:rsidR="001520A4">
        <w:rPr>
          <w:lang w:val="fr-FR"/>
        </w:rPr>
        <w:t>’</w:t>
      </w:r>
      <w:r w:rsidRPr="00D06DF5">
        <w:rPr>
          <w:lang w:val="fr-FR"/>
        </w:rPr>
        <w:t>éclair. En conséquence de cette modification, le danger « N1 » doit être supprimé dans la colonne (5) du tableau C pour l</w:t>
      </w:r>
      <w:r w:rsidR="001520A4">
        <w:rPr>
          <w:lang w:val="fr-FR"/>
        </w:rPr>
        <w:t>’</w:t>
      </w:r>
      <w:r w:rsidRPr="00D06DF5">
        <w:rPr>
          <w:lang w:val="fr-FR"/>
        </w:rPr>
        <w:t>entrée générale du numéro d</w:t>
      </w:r>
      <w:r w:rsidR="001520A4">
        <w:rPr>
          <w:lang w:val="fr-FR"/>
        </w:rPr>
        <w:t>’</w:t>
      </w:r>
      <w:r w:rsidRPr="00D06DF5">
        <w:rPr>
          <w:lang w:val="fr-FR"/>
        </w:rPr>
        <w:t>identification de la matière 9003, étant donné que l</w:t>
      </w:r>
      <w:r w:rsidR="001520A4">
        <w:rPr>
          <w:lang w:val="fr-FR"/>
        </w:rPr>
        <w:t>’</w:t>
      </w:r>
      <w:r w:rsidRPr="00D06DF5">
        <w:rPr>
          <w:lang w:val="fr-FR"/>
        </w:rPr>
        <w:t>observation des critères pour « N1 » impliquerait obligatoirement l</w:t>
      </w:r>
      <w:r w:rsidR="001520A4">
        <w:rPr>
          <w:lang w:val="fr-FR"/>
        </w:rPr>
        <w:t>’</w:t>
      </w:r>
      <w:r w:rsidRPr="00D06DF5">
        <w:rPr>
          <w:lang w:val="fr-FR"/>
        </w:rPr>
        <w:t>affectation au numéro ONU 3082.</w:t>
      </w:r>
    </w:p>
    <w:p w14:paraId="06E38D58" w14:textId="7BC059A5" w:rsidR="00064009" w:rsidRPr="001A7CCB" w:rsidRDefault="00064009" w:rsidP="000C1939">
      <w:pPr>
        <w:pStyle w:val="SingleTxtG"/>
        <w:rPr>
          <w:b/>
          <w:bCs/>
          <w:u w:val="single"/>
          <w:lang w:val="fr-FR"/>
        </w:rPr>
      </w:pPr>
      <w:r w:rsidRPr="001A7CCB">
        <w:rPr>
          <w:b/>
          <w:bCs/>
          <w:u w:val="single"/>
          <w:lang w:val="fr-FR"/>
        </w:rPr>
        <w:t>Proposi</w:t>
      </w:r>
      <w:r w:rsidR="00196912" w:rsidRPr="001A7CCB">
        <w:rPr>
          <w:b/>
          <w:bCs/>
          <w:u w:val="single"/>
          <w:lang w:val="fr-FR"/>
        </w:rPr>
        <w:t>tion</w:t>
      </w:r>
      <w:r w:rsidR="001A7CCB" w:rsidRPr="001A7CCB">
        <w:rPr>
          <w:b/>
          <w:bCs/>
          <w:u w:val="single"/>
          <w:lang w:val="fr-FR"/>
        </w:rPr>
        <w:t>:</w:t>
      </w:r>
    </w:p>
    <w:p w14:paraId="1294902E" w14:textId="77777777" w:rsidR="00FA3377" w:rsidRPr="00D06DF5" w:rsidRDefault="00FA3377" w:rsidP="00064009">
      <w:pPr>
        <w:pStyle w:val="SingleTxtG"/>
        <w:rPr>
          <w:lang w:val="fr-FR"/>
        </w:rPr>
      </w:pPr>
      <w:r w:rsidRPr="00D06DF5">
        <w:rPr>
          <w:lang w:val="fr-FR"/>
        </w:rPr>
        <w:t>5.</w:t>
      </w:r>
      <w:r w:rsidRPr="00D06DF5">
        <w:rPr>
          <w:lang w:val="fr-FR"/>
        </w:rPr>
        <w:tab/>
        <w:t>Dans la sous-section 3.2.3.1, Explications concernant le tableau C, ajouter la nouvelle observation suivante pour la colonne (20) :</w:t>
      </w:r>
    </w:p>
    <w:p w14:paraId="1271A02D" w14:textId="2A49D378" w:rsidR="00FA3377" w:rsidRPr="00D06DF5" w:rsidRDefault="00FA3377" w:rsidP="00064009">
      <w:pPr>
        <w:pStyle w:val="SingleTxtG"/>
        <w:rPr>
          <w:lang w:val="fr-FR"/>
        </w:rPr>
      </w:pPr>
      <w:r w:rsidRPr="00D06DF5">
        <w:rPr>
          <w:lang w:val="fr-FR"/>
        </w:rPr>
        <w:t>« xx</w:t>
      </w:r>
      <w:r w:rsidRPr="00D06DF5">
        <w:rPr>
          <w:lang w:val="fr-FR"/>
        </w:rPr>
        <w:tab/>
        <w:t>Le point d</w:t>
      </w:r>
      <w:r w:rsidR="001520A4">
        <w:rPr>
          <w:lang w:val="fr-FR"/>
        </w:rPr>
        <w:t>’</w:t>
      </w:r>
      <w:r w:rsidRPr="00D06DF5">
        <w:rPr>
          <w:lang w:val="fr-FR"/>
        </w:rPr>
        <w:t>éclair des matières transportées peut varier entre 60</w:t>
      </w:r>
      <w:r w:rsidR="00A448AF">
        <w:rPr>
          <w:lang w:val="fr-FR"/>
        </w:rPr>
        <w:t> </w:t>
      </w:r>
      <w:r w:rsidRPr="00D06DF5">
        <w:rPr>
          <w:lang w:val="fr-FR"/>
        </w:rPr>
        <w:t>°C et 100</w:t>
      </w:r>
      <w:r w:rsidR="00A448AF">
        <w:rPr>
          <w:lang w:val="fr-FR"/>
        </w:rPr>
        <w:t> </w:t>
      </w:r>
      <w:r w:rsidRPr="00D06DF5">
        <w:rPr>
          <w:lang w:val="fr-FR"/>
        </w:rPr>
        <w:t>°C. »</w:t>
      </w:r>
    </w:p>
    <w:p w14:paraId="143647DC" w14:textId="77777777" w:rsidR="00FA3377" w:rsidRPr="00D06DF5" w:rsidRDefault="00FA3377" w:rsidP="00064009">
      <w:pPr>
        <w:pStyle w:val="SingleTxtG"/>
        <w:rPr>
          <w:lang w:val="fr-FR"/>
        </w:rPr>
      </w:pPr>
      <w:r w:rsidRPr="00D06DF5">
        <w:rPr>
          <w:lang w:val="fr-FR"/>
        </w:rPr>
        <w:t>6.</w:t>
      </w:r>
      <w:r w:rsidRPr="00D06DF5">
        <w:rPr>
          <w:lang w:val="fr-FR"/>
        </w:rPr>
        <w:tab/>
        <w:t>Aux sous-sections 3.2.3.3 et 3.2.4.3, pour la colonne (20), ajouter :</w:t>
      </w:r>
    </w:p>
    <w:p w14:paraId="2D03EE62" w14:textId="0EE417C8" w:rsidR="00FA3377" w:rsidRPr="00D06DF5" w:rsidRDefault="00FA3377" w:rsidP="002F679F">
      <w:pPr>
        <w:pStyle w:val="SingleTxtG"/>
        <w:ind w:left="2835" w:hanging="1701"/>
        <w:rPr>
          <w:lang w:val="fr-FR"/>
        </w:rPr>
      </w:pPr>
      <w:r w:rsidRPr="00D06DF5">
        <w:rPr>
          <w:lang w:val="fr-FR"/>
        </w:rPr>
        <w:t>« Observation xx:</w:t>
      </w:r>
      <w:r w:rsidRPr="00D06DF5">
        <w:rPr>
          <w:lang w:val="fr-FR"/>
        </w:rPr>
        <w:tab/>
        <w:t>L</w:t>
      </w:r>
      <w:r w:rsidR="001520A4">
        <w:rPr>
          <w:lang w:val="fr-FR"/>
        </w:rPr>
        <w:t>’</w:t>
      </w:r>
      <w:r w:rsidRPr="00D06DF5">
        <w:rPr>
          <w:lang w:val="fr-FR"/>
        </w:rPr>
        <w:t>observation xx doit être mentionnée dans la colonne (20) pour le transport du N</w:t>
      </w:r>
      <w:r w:rsidR="0074594E">
        <w:rPr>
          <w:lang w:val="fr-FR"/>
        </w:rPr>
        <w:t>o </w:t>
      </w:r>
      <w:r w:rsidRPr="00D06DF5">
        <w:rPr>
          <w:lang w:val="fr-FR"/>
        </w:rPr>
        <w:t>ONU 3082 MATIÈRE DANGEREUSE DU POINT DE VUE DE L</w:t>
      </w:r>
      <w:r w:rsidR="001520A4">
        <w:rPr>
          <w:lang w:val="fr-FR"/>
        </w:rPr>
        <w:t>’</w:t>
      </w:r>
      <w:r w:rsidRPr="00D06DF5">
        <w:rPr>
          <w:lang w:val="fr-FR"/>
        </w:rPr>
        <w:t>ENVIRONNEMENT, LIQUIDE, N.S.A. (HUILE DE CHAUFFE LOURDE). »</w:t>
      </w:r>
    </w:p>
    <w:p w14:paraId="2B00E035" w14:textId="5126BD04" w:rsidR="00FA3377" w:rsidRPr="00D06DF5" w:rsidRDefault="00FA3377" w:rsidP="006E6BB8">
      <w:pPr>
        <w:pStyle w:val="SingleTxtG"/>
        <w:rPr>
          <w:lang w:val="fr-FR"/>
        </w:rPr>
      </w:pPr>
      <w:r w:rsidRPr="00D06DF5">
        <w:rPr>
          <w:lang w:val="fr-FR"/>
        </w:rPr>
        <w:t>7.</w:t>
      </w:r>
      <w:r w:rsidRPr="00D06DF5">
        <w:rPr>
          <w:lang w:val="fr-FR"/>
        </w:rPr>
        <w:tab/>
        <w:t>Dans la sous-section 3.2.3.2, tableau C, entrée pour le numéro d</w:t>
      </w:r>
      <w:r w:rsidR="001520A4">
        <w:rPr>
          <w:lang w:val="fr-FR"/>
        </w:rPr>
        <w:t>’</w:t>
      </w:r>
      <w:r w:rsidRPr="00D06DF5">
        <w:rPr>
          <w:lang w:val="fr-FR"/>
        </w:rPr>
        <w:t>identification de la matière 9003 « MATIÈRES DONT LE POINT D</w:t>
      </w:r>
      <w:r w:rsidR="001520A4">
        <w:rPr>
          <w:lang w:val="fr-FR"/>
        </w:rPr>
        <w:t>’</w:t>
      </w:r>
      <w:r w:rsidRPr="00D06DF5">
        <w:rPr>
          <w:lang w:val="fr-FR"/>
        </w:rPr>
        <w:t>ÉCLAIR EST SUPÉRIEUR À 60</w:t>
      </w:r>
      <w:r w:rsidR="002F679F">
        <w:rPr>
          <w:lang w:val="fr-FR"/>
        </w:rPr>
        <w:t> </w:t>
      </w:r>
      <w:r w:rsidRPr="00D06DF5">
        <w:rPr>
          <w:lang w:val="fr-FR"/>
        </w:rPr>
        <w:t>°C MAIS INFÉRIEUR OU ÉGAL À 100</w:t>
      </w:r>
      <w:r w:rsidR="0033301C">
        <w:rPr>
          <w:lang w:val="fr-FR"/>
        </w:rPr>
        <w:t> </w:t>
      </w:r>
      <w:r w:rsidRPr="00D06DF5">
        <w:rPr>
          <w:lang w:val="fr-FR"/>
        </w:rPr>
        <w:t>°C qui ne sont pas affectées à une autre classe »,</w:t>
      </w:r>
      <w:r w:rsidR="006E6BB8">
        <w:rPr>
          <w:lang w:val="fr-FR"/>
        </w:rPr>
        <w:t xml:space="preserve"> </w:t>
      </w:r>
      <w:r w:rsidRPr="00D06DF5">
        <w:rPr>
          <w:lang w:val="fr-FR"/>
        </w:rPr>
        <w:t>dans la colonne (5), supprimer le danger « N1 ».</w:t>
      </w:r>
    </w:p>
    <w:p w14:paraId="2C7F60A4" w14:textId="357F1686" w:rsidR="00FA3377" w:rsidRPr="00D06DF5" w:rsidRDefault="006E6BB8" w:rsidP="006E6BB8">
      <w:pPr>
        <w:pStyle w:val="H1G"/>
        <w:rPr>
          <w:lang w:val="fr-FR"/>
        </w:rPr>
      </w:pPr>
      <w:r>
        <w:rPr>
          <w:lang w:val="fr-FR"/>
        </w:rPr>
        <w:tab/>
      </w:r>
      <w:r w:rsidR="00FA3377" w:rsidRPr="00D06DF5">
        <w:rPr>
          <w:lang w:val="fr-FR"/>
        </w:rPr>
        <w:t>II.</w:t>
      </w:r>
      <w:r w:rsidR="00FA3377" w:rsidRPr="00D06DF5">
        <w:rPr>
          <w:lang w:val="fr-FR"/>
        </w:rPr>
        <w:tab/>
        <w:t>Matières ne présentant pas de propriétés dangereuses autres qu</w:t>
      </w:r>
      <w:r w:rsidR="001520A4">
        <w:rPr>
          <w:lang w:val="fr-FR"/>
        </w:rPr>
        <w:t>’</w:t>
      </w:r>
      <w:r w:rsidR="00FA3377" w:rsidRPr="00D06DF5">
        <w:rPr>
          <w:lang w:val="fr-FR"/>
        </w:rPr>
        <w:t>une température d</w:t>
      </w:r>
      <w:r w:rsidR="001520A4">
        <w:rPr>
          <w:lang w:val="fr-FR"/>
        </w:rPr>
        <w:t>’</w:t>
      </w:r>
      <w:r w:rsidR="00FA3377" w:rsidRPr="00D06DF5">
        <w:rPr>
          <w:lang w:val="fr-FR"/>
        </w:rPr>
        <w:t>auto-inflammation ≤ 200</w:t>
      </w:r>
      <w:r>
        <w:rPr>
          <w:lang w:val="fr-FR"/>
        </w:rPr>
        <w:t> </w:t>
      </w:r>
      <w:r w:rsidR="00FA3377" w:rsidRPr="00D06DF5">
        <w:rPr>
          <w:lang w:val="fr-FR"/>
        </w:rPr>
        <w:t>°C</w:t>
      </w:r>
    </w:p>
    <w:p w14:paraId="1D72CE51" w14:textId="0DECF605" w:rsidR="00FA3377" w:rsidRPr="00D06DF5" w:rsidRDefault="00FA3377" w:rsidP="0005792F">
      <w:pPr>
        <w:pStyle w:val="SingleTxtG"/>
        <w:rPr>
          <w:lang w:val="fr-FR"/>
        </w:rPr>
      </w:pPr>
      <w:r w:rsidRPr="00D06DF5">
        <w:rPr>
          <w:lang w:val="fr-FR"/>
        </w:rPr>
        <w:t>8.</w:t>
      </w:r>
      <w:r w:rsidRPr="00D06DF5">
        <w:rPr>
          <w:lang w:val="fr-FR"/>
        </w:rPr>
        <w:tab/>
        <w:t>Avec une application rigoureuse du diagramme de décision du 3.2.3.3, dans le premier encadré concernant les matières qui n</w:t>
      </w:r>
      <w:r w:rsidR="001520A4">
        <w:rPr>
          <w:lang w:val="fr-FR"/>
        </w:rPr>
        <w:t>’</w:t>
      </w:r>
      <w:r w:rsidRPr="00D06DF5">
        <w:rPr>
          <w:lang w:val="fr-FR"/>
        </w:rPr>
        <w:t>ont pas d</w:t>
      </w:r>
      <w:r w:rsidR="001520A4">
        <w:rPr>
          <w:lang w:val="fr-FR"/>
        </w:rPr>
        <w:t>’</w:t>
      </w:r>
      <w:r w:rsidRPr="00D06DF5">
        <w:rPr>
          <w:lang w:val="fr-FR"/>
        </w:rPr>
        <w:t>autres propriétés dangereuses qu</w:t>
      </w:r>
      <w:r w:rsidR="001520A4">
        <w:rPr>
          <w:lang w:val="fr-FR"/>
        </w:rPr>
        <w:t>’</w:t>
      </w:r>
      <w:r w:rsidRPr="00D06DF5">
        <w:rPr>
          <w:lang w:val="fr-FR"/>
        </w:rPr>
        <w:t>une température d</w:t>
      </w:r>
      <w:r w:rsidR="001520A4">
        <w:rPr>
          <w:lang w:val="fr-FR"/>
        </w:rPr>
        <w:t>’</w:t>
      </w:r>
      <w:r w:rsidRPr="00D06DF5">
        <w:rPr>
          <w:lang w:val="fr-FR"/>
        </w:rPr>
        <w:t>inflammation de ≤ 200</w:t>
      </w:r>
      <w:r w:rsidR="00F46EE1">
        <w:rPr>
          <w:lang w:val="fr-FR"/>
        </w:rPr>
        <w:t> </w:t>
      </w:r>
      <w:r w:rsidRPr="00D06DF5">
        <w:rPr>
          <w:lang w:val="fr-FR"/>
        </w:rPr>
        <w:t>°C, on aboutit à la conclusion que celles-ci doivent être considérée comme étant des marchandises non dangereuses. Cela n</w:t>
      </w:r>
      <w:r w:rsidR="001520A4">
        <w:rPr>
          <w:lang w:val="fr-FR"/>
        </w:rPr>
        <w:t>’</w:t>
      </w:r>
      <w:r w:rsidRPr="00D06DF5">
        <w:rPr>
          <w:lang w:val="fr-FR"/>
        </w:rPr>
        <w:t>est pas justifié du point de vue de la sécurité.</w:t>
      </w:r>
    </w:p>
    <w:p w14:paraId="377D7CB8" w14:textId="7D884699" w:rsidR="00FA3377" w:rsidRPr="00D06DF5" w:rsidRDefault="00FA3377" w:rsidP="0005792F">
      <w:pPr>
        <w:pStyle w:val="SingleTxtG"/>
        <w:rPr>
          <w:b/>
          <w:u w:val="single"/>
          <w:lang w:val="fr-FR"/>
        </w:rPr>
      </w:pPr>
      <w:bookmarkStart w:id="0" w:name="_Hlk105745953"/>
      <w:r w:rsidRPr="00D06DF5">
        <w:rPr>
          <w:b/>
          <w:u w:val="single"/>
          <w:lang w:val="fr-FR"/>
        </w:rPr>
        <w:t>Proposition:</w:t>
      </w:r>
    </w:p>
    <w:bookmarkEnd w:id="0"/>
    <w:p w14:paraId="5E8D4DA5" w14:textId="2708F54E" w:rsidR="00983348" w:rsidRDefault="00FA3377" w:rsidP="00B56AFE">
      <w:pPr>
        <w:pStyle w:val="SingleTxtG"/>
        <w:rPr>
          <w:lang w:val="fr-FR"/>
        </w:rPr>
      </w:pPr>
      <w:r w:rsidRPr="00D06DF5">
        <w:rPr>
          <w:lang w:val="fr-FR"/>
        </w:rPr>
        <w:t>9.</w:t>
      </w:r>
      <w:r w:rsidRPr="00D06DF5">
        <w:rPr>
          <w:lang w:val="fr-FR"/>
        </w:rPr>
        <w:tab/>
        <w:t>Dans le diagramme de décision de la sous-section 3.2.3.3, dans le premier encadré</w:t>
      </w:r>
      <w:r w:rsidR="00B56AFE">
        <w:rPr>
          <w:lang w:val="fr-FR"/>
        </w:rPr>
        <w:t xml:space="preserve"> </w:t>
      </w:r>
      <w:r w:rsidRPr="00D06DF5">
        <w:rPr>
          <w:lang w:val="fr-FR"/>
        </w:rPr>
        <w:t>après le deuxième point, insérer le point supplémentaire</w:t>
      </w:r>
      <w:r w:rsidR="00983348">
        <w:rPr>
          <w:lang w:val="fr-FR"/>
        </w:rPr>
        <w:t>:</w:t>
      </w:r>
    </w:p>
    <w:p w14:paraId="1CB4B91A" w14:textId="5919B785" w:rsidR="00FA3377" w:rsidRPr="00D06DF5" w:rsidRDefault="00FA3377" w:rsidP="00B56AFE">
      <w:pPr>
        <w:pStyle w:val="SingleTxtG"/>
        <w:rPr>
          <w:lang w:val="fr-FR"/>
        </w:rPr>
      </w:pPr>
      <w:r w:rsidRPr="00D06DF5">
        <w:rPr>
          <w:lang w:val="fr-FR"/>
        </w:rPr>
        <w:t>« ●</w:t>
      </w:r>
      <w:r w:rsidR="00C86901">
        <w:rPr>
          <w:lang w:val="fr-FR"/>
        </w:rPr>
        <w:tab/>
      </w:r>
      <w:r w:rsidRPr="00D06DF5">
        <w:rPr>
          <w:lang w:val="fr-FR"/>
        </w:rPr>
        <w:t>Température d</w:t>
      </w:r>
      <w:r w:rsidR="001520A4">
        <w:rPr>
          <w:lang w:val="fr-FR"/>
        </w:rPr>
        <w:t>’</w:t>
      </w:r>
      <w:r w:rsidRPr="00D06DF5">
        <w:rPr>
          <w:lang w:val="fr-FR"/>
        </w:rPr>
        <w:t>auto-inflammation ≤ 200</w:t>
      </w:r>
      <w:r w:rsidR="00772090">
        <w:rPr>
          <w:lang w:val="fr-FR"/>
        </w:rPr>
        <w:t> </w:t>
      </w:r>
      <w:r w:rsidRPr="00D06DF5">
        <w:rPr>
          <w:lang w:val="fr-FR"/>
        </w:rPr>
        <w:t>°C, ».</w:t>
      </w:r>
    </w:p>
    <w:p w14:paraId="7A62C423" w14:textId="631643F2" w:rsidR="00FA3377" w:rsidRPr="00D06DF5" w:rsidRDefault="0005792F" w:rsidP="0005792F">
      <w:pPr>
        <w:pStyle w:val="H1G"/>
        <w:rPr>
          <w:lang w:val="fr-FR"/>
        </w:rPr>
      </w:pPr>
      <w:r>
        <w:rPr>
          <w:lang w:val="fr-FR"/>
        </w:rPr>
        <w:tab/>
      </w:r>
      <w:r w:rsidR="00FA3377" w:rsidRPr="00D06DF5">
        <w:rPr>
          <w:lang w:val="fr-FR"/>
        </w:rPr>
        <w:t>III.</w:t>
      </w:r>
      <w:r w:rsidR="00FA3377" w:rsidRPr="00D06DF5">
        <w:rPr>
          <w:lang w:val="fr-FR"/>
        </w:rPr>
        <w:tab/>
        <w:t xml:space="preserve">Observations 44 manquante pour </w:t>
      </w:r>
      <w:bookmarkStart w:id="1" w:name="_Hlk116048903"/>
      <w:r w:rsidR="00FA3377">
        <w:rPr>
          <w:lang w:val="fr-FR"/>
        </w:rPr>
        <w:t>N</w:t>
      </w:r>
      <w:bookmarkEnd w:id="1"/>
      <w:r w:rsidR="00772090">
        <w:rPr>
          <w:lang w:val="fr-FR"/>
        </w:rPr>
        <w:t>o</w:t>
      </w:r>
      <w:r w:rsidR="00E27CC8">
        <w:rPr>
          <w:lang w:val="fr-FR"/>
        </w:rPr>
        <w:t> </w:t>
      </w:r>
      <w:r w:rsidR="00FA3377">
        <w:rPr>
          <w:lang w:val="fr-FR"/>
        </w:rPr>
        <w:t>ONU</w:t>
      </w:r>
      <w:r w:rsidR="00FA3377" w:rsidRPr="00D06DF5">
        <w:rPr>
          <w:lang w:val="fr-FR"/>
        </w:rPr>
        <w:t xml:space="preserve"> 2924 et observation 34 manquante pour </w:t>
      </w:r>
      <w:r w:rsidR="00FA3377">
        <w:rPr>
          <w:lang w:val="fr-FR"/>
        </w:rPr>
        <w:t>N</w:t>
      </w:r>
      <w:r w:rsidR="00E27CC8">
        <w:rPr>
          <w:lang w:val="fr-FR"/>
        </w:rPr>
        <w:t>o </w:t>
      </w:r>
      <w:r w:rsidR="00FA3377" w:rsidRPr="00D06DF5">
        <w:rPr>
          <w:lang w:val="fr-FR"/>
        </w:rPr>
        <w:t xml:space="preserve">ONU 1764 et </w:t>
      </w:r>
      <w:r w:rsidR="00FA3377">
        <w:rPr>
          <w:lang w:val="fr-FR"/>
        </w:rPr>
        <w:t>N</w:t>
      </w:r>
      <w:r w:rsidR="001B3315">
        <w:rPr>
          <w:lang w:val="fr-FR"/>
        </w:rPr>
        <w:t>o </w:t>
      </w:r>
      <w:r w:rsidR="00FA3377" w:rsidRPr="00D06DF5">
        <w:rPr>
          <w:lang w:val="fr-FR"/>
        </w:rPr>
        <w:t>ONU 2430</w:t>
      </w:r>
    </w:p>
    <w:p w14:paraId="64C8AD2B" w14:textId="1090B1D4" w:rsidR="00FA3377" w:rsidRPr="00D06DF5" w:rsidRDefault="00FA3377" w:rsidP="001619AD">
      <w:pPr>
        <w:pStyle w:val="SingleTxtG"/>
        <w:rPr>
          <w:lang w:val="fr-FR"/>
        </w:rPr>
      </w:pPr>
      <w:r w:rsidRPr="00D06DF5">
        <w:rPr>
          <w:lang w:val="fr-FR"/>
        </w:rPr>
        <w:t>10.</w:t>
      </w:r>
      <w:r w:rsidRPr="00D06DF5">
        <w:rPr>
          <w:lang w:val="fr-FR"/>
        </w:rPr>
        <w:tab/>
        <w:t xml:space="preserve">Pour la deuxième </w:t>
      </w:r>
      <w:r w:rsidRPr="001C22E3">
        <w:rPr>
          <w:lang w:val="fr-FR"/>
        </w:rPr>
        <w:t xml:space="preserve">entrée </w:t>
      </w:r>
      <w:r w:rsidRPr="0038022F">
        <w:rPr>
          <w:lang w:val="fr-FR"/>
        </w:rPr>
        <w:t>N</w:t>
      </w:r>
      <w:r w:rsidR="001B3315" w:rsidRPr="0038022F">
        <w:rPr>
          <w:lang w:val="fr-FR"/>
        </w:rPr>
        <w:t>o</w:t>
      </w:r>
      <w:r w:rsidR="001B3315">
        <w:rPr>
          <w:b/>
          <w:lang w:val="fr-FR"/>
        </w:rPr>
        <w:t> </w:t>
      </w:r>
      <w:r w:rsidRPr="00D06DF5">
        <w:rPr>
          <w:lang w:val="fr-FR"/>
        </w:rPr>
        <w:t>ONU</w:t>
      </w:r>
      <w:r w:rsidR="001B3315">
        <w:rPr>
          <w:lang w:val="fr-FR"/>
        </w:rPr>
        <w:t> </w:t>
      </w:r>
      <w:r w:rsidRPr="00D06DF5">
        <w:rPr>
          <w:lang w:val="fr-FR"/>
        </w:rPr>
        <w:t>2924 « LIQUIDE INFLAMMABLE, CORROSIF, N.S.A. », groupe d</w:t>
      </w:r>
      <w:r w:rsidR="001520A4">
        <w:rPr>
          <w:lang w:val="fr-FR"/>
        </w:rPr>
        <w:t>’</w:t>
      </w:r>
      <w:r w:rsidRPr="00D06DF5">
        <w:rPr>
          <w:lang w:val="fr-FR"/>
        </w:rPr>
        <w:t>emballage III, pour laquelle le sous-groupe d</w:t>
      </w:r>
      <w:r w:rsidR="001520A4">
        <w:rPr>
          <w:lang w:val="fr-FR"/>
        </w:rPr>
        <w:t>’</w:t>
      </w:r>
      <w:r w:rsidRPr="00D06DF5">
        <w:rPr>
          <w:lang w:val="fr-FR"/>
        </w:rPr>
        <w:t xml:space="preserve">explosion </w:t>
      </w:r>
      <w:r>
        <w:rPr>
          <w:lang w:val="fr-FR"/>
        </w:rPr>
        <w:t>« </w:t>
      </w:r>
      <w:r w:rsidRPr="00D06DF5">
        <w:rPr>
          <w:lang w:val="fr-FR"/>
        </w:rPr>
        <w:t>(II</w:t>
      </w:r>
      <w:r w:rsidR="001B3315">
        <w:rPr>
          <w:lang w:val="fr-FR"/>
        </w:rPr>
        <w:t> </w:t>
      </w:r>
      <w:r w:rsidRPr="00D06DF5">
        <w:rPr>
          <w:lang w:val="fr-FR"/>
        </w:rPr>
        <w:t>B3)</w:t>
      </w:r>
      <w:r>
        <w:rPr>
          <w:lang w:val="fr-FR"/>
        </w:rPr>
        <w:t> »</w:t>
      </w:r>
      <w:r w:rsidRPr="00D06DF5">
        <w:rPr>
          <w:lang w:val="fr-FR"/>
        </w:rPr>
        <w:t xml:space="preserve"> est indiqué dans la colonne (16), il manque l</w:t>
      </w:r>
      <w:r w:rsidR="001520A4">
        <w:rPr>
          <w:lang w:val="fr-FR"/>
        </w:rPr>
        <w:t>’</w:t>
      </w:r>
      <w:r w:rsidRPr="00D06DF5">
        <w:rPr>
          <w:lang w:val="fr-FR"/>
        </w:rPr>
        <w:t>observation 44 dans la colonne (20). En outre, pour les deux entrées du groupe d</w:t>
      </w:r>
      <w:r w:rsidR="001520A4">
        <w:rPr>
          <w:lang w:val="fr-FR"/>
        </w:rPr>
        <w:t>’</w:t>
      </w:r>
      <w:r w:rsidRPr="00D06DF5">
        <w:rPr>
          <w:lang w:val="fr-FR"/>
        </w:rPr>
        <w:t xml:space="preserve">emballage III </w:t>
      </w:r>
      <w:r w:rsidRPr="001C22E3">
        <w:rPr>
          <w:lang w:val="fr-FR"/>
        </w:rPr>
        <w:t xml:space="preserve">du </w:t>
      </w:r>
      <w:r w:rsidRPr="0038022F">
        <w:rPr>
          <w:lang w:val="fr-FR"/>
        </w:rPr>
        <w:t>N</w:t>
      </w:r>
      <w:r w:rsidR="001B3315" w:rsidRPr="0038022F">
        <w:rPr>
          <w:lang w:val="fr-FR"/>
        </w:rPr>
        <w:t>o</w:t>
      </w:r>
      <w:r w:rsidR="00FE6508" w:rsidRPr="0038022F">
        <w:rPr>
          <w:lang w:val="fr-FR"/>
        </w:rPr>
        <w:t> </w:t>
      </w:r>
      <w:r w:rsidRPr="001C22E3">
        <w:rPr>
          <w:lang w:val="fr-FR"/>
        </w:rPr>
        <w:t>ONU</w:t>
      </w:r>
      <w:r w:rsidR="00FE6508">
        <w:rPr>
          <w:lang w:val="fr-FR"/>
        </w:rPr>
        <w:t> </w:t>
      </w:r>
      <w:r w:rsidRPr="00D06DF5">
        <w:rPr>
          <w:lang w:val="fr-FR"/>
        </w:rPr>
        <w:t>2924, figure dans la colonne (20) l</w:t>
      </w:r>
      <w:r w:rsidR="001520A4">
        <w:rPr>
          <w:lang w:val="fr-FR"/>
        </w:rPr>
        <w:t>’</w:t>
      </w:r>
      <w:r w:rsidRPr="00D06DF5">
        <w:rPr>
          <w:lang w:val="fr-FR"/>
        </w:rPr>
        <w:t>observation, qui est exclusivement attribuée aux matières de la classe 8.</w:t>
      </w:r>
    </w:p>
    <w:p w14:paraId="2BDBE569" w14:textId="0C4CA456" w:rsidR="00FA3377" w:rsidRPr="00D06DF5" w:rsidRDefault="00FA3377" w:rsidP="001619AD">
      <w:pPr>
        <w:pStyle w:val="SingleTxtG"/>
        <w:rPr>
          <w:lang w:val="fr-FR"/>
        </w:rPr>
      </w:pPr>
      <w:r w:rsidRPr="00D06DF5">
        <w:rPr>
          <w:lang w:val="fr-FR"/>
        </w:rPr>
        <w:lastRenderedPageBreak/>
        <w:t>11.</w:t>
      </w:r>
      <w:r w:rsidRPr="00D06DF5">
        <w:rPr>
          <w:lang w:val="fr-FR"/>
        </w:rPr>
        <w:tab/>
        <w:t xml:space="preserve">Pour les deux entrées </w:t>
      </w:r>
      <w:r w:rsidRPr="0038022F">
        <w:rPr>
          <w:bCs/>
          <w:lang w:val="fr-FR"/>
        </w:rPr>
        <w:t>N</w:t>
      </w:r>
      <w:r w:rsidR="001C22E3" w:rsidRPr="0038022F">
        <w:rPr>
          <w:bCs/>
          <w:lang w:val="fr-FR"/>
        </w:rPr>
        <w:t>o</w:t>
      </w:r>
      <w:r w:rsidR="00137EDA">
        <w:rPr>
          <w:b/>
          <w:lang w:val="fr-FR"/>
        </w:rPr>
        <w:t> </w:t>
      </w:r>
      <w:r w:rsidRPr="00D06DF5">
        <w:rPr>
          <w:lang w:val="fr-FR"/>
        </w:rPr>
        <w:t>ONU</w:t>
      </w:r>
      <w:r w:rsidR="00137EDA">
        <w:rPr>
          <w:lang w:val="fr-FR"/>
        </w:rPr>
        <w:t> </w:t>
      </w:r>
      <w:r w:rsidRPr="00D06DF5">
        <w:rPr>
          <w:lang w:val="fr-FR"/>
        </w:rPr>
        <w:t>2430 « ALKYLPHÉNOLS SOLIDES N.S.A. (NONYLPHÉNOL, MÉLANGE D</w:t>
      </w:r>
      <w:r w:rsidR="001520A4">
        <w:rPr>
          <w:lang w:val="fr-FR"/>
        </w:rPr>
        <w:t>’</w:t>
      </w:r>
      <w:r w:rsidRPr="00D06DF5">
        <w:rPr>
          <w:lang w:val="fr-FR"/>
        </w:rPr>
        <w:t>ISOMÈRES, FONDU) », il manque l</w:t>
      </w:r>
      <w:r w:rsidR="001520A4">
        <w:rPr>
          <w:lang w:val="fr-FR"/>
        </w:rPr>
        <w:t>’</w:t>
      </w:r>
      <w:r w:rsidRPr="00D06DF5">
        <w:rPr>
          <w:lang w:val="fr-FR"/>
        </w:rPr>
        <w:t>observation 34 dans la colonne 20.</w:t>
      </w:r>
    </w:p>
    <w:p w14:paraId="5214D521" w14:textId="677B54F5" w:rsidR="00FA3377" w:rsidRPr="00D06DF5" w:rsidRDefault="00FA3377" w:rsidP="001619AD">
      <w:pPr>
        <w:pStyle w:val="SingleTxtG"/>
        <w:rPr>
          <w:b/>
          <w:u w:val="single"/>
          <w:lang w:val="fr-FR"/>
        </w:rPr>
      </w:pPr>
      <w:r w:rsidRPr="00D06DF5">
        <w:rPr>
          <w:b/>
          <w:u w:val="single"/>
          <w:lang w:val="fr-FR"/>
        </w:rPr>
        <w:t>Propositions:</w:t>
      </w:r>
    </w:p>
    <w:p w14:paraId="11738B4A" w14:textId="5C655F12" w:rsidR="00FA3377" w:rsidRPr="00D06DF5" w:rsidRDefault="00FA3377" w:rsidP="007E15EF">
      <w:pPr>
        <w:pStyle w:val="SingleTxtG"/>
        <w:rPr>
          <w:lang w:val="fr-FR"/>
        </w:rPr>
      </w:pPr>
      <w:r w:rsidRPr="00D06DF5">
        <w:rPr>
          <w:lang w:val="fr-FR"/>
        </w:rPr>
        <w:t>12.</w:t>
      </w:r>
      <w:r w:rsidRPr="00D06DF5">
        <w:rPr>
          <w:lang w:val="fr-FR"/>
        </w:rPr>
        <w:tab/>
        <w:t xml:space="preserve">Dans la sous-section 3.2.3.2, tableau C, première entrée pour </w:t>
      </w:r>
      <w:r w:rsidRPr="0038022F">
        <w:rPr>
          <w:bCs/>
          <w:lang w:val="fr-FR"/>
        </w:rPr>
        <w:t>N</w:t>
      </w:r>
      <w:r w:rsidR="00E60BBB" w:rsidRPr="0038022F">
        <w:rPr>
          <w:bCs/>
          <w:lang w:val="fr-FR"/>
        </w:rPr>
        <w:t>o</w:t>
      </w:r>
      <w:r w:rsidR="00137EDA">
        <w:rPr>
          <w:b/>
          <w:lang w:val="fr-FR"/>
        </w:rPr>
        <w:t> </w:t>
      </w:r>
      <w:r w:rsidRPr="00D06DF5">
        <w:rPr>
          <w:lang w:val="fr-FR"/>
        </w:rPr>
        <w:t>ONU</w:t>
      </w:r>
      <w:r w:rsidR="00137EDA">
        <w:rPr>
          <w:lang w:val="fr-FR"/>
        </w:rPr>
        <w:t> </w:t>
      </w:r>
      <w:r w:rsidRPr="00D06DF5">
        <w:rPr>
          <w:lang w:val="fr-FR"/>
        </w:rPr>
        <w:t>2924 « LIQUIDE INFLAMMABLE, CORROSIF, N.S.A. », groupe d</w:t>
      </w:r>
      <w:r w:rsidR="001520A4">
        <w:rPr>
          <w:lang w:val="fr-FR"/>
        </w:rPr>
        <w:t>’</w:t>
      </w:r>
      <w:r w:rsidRPr="00D06DF5">
        <w:rPr>
          <w:lang w:val="fr-FR"/>
        </w:rPr>
        <w:t>emballage III (sans « II</w:t>
      </w:r>
      <w:r w:rsidR="007E15EF">
        <w:rPr>
          <w:lang w:val="fr-FR"/>
        </w:rPr>
        <w:t> </w:t>
      </w:r>
      <w:r w:rsidRPr="00D06DF5">
        <w:rPr>
          <w:lang w:val="fr-FR"/>
        </w:rPr>
        <w:t>B3 »),</w:t>
      </w:r>
      <w:r w:rsidR="007E15EF">
        <w:rPr>
          <w:lang w:val="fr-FR"/>
        </w:rPr>
        <w:t xml:space="preserve"> </w:t>
      </w:r>
      <w:r w:rsidRPr="00D06DF5">
        <w:rPr>
          <w:lang w:val="fr-FR"/>
        </w:rPr>
        <w:t>supprimer « ; 34 » dans la colonne (20).</w:t>
      </w:r>
    </w:p>
    <w:p w14:paraId="54031DE3" w14:textId="03913EEA" w:rsidR="00FA3377" w:rsidRPr="00D06DF5" w:rsidRDefault="00FA3377" w:rsidP="007E15EF">
      <w:pPr>
        <w:pStyle w:val="SingleTxtG"/>
        <w:rPr>
          <w:lang w:val="fr-FR"/>
        </w:rPr>
      </w:pPr>
      <w:r w:rsidRPr="00D06DF5">
        <w:rPr>
          <w:lang w:val="fr-FR"/>
        </w:rPr>
        <w:t>13.</w:t>
      </w:r>
      <w:r w:rsidRPr="00D06DF5">
        <w:rPr>
          <w:lang w:val="fr-FR"/>
        </w:rPr>
        <w:tab/>
        <w:t xml:space="preserve">Dans la sous-section 3.2.3.2, tableau C, deuxième entrée pour </w:t>
      </w:r>
      <w:r w:rsidRPr="0038022F">
        <w:rPr>
          <w:bCs/>
          <w:lang w:val="fr-FR"/>
        </w:rPr>
        <w:t>N</w:t>
      </w:r>
      <w:r w:rsidR="00137EDA" w:rsidRPr="0038022F">
        <w:rPr>
          <w:bCs/>
          <w:lang w:val="fr-FR"/>
        </w:rPr>
        <w:t>o</w:t>
      </w:r>
      <w:r w:rsidR="00137EDA">
        <w:rPr>
          <w:b/>
          <w:lang w:val="fr-FR"/>
        </w:rPr>
        <w:t> </w:t>
      </w:r>
      <w:r w:rsidRPr="00D06DF5">
        <w:rPr>
          <w:lang w:val="fr-FR"/>
        </w:rPr>
        <w:t>ONU</w:t>
      </w:r>
      <w:r w:rsidR="00137EDA">
        <w:rPr>
          <w:lang w:val="fr-FR"/>
        </w:rPr>
        <w:t> </w:t>
      </w:r>
      <w:r w:rsidRPr="00D06DF5">
        <w:rPr>
          <w:lang w:val="fr-FR"/>
        </w:rPr>
        <w:t>2924 « LIQUIDE INFLAMMABLE, CORROSIF, N.S.A. », groupe d</w:t>
      </w:r>
      <w:r w:rsidR="001520A4">
        <w:rPr>
          <w:lang w:val="fr-FR"/>
        </w:rPr>
        <w:t>’</w:t>
      </w:r>
      <w:r w:rsidRPr="00D06DF5">
        <w:rPr>
          <w:lang w:val="fr-FR"/>
        </w:rPr>
        <w:t>emballage III (avec « II</w:t>
      </w:r>
      <w:r w:rsidR="007E15EF">
        <w:rPr>
          <w:lang w:val="fr-FR"/>
        </w:rPr>
        <w:t> </w:t>
      </w:r>
      <w:r w:rsidRPr="00D06DF5">
        <w:rPr>
          <w:lang w:val="fr-FR"/>
        </w:rPr>
        <w:t>B3 »),</w:t>
      </w:r>
      <w:r w:rsidR="009C47B1">
        <w:rPr>
          <w:lang w:val="fr-FR"/>
        </w:rPr>
        <w:t xml:space="preserve"> </w:t>
      </w:r>
      <w:r w:rsidRPr="00D06DF5">
        <w:rPr>
          <w:lang w:val="fr-FR"/>
        </w:rPr>
        <w:t>remplacer « ; 34 » par « ; 44 » dans la colonne (20).</w:t>
      </w:r>
    </w:p>
    <w:p w14:paraId="3F99A72F" w14:textId="59A9A804" w:rsidR="00FA3377" w:rsidRPr="00D06DF5" w:rsidRDefault="00FA3377" w:rsidP="000B4A5A">
      <w:pPr>
        <w:pStyle w:val="SingleTxtG"/>
        <w:rPr>
          <w:lang w:val="fr-FR"/>
        </w:rPr>
      </w:pPr>
      <w:r w:rsidRPr="00D06DF5">
        <w:rPr>
          <w:lang w:val="fr-FR"/>
        </w:rPr>
        <w:t>14.</w:t>
      </w:r>
      <w:r w:rsidRPr="00D06DF5">
        <w:rPr>
          <w:lang w:val="fr-FR"/>
        </w:rPr>
        <w:tab/>
      </w:r>
      <w:bookmarkStart w:id="2" w:name="_Hlk114203376"/>
      <w:r w:rsidRPr="00D06DF5">
        <w:rPr>
          <w:lang w:val="fr-FR"/>
        </w:rPr>
        <w:t xml:space="preserve">Dans la sous-section 3.2.3.2, tableau C, pour </w:t>
      </w:r>
      <w:r w:rsidRPr="0038022F">
        <w:rPr>
          <w:bCs/>
          <w:lang w:val="fr-FR"/>
        </w:rPr>
        <w:t>N</w:t>
      </w:r>
      <w:r w:rsidR="00756D4D" w:rsidRPr="0038022F">
        <w:rPr>
          <w:bCs/>
          <w:lang w:val="fr-FR"/>
        </w:rPr>
        <w:t>o</w:t>
      </w:r>
      <w:r w:rsidR="00756D4D">
        <w:rPr>
          <w:b/>
          <w:lang w:val="fr-FR"/>
        </w:rPr>
        <w:t> </w:t>
      </w:r>
      <w:r w:rsidRPr="00D06DF5">
        <w:rPr>
          <w:lang w:val="fr-FR"/>
        </w:rPr>
        <w:t>ONU</w:t>
      </w:r>
      <w:r w:rsidR="00756D4D">
        <w:rPr>
          <w:lang w:val="fr-FR"/>
        </w:rPr>
        <w:t> </w:t>
      </w:r>
      <w:r w:rsidRPr="00D06DF5">
        <w:rPr>
          <w:lang w:val="fr-FR"/>
        </w:rPr>
        <w:t xml:space="preserve">1764 « ACIDE DICHLOROACETIQUE » et pour </w:t>
      </w:r>
      <w:r w:rsidRPr="0038022F">
        <w:rPr>
          <w:bCs/>
          <w:lang w:val="fr-FR"/>
        </w:rPr>
        <w:t>N</w:t>
      </w:r>
      <w:r w:rsidR="00756D4D" w:rsidRPr="0038022F">
        <w:rPr>
          <w:bCs/>
          <w:lang w:val="fr-FR"/>
        </w:rPr>
        <w:t>o</w:t>
      </w:r>
      <w:r w:rsidR="003606ED">
        <w:rPr>
          <w:b/>
          <w:lang w:val="fr-FR"/>
        </w:rPr>
        <w:t> </w:t>
      </w:r>
      <w:r w:rsidRPr="00D06DF5">
        <w:rPr>
          <w:lang w:val="fr-FR"/>
        </w:rPr>
        <w:t>ONU</w:t>
      </w:r>
      <w:r w:rsidR="003606ED">
        <w:rPr>
          <w:lang w:val="fr-FR"/>
        </w:rPr>
        <w:t> </w:t>
      </w:r>
      <w:r w:rsidRPr="00D06DF5">
        <w:rPr>
          <w:lang w:val="fr-FR"/>
        </w:rPr>
        <w:t>2430 « ALKYLPHENOLS, SOLIDES, N.S.A. (NONYLPHÉNOL, MÉLANGE D</w:t>
      </w:r>
      <w:r w:rsidR="001520A4">
        <w:rPr>
          <w:lang w:val="fr-FR"/>
        </w:rPr>
        <w:t>’</w:t>
      </w:r>
      <w:r w:rsidRPr="00D06DF5">
        <w:rPr>
          <w:lang w:val="fr-FR"/>
        </w:rPr>
        <w:t>ISOMÈRES, FONDU) », (aux deux entrées)</w:t>
      </w:r>
      <w:bookmarkEnd w:id="2"/>
      <w:r w:rsidRPr="00D06DF5">
        <w:rPr>
          <w:lang w:val="fr-FR"/>
        </w:rPr>
        <w:t>,</w:t>
      </w:r>
      <w:r w:rsidR="000B4A5A">
        <w:rPr>
          <w:lang w:val="fr-FR"/>
        </w:rPr>
        <w:t xml:space="preserve"> </w:t>
      </w:r>
      <w:r w:rsidRPr="00D06DF5">
        <w:rPr>
          <w:lang w:val="fr-FR"/>
        </w:rPr>
        <w:t>ajouter « ;</w:t>
      </w:r>
      <w:r w:rsidR="00373213">
        <w:rPr>
          <w:lang w:val="fr-FR"/>
        </w:rPr>
        <w:t> </w:t>
      </w:r>
      <w:r w:rsidRPr="00D06DF5">
        <w:rPr>
          <w:lang w:val="fr-FR"/>
        </w:rPr>
        <w:t>34 » dans la colonne (20).</w:t>
      </w:r>
    </w:p>
    <w:p w14:paraId="45C82BDD" w14:textId="00B4DF8C" w:rsidR="00FA3377" w:rsidRPr="00D06DF5" w:rsidRDefault="00373213" w:rsidP="00373213">
      <w:pPr>
        <w:pStyle w:val="H1G"/>
        <w:rPr>
          <w:lang w:val="fr-FR"/>
        </w:rPr>
      </w:pPr>
      <w:r>
        <w:rPr>
          <w:lang w:val="fr-FR"/>
        </w:rPr>
        <w:tab/>
      </w:r>
      <w:r w:rsidR="00FA3377" w:rsidRPr="00D06DF5">
        <w:rPr>
          <w:lang w:val="fr-FR"/>
        </w:rPr>
        <w:t>IV.</w:t>
      </w:r>
      <w:r w:rsidR="00FA3377" w:rsidRPr="00D06DF5">
        <w:rPr>
          <w:lang w:val="fr-FR"/>
        </w:rPr>
        <w:tab/>
        <w:t>Harmonisation des groupes d</w:t>
      </w:r>
      <w:r w:rsidR="001520A4">
        <w:rPr>
          <w:lang w:val="fr-FR"/>
        </w:rPr>
        <w:t>’</w:t>
      </w:r>
      <w:r w:rsidR="00FA3377" w:rsidRPr="00D06DF5">
        <w:rPr>
          <w:lang w:val="fr-FR"/>
        </w:rPr>
        <w:t>explosion entre le Recueil IBC et l</w:t>
      </w:r>
      <w:r w:rsidR="001520A4">
        <w:rPr>
          <w:lang w:val="fr-FR"/>
        </w:rPr>
        <w:t>’</w:t>
      </w:r>
      <w:r w:rsidR="00FA3377" w:rsidRPr="00D06DF5">
        <w:rPr>
          <w:lang w:val="fr-FR"/>
        </w:rPr>
        <w:t>ADN</w:t>
      </w:r>
    </w:p>
    <w:p w14:paraId="764F2358" w14:textId="1E1811B8" w:rsidR="00FA3377" w:rsidRPr="00D06DF5" w:rsidRDefault="00FA3377" w:rsidP="009369DF">
      <w:pPr>
        <w:pStyle w:val="SingleTxtG"/>
        <w:rPr>
          <w:lang w:val="fr-FR"/>
        </w:rPr>
      </w:pPr>
      <w:r w:rsidRPr="00D06DF5">
        <w:rPr>
          <w:lang w:val="fr-FR"/>
        </w:rPr>
        <w:t>15.</w:t>
      </w:r>
      <w:r w:rsidRPr="00D06DF5">
        <w:rPr>
          <w:lang w:val="fr-FR"/>
        </w:rPr>
        <w:tab/>
        <w:t>Sur la base d</w:t>
      </w:r>
      <w:r w:rsidR="001520A4">
        <w:rPr>
          <w:lang w:val="fr-FR"/>
        </w:rPr>
        <w:t>’</w:t>
      </w:r>
      <w:r w:rsidRPr="00D06DF5">
        <w:rPr>
          <w:lang w:val="fr-FR"/>
        </w:rPr>
        <w:t xml:space="preserve">une proposition du </w:t>
      </w:r>
      <w:r w:rsidR="00967F5E" w:rsidRPr="00967F5E">
        <w:rPr>
          <w:lang w:val="fr-FR"/>
        </w:rPr>
        <w:t>Conseil européen de l</w:t>
      </w:r>
      <w:r w:rsidR="001520A4">
        <w:rPr>
          <w:lang w:val="fr-FR"/>
        </w:rPr>
        <w:t>’</w:t>
      </w:r>
      <w:r w:rsidR="00967F5E" w:rsidRPr="00967F5E">
        <w:rPr>
          <w:lang w:val="fr-FR"/>
        </w:rPr>
        <w:t xml:space="preserve">industrie chimique </w:t>
      </w:r>
      <w:r w:rsidR="00967F5E">
        <w:rPr>
          <w:lang w:val="fr-FR"/>
        </w:rPr>
        <w:t>(</w:t>
      </w:r>
      <w:proofErr w:type="spellStart"/>
      <w:r w:rsidRPr="00D06DF5">
        <w:rPr>
          <w:lang w:val="fr-FR"/>
        </w:rPr>
        <w:t>C</w:t>
      </w:r>
      <w:r w:rsidR="00C305DB">
        <w:rPr>
          <w:lang w:val="fr-FR"/>
        </w:rPr>
        <w:t>efic</w:t>
      </w:r>
      <w:proofErr w:type="spellEnd"/>
      <w:r w:rsidR="00967F5E">
        <w:rPr>
          <w:lang w:val="fr-FR"/>
        </w:rPr>
        <w:t>)</w:t>
      </w:r>
      <w:r w:rsidRPr="00D06DF5">
        <w:rPr>
          <w:lang w:val="fr-FR"/>
        </w:rPr>
        <w:t xml:space="preserve"> (</w:t>
      </w:r>
      <w:r w:rsidR="00F136D7" w:rsidRPr="00D06DF5">
        <w:rPr>
          <w:lang w:val="fr-FR"/>
        </w:rPr>
        <w:t xml:space="preserve">document </w:t>
      </w:r>
      <w:r w:rsidR="00F136D7">
        <w:rPr>
          <w:lang w:val="fr-FR"/>
        </w:rPr>
        <w:t xml:space="preserve">informel </w:t>
      </w:r>
      <w:r w:rsidRPr="00D06DF5">
        <w:rPr>
          <w:lang w:val="fr-FR"/>
        </w:rPr>
        <w:t>INF.21</w:t>
      </w:r>
      <w:r w:rsidR="005E5A5A">
        <w:rPr>
          <w:lang w:val="fr-FR"/>
        </w:rPr>
        <w:t xml:space="preserve"> </w:t>
      </w:r>
      <w:r w:rsidR="005E5A5A" w:rsidRPr="00D06DF5">
        <w:rPr>
          <w:lang w:val="fr-FR"/>
        </w:rPr>
        <w:t xml:space="preserve">de la </w:t>
      </w:r>
      <w:r w:rsidR="005E5A5A">
        <w:rPr>
          <w:lang w:val="fr-FR"/>
        </w:rPr>
        <w:t>trente-sixième</w:t>
      </w:r>
      <w:r w:rsidR="005E5A5A" w:rsidRPr="00D06DF5">
        <w:rPr>
          <w:lang w:val="fr-FR"/>
        </w:rPr>
        <w:t xml:space="preserve"> session</w:t>
      </w:r>
      <w:r w:rsidRPr="00D06DF5">
        <w:rPr>
          <w:lang w:val="fr-FR"/>
        </w:rPr>
        <w:t>), il est proposé d</w:t>
      </w:r>
      <w:r w:rsidR="001520A4">
        <w:rPr>
          <w:lang w:val="fr-FR"/>
        </w:rPr>
        <w:t>’</w:t>
      </w:r>
      <w:r w:rsidRPr="00D06DF5">
        <w:rPr>
          <w:lang w:val="fr-FR"/>
        </w:rPr>
        <w:t xml:space="preserve">harmoniser cinq entrées du tableau C avec les indications du </w:t>
      </w:r>
      <w:r w:rsidR="0027632F">
        <w:rPr>
          <w:lang w:val="fr-FR"/>
        </w:rPr>
        <w:t>r</w:t>
      </w:r>
      <w:r w:rsidR="00A26C3F" w:rsidRPr="00A26C3F">
        <w:rPr>
          <w:lang w:val="fr-FR"/>
        </w:rPr>
        <w:t xml:space="preserve">ecueil </w:t>
      </w:r>
      <w:r w:rsidR="0027632F">
        <w:rPr>
          <w:lang w:val="fr-FR"/>
        </w:rPr>
        <w:t>i</w:t>
      </w:r>
      <w:r w:rsidR="00A26C3F" w:rsidRPr="00A26C3F">
        <w:rPr>
          <w:lang w:val="fr-FR"/>
        </w:rPr>
        <w:t>nternational de règles relatives à la construction et à l</w:t>
      </w:r>
      <w:r w:rsidR="001520A4">
        <w:rPr>
          <w:lang w:val="fr-FR"/>
        </w:rPr>
        <w:t>’</w:t>
      </w:r>
      <w:r w:rsidR="00A26C3F" w:rsidRPr="00A26C3F">
        <w:rPr>
          <w:lang w:val="fr-FR"/>
        </w:rPr>
        <w:t>équipement des navires transportant des produits dangereux en vrac</w:t>
      </w:r>
      <w:r w:rsidR="00A26C3F">
        <w:rPr>
          <w:lang w:val="fr-FR"/>
        </w:rPr>
        <w:t xml:space="preserve"> </w:t>
      </w:r>
      <w:r w:rsidR="00AE78E2">
        <w:rPr>
          <w:lang w:val="fr-FR"/>
        </w:rPr>
        <w:t>(</w:t>
      </w:r>
      <w:r w:rsidRPr="00D06DF5">
        <w:rPr>
          <w:lang w:val="fr-FR"/>
        </w:rPr>
        <w:t>recueil IBC</w:t>
      </w:r>
      <w:r w:rsidR="0027632F">
        <w:rPr>
          <w:lang w:val="fr-FR"/>
        </w:rPr>
        <w:t>)</w:t>
      </w:r>
      <w:r w:rsidRPr="00D06DF5">
        <w:rPr>
          <w:lang w:val="fr-FR"/>
        </w:rPr>
        <w:t xml:space="preserve"> relatives au groupe d</w:t>
      </w:r>
      <w:r w:rsidR="001520A4">
        <w:rPr>
          <w:lang w:val="fr-FR"/>
        </w:rPr>
        <w:t>’</w:t>
      </w:r>
      <w:r w:rsidRPr="00D06DF5">
        <w:rPr>
          <w:lang w:val="fr-FR"/>
        </w:rPr>
        <w:t>explosion.</w:t>
      </w:r>
      <w:bookmarkStart w:id="3" w:name="_Hlk114210988"/>
      <w:bookmarkStart w:id="4" w:name="_Hlk107913273"/>
      <w:bookmarkEnd w:id="3"/>
      <w:bookmarkEnd w:id="4"/>
      <w:r w:rsidRPr="00D06DF5">
        <w:rPr>
          <w:lang w:val="fr-FR"/>
        </w:rPr>
        <w:t xml:space="preserve"> Les indications reprises du recueil IBC doivent être complétées par la note de bas de page 9) prévue à cet effet, qui indique qu</w:t>
      </w:r>
      <w:r w:rsidR="001520A4">
        <w:rPr>
          <w:lang w:val="fr-FR"/>
        </w:rPr>
        <w:t>’</w:t>
      </w:r>
      <w:r w:rsidRPr="00D06DF5">
        <w:rPr>
          <w:lang w:val="fr-FR"/>
        </w:rPr>
        <w:t>il s</w:t>
      </w:r>
      <w:r w:rsidR="001520A4">
        <w:rPr>
          <w:lang w:val="fr-FR"/>
        </w:rPr>
        <w:t>’</w:t>
      </w:r>
      <w:r w:rsidRPr="00D06DF5">
        <w:rPr>
          <w:lang w:val="fr-FR"/>
        </w:rPr>
        <w:t>agit d</w:t>
      </w:r>
      <w:r w:rsidR="001520A4">
        <w:rPr>
          <w:lang w:val="fr-FR"/>
        </w:rPr>
        <w:t>’</w:t>
      </w:r>
      <w:r w:rsidRPr="00D06DF5">
        <w:rPr>
          <w:lang w:val="fr-FR"/>
        </w:rPr>
        <w:t>une classification reprise du recueil IBC de l</w:t>
      </w:r>
      <w:r w:rsidR="001520A4">
        <w:rPr>
          <w:lang w:val="fr-FR"/>
        </w:rPr>
        <w:t>’</w:t>
      </w:r>
      <w:r w:rsidR="00F030BB">
        <w:rPr>
          <w:lang w:val="fr-FR"/>
        </w:rPr>
        <w:t>or</w:t>
      </w:r>
      <w:r w:rsidR="00F030BB" w:rsidRPr="00F030BB">
        <w:rPr>
          <w:lang w:val="fr-FR"/>
        </w:rPr>
        <w:t>ganisation maritime internationale</w:t>
      </w:r>
      <w:r w:rsidR="00F030BB">
        <w:rPr>
          <w:lang w:val="fr-FR"/>
        </w:rPr>
        <w:t xml:space="preserve"> (</w:t>
      </w:r>
      <w:r w:rsidRPr="00D06DF5">
        <w:rPr>
          <w:lang w:val="fr-FR"/>
        </w:rPr>
        <w:t>OMI</w:t>
      </w:r>
      <w:r w:rsidR="00F030BB">
        <w:rPr>
          <w:lang w:val="fr-FR"/>
        </w:rPr>
        <w:t>)</w:t>
      </w:r>
      <w:r w:rsidRPr="00D06DF5">
        <w:rPr>
          <w:lang w:val="fr-FR"/>
        </w:rPr>
        <w:t>.</w:t>
      </w:r>
    </w:p>
    <w:p w14:paraId="424EF026" w14:textId="570B897E" w:rsidR="00FA3377" w:rsidRPr="00D06DF5" w:rsidRDefault="00FA3377" w:rsidP="009369DF">
      <w:pPr>
        <w:pStyle w:val="SingleTxtG"/>
        <w:rPr>
          <w:b/>
          <w:u w:val="single"/>
          <w:lang w:val="fr-FR"/>
        </w:rPr>
      </w:pPr>
      <w:r w:rsidRPr="00D06DF5">
        <w:rPr>
          <w:b/>
          <w:u w:val="single"/>
          <w:lang w:val="fr-FR"/>
        </w:rPr>
        <w:t>Proposition:</w:t>
      </w:r>
    </w:p>
    <w:p w14:paraId="185B1E5E" w14:textId="77777777" w:rsidR="00FA3377" w:rsidRPr="00D06DF5" w:rsidRDefault="00FA3377" w:rsidP="009369DF">
      <w:pPr>
        <w:pStyle w:val="SingleTxtG"/>
        <w:rPr>
          <w:bCs/>
          <w:lang w:val="fr-FR"/>
        </w:rPr>
      </w:pPr>
      <w:r w:rsidRPr="00D06DF5">
        <w:rPr>
          <w:bCs/>
          <w:lang w:val="fr-FR"/>
        </w:rPr>
        <w:t>16.</w:t>
      </w:r>
      <w:r w:rsidRPr="00D06DF5">
        <w:rPr>
          <w:bCs/>
          <w:lang w:val="fr-FR"/>
        </w:rPr>
        <w:tab/>
      </w:r>
      <w:bookmarkStart w:id="5" w:name="_Hlk106976351"/>
      <w:r w:rsidRPr="00D06DF5">
        <w:rPr>
          <w:bCs/>
          <w:lang w:val="fr-FR"/>
        </w:rPr>
        <w:t>Dans la sous-section 3.2.3.2, tableau C, pour</w:t>
      </w:r>
    </w:p>
    <w:p w14:paraId="34FEB7F2" w14:textId="01F13820" w:rsidR="00FA3377" w:rsidRPr="005739F0" w:rsidRDefault="00FA3377" w:rsidP="009369DF">
      <w:pPr>
        <w:pStyle w:val="SingleTxtG"/>
        <w:rPr>
          <w:bCs/>
          <w:lang w:val="es-ES"/>
        </w:rPr>
      </w:pPr>
      <w:r w:rsidRPr="00AA6F4F">
        <w:rPr>
          <w:bCs/>
          <w:lang w:val="fr-FR"/>
        </w:rPr>
        <w:tab/>
      </w:r>
      <w:r w:rsidRPr="005739F0">
        <w:rPr>
          <w:bCs/>
          <w:lang w:val="es-ES"/>
        </w:rPr>
        <w:t>N</w:t>
      </w:r>
      <w:r w:rsidR="001016CE" w:rsidRPr="005739F0">
        <w:rPr>
          <w:bCs/>
          <w:lang w:val="es-ES"/>
        </w:rPr>
        <w:t>o </w:t>
      </w:r>
      <w:r w:rsidRPr="005739F0">
        <w:rPr>
          <w:bCs/>
          <w:lang w:val="es-ES"/>
        </w:rPr>
        <w:t>ONU</w:t>
      </w:r>
      <w:r w:rsidR="001016CE" w:rsidRPr="005739F0">
        <w:rPr>
          <w:bCs/>
          <w:lang w:val="es-ES"/>
        </w:rPr>
        <w:t> </w:t>
      </w:r>
      <w:r w:rsidRPr="005739F0">
        <w:rPr>
          <w:bCs/>
          <w:lang w:val="es-ES"/>
        </w:rPr>
        <w:t>1108 « PENTÈNE-1 (n-</w:t>
      </w:r>
      <w:proofErr w:type="spellStart"/>
      <w:r w:rsidRPr="005739F0">
        <w:rPr>
          <w:bCs/>
          <w:lang w:val="es-ES"/>
        </w:rPr>
        <w:t>amylène</w:t>
      </w:r>
      <w:proofErr w:type="spellEnd"/>
      <w:r w:rsidRPr="005739F0">
        <w:rPr>
          <w:bCs/>
          <w:lang w:val="es-ES"/>
        </w:rPr>
        <w:t>) »,</w:t>
      </w:r>
    </w:p>
    <w:p w14:paraId="2AE37DC8" w14:textId="01309E88" w:rsidR="00FA3377" w:rsidRPr="005739F0" w:rsidRDefault="00FA3377" w:rsidP="009369DF">
      <w:pPr>
        <w:pStyle w:val="SingleTxtG"/>
        <w:rPr>
          <w:bCs/>
          <w:lang w:val="es-ES"/>
        </w:rPr>
      </w:pPr>
      <w:r w:rsidRPr="005739F0">
        <w:rPr>
          <w:bCs/>
          <w:lang w:val="es-ES"/>
        </w:rPr>
        <w:tab/>
        <w:t>N</w:t>
      </w:r>
      <w:r w:rsidR="001016CE" w:rsidRPr="005739F0">
        <w:rPr>
          <w:bCs/>
          <w:lang w:val="es-ES"/>
        </w:rPr>
        <w:t>o </w:t>
      </w:r>
      <w:r w:rsidRPr="005739F0">
        <w:rPr>
          <w:bCs/>
          <w:lang w:val="es-ES"/>
        </w:rPr>
        <w:t>ONU</w:t>
      </w:r>
      <w:r w:rsidR="001016CE" w:rsidRPr="005739F0">
        <w:rPr>
          <w:bCs/>
          <w:lang w:val="es-ES"/>
        </w:rPr>
        <w:t> </w:t>
      </w:r>
      <w:r w:rsidRPr="005739F0">
        <w:rPr>
          <w:bCs/>
          <w:lang w:val="es-ES"/>
        </w:rPr>
        <w:t>1157 « DIISOBUTYLCÉTONE »,</w:t>
      </w:r>
    </w:p>
    <w:p w14:paraId="745D2457" w14:textId="6736A806" w:rsidR="00FA3377" w:rsidRPr="00AA6F4F" w:rsidRDefault="00FA3377" w:rsidP="009369DF">
      <w:pPr>
        <w:pStyle w:val="SingleTxtG"/>
        <w:rPr>
          <w:bCs/>
          <w:lang w:val="fr-FR"/>
        </w:rPr>
      </w:pPr>
      <w:r w:rsidRPr="005739F0">
        <w:rPr>
          <w:bCs/>
          <w:lang w:val="es-ES"/>
        </w:rPr>
        <w:tab/>
      </w:r>
      <w:r w:rsidRPr="0038022F">
        <w:rPr>
          <w:bCs/>
          <w:lang w:val="fr-FR"/>
        </w:rPr>
        <w:t>N</w:t>
      </w:r>
      <w:r w:rsidR="00605FE1">
        <w:rPr>
          <w:bCs/>
          <w:lang w:val="fr-FR"/>
        </w:rPr>
        <w:t>o </w:t>
      </w:r>
      <w:r w:rsidRPr="00AA6F4F">
        <w:rPr>
          <w:bCs/>
          <w:lang w:val="fr-FR"/>
        </w:rPr>
        <w:t>ONU</w:t>
      </w:r>
      <w:r w:rsidR="00605FE1">
        <w:rPr>
          <w:bCs/>
          <w:lang w:val="fr-FR"/>
        </w:rPr>
        <w:t> </w:t>
      </w:r>
      <w:r w:rsidRPr="00AA6F4F">
        <w:rPr>
          <w:bCs/>
          <w:lang w:val="fr-FR"/>
        </w:rPr>
        <w:t>2323 « PHOSPHITE DE TRIÉTHYLE »,</w:t>
      </w:r>
    </w:p>
    <w:p w14:paraId="344810C5" w14:textId="26CAE5B6" w:rsidR="00FA3377" w:rsidRPr="00AA6F4F" w:rsidRDefault="00FA3377" w:rsidP="009369DF">
      <w:pPr>
        <w:pStyle w:val="SingleTxtG"/>
        <w:rPr>
          <w:bCs/>
          <w:lang w:val="fr-FR"/>
        </w:rPr>
      </w:pPr>
      <w:r w:rsidRPr="00AA6F4F">
        <w:rPr>
          <w:bCs/>
          <w:lang w:val="fr-FR"/>
        </w:rPr>
        <w:tab/>
      </w:r>
      <w:r w:rsidRPr="0038022F">
        <w:rPr>
          <w:bCs/>
          <w:lang w:val="fr-FR"/>
        </w:rPr>
        <w:t>N</w:t>
      </w:r>
      <w:r w:rsidR="00605FE1">
        <w:rPr>
          <w:bCs/>
          <w:lang w:val="fr-FR"/>
        </w:rPr>
        <w:t>o </w:t>
      </w:r>
      <w:r w:rsidRPr="00AA6F4F">
        <w:rPr>
          <w:bCs/>
          <w:lang w:val="fr-FR"/>
        </w:rPr>
        <w:t>ONU</w:t>
      </w:r>
      <w:r w:rsidR="00605FE1">
        <w:rPr>
          <w:bCs/>
          <w:lang w:val="fr-FR"/>
        </w:rPr>
        <w:t> </w:t>
      </w:r>
      <w:r w:rsidRPr="00AA6F4F">
        <w:rPr>
          <w:bCs/>
          <w:lang w:val="fr-FR"/>
        </w:rPr>
        <w:t>2370 « HEXÈNE-1 » et</w:t>
      </w:r>
    </w:p>
    <w:p w14:paraId="4BB83673" w14:textId="7CE624B5" w:rsidR="00FA3377" w:rsidRPr="00AA6F4F" w:rsidRDefault="00FA3377" w:rsidP="009369DF">
      <w:pPr>
        <w:pStyle w:val="SingleTxtG"/>
        <w:rPr>
          <w:bCs/>
          <w:lang w:val="fr-FR"/>
        </w:rPr>
      </w:pPr>
      <w:r w:rsidRPr="00AA6F4F">
        <w:rPr>
          <w:bCs/>
          <w:lang w:val="fr-FR"/>
        </w:rPr>
        <w:tab/>
      </w:r>
      <w:r w:rsidRPr="0038022F">
        <w:rPr>
          <w:bCs/>
          <w:lang w:val="fr-FR"/>
        </w:rPr>
        <w:t>N</w:t>
      </w:r>
      <w:r w:rsidR="00605FE1">
        <w:rPr>
          <w:bCs/>
          <w:lang w:val="fr-FR"/>
        </w:rPr>
        <w:t>o</w:t>
      </w:r>
      <w:r w:rsidR="00F14DEF">
        <w:rPr>
          <w:bCs/>
          <w:lang w:val="fr-FR"/>
        </w:rPr>
        <w:t> </w:t>
      </w:r>
      <w:r w:rsidRPr="00AA6F4F">
        <w:rPr>
          <w:bCs/>
          <w:lang w:val="fr-FR"/>
        </w:rPr>
        <w:t>ONU</w:t>
      </w:r>
      <w:r w:rsidR="00F14DEF">
        <w:rPr>
          <w:bCs/>
          <w:lang w:val="fr-FR"/>
        </w:rPr>
        <w:t> </w:t>
      </w:r>
      <w:r w:rsidRPr="00AA6F4F">
        <w:rPr>
          <w:bCs/>
          <w:lang w:val="fr-FR"/>
        </w:rPr>
        <w:t>3079 « MÉTHACRYLONITRILE, STABILISÉ »,</w:t>
      </w:r>
    </w:p>
    <w:p w14:paraId="750DAE4B" w14:textId="77777777" w:rsidR="00FA3377" w:rsidRPr="00AA6F4F" w:rsidRDefault="00FA3377" w:rsidP="009369DF">
      <w:pPr>
        <w:pStyle w:val="SingleTxtG"/>
        <w:rPr>
          <w:bCs/>
          <w:lang w:val="fr-FR"/>
        </w:rPr>
      </w:pPr>
      <w:r w:rsidRPr="00AA6F4F">
        <w:rPr>
          <w:bCs/>
          <w:lang w:val="fr-FR"/>
        </w:rPr>
        <w:t xml:space="preserve">remplacer « II B </w:t>
      </w:r>
      <w:r w:rsidRPr="00AA6F4F">
        <w:rPr>
          <w:bCs/>
          <w:vertAlign w:val="superscript"/>
          <w:lang w:val="fr-FR"/>
        </w:rPr>
        <w:t>4)</w:t>
      </w:r>
      <w:r w:rsidRPr="00AA6F4F">
        <w:rPr>
          <w:bCs/>
          <w:lang w:val="fr-FR"/>
        </w:rPr>
        <w:t xml:space="preserve"> » par « II A </w:t>
      </w:r>
      <w:r w:rsidRPr="00AA6F4F">
        <w:rPr>
          <w:bCs/>
          <w:vertAlign w:val="superscript"/>
          <w:lang w:val="fr-FR"/>
        </w:rPr>
        <w:t>9)</w:t>
      </w:r>
      <w:r w:rsidRPr="00AA6F4F">
        <w:rPr>
          <w:bCs/>
          <w:lang w:val="fr-FR"/>
        </w:rPr>
        <w:t> » dans la colonne (16).</w:t>
      </w:r>
    </w:p>
    <w:bookmarkEnd w:id="5"/>
    <w:p w14:paraId="5CD7CF29" w14:textId="7B1F82CB" w:rsidR="00FA3377" w:rsidRPr="00D06DF5" w:rsidRDefault="008F63E3" w:rsidP="008F63E3">
      <w:pPr>
        <w:pStyle w:val="H1G"/>
        <w:rPr>
          <w:lang w:val="fr-FR"/>
        </w:rPr>
      </w:pPr>
      <w:r>
        <w:rPr>
          <w:lang w:val="fr-FR"/>
        </w:rPr>
        <w:tab/>
      </w:r>
      <w:r w:rsidR="00FA3377" w:rsidRPr="00D06DF5">
        <w:rPr>
          <w:lang w:val="fr-FR"/>
        </w:rPr>
        <w:t>V.</w:t>
      </w:r>
      <w:r w:rsidR="00FA3377" w:rsidRPr="00D06DF5">
        <w:rPr>
          <w:lang w:val="fr-FR"/>
        </w:rPr>
        <w:tab/>
        <w:t xml:space="preserve">Dans le tableau C, modification dans la colonne (16) pour </w:t>
      </w:r>
      <w:r w:rsidR="00FA3377">
        <w:rPr>
          <w:lang w:val="fr-FR"/>
        </w:rPr>
        <w:t>N</w:t>
      </w:r>
      <w:r w:rsidR="00FD310F">
        <w:rPr>
          <w:lang w:val="fr-FR"/>
        </w:rPr>
        <w:t>o </w:t>
      </w:r>
      <w:r w:rsidR="00FA3377" w:rsidRPr="00D06DF5">
        <w:rPr>
          <w:lang w:val="fr-FR"/>
        </w:rPr>
        <w:t>ONU</w:t>
      </w:r>
      <w:r w:rsidR="00FD310F">
        <w:rPr>
          <w:lang w:val="fr-FR"/>
        </w:rPr>
        <w:t> </w:t>
      </w:r>
      <w:r w:rsidR="00FA3377" w:rsidRPr="00D06DF5">
        <w:rPr>
          <w:lang w:val="fr-FR"/>
        </w:rPr>
        <w:t>2527</w:t>
      </w:r>
    </w:p>
    <w:p w14:paraId="6D47081F" w14:textId="611663A6" w:rsidR="00FA3377" w:rsidRPr="00D06DF5" w:rsidRDefault="00FA3377" w:rsidP="00371F27">
      <w:pPr>
        <w:pStyle w:val="SingleTxtG"/>
        <w:rPr>
          <w:lang w:val="fr-FR"/>
        </w:rPr>
      </w:pPr>
      <w:r w:rsidRPr="00D06DF5">
        <w:rPr>
          <w:lang w:val="fr-FR"/>
        </w:rPr>
        <w:t>17.</w:t>
      </w:r>
      <w:r w:rsidRPr="00D06DF5">
        <w:rPr>
          <w:lang w:val="fr-FR"/>
        </w:rPr>
        <w:tab/>
        <w:t xml:space="preserve">Compte tenu des indications figurant dans le document </w:t>
      </w:r>
      <w:r w:rsidR="005E37D9">
        <w:rPr>
          <w:lang w:val="fr-FR"/>
        </w:rPr>
        <w:t>informel</w:t>
      </w:r>
      <w:r w:rsidRPr="00D06DF5">
        <w:rPr>
          <w:lang w:val="fr-FR"/>
        </w:rPr>
        <w:t>INF.21</w:t>
      </w:r>
      <w:r w:rsidR="0077793C">
        <w:rPr>
          <w:lang w:val="fr-FR"/>
        </w:rPr>
        <w:t xml:space="preserve"> </w:t>
      </w:r>
      <w:r w:rsidR="0077793C" w:rsidRPr="00D06DF5">
        <w:rPr>
          <w:lang w:val="fr-FR"/>
        </w:rPr>
        <w:t xml:space="preserve">de la </w:t>
      </w:r>
      <w:r w:rsidR="0077793C">
        <w:rPr>
          <w:lang w:val="fr-FR"/>
        </w:rPr>
        <w:t>trente-sixième</w:t>
      </w:r>
      <w:r w:rsidR="0077793C" w:rsidRPr="00D06DF5">
        <w:rPr>
          <w:lang w:val="fr-FR"/>
        </w:rPr>
        <w:t xml:space="preserve"> session</w:t>
      </w:r>
      <w:r w:rsidRPr="00D06DF5">
        <w:rPr>
          <w:lang w:val="fr-FR"/>
        </w:rPr>
        <w:t xml:space="preserve"> du </w:t>
      </w:r>
      <w:proofErr w:type="spellStart"/>
      <w:r w:rsidRPr="00D06DF5">
        <w:rPr>
          <w:lang w:val="fr-FR"/>
        </w:rPr>
        <w:t>C</w:t>
      </w:r>
      <w:r w:rsidR="00C305DB">
        <w:rPr>
          <w:lang w:val="fr-FR"/>
        </w:rPr>
        <w:t>efic</w:t>
      </w:r>
      <w:proofErr w:type="spellEnd"/>
      <w:r w:rsidRPr="00D06DF5">
        <w:rPr>
          <w:lang w:val="fr-FR"/>
        </w:rPr>
        <w:t xml:space="preserve"> à propos des analogies structure-propriété avec les composés substitués de méthyle, éthyle et n-butyle, il est proposé d</w:t>
      </w:r>
      <w:r w:rsidR="001520A4">
        <w:rPr>
          <w:lang w:val="fr-FR"/>
        </w:rPr>
        <w:t>’</w:t>
      </w:r>
      <w:r w:rsidRPr="00D06DF5">
        <w:rPr>
          <w:lang w:val="fr-FR"/>
        </w:rPr>
        <w:t>adapter les indications relatives au groupe d</w:t>
      </w:r>
      <w:r w:rsidR="001520A4">
        <w:rPr>
          <w:lang w:val="fr-FR"/>
        </w:rPr>
        <w:t>’</w:t>
      </w:r>
      <w:r w:rsidRPr="00D06DF5">
        <w:rPr>
          <w:lang w:val="fr-FR"/>
        </w:rPr>
        <w:t xml:space="preserve">explosion pour </w:t>
      </w:r>
      <w:r w:rsidRPr="0077793C">
        <w:rPr>
          <w:lang w:val="fr-FR"/>
        </w:rPr>
        <w:t>l</w:t>
      </w:r>
      <w:r w:rsidR="001520A4">
        <w:rPr>
          <w:lang w:val="fr-FR"/>
        </w:rPr>
        <w:t>’</w:t>
      </w:r>
      <w:r w:rsidRPr="0077793C">
        <w:rPr>
          <w:lang w:val="fr-FR"/>
        </w:rPr>
        <w:t xml:space="preserve">entrée </w:t>
      </w:r>
      <w:r w:rsidRPr="0038022F">
        <w:rPr>
          <w:lang w:val="fr-FR"/>
        </w:rPr>
        <w:t>N</w:t>
      </w:r>
      <w:r w:rsidR="0077793C">
        <w:rPr>
          <w:lang w:val="fr-FR"/>
        </w:rPr>
        <w:t>o</w:t>
      </w:r>
      <w:r w:rsidR="007D147C">
        <w:rPr>
          <w:lang w:val="fr-FR"/>
        </w:rPr>
        <w:t> </w:t>
      </w:r>
      <w:r w:rsidR="0077793C" w:rsidRPr="0077793C">
        <w:rPr>
          <w:lang w:val="fr-FR"/>
        </w:rPr>
        <w:t>ONU</w:t>
      </w:r>
      <w:r w:rsidR="0077793C">
        <w:rPr>
          <w:lang w:val="fr-FR"/>
        </w:rPr>
        <w:t> </w:t>
      </w:r>
      <w:r w:rsidRPr="00D06DF5">
        <w:rPr>
          <w:lang w:val="fr-FR"/>
        </w:rPr>
        <w:t>2527 « ACRYLATE D</w:t>
      </w:r>
      <w:r w:rsidR="001520A4">
        <w:rPr>
          <w:lang w:val="fr-FR"/>
        </w:rPr>
        <w:t>’</w:t>
      </w:r>
      <w:r w:rsidRPr="00D06DF5">
        <w:rPr>
          <w:lang w:val="fr-FR"/>
        </w:rPr>
        <w:t>ISOBUTYLE STABILISÉ ».</w:t>
      </w:r>
    </w:p>
    <w:p w14:paraId="6877EF2B" w14:textId="27F707E4" w:rsidR="00FA3377" w:rsidRPr="00D06DF5" w:rsidRDefault="00706DD7" w:rsidP="00371F27">
      <w:pPr>
        <w:pStyle w:val="SingleTxtG"/>
        <w:rPr>
          <w:b/>
          <w:u w:val="single"/>
          <w:lang w:val="fr-FR"/>
        </w:rPr>
      </w:pPr>
      <w:r w:rsidRPr="00D06DF5">
        <w:rPr>
          <w:b/>
          <w:u w:val="single"/>
          <w:lang w:val="fr-FR"/>
        </w:rPr>
        <w:t>Proposition:</w:t>
      </w:r>
    </w:p>
    <w:p w14:paraId="4CF1AE1E" w14:textId="30302890" w:rsidR="00FA3377" w:rsidRPr="00D06DF5" w:rsidRDefault="00FA3377" w:rsidP="005E1783">
      <w:pPr>
        <w:pStyle w:val="SingleTxtG"/>
        <w:rPr>
          <w:bCs/>
          <w:lang w:val="fr-FR"/>
        </w:rPr>
      </w:pPr>
      <w:r w:rsidRPr="00D06DF5">
        <w:rPr>
          <w:bCs/>
          <w:lang w:val="fr-FR"/>
        </w:rPr>
        <w:t>18.</w:t>
      </w:r>
      <w:r w:rsidRPr="00D06DF5">
        <w:rPr>
          <w:bCs/>
          <w:lang w:val="fr-FR"/>
        </w:rPr>
        <w:tab/>
        <w:t xml:space="preserve">Dans la sous-section 3.2.3.2, tableau C, pour </w:t>
      </w:r>
      <w:r w:rsidR="007D147C" w:rsidRPr="00193B10">
        <w:rPr>
          <w:lang w:val="fr-FR"/>
        </w:rPr>
        <w:t>N</w:t>
      </w:r>
      <w:r w:rsidR="007D147C">
        <w:rPr>
          <w:lang w:val="fr-FR"/>
        </w:rPr>
        <w:t>o </w:t>
      </w:r>
      <w:r w:rsidR="007D147C" w:rsidRPr="0077793C">
        <w:rPr>
          <w:lang w:val="fr-FR"/>
        </w:rPr>
        <w:t>ONU</w:t>
      </w:r>
      <w:r w:rsidR="007D147C">
        <w:rPr>
          <w:lang w:val="fr-FR"/>
        </w:rPr>
        <w:t> </w:t>
      </w:r>
      <w:r w:rsidRPr="00D06DF5">
        <w:rPr>
          <w:bCs/>
          <w:lang w:val="fr-FR"/>
        </w:rPr>
        <w:t xml:space="preserve"> 2527 « ACRYLATE D</w:t>
      </w:r>
      <w:r w:rsidR="001520A4">
        <w:rPr>
          <w:bCs/>
          <w:lang w:val="fr-FR"/>
        </w:rPr>
        <w:t>’</w:t>
      </w:r>
      <w:r w:rsidRPr="00D06DF5">
        <w:rPr>
          <w:bCs/>
          <w:lang w:val="fr-FR"/>
        </w:rPr>
        <w:t>ISOBUTYLE STABILISÉ »</w:t>
      </w:r>
      <w:r w:rsidR="005E1783">
        <w:rPr>
          <w:bCs/>
          <w:lang w:val="fr-FR"/>
        </w:rPr>
        <w:t xml:space="preserve"> </w:t>
      </w:r>
      <w:r w:rsidRPr="00D06DF5">
        <w:rPr>
          <w:bCs/>
          <w:lang w:val="fr-FR"/>
        </w:rPr>
        <w:t xml:space="preserve">remplacer « II B </w:t>
      </w:r>
      <w:r w:rsidRPr="00D06DF5">
        <w:rPr>
          <w:bCs/>
          <w:vertAlign w:val="superscript"/>
          <w:lang w:val="fr-FR"/>
        </w:rPr>
        <w:t>9)</w:t>
      </w:r>
      <w:r w:rsidRPr="00D06DF5">
        <w:rPr>
          <w:bCs/>
          <w:lang w:val="fr-FR"/>
        </w:rPr>
        <w:t xml:space="preserve"> » par « II B3 </w:t>
      </w:r>
      <w:r w:rsidRPr="00D06DF5">
        <w:rPr>
          <w:bCs/>
          <w:vertAlign w:val="superscript"/>
          <w:lang w:val="fr-FR"/>
        </w:rPr>
        <w:t>14)</w:t>
      </w:r>
      <w:r w:rsidRPr="00D06DF5">
        <w:rPr>
          <w:bCs/>
          <w:lang w:val="fr-FR"/>
        </w:rPr>
        <w:t> » dans la colonne (16).</w:t>
      </w:r>
    </w:p>
    <w:p w14:paraId="46959A4D" w14:textId="1A523B85" w:rsidR="00FA3377" w:rsidRPr="00D06DF5" w:rsidRDefault="005E1783" w:rsidP="00AF1D5A">
      <w:pPr>
        <w:pStyle w:val="H1G"/>
        <w:pageBreakBefore/>
        <w:rPr>
          <w:lang w:val="fr-FR"/>
        </w:rPr>
      </w:pPr>
      <w:r>
        <w:rPr>
          <w:lang w:val="fr-FR"/>
        </w:rPr>
        <w:lastRenderedPageBreak/>
        <w:tab/>
      </w:r>
      <w:r w:rsidR="00FA3377" w:rsidRPr="00D06DF5">
        <w:rPr>
          <w:lang w:val="fr-FR"/>
        </w:rPr>
        <w:t>VI</w:t>
      </w:r>
      <w:r w:rsidR="00645E98">
        <w:rPr>
          <w:lang w:val="fr-FR"/>
        </w:rPr>
        <w:t>.</w:t>
      </w:r>
      <w:r w:rsidR="00FA3377" w:rsidRPr="00D06DF5">
        <w:rPr>
          <w:lang w:val="fr-FR"/>
        </w:rPr>
        <w:tab/>
        <w:t>Vérification de l</w:t>
      </w:r>
      <w:r w:rsidR="001520A4">
        <w:rPr>
          <w:lang w:val="fr-FR"/>
        </w:rPr>
        <w:t>’</w:t>
      </w:r>
      <w:r w:rsidR="00FA3377" w:rsidRPr="00D06DF5">
        <w:rPr>
          <w:lang w:val="fr-FR"/>
        </w:rPr>
        <w:t>ensemble des entrées sans groupe d</w:t>
      </w:r>
      <w:r w:rsidR="001520A4">
        <w:rPr>
          <w:lang w:val="fr-FR"/>
        </w:rPr>
        <w:t>’</w:t>
      </w:r>
      <w:r w:rsidR="00FA3377" w:rsidRPr="00D06DF5">
        <w:rPr>
          <w:lang w:val="fr-FR"/>
        </w:rPr>
        <w:t>emballage dans le tableau A pour lesquelles est requise l</w:t>
      </w:r>
      <w:r w:rsidR="001520A4">
        <w:rPr>
          <w:lang w:val="fr-FR"/>
        </w:rPr>
        <w:t>’</w:t>
      </w:r>
      <w:r w:rsidR="00FA3377" w:rsidRPr="00D06DF5">
        <w:rPr>
          <w:lang w:val="fr-FR"/>
        </w:rPr>
        <w:t>utilisation de cônes/feux bleus</w:t>
      </w:r>
    </w:p>
    <w:p w14:paraId="552706A4" w14:textId="315BDCEA" w:rsidR="00FA3377" w:rsidRPr="00D06DF5" w:rsidRDefault="00FA3377" w:rsidP="005E1783">
      <w:pPr>
        <w:pStyle w:val="SingleTxtG"/>
        <w:rPr>
          <w:lang w:val="fr-FR"/>
        </w:rPr>
      </w:pPr>
      <w:r w:rsidRPr="00D06DF5">
        <w:rPr>
          <w:lang w:val="fr-FR"/>
        </w:rPr>
        <w:t>19.</w:t>
      </w:r>
      <w:r w:rsidRPr="00D06DF5">
        <w:rPr>
          <w:lang w:val="fr-FR"/>
        </w:rPr>
        <w:tab/>
        <w:t>Les cônes (feux) bleus sont exigés pour les matières des classes 3 à 9 en fonction du code de classification (propriétés inflammables et/ou toxiques) et du groupe d</w:t>
      </w:r>
      <w:r w:rsidR="001520A4">
        <w:rPr>
          <w:lang w:val="fr-FR"/>
        </w:rPr>
        <w:t>’</w:t>
      </w:r>
      <w:r w:rsidRPr="00D06DF5">
        <w:rPr>
          <w:lang w:val="fr-FR"/>
        </w:rPr>
        <w:t>emballage (groupe d</w:t>
      </w:r>
      <w:r w:rsidR="001520A4">
        <w:rPr>
          <w:lang w:val="fr-FR"/>
        </w:rPr>
        <w:t>’</w:t>
      </w:r>
      <w:r w:rsidRPr="00D06DF5">
        <w:rPr>
          <w:lang w:val="fr-FR"/>
        </w:rPr>
        <w:t>emballage I ou II). Pour le groupe d</w:t>
      </w:r>
      <w:r w:rsidR="001520A4">
        <w:rPr>
          <w:lang w:val="fr-FR"/>
        </w:rPr>
        <w:t>’</w:t>
      </w:r>
      <w:r w:rsidRPr="00D06DF5">
        <w:rPr>
          <w:lang w:val="fr-FR"/>
        </w:rPr>
        <w:t>emballage III et pour les objets affectés à aucun groupe d</w:t>
      </w:r>
      <w:r w:rsidR="001520A4">
        <w:rPr>
          <w:lang w:val="fr-FR"/>
        </w:rPr>
        <w:t>’</w:t>
      </w:r>
      <w:r w:rsidRPr="00D06DF5">
        <w:rPr>
          <w:lang w:val="fr-FR"/>
        </w:rPr>
        <w:t>emballage en suivant la systématique, les cônes (feux) bleus ne sont généralement pas prescrits.</w:t>
      </w:r>
    </w:p>
    <w:p w14:paraId="2ACCEB5B" w14:textId="4DBDA170" w:rsidR="00FA3377" w:rsidRPr="00D06DF5" w:rsidRDefault="00FA3377" w:rsidP="005E1783">
      <w:pPr>
        <w:pStyle w:val="SingleTxtG"/>
        <w:rPr>
          <w:lang w:val="fr-FR"/>
        </w:rPr>
      </w:pPr>
      <w:r w:rsidRPr="00D06DF5">
        <w:rPr>
          <w:lang w:val="fr-FR"/>
        </w:rPr>
        <w:t>20.</w:t>
      </w:r>
      <w:r w:rsidRPr="00D06DF5">
        <w:rPr>
          <w:lang w:val="fr-FR"/>
        </w:rPr>
        <w:tab/>
        <w:t>Il est par conséquent proposé de remplacer l</w:t>
      </w:r>
      <w:r w:rsidR="001520A4">
        <w:rPr>
          <w:lang w:val="fr-FR"/>
        </w:rPr>
        <w:t>’</w:t>
      </w:r>
      <w:r w:rsidRPr="00D06DF5">
        <w:rPr>
          <w:lang w:val="fr-FR"/>
        </w:rPr>
        <w:t>indication du tableau A, colonne (12), par « 0 » pour deux entrées contenant des objets de classe 3, pour trois entrées contenant des objets de classe 6.1 et pour deux entrées contenant des objets de classe 9.</w:t>
      </w:r>
    </w:p>
    <w:p w14:paraId="18AE79DB" w14:textId="6A741541" w:rsidR="00FA3377" w:rsidRPr="00D06DF5" w:rsidRDefault="00FA3377" w:rsidP="005E1783">
      <w:pPr>
        <w:pStyle w:val="SingleTxtG"/>
        <w:rPr>
          <w:lang w:val="fr-FR"/>
        </w:rPr>
      </w:pPr>
      <w:r w:rsidRPr="00D06DF5">
        <w:rPr>
          <w:lang w:val="fr-FR"/>
        </w:rPr>
        <w:t>21.</w:t>
      </w:r>
      <w:r w:rsidRPr="00D06DF5">
        <w:rPr>
          <w:lang w:val="fr-FR"/>
        </w:rPr>
        <w:tab/>
        <w:t>La systématique ne prévoit pas de groupes d</w:t>
      </w:r>
      <w:r w:rsidR="001520A4">
        <w:rPr>
          <w:lang w:val="fr-FR"/>
        </w:rPr>
        <w:t>’</w:t>
      </w:r>
      <w:r w:rsidRPr="00D06DF5">
        <w:rPr>
          <w:lang w:val="fr-FR"/>
        </w:rPr>
        <w:t>emballage pour la classe 2. L</w:t>
      </w:r>
      <w:r w:rsidR="001520A4">
        <w:rPr>
          <w:lang w:val="fr-FR"/>
        </w:rPr>
        <w:t>’</w:t>
      </w:r>
      <w:r w:rsidRPr="00D06DF5">
        <w:rPr>
          <w:lang w:val="fr-FR"/>
        </w:rPr>
        <w:t>exigence ou non de cônes (feux) bleus y est réglementée pour toutes les matières en fonction du code de classification (propriétés inflammables et/ou toxiques).</w:t>
      </w:r>
      <w:r w:rsidR="00034C37">
        <w:rPr>
          <w:lang w:val="fr-FR"/>
        </w:rPr>
        <w:t xml:space="preserve"> </w:t>
      </w:r>
      <w:r w:rsidRPr="00D06DF5">
        <w:rPr>
          <w:lang w:val="fr-FR"/>
        </w:rPr>
        <w:t>Ici également, les cônes (feux) bleus ne devraient pas être prescrits pour les objets contenant des gaz. Pour sept entrées de la classe 2, il est par conséquent proposé de remplacer la mention « 1 » ou « 2 » par « 0 » dans le tableau A, colonne (12).</w:t>
      </w:r>
    </w:p>
    <w:p w14:paraId="6842DFF6" w14:textId="0E09F517" w:rsidR="00EC7C30" w:rsidRPr="00D06DF5" w:rsidRDefault="00EC7C30" w:rsidP="00EC7C30">
      <w:pPr>
        <w:pStyle w:val="SingleTxtG"/>
        <w:rPr>
          <w:b/>
          <w:u w:val="single"/>
          <w:lang w:val="fr-FR"/>
        </w:rPr>
      </w:pPr>
      <w:r w:rsidRPr="00D06DF5">
        <w:rPr>
          <w:b/>
          <w:u w:val="single"/>
          <w:lang w:val="fr-FR"/>
        </w:rPr>
        <w:t>Proposition:</w:t>
      </w:r>
    </w:p>
    <w:p w14:paraId="50E39157" w14:textId="068D959D" w:rsidR="00FA3377" w:rsidRPr="00456887" w:rsidRDefault="00FA3377" w:rsidP="00034C37">
      <w:pPr>
        <w:pStyle w:val="SingleTxtG"/>
        <w:rPr>
          <w:lang w:val="fr-FR"/>
        </w:rPr>
      </w:pPr>
      <w:r w:rsidRPr="00456887">
        <w:rPr>
          <w:lang w:val="fr-FR"/>
        </w:rPr>
        <w:t>22.</w:t>
      </w:r>
      <w:r w:rsidRPr="00456887">
        <w:rPr>
          <w:lang w:val="fr-FR"/>
        </w:rPr>
        <w:tab/>
      </w:r>
      <w:bookmarkStart w:id="6" w:name="_Hlk115281408"/>
      <w:r w:rsidRPr="00456887">
        <w:rPr>
          <w:lang w:val="fr-FR"/>
        </w:rPr>
        <w:t xml:space="preserve">Au chapitre 3.2, tableau A, entrée pour </w:t>
      </w:r>
      <w:r w:rsidR="004D1E3F" w:rsidRPr="00456887">
        <w:rPr>
          <w:lang w:val="fr-FR"/>
        </w:rPr>
        <w:t>No ONU </w:t>
      </w:r>
      <w:r w:rsidRPr="0038022F">
        <w:rPr>
          <w:lang w:val="fr-FR"/>
        </w:rPr>
        <w:t xml:space="preserve">3540 </w:t>
      </w:r>
      <w:bookmarkEnd w:id="6"/>
      <w:r w:rsidRPr="00456887">
        <w:rPr>
          <w:lang w:val="fr-FR"/>
        </w:rPr>
        <w:t>« OBJETS CONTENANT DU LIQUIDE INFLAMMABLE, N.S.A. »</w:t>
      </w:r>
      <w:bookmarkStart w:id="7" w:name="_Hlk115281537"/>
      <w:r w:rsidR="00034C37" w:rsidRPr="00456887">
        <w:rPr>
          <w:lang w:val="fr-FR"/>
        </w:rPr>
        <w:t xml:space="preserve"> </w:t>
      </w:r>
      <w:r w:rsidRPr="00456887">
        <w:rPr>
          <w:lang w:val="fr-FR"/>
        </w:rPr>
        <w:t>dans la colonne (12) remplacer « 1 » par : « 0 ».</w:t>
      </w:r>
    </w:p>
    <w:bookmarkEnd w:id="7"/>
    <w:p w14:paraId="32748E79" w14:textId="76317A57" w:rsidR="00FA3377" w:rsidRPr="00456887" w:rsidRDefault="00FA3377" w:rsidP="00706DD7">
      <w:pPr>
        <w:pStyle w:val="SingleTxtG"/>
        <w:rPr>
          <w:lang w:val="fr-FR"/>
        </w:rPr>
      </w:pPr>
      <w:r w:rsidRPr="00456887">
        <w:rPr>
          <w:lang w:val="fr-FR"/>
        </w:rPr>
        <w:t>23.</w:t>
      </w:r>
      <w:r w:rsidRPr="00456887">
        <w:rPr>
          <w:lang w:val="fr-FR"/>
        </w:rPr>
        <w:tab/>
        <w:t xml:space="preserve">Au chapitre 3.2, tableau A, entrées pour </w:t>
      </w:r>
      <w:r w:rsidR="004D1E3F" w:rsidRPr="0038022F">
        <w:rPr>
          <w:lang w:val="fr-FR"/>
        </w:rPr>
        <w:t>No ONU </w:t>
      </w:r>
      <w:r w:rsidR="004D1E3F" w:rsidRPr="0038022F" w:rsidDel="004D1E3F">
        <w:rPr>
          <w:lang w:val="fr-FR"/>
        </w:rPr>
        <w:t xml:space="preserve"> </w:t>
      </w:r>
      <w:r w:rsidRPr="0038022F">
        <w:rPr>
          <w:lang w:val="fr-FR"/>
        </w:rPr>
        <w:t xml:space="preserve">1700 </w:t>
      </w:r>
      <w:r w:rsidRPr="00456887">
        <w:rPr>
          <w:lang w:val="fr-FR"/>
        </w:rPr>
        <w:t xml:space="preserve">« CHANDELLES LACRYMOGÈNES », </w:t>
      </w:r>
      <w:r w:rsidR="004D1E3F" w:rsidRPr="0038022F">
        <w:rPr>
          <w:lang w:val="fr-FR"/>
        </w:rPr>
        <w:t>No ONU </w:t>
      </w:r>
      <w:r w:rsidRPr="0038022F">
        <w:rPr>
          <w:lang w:val="fr-FR"/>
        </w:rPr>
        <w:t xml:space="preserve">2016 </w:t>
      </w:r>
      <w:r w:rsidRPr="00456887">
        <w:rPr>
          <w:lang w:val="fr-FR"/>
        </w:rPr>
        <w:t>« MUNITIONS TOXIQUES NON EXPLOSIVES, sans charge de dispersion ni charge d</w:t>
      </w:r>
      <w:r w:rsidR="001520A4">
        <w:rPr>
          <w:lang w:val="fr-FR"/>
        </w:rPr>
        <w:t>’</w:t>
      </w:r>
      <w:r w:rsidRPr="00456887">
        <w:rPr>
          <w:lang w:val="fr-FR"/>
        </w:rPr>
        <w:t xml:space="preserve">expulsion, non amorcées » et </w:t>
      </w:r>
      <w:r w:rsidR="00A82161" w:rsidRPr="0038022F">
        <w:rPr>
          <w:lang w:val="fr-FR"/>
        </w:rPr>
        <w:t>No ONU </w:t>
      </w:r>
      <w:r w:rsidRPr="0038022F">
        <w:rPr>
          <w:lang w:val="fr-FR"/>
        </w:rPr>
        <w:t xml:space="preserve">2017 </w:t>
      </w:r>
      <w:r w:rsidRPr="00456887">
        <w:rPr>
          <w:lang w:val="fr-FR"/>
        </w:rPr>
        <w:t>« MUNITIONS LACRYMOGÈNES NON EXPLOSIVES sans charge de dispersion ni charge d</w:t>
      </w:r>
      <w:r w:rsidR="001520A4">
        <w:rPr>
          <w:lang w:val="fr-FR"/>
        </w:rPr>
        <w:t>’</w:t>
      </w:r>
      <w:r w:rsidRPr="00456887">
        <w:rPr>
          <w:lang w:val="fr-FR"/>
        </w:rPr>
        <w:t>expulsion, non amorcées »</w:t>
      </w:r>
      <w:r w:rsidR="00706DD7" w:rsidRPr="00456887">
        <w:rPr>
          <w:lang w:val="fr-FR"/>
        </w:rPr>
        <w:t xml:space="preserve"> </w:t>
      </w:r>
      <w:r w:rsidRPr="00456887">
        <w:rPr>
          <w:lang w:val="fr-FR"/>
        </w:rPr>
        <w:t>dans la colonne (12) remplacer « 2 » par : « 0 ».</w:t>
      </w:r>
    </w:p>
    <w:p w14:paraId="032DE468" w14:textId="5374A40A" w:rsidR="00FA3377" w:rsidRPr="00456887" w:rsidRDefault="00FA3377" w:rsidP="00706DD7">
      <w:pPr>
        <w:pStyle w:val="SingleTxtG"/>
        <w:rPr>
          <w:lang w:val="fr-FR"/>
        </w:rPr>
      </w:pPr>
      <w:r w:rsidRPr="00456887">
        <w:rPr>
          <w:lang w:val="fr-FR"/>
        </w:rPr>
        <w:t>24.</w:t>
      </w:r>
      <w:r w:rsidRPr="00456887">
        <w:rPr>
          <w:lang w:val="fr-FR"/>
        </w:rPr>
        <w:tab/>
        <w:t xml:space="preserve">Au chapitre 3.2, tableau A, entrées pour </w:t>
      </w:r>
      <w:r w:rsidR="00A82161" w:rsidRPr="0038022F">
        <w:rPr>
          <w:lang w:val="fr-FR"/>
        </w:rPr>
        <w:t>No ONU </w:t>
      </w:r>
      <w:r w:rsidRPr="0038022F">
        <w:rPr>
          <w:lang w:val="fr-FR"/>
        </w:rPr>
        <w:t xml:space="preserve">3473 </w:t>
      </w:r>
      <w:r w:rsidRPr="00456887">
        <w:rPr>
          <w:lang w:val="fr-FR"/>
        </w:rPr>
        <w:t xml:space="preserve">« CARTOUCHES POUR PILE À COMBUSTIBLE ou CARTOUCHES POUR PILE À COMBUSTIBLE CONTENUES DANS UN ÉQUIPEMENT ou CARTOUCHES POUR PILE À COMBUSTIBLE EMBALLÉES AVEC UN ÉQUIPEMENT contenant des liquides inflammables », </w:t>
      </w:r>
      <w:r w:rsidR="00A82161" w:rsidRPr="0038022F">
        <w:rPr>
          <w:lang w:val="fr-FR"/>
        </w:rPr>
        <w:t>No ONU </w:t>
      </w:r>
      <w:r w:rsidRPr="0038022F">
        <w:rPr>
          <w:lang w:val="fr-FR"/>
        </w:rPr>
        <w:t xml:space="preserve">3359 </w:t>
      </w:r>
      <w:r w:rsidRPr="00456887">
        <w:rPr>
          <w:lang w:val="fr-FR"/>
        </w:rPr>
        <w:t xml:space="preserve">« ENGIN DE TRANSPORT SOUS FUMIGATION » et </w:t>
      </w:r>
      <w:r w:rsidR="00A82161" w:rsidRPr="0038022F">
        <w:rPr>
          <w:lang w:val="fr-FR"/>
        </w:rPr>
        <w:t>No ONU </w:t>
      </w:r>
      <w:r w:rsidRPr="0038022F">
        <w:rPr>
          <w:lang w:val="fr-FR"/>
        </w:rPr>
        <w:t xml:space="preserve">3363 </w:t>
      </w:r>
      <w:r w:rsidRPr="00456887">
        <w:rPr>
          <w:lang w:val="fr-FR"/>
        </w:rPr>
        <w:t>« MARCHANDISES DANGEREUSES CONTENUES DANS DES OBJETS ou MARCHANDISES DANGEREUSES CONTENUES DANS DES MACHINES ou MARCHANDISES DANGEREUSES CONTENUES DANS DES APPAREILS » dans la colonne (12) insérer : « 0 ».</w:t>
      </w:r>
    </w:p>
    <w:p w14:paraId="08853F71" w14:textId="17A3B0A6" w:rsidR="00FA3377" w:rsidRPr="00456887" w:rsidRDefault="00FA3377" w:rsidP="00EC7C30">
      <w:pPr>
        <w:pStyle w:val="SingleTxtG"/>
        <w:rPr>
          <w:lang w:val="fr-FR"/>
        </w:rPr>
      </w:pPr>
      <w:r w:rsidRPr="00456887">
        <w:rPr>
          <w:rFonts w:eastAsia="Calibri"/>
          <w:lang w:val="fr-FR"/>
        </w:rPr>
        <w:t>25.</w:t>
      </w:r>
      <w:r w:rsidRPr="00456887">
        <w:rPr>
          <w:rFonts w:eastAsia="Calibri"/>
          <w:lang w:val="fr-FR"/>
        </w:rPr>
        <w:tab/>
      </w:r>
      <w:r w:rsidRPr="00456887">
        <w:rPr>
          <w:lang w:val="fr-FR"/>
        </w:rPr>
        <w:t xml:space="preserve">Au chapitre 3.2, tableau A, entrées pour </w:t>
      </w:r>
      <w:r w:rsidR="006649B2" w:rsidRPr="0038022F">
        <w:rPr>
          <w:lang w:val="fr-FR"/>
        </w:rPr>
        <w:t>No ONU </w:t>
      </w:r>
      <w:r w:rsidRPr="0038022F">
        <w:rPr>
          <w:rFonts w:eastAsia="Calibri"/>
          <w:lang w:val="fr-FR"/>
        </w:rPr>
        <w:t xml:space="preserve">1057 </w:t>
      </w:r>
      <w:r w:rsidRPr="00456887">
        <w:rPr>
          <w:rFonts w:eastAsia="Calibri"/>
          <w:lang w:val="fr-FR"/>
        </w:rPr>
        <w:t xml:space="preserve">« BRIQUETS ou RECHARGES POUR BRIQUETS contenant un gaz inflammable », </w:t>
      </w:r>
      <w:r w:rsidR="006649B2" w:rsidRPr="0038022F">
        <w:rPr>
          <w:lang w:val="fr-FR"/>
        </w:rPr>
        <w:t>No ONU </w:t>
      </w:r>
      <w:r w:rsidRPr="0038022F">
        <w:rPr>
          <w:rFonts w:eastAsia="Calibri"/>
          <w:lang w:val="fr-FR"/>
        </w:rPr>
        <w:t xml:space="preserve">3150 </w:t>
      </w:r>
      <w:r w:rsidRPr="00456887">
        <w:rPr>
          <w:rFonts w:eastAsia="Calibri"/>
          <w:lang w:val="fr-FR"/>
        </w:rPr>
        <w:t>« PETITS APPAREILS À HYDROCARBURES GAZEUX ou RECHARGES D</w:t>
      </w:r>
      <w:r w:rsidR="001520A4">
        <w:rPr>
          <w:rFonts w:eastAsia="Calibri"/>
          <w:lang w:val="fr-FR"/>
        </w:rPr>
        <w:t>’</w:t>
      </w:r>
      <w:r w:rsidRPr="00456887">
        <w:rPr>
          <w:rFonts w:eastAsia="Calibri"/>
          <w:lang w:val="fr-FR"/>
        </w:rPr>
        <w:t xml:space="preserve">HYDROCARBURES GAZEUX POUR PETITS APPAREILS avec dispositif de décharge », </w:t>
      </w:r>
      <w:r w:rsidR="006649B2" w:rsidRPr="0038022F">
        <w:rPr>
          <w:lang w:val="fr-FR"/>
        </w:rPr>
        <w:t>No ONU </w:t>
      </w:r>
      <w:r w:rsidRPr="0038022F">
        <w:rPr>
          <w:rFonts w:eastAsia="Calibri"/>
          <w:lang w:val="fr-FR"/>
        </w:rPr>
        <w:t xml:space="preserve">3358 </w:t>
      </w:r>
      <w:r w:rsidRPr="00456887">
        <w:rPr>
          <w:rFonts w:eastAsia="Calibri"/>
          <w:lang w:val="fr-FR"/>
        </w:rPr>
        <w:t xml:space="preserve">« MACHINES FRIGORIFIQUES contenant un gaz liquéfié inflammable et non toxique », </w:t>
      </w:r>
      <w:r w:rsidR="006649B2" w:rsidRPr="0038022F">
        <w:rPr>
          <w:lang w:val="fr-FR"/>
        </w:rPr>
        <w:t>No ONU </w:t>
      </w:r>
      <w:r w:rsidRPr="0038022F">
        <w:rPr>
          <w:rFonts w:eastAsia="Calibri"/>
          <w:lang w:val="fr-FR"/>
        </w:rPr>
        <w:t xml:space="preserve">3478 </w:t>
      </w:r>
      <w:r w:rsidRPr="00456887">
        <w:rPr>
          <w:rFonts w:eastAsia="Calibri"/>
          <w:lang w:val="fr-FR"/>
        </w:rPr>
        <w:t xml:space="preserve">« CARTOUCHES POUR PILE À COMBUSTIBLE ou CARTOUCHES POUR PILE À COMBUSTIBLE CONTENUES DANS UN ÉQUIPEMENT ou CARTOUCHES POUR PILE À COMBUSTIBLE EMBALLÉES AVEC UN ÉQUIPEMENT, contenant un gaz liquéfié inflammable », </w:t>
      </w:r>
      <w:r w:rsidR="006649B2" w:rsidRPr="0038022F">
        <w:rPr>
          <w:lang w:val="fr-FR"/>
        </w:rPr>
        <w:t>No ONU </w:t>
      </w:r>
      <w:r w:rsidRPr="0038022F">
        <w:rPr>
          <w:rFonts w:eastAsia="Calibri"/>
          <w:lang w:val="fr-FR"/>
        </w:rPr>
        <w:t xml:space="preserve">3479 </w:t>
      </w:r>
      <w:r w:rsidRPr="00456887">
        <w:rPr>
          <w:rFonts w:eastAsia="Calibri"/>
          <w:lang w:val="fr-FR"/>
        </w:rPr>
        <w:t>« CARTOUCHES POUR PILE À COMBUSTIBLE ou CARTOUCHES POUR PILE À COMBUSTIBLE CONTENUES DANS UN ÉQUIPEMENT ou CARTOUCHES POUR PILE À COMBUSTIBLE EMBALLÉES AVEC UN ÉQUIPEMENT, contenant de l</w:t>
      </w:r>
      <w:r w:rsidR="001520A4">
        <w:rPr>
          <w:rFonts w:eastAsia="Calibri"/>
          <w:lang w:val="fr-FR"/>
        </w:rPr>
        <w:t>’</w:t>
      </w:r>
      <w:r w:rsidRPr="00456887">
        <w:rPr>
          <w:rFonts w:eastAsia="Calibri"/>
          <w:lang w:val="fr-FR"/>
        </w:rPr>
        <w:t xml:space="preserve">hydrogène dans un hydrure métallique » et </w:t>
      </w:r>
      <w:r w:rsidR="006649B2" w:rsidRPr="0038022F">
        <w:rPr>
          <w:lang w:val="fr-FR"/>
        </w:rPr>
        <w:t>No ONU </w:t>
      </w:r>
      <w:r w:rsidRPr="0038022F">
        <w:rPr>
          <w:rFonts w:eastAsia="Calibri"/>
          <w:lang w:val="fr-FR"/>
        </w:rPr>
        <w:t xml:space="preserve">3537 </w:t>
      </w:r>
      <w:r w:rsidRPr="00456887">
        <w:rPr>
          <w:rFonts w:eastAsia="Calibri"/>
          <w:lang w:val="fr-FR"/>
        </w:rPr>
        <w:t>« OBJETS CONTENANT DU GAZ INFLAMMABLE, N.S.A. »</w:t>
      </w:r>
      <w:r w:rsidR="00EC7C30" w:rsidRPr="00456887">
        <w:rPr>
          <w:rFonts w:eastAsia="Calibri"/>
          <w:lang w:val="fr-FR"/>
        </w:rPr>
        <w:t xml:space="preserve"> </w:t>
      </w:r>
      <w:r w:rsidRPr="00456887">
        <w:rPr>
          <w:lang w:val="fr-FR"/>
        </w:rPr>
        <w:t>dans la colonne (12) remplacer « 1 » par : « 0 ».</w:t>
      </w:r>
    </w:p>
    <w:p w14:paraId="55EAA440" w14:textId="2E24836D" w:rsidR="00FA3377" w:rsidRPr="00456887" w:rsidRDefault="00FA3377" w:rsidP="00EC7C30">
      <w:pPr>
        <w:pStyle w:val="SingleTxtG"/>
        <w:rPr>
          <w:lang w:val="fr-FR"/>
        </w:rPr>
      </w:pPr>
      <w:r w:rsidRPr="00456887">
        <w:rPr>
          <w:rFonts w:eastAsia="Calibri"/>
          <w:lang w:val="fr-FR"/>
        </w:rPr>
        <w:t>26.</w:t>
      </w:r>
      <w:r w:rsidRPr="00456887">
        <w:rPr>
          <w:rFonts w:eastAsia="Calibri"/>
          <w:lang w:val="fr-FR"/>
        </w:rPr>
        <w:tab/>
      </w:r>
      <w:r w:rsidRPr="00456887">
        <w:rPr>
          <w:lang w:val="fr-FR"/>
        </w:rPr>
        <w:t xml:space="preserve">Au Chapitre 3.2, tableau A, pour </w:t>
      </w:r>
      <w:r w:rsidR="00E421F8" w:rsidRPr="0038022F">
        <w:rPr>
          <w:lang w:val="fr-FR"/>
        </w:rPr>
        <w:t>No ONU </w:t>
      </w:r>
      <w:r w:rsidRPr="0038022F">
        <w:rPr>
          <w:rFonts w:eastAsia="Calibri"/>
          <w:lang w:val="fr-FR"/>
        </w:rPr>
        <w:t xml:space="preserve">3539 </w:t>
      </w:r>
      <w:r w:rsidRPr="00456887">
        <w:rPr>
          <w:rFonts w:eastAsia="Calibri"/>
          <w:lang w:val="fr-FR"/>
        </w:rPr>
        <w:t>« OBJETS CONTENANT DU GAZ TOXIQUE, N.S.A. »</w:t>
      </w:r>
      <w:r w:rsidR="00EC7C30" w:rsidRPr="00456887">
        <w:rPr>
          <w:rFonts w:eastAsia="Calibri"/>
          <w:lang w:val="fr-FR"/>
        </w:rPr>
        <w:t xml:space="preserve"> </w:t>
      </w:r>
      <w:r w:rsidRPr="00456887">
        <w:rPr>
          <w:lang w:val="fr-FR"/>
        </w:rPr>
        <w:t>dans la colonne (12) remplacer « 2 » par : « 0 ».</w:t>
      </w:r>
    </w:p>
    <w:p w14:paraId="552C1F6E" w14:textId="43F02324" w:rsidR="00FA3377" w:rsidRPr="00D06DF5" w:rsidRDefault="00EC7C30" w:rsidP="00EC7C30">
      <w:pPr>
        <w:pStyle w:val="H1G"/>
        <w:rPr>
          <w:lang w:val="fr-FR"/>
        </w:rPr>
      </w:pPr>
      <w:r>
        <w:rPr>
          <w:lang w:val="fr-FR"/>
        </w:rPr>
        <w:lastRenderedPageBreak/>
        <w:tab/>
      </w:r>
      <w:r w:rsidR="00FA3377" w:rsidRPr="00D06DF5">
        <w:rPr>
          <w:lang w:val="fr-FR"/>
        </w:rPr>
        <w:t>VII.</w:t>
      </w:r>
      <w:r w:rsidR="00FA3377" w:rsidRPr="00D06DF5">
        <w:rPr>
          <w:lang w:val="fr-FR"/>
        </w:rPr>
        <w:tab/>
        <w:t>Correction d</w:t>
      </w:r>
      <w:r w:rsidR="001520A4">
        <w:rPr>
          <w:lang w:val="fr-FR"/>
        </w:rPr>
        <w:t>’</w:t>
      </w:r>
      <w:r w:rsidR="00FA3377" w:rsidRPr="00D06DF5">
        <w:rPr>
          <w:lang w:val="fr-FR"/>
        </w:rPr>
        <w:t xml:space="preserve">une erreur dans la colonne (2) du tableau C pour </w:t>
      </w:r>
      <w:r w:rsidR="00E421F8" w:rsidRPr="0038022F">
        <w:rPr>
          <w:lang w:val="fr-FR"/>
        </w:rPr>
        <w:t>No ONU </w:t>
      </w:r>
      <w:r w:rsidR="00FA3377" w:rsidRPr="00D06DF5">
        <w:rPr>
          <w:lang w:val="fr-FR"/>
        </w:rPr>
        <w:t>1972</w:t>
      </w:r>
    </w:p>
    <w:p w14:paraId="63409EE9" w14:textId="56D9C533" w:rsidR="00FA3377" w:rsidRPr="00D06DF5" w:rsidRDefault="00FA3377" w:rsidP="00EC7C30">
      <w:pPr>
        <w:pStyle w:val="SingleTxtG"/>
        <w:rPr>
          <w:lang w:val="fr-FR"/>
        </w:rPr>
      </w:pPr>
      <w:r w:rsidRPr="00D06DF5">
        <w:rPr>
          <w:lang w:val="fr-FR"/>
        </w:rPr>
        <w:t>27.</w:t>
      </w:r>
      <w:r w:rsidRPr="00D06DF5">
        <w:rPr>
          <w:lang w:val="fr-FR"/>
        </w:rPr>
        <w:tab/>
        <w:t xml:space="preserve">Dans les versions anglaise, allemande et russe du tableau C, pour </w:t>
      </w:r>
      <w:r w:rsidR="004D2E88" w:rsidRPr="0038022F">
        <w:rPr>
          <w:lang w:val="fr-FR"/>
        </w:rPr>
        <w:t>No ONU </w:t>
      </w:r>
      <w:r w:rsidRPr="004D2E88">
        <w:rPr>
          <w:lang w:val="fr-FR"/>
        </w:rPr>
        <w:t>1972</w:t>
      </w:r>
      <w:r w:rsidRPr="00D06DF5">
        <w:rPr>
          <w:lang w:val="fr-FR"/>
        </w:rPr>
        <w:t xml:space="preserve"> « MÉTHANE LIQUIDE RÉFRIGÉRÉ ou GAZ NATUREL (à haute teneur en méthane) LIQUIDE RÉFRIGÉRÉ,  », où le transport en citerne à membrane (G-2-4) est réglementé, le complément « LIQUIDE » manque à deux reprises dans la désignation et la description (colonne (2)).</w:t>
      </w:r>
    </w:p>
    <w:p w14:paraId="18B134AD" w14:textId="1A06EC37" w:rsidR="00FA3377" w:rsidRPr="00D06DF5" w:rsidRDefault="00FA3377" w:rsidP="00EC7C30">
      <w:pPr>
        <w:pStyle w:val="SingleTxtG"/>
        <w:rPr>
          <w:lang w:val="fr-FR"/>
        </w:rPr>
      </w:pPr>
      <w:r w:rsidRPr="00D06DF5">
        <w:rPr>
          <w:lang w:val="fr-FR"/>
        </w:rPr>
        <w:t>28.</w:t>
      </w:r>
      <w:r w:rsidRPr="00D06DF5">
        <w:rPr>
          <w:lang w:val="fr-FR"/>
        </w:rPr>
        <w:tab/>
        <w:t>En outre, dans le diagramme de décision (3.2.3.3) et dans les critères d</w:t>
      </w:r>
      <w:r w:rsidR="001520A4">
        <w:rPr>
          <w:lang w:val="fr-FR"/>
        </w:rPr>
        <w:t>’</w:t>
      </w:r>
      <w:r w:rsidRPr="00D06DF5">
        <w:rPr>
          <w:lang w:val="fr-FR"/>
        </w:rPr>
        <w:t>affectation des matières (3.2.4.3 L.), la version allemande de l</w:t>
      </w:r>
      <w:r w:rsidR="001520A4">
        <w:rPr>
          <w:lang w:val="fr-FR"/>
        </w:rPr>
        <w:t>’</w:t>
      </w:r>
      <w:r w:rsidRPr="00D06DF5">
        <w:rPr>
          <w:lang w:val="fr-FR"/>
        </w:rPr>
        <w:t>observation 42 contient une coquille.</w:t>
      </w:r>
    </w:p>
    <w:p w14:paraId="3E442800" w14:textId="7B6F2A6A" w:rsidR="00EC7C30" w:rsidRPr="00D06DF5" w:rsidRDefault="00EC7C30" w:rsidP="00EC7C30">
      <w:pPr>
        <w:pStyle w:val="SingleTxtG"/>
        <w:rPr>
          <w:b/>
          <w:u w:val="single"/>
          <w:lang w:val="fr-FR"/>
        </w:rPr>
      </w:pPr>
      <w:r w:rsidRPr="00D06DF5">
        <w:rPr>
          <w:b/>
          <w:u w:val="single"/>
          <w:lang w:val="fr-FR"/>
        </w:rPr>
        <w:t>Proposition:</w:t>
      </w:r>
    </w:p>
    <w:p w14:paraId="06963F13" w14:textId="4707AA69" w:rsidR="00FA3377" w:rsidRPr="00D06DF5" w:rsidRDefault="00FA3377" w:rsidP="00EC7C30">
      <w:pPr>
        <w:pStyle w:val="SingleTxtG"/>
        <w:rPr>
          <w:lang w:val="fr-FR"/>
        </w:rPr>
      </w:pPr>
      <w:r w:rsidRPr="00D06DF5">
        <w:rPr>
          <w:lang w:val="fr-FR"/>
        </w:rPr>
        <w:t>29.</w:t>
      </w:r>
      <w:r w:rsidRPr="00D06DF5">
        <w:rPr>
          <w:lang w:val="fr-FR"/>
        </w:rPr>
        <w:tab/>
        <w:t xml:space="preserve">Dans la sous-section 3.2.3.2, versions anglaise, allemande et russe du tableau C, pour </w:t>
      </w:r>
      <w:r w:rsidR="00FB3FCC" w:rsidRPr="0038022F">
        <w:rPr>
          <w:lang w:val="fr-FR"/>
        </w:rPr>
        <w:t>No ONU</w:t>
      </w:r>
      <w:r w:rsidR="00FB3FCC" w:rsidRPr="00193B10">
        <w:rPr>
          <w:b/>
          <w:bCs/>
          <w:lang w:val="fr-FR"/>
        </w:rPr>
        <w:t> </w:t>
      </w:r>
      <w:r w:rsidRPr="00D06DF5">
        <w:rPr>
          <w:lang w:val="fr-FR"/>
        </w:rPr>
        <w:t>1972 « MÉTHANE LIQUIDE RÉFRIGÉRÉ ou GAZ NATUREL (à haute teneur en méthane) LIQUIDE RÉFRIGÉRÉ,  », où est prescrit le transport en citerne à membrane (G-2-4),</w:t>
      </w:r>
      <w:r w:rsidR="00EC7C30">
        <w:rPr>
          <w:lang w:val="fr-FR"/>
        </w:rPr>
        <w:t xml:space="preserve"> </w:t>
      </w:r>
      <w:r w:rsidRPr="00D06DF5">
        <w:rPr>
          <w:lang w:val="fr-FR"/>
        </w:rPr>
        <w:t>dans la colonne (2), Nom et description, insérer à chaque occurrence « LIQUIDE » après « RÉFRIGÉRÉ ».</w:t>
      </w:r>
    </w:p>
    <w:p w14:paraId="5AA44FA6" w14:textId="23C8C47E" w:rsidR="00FA3377" w:rsidRPr="00D06DF5" w:rsidRDefault="00FA3377" w:rsidP="00EC7C30">
      <w:pPr>
        <w:pStyle w:val="SingleTxtG"/>
        <w:rPr>
          <w:lang w:val="fr-FR"/>
        </w:rPr>
      </w:pPr>
      <w:r w:rsidRPr="00D06DF5">
        <w:rPr>
          <w:lang w:val="fr-FR"/>
        </w:rPr>
        <w:t>30.</w:t>
      </w:r>
      <w:r w:rsidRPr="00D06DF5">
        <w:rPr>
          <w:lang w:val="fr-FR"/>
        </w:rPr>
        <w:tab/>
        <w:t>Dans le diagramme de décision, sous-section 3.2.3.3, et dans les critères d</w:t>
      </w:r>
      <w:r w:rsidR="001520A4">
        <w:rPr>
          <w:lang w:val="fr-FR"/>
        </w:rPr>
        <w:t>’</w:t>
      </w:r>
      <w:r w:rsidRPr="00D06DF5">
        <w:rPr>
          <w:lang w:val="fr-FR"/>
        </w:rPr>
        <w:t>affectation des matières, sous-section 3.2.4.3 L. dans la version allemande de l</w:t>
      </w:r>
      <w:r w:rsidR="001520A4">
        <w:rPr>
          <w:lang w:val="fr-FR"/>
        </w:rPr>
        <w:t>’</w:t>
      </w:r>
      <w:r w:rsidRPr="00D06DF5">
        <w:rPr>
          <w:lang w:val="fr-FR"/>
        </w:rPr>
        <w:t>observation 42, remplacer chaque occurrence de « TIEFGEHÜHLT » par « TIEFGEKÜHLT ».</w:t>
      </w:r>
    </w:p>
    <w:p w14:paraId="6C906772" w14:textId="61B89C33" w:rsidR="00FA3377" w:rsidRPr="00EC7C30" w:rsidRDefault="00EC7C30" w:rsidP="00EC7C30">
      <w:pPr>
        <w:spacing w:before="240"/>
        <w:jc w:val="center"/>
        <w:rPr>
          <w:u w:val="single"/>
          <w:lang w:val="fr-FR"/>
        </w:rPr>
      </w:pPr>
      <w:r>
        <w:rPr>
          <w:u w:val="single"/>
          <w:lang w:val="fr-FR"/>
        </w:rPr>
        <w:tab/>
      </w:r>
      <w:r>
        <w:rPr>
          <w:u w:val="single"/>
          <w:lang w:val="fr-FR"/>
        </w:rPr>
        <w:tab/>
      </w:r>
      <w:r>
        <w:rPr>
          <w:u w:val="single"/>
          <w:lang w:val="fr-FR"/>
        </w:rPr>
        <w:tab/>
      </w:r>
    </w:p>
    <w:p w14:paraId="5BBC9A1B" w14:textId="77777777" w:rsidR="00073EEA" w:rsidRPr="00A31222" w:rsidRDefault="00073EEA" w:rsidP="00EC7C30">
      <w:pPr>
        <w:pStyle w:val="SingleTxtG"/>
      </w:pPr>
    </w:p>
    <w:sectPr w:rsidR="00073EEA" w:rsidRPr="00A31222" w:rsidSect="00CD28D4">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8B22" w14:textId="77777777" w:rsidR="00500239" w:rsidRDefault="00500239" w:rsidP="00F95C08">
      <w:pPr>
        <w:spacing w:line="240" w:lineRule="auto"/>
      </w:pPr>
    </w:p>
  </w:endnote>
  <w:endnote w:type="continuationSeparator" w:id="0">
    <w:p w14:paraId="5A76B72D" w14:textId="77777777" w:rsidR="00500239" w:rsidRPr="00AC3823" w:rsidRDefault="00500239" w:rsidP="00AC3823">
      <w:pPr>
        <w:pStyle w:val="Pieddepage"/>
      </w:pPr>
    </w:p>
  </w:endnote>
  <w:endnote w:type="continuationNotice" w:id="1">
    <w:p w14:paraId="122686AD" w14:textId="77777777" w:rsidR="00500239" w:rsidRDefault="005002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9E42" w14:textId="77777777" w:rsidR="00CD28D4" w:rsidRPr="00CD28D4" w:rsidRDefault="00CD28D4" w:rsidP="00CD28D4">
    <w:pPr>
      <w:pStyle w:val="Pieddepage"/>
      <w:tabs>
        <w:tab w:val="right" w:pos="9638"/>
      </w:tabs>
      <w:rPr>
        <w:sz w:val="18"/>
      </w:rPr>
    </w:pPr>
    <w:r w:rsidRPr="00CD28D4">
      <w:rPr>
        <w:b/>
        <w:sz w:val="18"/>
      </w:rPr>
      <w:fldChar w:fldCharType="begin"/>
    </w:r>
    <w:r w:rsidRPr="00CD28D4">
      <w:rPr>
        <w:b/>
        <w:sz w:val="18"/>
      </w:rPr>
      <w:instrText xml:space="preserve"> PAGE  \* MERGEFORMAT </w:instrText>
    </w:r>
    <w:r w:rsidRPr="00CD28D4">
      <w:rPr>
        <w:b/>
        <w:sz w:val="18"/>
      </w:rPr>
      <w:fldChar w:fldCharType="separate"/>
    </w:r>
    <w:r w:rsidRPr="00CD28D4">
      <w:rPr>
        <w:b/>
        <w:noProof/>
        <w:sz w:val="18"/>
      </w:rPr>
      <w:t>2</w:t>
    </w:r>
    <w:r w:rsidRPr="00CD28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6290" w14:textId="77777777" w:rsidR="00CD28D4" w:rsidRPr="00CD28D4" w:rsidRDefault="00CD28D4" w:rsidP="00CD28D4">
    <w:pPr>
      <w:pStyle w:val="Pieddepage"/>
      <w:tabs>
        <w:tab w:val="right" w:pos="9638"/>
      </w:tabs>
      <w:rPr>
        <w:b/>
        <w:sz w:val="18"/>
      </w:rPr>
    </w:pPr>
    <w:r>
      <w:tab/>
    </w:r>
    <w:r w:rsidRPr="00CD28D4">
      <w:rPr>
        <w:b/>
        <w:sz w:val="18"/>
      </w:rPr>
      <w:fldChar w:fldCharType="begin"/>
    </w:r>
    <w:r w:rsidRPr="00CD28D4">
      <w:rPr>
        <w:b/>
        <w:sz w:val="18"/>
      </w:rPr>
      <w:instrText xml:space="preserve"> PAGE  \* MERGEFORMAT </w:instrText>
    </w:r>
    <w:r w:rsidRPr="00CD28D4">
      <w:rPr>
        <w:b/>
        <w:sz w:val="18"/>
      </w:rPr>
      <w:fldChar w:fldCharType="separate"/>
    </w:r>
    <w:r w:rsidRPr="00CD28D4">
      <w:rPr>
        <w:b/>
        <w:noProof/>
        <w:sz w:val="18"/>
      </w:rPr>
      <w:t>3</w:t>
    </w:r>
    <w:r w:rsidRPr="00CD28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A088" w14:textId="371FB609" w:rsidR="000D3EE9" w:rsidRPr="004F4BE1" w:rsidRDefault="004F4BE1" w:rsidP="004F4BE1">
    <w:pPr>
      <w:pStyle w:val="Pieddepage"/>
      <w:tabs>
        <w:tab w:val="left" w:pos="6520"/>
        <w:tab w:val="right" w:pos="9638"/>
      </w:tabs>
      <w:spacing w:before="120"/>
      <w:rPr>
        <w:sz w:val="20"/>
      </w:rPr>
    </w:pPr>
    <w:r>
      <w:rPr>
        <w:sz w:val="20"/>
      </w:rPr>
      <w:t>GE.22-25238  (F)</w:t>
    </w:r>
    <w:bookmarkStart w:id="8" w:name="_GoBack"/>
    <w:bookmarkEnd w:id="8"/>
    <w:r>
      <w:rPr>
        <w:sz w:val="20"/>
      </w:rPr>
      <w:tab/>
    </w:r>
    <w:r w:rsidRPr="004F4BE1">
      <w:rPr>
        <w:noProof/>
        <w:sz w:val="20"/>
        <w:lang w:eastAsia="fr-CH"/>
      </w:rPr>
      <w:drawing>
        <wp:inline distT="0" distB="0" distL="0" distR="0" wp14:anchorId="25374E3A" wp14:editId="55C0C842">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19F9571" wp14:editId="36854BD2">
          <wp:extent cx="639445" cy="6394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09C6" w14:textId="77777777" w:rsidR="00500239" w:rsidRPr="00AC3823" w:rsidRDefault="00500239" w:rsidP="00AC3823">
      <w:pPr>
        <w:pStyle w:val="Pieddepage"/>
        <w:tabs>
          <w:tab w:val="right" w:pos="2155"/>
        </w:tabs>
        <w:spacing w:after="80" w:line="240" w:lineRule="atLeast"/>
        <w:ind w:left="680"/>
        <w:rPr>
          <w:u w:val="single"/>
        </w:rPr>
      </w:pPr>
      <w:r>
        <w:rPr>
          <w:u w:val="single"/>
        </w:rPr>
        <w:tab/>
      </w:r>
    </w:p>
  </w:footnote>
  <w:footnote w:type="continuationSeparator" w:id="0">
    <w:p w14:paraId="37E60E21" w14:textId="77777777" w:rsidR="00500239" w:rsidRPr="00AC3823" w:rsidRDefault="00500239" w:rsidP="00AC3823">
      <w:pPr>
        <w:pStyle w:val="Pieddepage"/>
        <w:tabs>
          <w:tab w:val="right" w:pos="2155"/>
        </w:tabs>
        <w:spacing w:after="80" w:line="240" w:lineRule="atLeast"/>
        <w:ind w:left="680"/>
        <w:rPr>
          <w:u w:val="single"/>
        </w:rPr>
      </w:pPr>
      <w:r>
        <w:rPr>
          <w:u w:val="single"/>
        </w:rPr>
        <w:tab/>
      </w:r>
    </w:p>
  </w:footnote>
  <w:footnote w:type="continuationNotice" w:id="1">
    <w:p w14:paraId="3EA8E2A2" w14:textId="77777777" w:rsidR="00500239" w:rsidRPr="00AC3823" w:rsidRDefault="00500239">
      <w:pPr>
        <w:spacing w:line="240" w:lineRule="auto"/>
        <w:rPr>
          <w:sz w:val="2"/>
          <w:szCs w:val="2"/>
        </w:rPr>
      </w:pPr>
    </w:p>
  </w:footnote>
  <w:footnote w:id="2">
    <w:p w14:paraId="70A7CBF3" w14:textId="05450A69" w:rsidR="001520A4" w:rsidRPr="001520A4" w:rsidRDefault="001520A4">
      <w:pPr>
        <w:pStyle w:val="Notedebasdepage"/>
      </w:pPr>
      <w:r>
        <w:rPr>
          <w:rStyle w:val="Appelnotedebasdep"/>
        </w:rPr>
        <w:tab/>
      </w:r>
      <w:r w:rsidRPr="001520A4">
        <w:rPr>
          <w:rStyle w:val="Appelnotedebasdep"/>
          <w:sz w:val="20"/>
          <w:vertAlign w:val="baseline"/>
        </w:rPr>
        <w:t>*</w:t>
      </w:r>
      <w:r>
        <w:rPr>
          <w:rStyle w:val="Appelnotedebasdep"/>
          <w:sz w:val="20"/>
          <w:vertAlign w:val="baseline"/>
        </w:rPr>
        <w:tab/>
      </w:r>
      <w:r w:rsidRPr="00D06DF5">
        <w:rPr>
          <w:sz w:val="16"/>
          <w:szCs w:val="16"/>
          <w:lang w:val="fr-FR"/>
        </w:rPr>
        <w:t xml:space="preserve">Diffusée en langue allemande par la Commission centrale pour la navigation du Rhin </w:t>
      </w:r>
      <w:r>
        <w:rPr>
          <w:sz w:val="16"/>
          <w:szCs w:val="16"/>
          <w:lang w:val="fr-FR"/>
        </w:rPr>
        <w:br/>
      </w:r>
      <w:r w:rsidRPr="00D06DF5">
        <w:rPr>
          <w:sz w:val="16"/>
          <w:szCs w:val="16"/>
          <w:lang w:val="fr-FR"/>
        </w:rPr>
        <w:t>sous la cote CCNR-ZKR/ADN/WP.15/AC.2/202</w:t>
      </w:r>
      <w:r>
        <w:rPr>
          <w:sz w:val="16"/>
          <w:szCs w:val="16"/>
          <w:lang w:val="fr-FR"/>
        </w:rPr>
        <w:t>3</w:t>
      </w:r>
      <w:r w:rsidRPr="00D06DF5">
        <w:rPr>
          <w:sz w:val="16"/>
          <w:szCs w:val="16"/>
          <w:lang w:val="fr-FR"/>
        </w:rPr>
        <w:t>/</w:t>
      </w:r>
      <w:r>
        <w:rPr>
          <w:sz w:val="16"/>
          <w:szCs w:val="16"/>
          <w:lang w:val="fr-FR"/>
        </w:rPr>
        <w:t>1</w:t>
      </w:r>
      <w:r>
        <w:rPr>
          <w:sz w:val="16"/>
          <w:szCs w:val="16"/>
          <w:lang w:val="fr-FR"/>
        </w:rPr>
        <w:t>.</w:t>
      </w:r>
    </w:p>
  </w:footnote>
  <w:footnote w:id="3">
    <w:p w14:paraId="798FCFA3" w14:textId="08E531AD" w:rsidR="001520A4" w:rsidRPr="001520A4" w:rsidRDefault="001520A4">
      <w:pPr>
        <w:pStyle w:val="Notedebasdepage"/>
      </w:pPr>
      <w:r>
        <w:rPr>
          <w:rStyle w:val="Appelnotedebasdep"/>
        </w:rPr>
        <w:tab/>
      </w:r>
      <w:r w:rsidRPr="001520A4">
        <w:rPr>
          <w:rStyle w:val="Appelnotedebasdep"/>
          <w:sz w:val="20"/>
          <w:vertAlign w:val="baseline"/>
        </w:rPr>
        <w:t>**</w:t>
      </w:r>
      <w:r>
        <w:rPr>
          <w:rStyle w:val="Appelnotedebasdep"/>
          <w:sz w:val="20"/>
          <w:vertAlign w:val="baseline"/>
        </w:rPr>
        <w:tab/>
      </w:r>
      <w:r w:rsidRPr="00D06DF5">
        <w:rPr>
          <w:sz w:val="16"/>
          <w:szCs w:val="16"/>
          <w:lang w:val="fr-FR"/>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E25D" w14:textId="64537015" w:rsidR="00CD28D4" w:rsidRPr="00CD28D4" w:rsidRDefault="00A63731">
    <w:pPr>
      <w:pStyle w:val="En-tte"/>
    </w:pPr>
    <w:r>
      <w:fldChar w:fldCharType="begin"/>
    </w:r>
    <w:r>
      <w:instrText xml:space="preserve"> TITLE  \* MERGEFORMAT </w:instrText>
    </w:r>
    <w:r>
      <w:fldChar w:fldCharType="separate"/>
    </w:r>
    <w:r>
      <w:t>ECE/TRANS/WP.15/AC.2/2023/1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8B46" w14:textId="4453A2B5" w:rsidR="00CD28D4" w:rsidRPr="00CD28D4" w:rsidRDefault="00A63731" w:rsidP="00CD28D4">
    <w:pPr>
      <w:pStyle w:val="En-tte"/>
      <w:jc w:val="right"/>
    </w:pPr>
    <w:r>
      <w:fldChar w:fldCharType="begin"/>
    </w:r>
    <w:r>
      <w:instrText xml:space="preserve"> TITLE  \* MERGEFORMAT </w:instrText>
    </w:r>
    <w:r>
      <w:fldChar w:fldCharType="separate"/>
    </w:r>
    <w:r>
      <w:t>ECE/TRANS/WP.15/AC.2/2023/1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D4"/>
    <w:rsid w:val="0001207F"/>
    <w:rsid w:val="00012356"/>
    <w:rsid w:val="00017F94"/>
    <w:rsid w:val="00023842"/>
    <w:rsid w:val="000334F9"/>
    <w:rsid w:val="00033780"/>
    <w:rsid w:val="00034C37"/>
    <w:rsid w:val="0005792F"/>
    <w:rsid w:val="00064009"/>
    <w:rsid w:val="00073EEA"/>
    <w:rsid w:val="0007796D"/>
    <w:rsid w:val="000942EE"/>
    <w:rsid w:val="000A52BF"/>
    <w:rsid w:val="000A6E78"/>
    <w:rsid w:val="000B4A5A"/>
    <w:rsid w:val="000B7790"/>
    <w:rsid w:val="000C1939"/>
    <w:rsid w:val="000D3EE9"/>
    <w:rsid w:val="000D62F3"/>
    <w:rsid w:val="000D6E77"/>
    <w:rsid w:val="001016CE"/>
    <w:rsid w:val="00111F2F"/>
    <w:rsid w:val="00137EDA"/>
    <w:rsid w:val="001433FD"/>
    <w:rsid w:val="0014365E"/>
    <w:rsid w:val="001520A4"/>
    <w:rsid w:val="001541D3"/>
    <w:rsid w:val="001619AD"/>
    <w:rsid w:val="00176178"/>
    <w:rsid w:val="00181F19"/>
    <w:rsid w:val="00196912"/>
    <w:rsid w:val="001A064B"/>
    <w:rsid w:val="001A7CCB"/>
    <w:rsid w:val="001B3315"/>
    <w:rsid w:val="001C22E3"/>
    <w:rsid w:val="001C509D"/>
    <w:rsid w:val="001D400F"/>
    <w:rsid w:val="001F525A"/>
    <w:rsid w:val="001F560C"/>
    <w:rsid w:val="00223272"/>
    <w:rsid w:val="00240333"/>
    <w:rsid w:val="0024779E"/>
    <w:rsid w:val="00253B02"/>
    <w:rsid w:val="0027091C"/>
    <w:rsid w:val="0027632F"/>
    <w:rsid w:val="002832AC"/>
    <w:rsid w:val="002834A0"/>
    <w:rsid w:val="002A56BE"/>
    <w:rsid w:val="002C5359"/>
    <w:rsid w:val="002D7C93"/>
    <w:rsid w:val="002F679F"/>
    <w:rsid w:val="00322234"/>
    <w:rsid w:val="0033301C"/>
    <w:rsid w:val="00343829"/>
    <w:rsid w:val="003606ED"/>
    <w:rsid w:val="00362A59"/>
    <w:rsid w:val="00371F27"/>
    <w:rsid w:val="0037241C"/>
    <w:rsid w:val="00373213"/>
    <w:rsid w:val="0038022F"/>
    <w:rsid w:val="00391885"/>
    <w:rsid w:val="003B441B"/>
    <w:rsid w:val="003E21C0"/>
    <w:rsid w:val="00424E9A"/>
    <w:rsid w:val="00441C3B"/>
    <w:rsid w:val="00446B0A"/>
    <w:rsid w:val="00446FE5"/>
    <w:rsid w:val="00452396"/>
    <w:rsid w:val="00456887"/>
    <w:rsid w:val="004D1E3F"/>
    <w:rsid w:val="004D2E88"/>
    <w:rsid w:val="004E3CC1"/>
    <w:rsid w:val="004E468C"/>
    <w:rsid w:val="004F2920"/>
    <w:rsid w:val="004F4BE1"/>
    <w:rsid w:val="00500239"/>
    <w:rsid w:val="00510D3D"/>
    <w:rsid w:val="00512A32"/>
    <w:rsid w:val="005316B0"/>
    <w:rsid w:val="00544AE7"/>
    <w:rsid w:val="005505B7"/>
    <w:rsid w:val="00564657"/>
    <w:rsid w:val="005739F0"/>
    <w:rsid w:val="00573BE5"/>
    <w:rsid w:val="00574D51"/>
    <w:rsid w:val="00580BD2"/>
    <w:rsid w:val="00586ED3"/>
    <w:rsid w:val="00596AA9"/>
    <w:rsid w:val="005A466E"/>
    <w:rsid w:val="005E1783"/>
    <w:rsid w:val="005E37D9"/>
    <w:rsid w:val="005E4122"/>
    <w:rsid w:val="005E5A5A"/>
    <w:rsid w:val="00605FE1"/>
    <w:rsid w:val="00620CDE"/>
    <w:rsid w:val="00645E30"/>
    <w:rsid w:val="00645E98"/>
    <w:rsid w:val="006521FB"/>
    <w:rsid w:val="006649B2"/>
    <w:rsid w:val="006E2F73"/>
    <w:rsid w:val="006E6BB8"/>
    <w:rsid w:val="00703D0F"/>
    <w:rsid w:val="00706363"/>
    <w:rsid w:val="00706DD7"/>
    <w:rsid w:val="0071601D"/>
    <w:rsid w:val="0074594E"/>
    <w:rsid w:val="00756D4D"/>
    <w:rsid w:val="00772090"/>
    <w:rsid w:val="0077793C"/>
    <w:rsid w:val="007A62E6"/>
    <w:rsid w:val="007D147C"/>
    <w:rsid w:val="007E15EF"/>
    <w:rsid w:val="0080684C"/>
    <w:rsid w:val="008204DA"/>
    <w:rsid w:val="0083123A"/>
    <w:rsid w:val="00871C75"/>
    <w:rsid w:val="008767E8"/>
    <w:rsid w:val="008776DC"/>
    <w:rsid w:val="00883158"/>
    <w:rsid w:val="00883CD1"/>
    <w:rsid w:val="008A154A"/>
    <w:rsid w:val="008C2046"/>
    <w:rsid w:val="008E7B68"/>
    <w:rsid w:val="008F63E3"/>
    <w:rsid w:val="0090275E"/>
    <w:rsid w:val="00915979"/>
    <w:rsid w:val="00936646"/>
    <w:rsid w:val="009369DF"/>
    <w:rsid w:val="00967F5E"/>
    <w:rsid w:val="009705C8"/>
    <w:rsid w:val="00983348"/>
    <w:rsid w:val="009901A5"/>
    <w:rsid w:val="009A3F7C"/>
    <w:rsid w:val="009A70F1"/>
    <w:rsid w:val="009C1CF4"/>
    <w:rsid w:val="009C26F8"/>
    <w:rsid w:val="009C47B1"/>
    <w:rsid w:val="009F02C9"/>
    <w:rsid w:val="009F4F67"/>
    <w:rsid w:val="00A26C3F"/>
    <w:rsid w:val="00A30353"/>
    <w:rsid w:val="00A31222"/>
    <w:rsid w:val="00A448AF"/>
    <w:rsid w:val="00A62D91"/>
    <w:rsid w:val="00A63731"/>
    <w:rsid w:val="00A76693"/>
    <w:rsid w:val="00A82161"/>
    <w:rsid w:val="00A90D54"/>
    <w:rsid w:val="00AA113A"/>
    <w:rsid w:val="00AA4F6E"/>
    <w:rsid w:val="00AA6F4F"/>
    <w:rsid w:val="00AC3823"/>
    <w:rsid w:val="00AE323C"/>
    <w:rsid w:val="00AE78E2"/>
    <w:rsid w:val="00AF121B"/>
    <w:rsid w:val="00AF16AD"/>
    <w:rsid w:val="00AF1D5A"/>
    <w:rsid w:val="00B00181"/>
    <w:rsid w:val="00B00B0D"/>
    <w:rsid w:val="00B07F65"/>
    <w:rsid w:val="00B30069"/>
    <w:rsid w:val="00B43D0C"/>
    <w:rsid w:val="00B50E25"/>
    <w:rsid w:val="00B56AFE"/>
    <w:rsid w:val="00B64918"/>
    <w:rsid w:val="00B765F7"/>
    <w:rsid w:val="00BA0CA9"/>
    <w:rsid w:val="00BC7592"/>
    <w:rsid w:val="00BD3822"/>
    <w:rsid w:val="00C02897"/>
    <w:rsid w:val="00C305DB"/>
    <w:rsid w:val="00C53E90"/>
    <w:rsid w:val="00C7616F"/>
    <w:rsid w:val="00C8086C"/>
    <w:rsid w:val="00C86901"/>
    <w:rsid w:val="00CA6BD0"/>
    <w:rsid w:val="00CB16B5"/>
    <w:rsid w:val="00CD28D4"/>
    <w:rsid w:val="00CD5A39"/>
    <w:rsid w:val="00CE0608"/>
    <w:rsid w:val="00CE1821"/>
    <w:rsid w:val="00D04A72"/>
    <w:rsid w:val="00D3439C"/>
    <w:rsid w:val="00D44CF3"/>
    <w:rsid w:val="00D70306"/>
    <w:rsid w:val="00D86A6F"/>
    <w:rsid w:val="00DA6C5E"/>
    <w:rsid w:val="00DB1831"/>
    <w:rsid w:val="00DB7790"/>
    <w:rsid w:val="00DD3BFD"/>
    <w:rsid w:val="00DF431C"/>
    <w:rsid w:val="00DF6678"/>
    <w:rsid w:val="00E27CC8"/>
    <w:rsid w:val="00E421F8"/>
    <w:rsid w:val="00E60BBB"/>
    <w:rsid w:val="00E939CE"/>
    <w:rsid w:val="00EC7C30"/>
    <w:rsid w:val="00ED570D"/>
    <w:rsid w:val="00EF2E22"/>
    <w:rsid w:val="00F030BB"/>
    <w:rsid w:val="00F0592C"/>
    <w:rsid w:val="00F136D7"/>
    <w:rsid w:val="00F14DEF"/>
    <w:rsid w:val="00F43289"/>
    <w:rsid w:val="00F46EE1"/>
    <w:rsid w:val="00F660DF"/>
    <w:rsid w:val="00F837D5"/>
    <w:rsid w:val="00F95C08"/>
    <w:rsid w:val="00FA3377"/>
    <w:rsid w:val="00FB3FCC"/>
    <w:rsid w:val="00FD310F"/>
    <w:rsid w:val="00FE65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44A4C"/>
  <w15:docId w15:val="{26730B1F-6AEA-4EED-B2D3-0E8E66C3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rynqvb">
    <w:name w:val="rynqvb"/>
    <w:basedOn w:val="Policepardfaut"/>
    <w:rsid w:val="004E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61791-7114-48F5-99E6-D47CB4B5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4A87D-8204-4D3B-9994-FDBCC36B39E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8DABE34-96F4-4C39-9E2B-96D6F2494D4D}">
  <ds:schemaRefs>
    <ds:schemaRef ds:uri="http://schemas.openxmlformats.org/officeDocument/2006/bibliography"/>
  </ds:schemaRefs>
</ds:datastoreItem>
</file>

<file path=customXml/itemProps4.xml><?xml version="1.0" encoding="utf-8"?>
<ds:datastoreItem xmlns:ds="http://schemas.openxmlformats.org/officeDocument/2006/customXml" ds:itemID="{9614F6DC-DF1B-402D-B2AA-B112F1492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9637</Characters>
  <Application>Microsoft Office Word</Application>
  <DocSecurity>0</DocSecurity>
  <Lines>188</Lines>
  <Paragraphs>86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dc:title>
  <dc:subject>FINAL</dc:subject>
  <dc:creator>ND</dc:creator>
  <cp:keywords/>
  <dc:description/>
  <cp:lastModifiedBy>Julien Okrzesik</cp:lastModifiedBy>
  <cp:revision>3</cp:revision>
  <cp:lastPrinted>2022-11-09T16:43:00Z</cp:lastPrinted>
  <dcterms:created xsi:type="dcterms:W3CDTF">2022-11-09T16:43:00Z</dcterms:created>
  <dcterms:modified xsi:type="dcterms:W3CDTF">2022-11-09T16:44:00Z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