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491D654" w14:textId="77777777" w:rsidTr="005316B0">
        <w:trPr>
          <w:trHeight w:hRule="exact" w:val="851"/>
        </w:trPr>
        <w:tc>
          <w:tcPr>
            <w:tcW w:w="1276" w:type="dxa"/>
            <w:tcBorders>
              <w:bottom w:val="single" w:sz="4" w:space="0" w:color="auto"/>
            </w:tcBorders>
          </w:tcPr>
          <w:p w14:paraId="034EEF64" w14:textId="77777777" w:rsidR="001433FD" w:rsidRPr="00DB58B5" w:rsidRDefault="001433FD" w:rsidP="0001207F"/>
        </w:tc>
        <w:tc>
          <w:tcPr>
            <w:tcW w:w="2268" w:type="dxa"/>
            <w:tcBorders>
              <w:bottom w:val="single" w:sz="4" w:space="0" w:color="auto"/>
            </w:tcBorders>
            <w:vAlign w:val="bottom"/>
          </w:tcPr>
          <w:p w14:paraId="0642850E"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F726A1" w14:textId="77777777" w:rsidR="001433FD" w:rsidRPr="00DB58B5" w:rsidRDefault="009B0B2A" w:rsidP="009B0B2A">
            <w:pPr>
              <w:jc w:val="right"/>
            </w:pPr>
            <w:r w:rsidRPr="009B0B2A">
              <w:rPr>
                <w:sz w:val="40"/>
              </w:rPr>
              <w:t>ECE</w:t>
            </w:r>
            <w:r>
              <w:t>/TRANS/WP.15/260</w:t>
            </w:r>
          </w:p>
        </w:tc>
      </w:tr>
      <w:tr w:rsidR="001433FD" w:rsidRPr="00DB58B5" w14:paraId="21A3FB1E" w14:textId="77777777" w:rsidTr="007D3236">
        <w:trPr>
          <w:trHeight w:hRule="exact" w:val="2835"/>
        </w:trPr>
        <w:tc>
          <w:tcPr>
            <w:tcW w:w="1276" w:type="dxa"/>
            <w:tcBorders>
              <w:top w:val="single" w:sz="4" w:space="0" w:color="auto"/>
              <w:bottom w:val="single" w:sz="12" w:space="0" w:color="auto"/>
            </w:tcBorders>
          </w:tcPr>
          <w:p w14:paraId="49D83BFE" w14:textId="77777777" w:rsidR="001433FD" w:rsidRPr="00DB58B5" w:rsidRDefault="001433FD" w:rsidP="007D3236">
            <w:pPr>
              <w:spacing w:before="120"/>
              <w:jc w:val="center"/>
            </w:pPr>
            <w:r>
              <w:rPr>
                <w:noProof/>
                <w:lang w:eastAsia="fr-CH"/>
              </w:rPr>
              <w:drawing>
                <wp:inline distT="0" distB="0" distL="0" distR="0" wp14:anchorId="3E176310" wp14:editId="2240350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825332"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BE696D" w14:textId="77777777" w:rsidR="0001207F" w:rsidRDefault="009B0B2A" w:rsidP="009B0B2A">
            <w:pPr>
              <w:spacing w:before="240" w:line="240" w:lineRule="exact"/>
            </w:pPr>
            <w:proofErr w:type="spellStart"/>
            <w:r>
              <w:t>Distr</w:t>
            </w:r>
            <w:proofErr w:type="spellEnd"/>
            <w:r>
              <w:t>. générale</w:t>
            </w:r>
          </w:p>
          <w:p w14:paraId="7CDF4047" w14:textId="77777777" w:rsidR="009B0B2A" w:rsidRDefault="009B0B2A" w:rsidP="009B0B2A">
            <w:pPr>
              <w:spacing w:line="240" w:lineRule="exact"/>
            </w:pPr>
            <w:r>
              <w:t>25 novembre 2022</w:t>
            </w:r>
          </w:p>
          <w:p w14:paraId="1BB1E127" w14:textId="1BD7184C" w:rsidR="009B0B2A" w:rsidRDefault="0060578D" w:rsidP="009B0B2A">
            <w:pPr>
              <w:spacing w:line="240" w:lineRule="exact"/>
            </w:pPr>
            <w:r>
              <w:t>Français</w:t>
            </w:r>
          </w:p>
          <w:p w14:paraId="1217444D" w14:textId="2CF8A234" w:rsidR="009B0B2A" w:rsidRPr="00DB58B5" w:rsidRDefault="009B0B2A" w:rsidP="009B0B2A">
            <w:pPr>
              <w:spacing w:line="240" w:lineRule="exact"/>
            </w:pPr>
            <w:r>
              <w:t xml:space="preserve">Original : </w:t>
            </w:r>
            <w:r w:rsidR="0060578D">
              <w:t xml:space="preserve">anglais et </w:t>
            </w:r>
            <w:r>
              <w:t>français</w:t>
            </w:r>
          </w:p>
        </w:tc>
      </w:tr>
    </w:tbl>
    <w:p w14:paraId="3BDA8C99" w14:textId="77777777" w:rsidR="00D66076" w:rsidRDefault="00D66076" w:rsidP="00FD1581">
      <w:pPr>
        <w:spacing w:before="120"/>
        <w:rPr>
          <w:b/>
          <w:sz w:val="28"/>
          <w:szCs w:val="28"/>
        </w:rPr>
      </w:pPr>
      <w:r w:rsidRPr="00883605">
        <w:rPr>
          <w:b/>
          <w:sz w:val="28"/>
          <w:szCs w:val="28"/>
        </w:rPr>
        <w:t>Commission économique pour l’Europe</w:t>
      </w:r>
    </w:p>
    <w:p w14:paraId="4A508CF1" w14:textId="77777777" w:rsidR="00D66076" w:rsidRPr="00990CE8" w:rsidRDefault="00D66076" w:rsidP="00FD1581">
      <w:pPr>
        <w:spacing w:before="120"/>
        <w:rPr>
          <w:sz w:val="28"/>
          <w:szCs w:val="28"/>
        </w:rPr>
      </w:pPr>
      <w:r w:rsidRPr="00990CE8">
        <w:rPr>
          <w:sz w:val="28"/>
          <w:szCs w:val="28"/>
        </w:rPr>
        <w:t>Comité des transports intérieurs</w:t>
      </w:r>
    </w:p>
    <w:p w14:paraId="0F3BDEB5" w14:textId="77777777" w:rsidR="00D66076" w:rsidRPr="00990CE8" w:rsidRDefault="00D66076" w:rsidP="00FD1581">
      <w:pPr>
        <w:spacing w:before="120"/>
        <w:rPr>
          <w:b/>
          <w:sz w:val="24"/>
          <w:szCs w:val="24"/>
        </w:rPr>
      </w:pPr>
      <w:r w:rsidRPr="00990CE8">
        <w:rPr>
          <w:b/>
          <w:sz w:val="24"/>
          <w:szCs w:val="24"/>
        </w:rPr>
        <w:t xml:space="preserve">Groupe de travail des transports </w:t>
      </w:r>
      <w:r w:rsidRPr="00990CE8">
        <w:rPr>
          <w:b/>
          <w:sz w:val="24"/>
          <w:szCs w:val="24"/>
        </w:rPr>
        <w:br/>
        <w:t>de marchandises dangereuses</w:t>
      </w:r>
    </w:p>
    <w:p w14:paraId="06DB817A" w14:textId="703A9373" w:rsidR="00D66076" w:rsidRPr="00990CE8" w:rsidRDefault="0060578D" w:rsidP="00FD1581">
      <w:pPr>
        <w:spacing w:before="120"/>
        <w:rPr>
          <w:rFonts w:eastAsia="SimSun"/>
          <w:b/>
        </w:rPr>
      </w:pPr>
      <w:r>
        <w:rPr>
          <w:b/>
        </w:rPr>
        <w:t>112</w:t>
      </w:r>
      <w:r w:rsidRPr="0060578D">
        <w:rPr>
          <w:b/>
          <w:vertAlign w:val="superscript"/>
        </w:rPr>
        <w:t>e</w:t>
      </w:r>
      <w:r w:rsidR="00D66076">
        <w:rPr>
          <w:b/>
        </w:rPr>
        <w:t xml:space="preserve"> session</w:t>
      </w:r>
    </w:p>
    <w:p w14:paraId="2E02CFE2" w14:textId="220A9EFB" w:rsidR="00D66076" w:rsidRPr="00990CE8" w:rsidRDefault="00D66076" w:rsidP="00FD1581">
      <w:pPr>
        <w:rPr>
          <w:rFonts w:eastAsia="SimSun"/>
        </w:rPr>
      </w:pPr>
      <w:r w:rsidRPr="00990CE8">
        <w:t xml:space="preserve">Genève, </w:t>
      </w:r>
      <w:r w:rsidR="00BF474A">
        <w:t>8-11 novembre 2022</w:t>
      </w:r>
    </w:p>
    <w:p w14:paraId="6DE4F065" w14:textId="6B7D841F" w:rsidR="00BF474A" w:rsidRDefault="00BF474A" w:rsidP="00BF474A">
      <w:pPr>
        <w:pStyle w:val="HChG"/>
        <w:rPr>
          <w:lang w:val="fr-FR"/>
        </w:rPr>
      </w:pPr>
      <w:r>
        <w:rPr>
          <w:lang w:val="fr-FR"/>
        </w:rPr>
        <w:tab/>
      </w:r>
      <w:r>
        <w:rPr>
          <w:lang w:val="fr-FR"/>
        </w:rPr>
        <w:tab/>
        <w:t>Rapport du Groupe de travail sur sa 112</w:t>
      </w:r>
      <w:r>
        <w:rPr>
          <w:vertAlign w:val="superscript"/>
          <w:lang w:val="fr-FR"/>
        </w:rPr>
        <w:t>e</w:t>
      </w:r>
      <w:r>
        <w:rPr>
          <w:lang w:val="fr-FR"/>
        </w:rPr>
        <w:t xml:space="preserve"> session</w:t>
      </w:r>
      <w:bookmarkStart w:id="0" w:name="_Toc499903628"/>
      <w:bookmarkEnd w:id="0"/>
    </w:p>
    <w:p w14:paraId="02E73E98" w14:textId="49429B1D" w:rsidR="00BF474A" w:rsidRDefault="00BF474A" w:rsidP="00BF474A">
      <w:pPr>
        <w:pStyle w:val="H56G"/>
        <w:rPr>
          <w:lang w:val="fr-FR"/>
        </w:rPr>
      </w:pPr>
      <w:r>
        <w:rPr>
          <w:lang w:val="fr-FR"/>
        </w:rPr>
        <w:tab/>
      </w:r>
      <w:r>
        <w:rPr>
          <w:lang w:val="fr-FR"/>
        </w:rPr>
        <w:tab/>
        <w:t>tenue à Genève du 8 au 11 novembre 2022</w:t>
      </w:r>
    </w:p>
    <w:p w14:paraId="7C58EFE8" w14:textId="2134C76F" w:rsidR="00BF474A" w:rsidRDefault="00BF474A" w:rsidP="00BF474A">
      <w:pPr>
        <w:spacing w:after="120"/>
        <w:rPr>
          <w:sz w:val="28"/>
        </w:rPr>
      </w:pPr>
      <w:r>
        <w:rPr>
          <w:sz w:val="28"/>
        </w:rPr>
        <w:t>Table des matières</w:t>
      </w:r>
    </w:p>
    <w:p w14:paraId="36925267" w14:textId="77777777" w:rsidR="001C1EBA" w:rsidRPr="00ED4CEA" w:rsidRDefault="001C1EBA" w:rsidP="001C1EBA">
      <w:pPr>
        <w:tabs>
          <w:tab w:val="right" w:pos="8929"/>
          <w:tab w:val="right" w:pos="9638"/>
        </w:tabs>
        <w:spacing w:after="120"/>
        <w:ind w:left="283"/>
      </w:pPr>
      <w:r w:rsidRPr="00ED4CEA">
        <w:rPr>
          <w:i/>
          <w:sz w:val="18"/>
        </w:rPr>
        <w:tab/>
        <w:t>Paragraphes</w:t>
      </w:r>
      <w:r w:rsidRPr="00ED4CEA">
        <w:rPr>
          <w:i/>
          <w:sz w:val="18"/>
        </w:rPr>
        <w:tab/>
        <w:t>Page</w:t>
      </w:r>
    </w:p>
    <w:p w14:paraId="06BA20F0" w14:textId="23EE0314" w:rsidR="00945720" w:rsidRDefault="00945720" w:rsidP="00945720">
      <w:pPr>
        <w:tabs>
          <w:tab w:val="right" w:pos="850"/>
          <w:tab w:val="left" w:pos="1134"/>
          <w:tab w:val="left" w:pos="1559"/>
          <w:tab w:val="left" w:pos="1984"/>
          <w:tab w:val="left" w:leader="dot" w:pos="7654"/>
          <w:tab w:val="right" w:pos="8929"/>
          <w:tab w:val="right" w:pos="9638"/>
        </w:tabs>
        <w:spacing w:after="120"/>
      </w:pPr>
      <w:r>
        <w:tab/>
        <w:t>I.</w:t>
      </w:r>
      <w:r>
        <w:tab/>
        <w:t>Questions d’organisation et participation</w:t>
      </w:r>
      <w:r>
        <w:tab/>
      </w:r>
      <w:r>
        <w:tab/>
        <w:t>1</w:t>
      </w:r>
      <w:r w:rsidR="006316C6">
        <w:t>-8</w:t>
      </w:r>
      <w:r>
        <w:tab/>
        <w:t>3</w:t>
      </w:r>
    </w:p>
    <w:p w14:paraId="2D8E42DF" w14:textId="6B2CF0F9" w:rsidR="00945720" w:rsidRDefault="00945720" w:rsidP="00945720">
      <w:pPr>
        <w:tabs>
          <w:tab w:val="right" w:pos="850"/>
          <w:tab w:val="left" w:pos="1134"/>
          <w:tab w:val="left" w:pos="1559"/>
          <w:tab w:val="left" w:pos="1984"/>
          <w:tab w:val="left" w:leader="dot" w:pos="7654"/>
          <w:tab w:val="right" w:pos="8929"/>
          <w:tab w:val="right" w:pos="9638"/>
        </w:tabs>
        <w:spacing w:after="120"/>
      </w:pPr>
      <w:r>
        <w:tab/>
      </w:r>
      <w:r>
        <w:tab/>
        <w:t>A.</w:t>
      </w:r>
      <w:r>
        <w:tab/>
        <w:t>Questions d’organisation</w:t>
      </w:r>
      <w:r>
        <w:tab/>
      </w:r>
      <w:r>
        <w:tab/>
        <w:t>2</w:t>
      </w:r>
      <w:r w:rsidR="00310B88">
        <w:t>-3</w:t>
      </w:r>
      <w:r>
        <w:tab/>
        <w:t>3</w:t>
      </w:r>
    </w:p>
    <w:p w14:paraId="45A83AE1" w14:textId="72AA4EBE" w:rsidR="00945720" w:rsidRDefault="00945720" w:rsidP="00945720">
      <w:pPr>
        <w:tabs>
          <w:tab w:val="right" w:pos="850"/>
          <w:tab w:val="left" w:pos="1134"/>
          <w:tab w:val="left" w:pos="1559"/>
          <w:tab w:val="left" w:pos="1984"/>
          <w:tab w:val="left" w:leader="dot" w:pos="7654"/>
          <w:tab w:val="right" w:pos="8929"/>
          <w:tab w:val="right" w:pos="9638"/>
        </w:tabs>
        <w:spacing w:after="120"/>
        <w:rPr>
          <w:b/>
          <w:bCs/>
        </w:rPr>
      </w:pPr>
      <w:r>
        <w:rPr>
          <w:rFonts w:eastAsia="SimSun"/>
        </w:rPr>
        <w:tab/>
      </w:r>
      <w:r>
        <w:rPr>
          <w:rFonts w:eastAsia="SimSun"/>
        </w:rPr>
        <w:tab/>
        <w:t>B.</w:t>
      </w:r>
      <w:r>
        <w:rPr>
          <w:rFonts w:eastAsia="SimSun"/>
        </w:rPr>
        <w:tab/>
      </w:r>
      <w:r>
        <w:t>Participation</w:t>
      </w:r>
      <w:r>
        <w:rPr>
          <w:rFonts w:eastAsia="SimSun"/>
        </w:rPr>
        <w:tab/>
      </w:r>
      <w:r>
        <w:rPr>
          <w:rFonts w:eastAsia="SimSun"/>
        </w:rPr>
        <w:tab/>
      </w:r>
      <w:r w:rsidR="00036F28">
        <w:rPr>
          <w:rFonts w:eastAsia="SimSun"/>
        </w:rPr>
        <w:t>4-8</w:t>
      </w:r>
      <w:r>
        <w:rPr>
          <w:rFonts w:eastAsia="SimSun"/>
        </w:rPr>
        <w:tab/>
        <w:t>3</w:t>
      </w:r>
    </w:p>
    <w:p w14:paraId="61E7A9B8" w14:textId="33AB8092" w:rsidR="00945720" w:rsidRDefault="00945720" w:rsidP="00945720">
      <w:pPr>
        <w:tabs>
          <w:tab w:val="right" w:pos="850"/>
          <w:tab w:val="left" w:pos="1134"/>
          <w:tab w:val="left" w:pos="1559"/>
          <w:tab w:val="left" w:pos="1984"/>
          <w:tab w:val="left" w:leader="dot" w:pos="7654"/>
          <w:tab w:val="right" w:pos="8929"/>
          <w:tab w:val="right" w:pos="9638"/>
        </w:tabs>
        <w:spacing w:after="120"/>
      </w:pPr>
      <w:r>
        <w:tab/>
        <w:t>II.</w:t>
      </w:r>
      <w:r>
        <w:tab/>
      </w:r>
      <w:r>
        <w:rPr>
          <w:lang w:val="fr-FR"/>
        </w:rPr>
        <w:t>Adoption de l’ordre du jour (point 1 de l’ordre du jour)</w:t>
      </w:r>
      <w:r>
        <w:tab/>
      </w:r>
      <w:r>
        <w:tab/>
      </w:r>
      <w:r w:rsidR="00036F28">
        <w:t>9</w:t>
      </w:r>
      <w:r>
        <w:tab/>
        <w:t>3</w:t>
      </w:r>
    </w:p>
    <w:p w14:paraId="59FB16A0" w14:textId="0CD0C8A9" w:rsidR="00BB05B3" w:rsidRDefault="00036F28" w:rsidP="00BB05B3">
      <w:pPr>
        <w:tabs>
          <w:tab w:val="right" w:pos="851"/>
          <w:tab w:val="left" w:pos="1134"/>
          <w:tab w:val="left" w:pos="1559"/>
          <w:tab w:val="left" w:pos="1984"/>
          <w:tab w:val="left" w:leader="dot" w:pos="7654"/>
          <w:tab w:val="right" w:pos="8929"/>
          <w:tab w:val="right" w:pos="9638"/>
        </w:tabs>
        <w:spacing w:after="120"/>
        <w:rPr>
          <w:lang w:eastAsia="en-US"/>
        </w:rPr>
      </w:pPr>
      <w:r w:rsidRPr="00232DC7">
        <w:tab/>
        <w:t>III.</w:t>
      </w:r>
      <w:r w:rsidRPr="00232DC7">
        <w:tab/>
      </w:r>
      <w:r w:rsidR="009D5F9E" w:rsidRPr="009D5F9E">
        <w:rPr>
          <w:bCs/>
          <w:lang w:eastAsia="en-US"/>
        </w:rPr>
        <w:t xml:space="preserve">Quatre-vingt-quatrième session du Comité des transports intérieurs (CTI) </w:t>
      </w:r>
      <w:r w:rsidR="009D5F9E">
        <w:rPr>
          <w:lang w:eastAsia="en-US"/>
        </w:rPr>
        <w:br/>
      </w:r>
      <w:r w:rsidR="009D5F9E">
        <w:rPr>
          <w:lang w:eastAsia="en-US"/>
        </w:rPr>
        <w:tab/>
      </w:r>
      <w:r w:rsidR="009D5F9E">
        <w:rPr>
          <w:lang w:eastAsia="en-US"/>
        </w:rPr>
        <w:tab/>
      </w:r>
      <w:r w:rsidR="00232DC7" w:rsidRPr="00232DC7">
        <w:rPr>
          <w:lang w:eastAsia="en-US"/>
        </w:rPr>
        <w:t xml:space="preserve">(point </w:t>
      </w:r>
      <w:r w:rsidR="002F2F07">
        <w:rPr>
          <w:lang w:eastAsia="en-US"/>
        </w:rPr>
        <w:t>2</w:t>
      </w:r>
      <w:r w:rsidR="002F2F07" w:rsidRPr="00232DC7">
        <w:rPr>
          <w:lang w:eastAsia="en-US"/>
        </w:rPr>
        <w:t xml:space="preserve"> </w:t>
      </w:r>
      <w:r w:rsidR="00232DC7" w:rsidRPr="00232DC7">
        <w:rPr>
          <w:lang w:eastAsia="en-US"/>
        </w:rPr>
        <w:t>de l’ordre du jour)</w:t>
      </w:r>
      <w:r w:rsidR="00232DC7">
        <w:rPr>
          <w:lang w:eastAsia="en-US"/>
        </w:rPr>
        <w:tab/>
      </w:r>
      <w:r w:rsidR="00232DC7">
        <w:rPr>
          <w:lang w:eastAsia="en-US"/>
        </w:rPr>
        <w:tab/>
      </w:r>
      <w:r w:rsidR="00EA0F27">
        <w:rPr>
          <w:lang w:eastAsia="en-US"/>
        </w:rPr>
        <w:t>10</w:t>
      </w:r>
      <w:r w:rsidR="00EA0F27">
        <w:rPr>
          <w:lang w:eastAsia="en-US"/>
        </w:rPr>
        <w:tab/>
        <w:t>4</w:t>
      </w:r>
    </w:p>
    <w:p w14:paraId="74C64C79" w14:textId="44B20B7F" w:rsidR="00BB05B3" w:rsidRDefault="00EA0F27" w:rsidP="00BB05B3">
      <w:pPr>
        <w:tabs>
          <w:tab w:val="right" w:pos="851"/>
          <w:tab w:val="left" w:pos="1134"/>
          <w:tab w:val="left" w:pos="1559"/>
          <w:tab w:val="left" w:pos="1984"/>
          <w:tab w:val="left" w:leader="dot" w:pos="7654"/>
          <w:tab w:val="right" w:pos="8929"/>
          <w:tab w:val="right" w:pos="9638"/>
        </w:tabs>
        <w:spacing w:after="120"/>
        <w:ind w:left="1134" w:hanging="1134"/>
        <w:rPr>
          <w:bCs/>
          <w:lang w:eastAsia="en-US"/>
        </w:rPr>
      </w:pPr>
      <w:r w:rsidRPr="00BB05B3">
        <w:rPr>
          <w:bCs/>
        </w:rPr>
        <w:tab/>
      </w:r>
      <w:r w:rsidR="00BB05B3" w:rsidRPr="00BB05B3">
        <w:rPr>
          <w:bCs/>
          <w:lang w:eastAsia="en-US"/>
        </w:rPr>
        <w:t>IV.</w:t>
      </w:r>
      <w:r w:rsidR="00BB05B3" w:rsidRPr="00BB05B3">
        <w:rPr>
          <w:bCs/>
          <w:lang w:eastAsia="en-US"/>
        </w:rPr>
        <w:tab/>
        <w:t xml:space="preserve">État de l’Accord relatif au transport international des marchandises </w:t>
      </w:r>
      <w:r w:rsidR="00BB05B3">
        <w:rPr>
          <w:bCs/>
          <w:lang w:eastAsia="en-US"/>
        </w:rPr>
        <w:br/>
      </w:r>
      <w:r w:rsidR="00BB05B3" w:rsidRPr="00BB05B3">
        <w:rPr>
          <w:bCs/>
          <w:lang w:eastAsia="en-US"/>
        </w:rPr>
        <w:t>dangereuses par route (ADR) et questions connexes</w:t>
      </w:r>
      <w:r w:rsidR="00BB05B3">
        <w:rPr>
          <w:bCs/>
          <w:lang w:eastAsia="en-US"/>
        </w:rPr>
        <w:br/>
      </w:r>
      <w:r w:rsidR="00BB05B3" w:rsidRPr="00BB05B3">
        <w:rPr>
          <w:bCs/>
          <w:lang w:eastAsia="en-US"/>
        </w:rPr>
        <w:t>(point 3 de l’ordre du jour)</w:t>
      </w:r>
      <w:r w:rsidR="00BB05B3">
        <w:rPr>
          <w:bCs/>
          <w:lang w:eastAsia="en-US"/>
        </w:rPr>
        <w:tab/>
      </w:r>
      <w:r w:rsidR="00BB05B3">
        <w:rPr>
          <w:bCs/>
          <w:lang w:eastAsia="en-US"/>
        </w:rPr>
        <w:tab/>
        <w:t>11-18</w:t>
      </w:r>
      <w:r w:rsidR="00BB05B3">
        <w:rPr>
          <w:bCs/>
          <w:lang w:eastAsia="en-US"/>
        </w:rPr>
        <w:tab/>
        <w:t>4</w:t>
      </w:r>
    </w:p>
    <w:p w14:paraId="4710B6AA" w14:textId="5BD5D48C" w:rsidR="00BB05B3" w:rsidRPr="002270E4" w:rsidRDefault="002270E4" w:rsidP="002270E4">
      <w:pPr>
        <w:tabs>
          <w:tab w:val="right" w:pos="851"/>
          <w:tab w:val="left" w:pos="1134"/>
          <w:tab w:val="left" w:pos="1559"/>
          <w:tab w:val="left" w:pos="1984"/>
          <w:tab w:val="left" w:leader="dot" w:pos="7654"/>
          <w:tab w:val="right" w:pos="8929"/>
          <w:tab w:val="right" w:pos="9638"/>
        </w:tabs>
        <w:spacing w:after="120"/>
        <w:ind w:left="1140"/>
        <w:rPr>
          <w:bCs/>
          <w:lang w:eastAsia="en-US"/>
        </w:rPr>
      </w:pPr>
      <w:r>
        <w:rPr>
          <w:rFonts w:eastAsia="Calibri"/>
          <w:bCs/>
          <w:lang w:val="fr-FR" w:eastAsia="en-US"/>
        </w:rPr>
        <w:t>A.</w:t>
      </w:r>
      <w:r>
        <w:rPr>
          <w:rFonts w:eastAsia="Calibri"/>
          <w:bCs/>
          <w:lang w:val="fr-FR" w:eastAsia="en-US"/>
        </w:rPr>
        <w:tab/>
      </w:r>
      <w:r w:rsidRPr="002270E4">
        <w:rPr>
          <w:rFonts w:eastAsia="Calibri"/>
          <w:bCs/>
          <w:lang w:val="fr-FR" w:eastAsia="en-US"/>
        </w:rPr>
        <w:t>État de l’Accord</w:t>
      </w:r>
      <w:r w:rsidRPr="002270E4">
        <w:rPr>
          <w:rFonts w:eastAsia="Calibri"/>
          <w:bCs/>
          <w:lang w:val="fr-FR" w:eastAsia="en-US"/>
        </w:rPr>
        <w:tab/>
      </w:r>
      <w:r w:rsidRPr="002270E4">
        <w:rPr>
          <w:rFonts w:eastAsia="Calibri"/>
          <w:bCs/>
          <w:lang w:val="fr-FR" w:eastAsia="en-US"/>
        </w:rPr>
        <w:tab/>
        <w:t>11-17</w:t>
      </w:r>
      <w:r w:rsidRPr="002270E4">
        <w:rPr>
          <w:rFonts w:eastAsia="Calibri"/>
          <w:bCs/>
          <w:lang w:val="fr-FR" w:eastAsia="en-US"/>
        </w:rPr>
        <w:tab/>
        <w:t>4</w:t>
      </w:r>
    </w:p>
    <w:p w14:paraId="235C88A7" w14:textId="13DA07E8" w:rsidR="008207DE" w:rsidRDefault="002270E4" w:rsidP="00F25E7E">
      <w:pPr>
        <w:tabs>
          <w:tab w:val="right" w:pos="851"/>
          <w:tab w:val="left" w:pos="1134"/>
          <w:tab w:val="left" w:pos="1559"/>
          <w:tab w:val="left" w:pos="1984"/>
          <w:tab w:val="left" w:leader="dot" w:pos="7654"/>
          <w:tab w:val="right" w:pos="8929"/>
          <w:tab w:val="right" w:pos="9638"/>
        </w:tabs>
        <w:spacing w:after="120"/>
        <w:ind w:left="1140"/>
      </w:pPr>
      <w:r>
        <w:t>B.</w:t>
      </w:r>
      <w:r>
        <w:tab/>
        <w:t>Protocole d’amendement de 1993</w:t>
      </w:r>
      <w:r w:rsidR="00F25E7E">
        <w:tab/>
      </w:r>
      <w:r w:rsidR="00F25E7E">
        <w:tab/>
        <w:t>18</w:t>
      </w:r>
      <w:r w:rsidR="00F25E7E">
        <w:tab/>
        <w:t>4</w:t>
      </w:r>
    </w:p>
    <w:p w14:paraId="21CD04F0" w14:textId="6E86E880" w:rsidR="008207DE" w:rsidRDefault="00F25E7E" w:rsidP="00ED56DD">
      <w:pPr>
        <w:tabs>
          <w:tab w:val="right" w:pos="851"/>
          <w:tab w:val="left" w:pos="1134"/>
          <w:tab w:val="left" w:pos="1559"/>
          <w:tab w:val="left" w:pos="1984"/>
          <w:tab w:val="left" w:leader="dot" w:pos="7654"/>
          <w:tab w:val="right" w:pos="8929"/>
          <w:tab w:val="right" w:pos="9638"/>
        </w:tabs>
        <w:spacing w:after="120"/>
        <w:ind w:firstLine="709"/>
      </w:pPr>
      <w:r>
        <w:t>V.</w:t>
      </w:r>
      <w:r>
        <w:tab/>
        <w:t>Travaux de la réunion commune RID/ADR/ADN (point 4 de l’ordre du jour)</w:t>
      </w:r>
      <w:r>
        <w:tab/>
      </w:r>
      <w:r w:rsidR="00ED56DD">
        <w:tab/>
        <w:t>19</w:t>
      </w:r>
      <w:r w:rsidR="00ED56DD">
        <w:tab/>
        <w:t>5</w:t>
      </w:r>
    </w:p>
    <w:p w14:paraId="18C25D00" w14:textId="70811380" w:rsidR="008207DE" w:rsidRDefault="00ED56DD" w:rsidP="008A4FE3">
      <w:pPr>
        <w:tabs>
          <w:tab w:val="right" w:pos="851"/>
          <w:tab w:val="left" w:pos="1134"/>
          <w:tab w:val="left" w:pos="1559"/>
          <w:tab w:val="left" w:pos="1984"/>
          <w:tab w:val="left" w:leader="dot" w:pos="7654"/>
          <w:tab w:val="right" w:pos="8929"/>
          <w:tab w:val="right" w:pos="9638"/>
        </w:tabs>
        <w:spacing w:after="120"/>
        <w:ind w:firstLine="709"/>
        <w:rPr>
          <w:lang w:eastAsia="en-US"/>
        </w:rPr>
      </w:pPr>
      <w:r w:rsidRPr="0080323E">
        <w:tab/>
      </w:r>
      <w:r w:rsidR="008A4FE3" w:rsidRPr="0080323E">
        <w:t>VI.</w:t>
      </w:r>
      <w:r w:rsidR="008A4FE3" w:rsidRPr="0080323E">
        <w:tab/>
      </w:r>
      <w:r w:rsidR="0080323E" w:rsidRPr="0080323E">
        <w:rPr>
          <w:lang w:eastAsia="en-US"/>
        </w:rPr>
        <w:t xml:space="preserve">Propositions d’amendements aux annexes A et B de l’ADR </w:t>
      </w:r>
      <w:r w:rsidR="0080323E">
        <w:rPr>
          <w:lang w:eastAsia="en-US"/>
        </w:rPr>
        <w:br/>
      </w:r>
      <w:r w:rsidR="0080323E">
        <w:rPr>
          <w:lang w:eastAsia="en-US"/>
        </w:rPr>
        <w:tab/>
      </w:r>
      <w:r w:rsidR="0080323E">
        <w:rPr>
          <w:lang w:eastAsia="en-US"/>
        </w:rPr>
        <w:tab/>
      </w:r>
      <w:r w:rsidR="0080323E" w:rsidRPr="0080323E">
        <w:rPr>
          <w:lang w:eastAsia="en-US"/>
        </w:rPr>
        <w:t>(point 5 de l’ordre du jour)</w:t>
      </w:r>
      <w:r w:rsidR="0080323E">
        <w:rPr>
          <w:lang w:eastAsia="en-US"/>
        </w:rPr>
        <w:tab/>
      </w:r>
      <w:r w:rsidR="0080323E">
        <w:rPr>
          <w:lang w:eastAsia="en-US"/>
        </w:rPr>
        <w:tab/>
        <w:t>20-39</w:t>
      </w:r>
      <w:r w:rsidR="0080323E">
        <w:rPr>
          <w:lang w:eastAsia="en-US"/>
        </w:rPr>
        <w:tab/>
        <w:t>5</w:t>
      </w:r>
    </w:p>
    <w:p w14:paraId="22D607EB" w14:textId="1635CE94" w:rsidR="0080323E" w:rsidRDefault="005377FC" w:rsidP="00232E23">
      <w:pPr>
        <w:tabs>
          <w:tab w:val="right" w:pos="851"/>
          <w:tab w:val="left" w:pos="1134"/>
          <w:tab w:val="left" w:pos="1559"/>
          <w:tab w:val="left" w:pos="1984"/>
          <w:tab w:val="left" w:leader="dot" w:pos="7654"/>
          <w:tab w:val="right" w:pos="8929"/>
          <w:tab w:val="right" w:pos="9638"/>
        </w:tabs>
        <w:spacing w:after="120"/>
        <w:ind w:left="1144"/>
      </w:pPr>
      <w:r>
        <w:t>A.</w:t>
      </w:r>
      <w:r w:rsidR="00232E23">
        <w:tab/>
      </w:r>
      <w:r w:rsidR="0080323E">
        <w:t>Construction et agrément des véhicules</w:t>
      </w:r>
      <w:r w:rsidR="0080323E">
        <w:tab/>
      </w:r>
      <w:r w:rsidR="00232E23">
        <w:tab/>
        <w:t>20-30</w:t>
      </w:r>
      <w:r w:rsidR="00232E23">
        <w:tab/>
        <w:t>5</w:t>
      </w:r>
    </w:p>
    <w:p w14:paraId="1CB24266" w14:textId="61DD9122" w:rsidR="00232E23" w:rsidRPr="0080323E" w:rsidRDefault="00232E23" w:rsidP="00232E23">
      <w:pPr>
        <w:tabs>
          <w:tab w:val="right" w:pos="851"/>
          <w:tab w:val="left" w:pos="1134"/>
          <w:tab w:val="left" w:pos="1559"/>
          <w:tab w:val="left" w:pos="1984"/>
          <w:tab w:val="left" w:leader="dot" w:pos="7654"/>
          <w:tab w:val="right" w:pos="8929"/>
          <w:tab w:val="right" w:pos="9638"/>
        </w:tabs>
        <w:spacing w:after="120"/>
        <w:ind w:left="1144"/>
      </w:pPr>
      <w:r>
        <w:tab/>
      </w:r>
      <w:r w:rsidR="005377FC">
        <w:t>1.</w:t>
      </w:r>
      <w:r w:rsidR="005377FC">
        <w:tab/>
        <w:t>Dates de publication des normes au 9.2.2.2.2</w:t>
      </w:r>
      <w:r w:rsidR="005377FC">
        <w:tab/>
      </w:r>
      <w:r w:rsidR="005377FC">
        <w:tab/>
        <w:t>20</w:t>
      </w:r>
      <w:r w:rsidR="005377FC">
        <w:tab/>
        <w:t>5</w:t>
      </w:r>
    </w:p>
    <w:p w14:paraId="4E865179" w14:textId="6492050E" w:rsidR="00F25E7E" w:rsidRDefault="005377FC" w:rsidP="00036254">
      <w:pPr>
        <w:tabs>
          <w:tab w:val="right" w:pos="851"/>
          <w:tab w:val="left" w:pos="1134"/>
          <w:tab w:val="left" w:pos="1560"/>
          <w:tab w:val="left" w:pos="1985"/>
          <w:tab w:val="left" w:leader="dot" w:pos="7654"/>
          <w:tab w:val="right" w:pos="8929"/>
          <w:tab w:val="right" w:pos="9638"/>
        </w:tabs>
        <w:spacing w:after="120"/>
        <w:ind w:left="1144"/>
      </w:pPr>
      <w:r>
        <w:tab/>
        <w:t>2.</w:t>
      </w:r>
      <w:r>
        <w:tab/>
        <w:t>Rapport du groupe de travail informel</w:t>
      </w:r>
      <w:r>
        <w:br/>
      </w:r>
      <w:r>
        <w:tab/>
      </w:r>
      <w:r>
        <w:tab/>
        <w:t>sur les véhicules électrifiés</w:t>
      </w:r>
      <w:r w:rsidR="00036254">
        <w:tab/>
      </w:r>
      <w:r w:rsidR="00A65C81">
        <w:tab/>
        <w:t>21-26</w:t>
      </w:r>
      <w:r w:rsidR="00A65C81">
        <w:tab/>
        <w:t>5</w:t>
      </w:r>
    </w:p>
    <w:p w14:paraId="7C3C976F" w14:textId="396D64AC" w:rsidR="00F25E7E" w:rsidRDefault="00A65C81" w:rsidP="00BA2063">
      <w:pPr>
        <w:tabs>
          <w:tab w:val="right" w:pos="851"/>
          <w:tab w:val="left" w:pos="1134"/>
          <w:tab w:val="left" w:pos="1560"/>
          <w:tab w:val="left" w:pos="1985"/>
          <w:tab w:val="left" w:leader="dot" w:pos="7654"/>
          <w:tab w:val="right" w:pos="8929"/>
          <w:tab w:val="right" w:pos="9638"/>
        </w:tabs>
        <w:spacing w:after="120"/>
        <w:ind w:left="1144"/>
      </w:pPr>
      <w:r>
        <w:tab/>
        <w:t>3.</w:t>
      </w:r>
      <w:r>
        <w:tab/>
      </w:r>
      <w:r w:rsidR="00E94C52">
        <w:rPr>
          <w:lang w:val="fr-FR"/>
        </w:rPr>
        <w:t>Règlement ONU No 105</w:t>
      </w:r>
      <w:r w:rsidR="00BA2063">
        <w:rPr>
          <w:lang w:val="fr-FR"/>
        </w:rPr>
        <w:tab/>
      </w:r>
      <w:r w:rsidR="00BA2063">
        <w:rPr>
          <w:lang w:val="fr-FR"/>
        </w:rPr>
        <w:tab/>
        <w:t>27-28</w:t>
      </w:r>
      <w:r w:rsidR="00BA2063">
        <w:rPr>
          <w:lang w:val="fr-FR"/>
        </w:rPr>
        <w:tab/>
        <w:t>6</w:t>
      </w:r>
    </w:p>
    <w:p w14:paraId="4AD077DC" w14:textId="303A3F4F" w:rsidR="00F25E7E" w:rsidRDefault="00BA2063" w:rsidP="003C4C0C">
      <w:pPr>
        <w:tabs>
          <w:tab w:val="right" w:pos="851"/>
          <w:tab w:val="left" w:pos="1134"/>
          <w:tab w:val="left" w:pos="1560"/>
          <w:tab w:val="left" w:pos="1985"/>
          <w:tab w:val="left" w:leader="dot" w:pos="7654"/>
          <w:tab w:val="right" w:pos="8929"/>
          <w:tab w:val="right" w:pos="9638"/>
        </w:tabs>
        <w:spacing w:after="120"/>
        <w:ind w:left="1144"/>
      </w:pPr>
      <w:r>
        <w:tab/>
        <w:t>4.</w:t>
      </w:r>
      <w:r>
        <w:tab/>
      </w:r>
      <w:r w:rsidR="00F46C86">
        <w:rPr>
          <w:lang w:eastAsia="fr-FR"/>
        </w:rPr>
        <w:t xml:space="preserve">Lignes directrices pour la </w:t>
      </w:r>
      <w:r w:rsidR="00F46C86" w:rsidRPr="003C4C0C">
        <w:rPr>
          <w:lang w:val="fr-FR"/>
        </w:rPr>
        <w:t>détermination</w:t>
      </w:r>
      <w:r w:rsidR="00F46C86">
        <w:rPr>
          <w:lang w:eastAsia="fr-FR"/>
        </w:rPr>
        <w:t xml:space="preserve"> de la date de première </w:t>
      </w:r>
      <w:r w:rsidR="008C3A30">
        <w:rPr>
          <w:lang w:eastAsia="fr-FR"/>
        </w:rPr>
        <w:br/>
      </w:r>
      <w:r w:rsidR="008C3A30">
        <w:rPr>
          <w:lang w:eastAsia="fr-FR"/>
        </w:rPr>
        <w:tab/>
      </w:r>
      <w:r w:rsidR="008C3A30">
        <w:rPr>
          <w:lang w:eastAsia="fr-FR"/>
        </w:rPr>
        <w:tab/>
      </w:r>
      <w:r w:rsidR="00F46C86">
        <w:t>immatriculation</w:t>
      </w:r>
      <w:r w:rsidR="00F46C86">
        <w:rPr>
          <w:lang w:eastAsia="fr-FR"/>
        </w:rPr>
        <w:t xml:space="preserve"> des véhicules routiers</w:t>
      </w:r>
      <w:r w:rsidR="008C3A30">
        <w:rPr>
          <w:lang w:eastAsia="fr-FR"/>
        </w:rPr>
        <w:tab/>
      </w:r>
      <w:r w:rsidR="008C3A30">
        <w:rPr>
          <w:lang w:eastAsia="fr-FR"/>
        </w:rPr>
        <w:tab/>
        <w:t>29-30</w:t>
      </w:r>
      <w:r w:rsidR="008C3A30">
        <w:rPr>
          <w:lang w:eastAsia="fr-FR"/>
        </w:rPr>
        <w:tab/>
        <w:t>6</w:t>
      </w:r>
    </w:p>
    <w:p w14:paraId="23A924F6" w14:textId="61698F9D" w:rsidR="008207DE" w:rsidRDefault="009C3A81" w:rsidP="009C3A81">
      <w:pPr>
        <w:tabs>
          <w:tab w:val="right" w:pos="851"/>
          <w:tab w:val="left" w:pos="1134"/>
          <w:tab w:val="left" w:pos="1559"/>
          <w:tab w:val="left" w:pos="1984"/>
          <w:tab w:val="left" w:leader="dot" w:pos="7654"/>
          <w:tab w:val="right" w:pos="8929"/>
          <w:tab w:val="right" w:pos="9638"/>
        </w:tabs>
        <w:spacing w:after="120"/>
        <w:ind w:left="1144"/>
      </w:pPr>
      <w:r>
        <w:t>B.</w:t>
      </w:r>
      <w:r>
        <w:tab/>
      </w:r>
      <w:r w:rsidR="008C3A30">
        <w:t>Propositions diverses</w:t>
      </w:r>
      <w:r w:rsidR="00EB51F3">
        <w:tab/>
      </w:r>
      <w:r>
        <w:tab/>
        <w:t>31-39</w:t>
      </w:r>
      <w:r>
        <w:tab/>
        <w:t>6</w:t>
      </w:r>
    </w:p>
    <w:p w14:paraId="13B33B59" w14:textId="2110F6E0" w:rsidR="008207DE" w:rsidRDefault="009C3A81" w:rsidP="0005485C">
      <w:pPr>
        <w:tabs>
          <w:tab w:val="right" w:pos="851"/>
          <w:tab w:val="left" w:pos="1134"/>
          <w:tab w:val="left" w:pos="1559"/>
          <w:tab w:val="left" w:pos="1984"/>
          <w:tab w:val="left" w:leader="dot" w:pos="7654"/>
          <w:tab w:val="right" w:pos="8929"/>
          <w:tab w:val="right" w:pos="9638"/>
        </w:tabs>
        <w:spacing w:after="120"/>
        <w:ind w:left="1144"/>
      </w:pPr>
      <w:r>
        <w:lastRenderedPageBreak/>
        <w:tab/>
        <w:t>1.</w:t>
      </w:r>
      <w:r>
        <w:tab/>
      </w:r>
      <w:r w:rsidR="00EE763C">
        <w:t>Exemption des restrictions de circulation en tunnels</w:t>
      </w:r>
      <w:r w:rsidR="00EE763C">
        <w:br/>
      </w:r>
      <w:r w:rsidR="00EE763C">
        <w:tab/>
      </w:r>
      <w:r w:rsidR="00EE763C">
        <w:tab/>
        <w:t>pour les marchandises dangereuses de catégorie 4</w:t>
      </w:r>
      <w:r w:rsidR="0005485C">
        <w:tab/>
      </w:r>
      <w:r w:rsidR="0005485C">
        <w:tab/>
        <w:t>31-33</w:t>
      </w:r>
      <w:r w:rsidR="0005485C">
        <w:tab/>
        <w:t>6</w:t>
      </w:r>
    </w:p>
    <w:p w14:paraId="78F9EB77" w14:textId="6E7EF82D" w:rsidR="009C3A81" w:rsidRDefault="0005485C" w:rsidP="0064147E">
      <w:pPr>
        <w:tabs>
          <w:tab w:val="right" w:pos="851"/>
          <w:tab w:val="left" w:pos="1134"/>
          <w:tab w:val="left" w:pos="1560"/>
          <w:tab w:val="left" w:pos="1985"/>
          <w:tab w:val="left" w:leader="dot" w:pos="7654"/>
          <w:tab w:val="right" w:pos="8929"/>
          <w:tab w:val="right" w:pos="9638"/>
        </w:tabs>
        <w:spacing w:after="120"/>
        <w:ind w:left="1144"/>
      </w:pPr>
      <w:r>
        <w:tab/>
        <w:t>2.</w:t>
      </w:r>
      <w:r>
        <w:tab/>
      </w:r>
      <w:r w:rsidR="004E770F">
        <w:t>Section 9.1.3 – certificats d’agrément des véhicules</w:t>
      </w:r>
      <w:r w:rsidR="0064147E">
        <w:tab/>
      </w:r>
      <w:r w:rsidR="0099458F">
        <w:tab/>
        <w:t>34</w:t>
      </w:r>
      <w:r w:rsidR="0099458F">
        <w:tab/>
        <w:t>6</w:t>
      </w:r>
    </w:p>
    <w:p w14:paraId="5DA16CE5" w14:textId="0F6787C9" w:rsidR="009C3A81" w:rsidRDefault="0099458F" w:rsidP="007B3C5A">
      <w:pPr>
        <w:tabs>
          <w:tab w:val="right" w:pos="851"/>
          <w:tab w:val="left" w:pos="1134"/>
          <w:tab w:val="left" w:pos="1560"/>
          <w:tab w:val="left" w:pos="1985"/>
          <w:tab w:val="left" w:leader="dot" w:pos="7654"/>
          <w:tab w:val="right" w:pos="8929"/>
          <w:tab w:val="right" w:pos="9638"/>
        </w:tabs>
        <w:spacing w:after="120"/>
        <w:ind w:left="1144"/>
      </w:pPr>
      <w:r>
        <w:tab/>
        <w:t>3.</w:t>
      </w:r>
      <w:r>
        <w:tab/>
      </w:r>
      <w:r w:rsidR="006217A3">
        <w:t xml:space="preserve">Nouvelles dispositions pour les citernes en matière plastique </w:t>
      </w:r>
      <w:r w:rsidR="007B3C5A">
        <w:br/>
      </w:r>
      <w:r w:rsidR="007B3C5A">
        <w:tab/>
      </w:r>
      <w:r w:rsidR="007B3C5A">
        <w:tab/>
      </w:r>
      <w:r w:rsidR="006217A3">
        <w:t>renforcée de fibres – amendements de conséquence</w:t>
      </w:r>
      <w:r w:rsidR="007B3C5A">
        <w:tab/>
      </w:r>
      <w:r w:rsidR="007B3C5A">
        <w:tab/>
        <w:t>35-39</w:t>
      </w:r>
      <w:r w:rsidR="007B3C5A">
        <w:tab/>
        <w:t>6</w:t>
      </w:r>
    </w:p>
    <w:p w14:paraId="40150F31" w14:textId="30874232" w:rsidR="009C3A81" w:rsidRPr="00BA64EB" w:rsidRDefault="007B3C5A" w:rsidP="00BD43CA">
      <w:pPr>
        <w:tabs>
          <w:tab w:val="right" w:pos="851"/>
          <w:tab w:val="left" w:pos="1134"/>
          <w:tab w:val="left" w:pos="1559"/>
          <w:tab w:val="left" w:pos="1984"/>
          <w:tab w:val="left" w:leader="dot" w:pos="7654"/>
          <w:tab w:val="right" w:pos="8929"/>
          <w:tab w:val="right" w:pos="9638"/>
        </w:tabs>
        <w:spacing w:after="120"/>
        <w:ind w:left="1144" w:hanging="435"/>
      </w:pPr>
      <w:r w:rsidRPr="00BA64EB">
        <w:tab/>
        <w:t>VII.</w:t>
      </w:r>
      <w:r w:rsidRPr="00BA64EB">
        <w:tab/>
      </w:r>
      <w:r w:rsidR="00BA64EB" w:rsidRPr="00BA64EB">
        <w:rPr>
          <w:lang w:eastAsia="en-US"/>
        </w:rPr>
        <w:t>Interprétation de l’ADR (point 6 de l’ordre du jour)</w:t>
      </w:r>
      <w:r w:rsidR="00BD43CA">
        <w:rPr>
          <w:lang w:eastAsia="en-US"/>
        </w:rPr>
        <w:tab/>
      </w:r>
      <w:r w:rsidR="00BD43CA">
        <w:rPr>
          <w:lang w:eastAsia="en-US"/>
        </w:rPr>
        <w:tab/>
        <w:t>40-43</w:t>
      </w:r>
      <w:r w:rsidR="00BD43CA">
        <w:rPr>
          <w:lang w:eastAsia="en-US"/>
        </w:rPr>
        <w:tab/>
        <w:t>7</w:t>
      </w:r>
    </w:p>
    <w:p w14:paraId="7C716F5C" w14:textId="6C4E494B" w:rsidR="009C3A81" w:rsidRDefault="00514F5E" w:rsidP="00514F5E">
      <w:pPr>
        <w:tabs>
          <w:tab w:val="right" w:pos="851"/>
          <w:tab w:val="left" w:pos="1134"/>
          <w:tab w:val="left" w:pos="1560"/>
          <w:tab w:val="left" w:pos="1985"/>
          <w:tab w:val="left" w:leader="dot" w:pos="7654"/>
          <w:tab w:val="right" w:pos="8929"/>
          <w:tab w:val="right" w:pos="9638"/>
        </w:tabs>
        <w:spacing w:after="120"/>
        <w:ind w:left="1144"/>
      </w:pPr>
      <w:r>
        <w:t>A.</w:t>
      </w:r>
      <w:r>
        <w:tab/>
      </w:r>
      <w:r w:rsidR="008322DA">
        <w:t>Calcul de la masse nette de matière explosible</w:t>
      </w:r>
      <w:r>
        <w:tab/>
      </w:r>
      <w:r>
        <w:tab/>
        <w:t>40-41</w:t>
      </w:r>
      <w:r>
        <w:tab/>
        <w:t>7</w:t>
      </w:r>
    </w:p>
    <w:p w14:paraId="125EB603" w14:textId="4ECAA4F2" w:rsidR="00514F5E" w:rsidRDefault="00514F5E" w:rsidP="00514F5E">
      <w:pPr>
        <w:tabs>
          <w:tab w:val="right" w:pos="851"/>
          <w:tab w:val="left" w:pos="1134"/>
          <w:tab w:val="left" w:pos="1560"/>
          <w:tab w:val="left" w:pos="1985"/>
          <w:tab w:val="left" w:leader="dot" w:pos="7654"/>
          <w:tab w:val="right" w:pos="8929"/>
          <w:tab w:val="right" w:pos="9638"/>
        </w:tabs>
        <w:spacing w:after="120"/>
        <w:ind w:left="1144"/>
      </w:pPr>
      <w:r>
        <w:t>B.</w:t>
      </w:r>
      <w:r>
        <w:tab/>
        <w:t>Champ d’application de l’ADR</w:t>
      </w:r>
      <w:r>
        <w:tab/>
      </w:r>
      <w:r>
        <w:tab/>
        <w:t>42-43</w:t>
      </w:r>
      <w:r>
        <w:tab/>
        <w:t>7</w:t>
      </w:r>
    </w:p>
    <w:p w14:paraId="6F985536" w14:textId="487E6CFC" w:rsidR="006914E7" w:rsidRDefault="006914E7" w:rsidP="006914E7">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111201">
        <w:tab/>
        <w:t>VIII.</w:t>
      </w:r>
      <w:r w:rsidRPr="00111201">
        <w:tab/>
      </w:r>
      <w:r w:rsidR="00111201" w:rsidRPr="00111201">
        <w:rPr>
          <w:lang w:eastAsia="en-US"/>
        </w:rPr>
        <w:t>Programme de travail (point 7 de l’ordre du jour)</w:t>
      </w:r>
      <w:r w:rsidRPr="00111201">
        <w:rPr>
          <w:lang w:eastAsia="en-US"/>
        </w:rPr>
        <w:tab/>
      </w:r>
      <w:r w:rsidRPr="00111201">
        <w:rPr>
          <w:lang w:eastAsia="en-US"/>
        </w:rPr>
        <w:tab/>
        <w:t>4</w:t>
      </w:r>
      <w:r w:rsidR="00111201">
        <w:rPr>
          <w:lang w:eastAsia="en-US"/>
        </w:rPr>
        <w:t>4</w:t>
      </w:r>
      <w:r w:rsidRPr="00111201">
        <w:rPr>
          <w:lang w:eastAsia="en-US"/>
        </w:rPr>
        <w:tab/>
      </w:r>
      <w:r w:rsidR="00111201">
        <w:rPr>
          <w:lang w:eastAsia="en-US"/>
        </w:rPr>
        <w:t>8</w:t>
      </w:r>
    </w:p>
    <w:p w14:paraId="3527C814" w14:textId="38DE29CF" w:rsidR="00111201" w:rsidRDefault="00111201" w:rsidP="006914E7">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t>IX.</w:t>
      </w:r>
      <w:r>
        <w:rPr>
          <w:lang w:eastAsia="en-US"/>
        </w:rPr>
        <w:tab/>
        <w:t>Questions diverses (point 8 de l’ordre du jour)</w:t>
      </w:r>
      <w:r>
        <w:rPr>
          <w:lang w:eastAsia="en-US"/>
        </w:rPr>
        <w:tab/>
      </w:r>
      <w:r>
        <w:rPr>
          <w:lang w:eastAsia="en-US"/>
        </w:rPr>
        <w:tab/>
        <w:t>45</w:t>
      </w:r>
      <w:r w:rsidR="00076227">
        <w:rPr>
          <w:lang w:eastAsia="en-US"/>
        </w:rPr>
        <w:t>-60</w:t>
      </w:r>
      <w:r>
        <w:rPr>
          <w:lang w:eastAsia="en-US"/>
        </w:rPr>
        <w:tab/>
        <w:t>8</w:t>
      </w:r>
    </w:p>
    <w:p w14:paraId="02536AD4" w14:textId="4505FA68" w:rsidR="00111201" w:rsidRPr="00076227" w:rsidRDefault="00076227" w:rsidP="00076227">
      <w:pPr>
        <w:tabs>
          <w:tab w:val="right" w:pos="851"/>
          <w:tab w:val="left" w:pos="1134"/>
          <w:tab w:val="left" w:pos="1559"/>
          <w:tab w:val="left" w:pos="1984"/>
          <w:tab w:val="left" w:leader="dot" w:pos="7654"/>
          <w:tab w:val="right" w:pos="8929"/>
          <w:tab w:val="right" w:pos="9638"/>
        </w:tabs>
        <w:spacing w:after="120"/>
        <w:ind w:left="1144"/>
        <w:rPr>
          <w:bCs/>
        </w:rPr>
      </w:pPr>
      <w:r>
        <w:rPr>
          <w:bCs/>
          <w:lang w:val="fr-FR" w:eastAsia="fr-FR"/>
        </w:rPr>
        <w:t>A.</w:t>
      </w:r>
      <w:r>
        <w:rPr>
          <w:bCs/>
          <w:lang w:val="fr-FR" w:eastAsia="fr-FR"/>
        </w:rPr>
        <w:tab/>
      </w:r>
      <w:r w:rsidRPr="00076227">
        <w:rPr>
          <w:bCs/>
          <w:lang w:val="fr-FR" w:eastAsia="fr-FR"/>
        </w:rPr>
        <w:t>Économie circulaire et utilisation durable des ressources naturelles</w:t>
      </w:r>
      <w:r w:rsidRPr="00076227">
        <w:rPr>
          <w:bCs/>
          <w:lang w:val="fr-FR" w:eastAsia="fr-FR"/>
        </w:rPr>
        <w:tab/>
      </w:r>
      <w:r w:rsidRPr="00076227">
        <w:rPr>
          <w:bCs/>
          <w:lang w:val="fr-FR" w:eastAsia="fr-FR"/>
        </w:rPr>
        <w:tab/>
        <w:t>45-51</w:t>
      </w:r>
      <w:r w:rsidRPr="00076227">
        <w:rPr>
          <w:bCs/>
          <w:lang w:val="fr-FR" w:eastAsia="fr-FR"/>
        </w:rPr>
        <w:tab/>
        <w:t>8</w:t>
      </w:r>
    </w:p>
    <w:p w14:paraId="5876986C" w14:textId="78026B87" w:rsidR="00076227" w:rsidRPr="00076227" w:rsidRDefault="00076227" w:rsidP="00076227">
      <w:pPr>
        <w:tabs>
          <w:tab w:val="right" w:pos="851"/>
          <w:tab w:val="left" w:pos="1134"/>
          <w:tab w:val="left" w:pos="1559"/>
          <w:tab w:val="left" w:pos="1984"/>
          <w:tab w:val="left" w:leader="dot" w:pos="7654"/>
          <w:tab w:val="right" w:pos="8929"/>
          <w:tab w:val="right" w:pos="9638"/>
        </w:tabs>
        <w:spacing w:after="120"/>
        <w:ind w:left="1144"/>
        <w:rPr>
          <w:bCs/>
        </w:rPr>
      </w:pPr>
      <w:r>
        <w:rPr>
          <w:bCs/>
        </w:rPr>
        <w:t>B.</w:t>
      </w:r>
      <w:r>
        <w:rPr>
          <w:bCs/>
        </w:rPr>
        <w:tab/>
        <w:t xml:space="preserve">Projet </w:t>
      </w:r>
      <w:proofErr w:type="spellStart"/>
      <w:r>
        <w:rPr>
          <w:bCs/>
        </w:rPr>
        <w:t>EuroMed</w:t>
      </w:r>
      <w:proofErr w:type="spellEnd"/>
      <w:r>
        <w:rPr>
          <w:bCs/>
        </w:rPr>
        <w:t xml:space="preserve"> TSP</w:t>
      </w:r>
      <w:r>
        <w:rPr>
          <w:bCs/>
        </w:rPr>
        <w:tab/>
      </w:r>
      <w:r>
        <w:rPr>
          <w:bCs/>
        </w:rPr>
        <w:tab/>
        <w:t>52-55</w:t>
      </w:r>
      <w:r>
        <w:rPr>
          <w:bCs/>
        </w:rPr>
        <w:tab/>
        <w:t>9</w:t>
      </w:r>
    </w:p>
    <w:p w14:paraId="4F26B726" w14:textId="2268AE4A" w:rsidR="00514F5E" w:rsidRDefault="00076227" w:rsidP="00514F5E">
      <w:pPr>
        <w:tabs>
          <w:tab w:val="right" w:pos="851"/>
          <w:tab w:val="left" w:pos="1134"/>
          <w:tab w:val="left" w:pos="1560"/>
          <w:tab w:val="left" w:pos="1985"/>
          <w:tab w:val="left" w:leader="dot" w:pos="7654"/>
          <w:tab w:val="right" w:pos="8929"/>
          <w:tab w:val="right" w:pos="9638"/>
        </w:tabs>
        <w:spacing w:after="120"/>
        <w:ind w:left="1144"/>
      </w:pPr>
      <w:r>
        <w:t>C.</w:t>
      </w:r>
      <w:r>
        <w:tab/>
        <w:t>Traduction</w:t>
      </w:r>
      <w:r w:rsidR="0024783E">
        <w:t>s</w:t>
      </w:r>
      <w:r w:rsidR="00B03479">
        <w:t xml:space="preserve"> de l’ADR</w:t>
      </w:r>
      <w:r w:rsidR="00B03479">
        <w:tab/>
      </w:r>
      <w:r w:rsidR="00B03479">
        <w:tab/>
        <w:t>56</w:t>
      </w:r>
      <w:r w:rsidR="00B03479">
        <w:tab/>
        <w:t>9</w:t>
      </w:r>
    </w:p>
    <w:p w14:paraId="34C71736" w14:textId="251F298D" w:rsidR="009C3A81" w:rsidRDefault="00B03479" w:rsidP="00FB18C6">
      <w:pPr>
        <w:tabs>
          <w:tab w:val="right" w:pos="851"/>
          <w:tab w:val="left" w:pos="1134"/>
          <w:tab w:val="left" w:pos="1560"/>
          <w:tab w:val="left" w:pos="1985"/>
          <w:tab w:val="left" w:leader="dot" w:pos="7654"/>
          <w:tab w:val="right" w:pos="8929"/>
          <w:tab w:val="right" w:pos="9638"/>
        </w:tabs>
        <w:spacing w:after="120"/>
        <w:ind w:left="1144"/>
      </w:pPr>
      <w:r>
        <w:t>D.</w:t>
      </w:r>
      <w:r>
        <w:tab/>
        <w:t>Feuille de route ADR</w:t>
      </w:r>
      <w:r w:rsidR="00FB18C6">
        <w:tab/>
      </w:r>
      <w:r w:rsidR="00FB18C6">
        <w:tab/>
        <w:t>57</w:t>
      </w:r>
      <w:r w:rsidR="00FB18C6">
        <w:tab/>
        <w:t>9</w:t>
      </w:r>
    </w:p>
    <w:p w14:paraId="3789CDEE" w14:textId="020FB6B8" w:rsidR="00FB18C6" w:rsidRDefault="00FB18C6" w:rsidP="00FB18C6">
      <w:pPr>
        <w:tabs>
          <w:tab w:val="right" w:pos="851"/>
          <w:tab w:val="left" w:pos="1134"/>
          <w:tab w:val="left" w:pos="1560"/>
          <w:tab w:val="left" w:pos="1985"/>
          <w:tab w:val="left" w:leader="dot" w:pos="7654"/>
          <w:tab w:val="right" w:pos="8929"/>
          <w:tab w:val="right" w:pos="9638"/>
        </w:tabs>
        <w:spacing w:after="120"/>
        <w:ind w:left="1144"/>
      </w:pPr>
      <w:r>
        <w:t>E.</w:t>
      </w:r>
      <w:r>
        <w:tab/>
        <w:t xml:space="preserve">Plateforme d’apprentissage en ligne </w:t>
      </w:r>
      <w:proofErr w:type="spellStart"/>
      <w:r>
        <w:t>LearnITC</w:t>
      </w:r>
      <w:proofErr w:type="spellEnd"/>
      <w:r>
        <w:tab/>
      </w:r>
      <w:r>
        <w:tab/>
        <w:t>58-59</w:t>
      </w:r>
      <w:r>
        <w:tab/>
        <w:t>10</w:t>
      </w:r>
    </w:p>
    <w:p w14:paraId="2FE170C2" w14:textId="7C1594EC" w:rsidR="00CF722D" w:rsidRDefault="00CF722D" w:rsidP="00FB18C6">
      <w:pPr>
        <w:tabs>
          <w:tab w:val="right" w:pos="851"/>
          <w:tab w:val="left" w:pos="1134"/>
          <w:tab w:val="left" w:pos="1560"/>
          <w:tab w:val="left" w:pos="1985"/>
          <w:tab w:val="left" w:leader="dot" w:pos="7654"/>
          <w:tab w:val="right" w:pos="8929"/>
          <w:tab w:val="right" w:pos="9638"/>
        </w:tabs>
        <w:spacing w:after="120"/>
        <w:ind w:left="1144"/>
      </w:pPr>
      <w:r>
        <w:t>F.</w:t>
      </w:r>
      <w:r>
        <w:tab/>
        <w:t>Hommage</w:t>
      </w:r>
      <w:r>
        <w:tab/>
      </w:r>
      <w:r>
        <w:tab/>
        <w:t>60</w:t>
      </w:r>
      <w:r>
        <w:tab/>
        <w:t>10</w:t>
      </w:r>
    </w:p>
    <w:p w14:paraId="751EB390" w14:textId="43A4623D" w:rsidR="00CF722D" w:rsidRDefault="00CF722D" w:rsidP="00CF722D">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3061D5">
        <w:rPr>
          <w:lang w:eastAsia="en-US"/>
        </w:rPr>
        <w:t>X.</w:t>
      </w:r>
      <w:r w:rsidRPr="003061D5">
        <w:rPr>
          <w:lang w:eastAsia="en-US"/>
        </w:rPr>
        <w:tab/>
      </w:r>
      <w:r w:rsidR="003061D5" w:rsidRPr="003061D5">
        <w:rPr>
          <w:lang w:val="fr-FR" w:eastAsia="fr-FR"/>
        </w:rPr>
        <w:t>Élection du Bureau pour 2023</w:t>
      </w:r>
      <w:r w:rsidR="003061D5" w:rsidRPr="003061D5">
        <w:rPr>
          <w:lang w:val="fr-FR" w:eastAsia="en-US"/>
        </w:rPr>
        <w:t xml:space="preserve"> (point 9 de l’ordre du jour)</w:t>
      </w:r>
      <w:r w:rsidRPr="003061D5">
        <w:rPr>
          <w:lang w:eastAsia="en-US"/>
        </w:rPr>
        <w:tab/>
      </w:r>
      <w:r w:rsidRPr="003061D5">
        <w:rPr>
          <w:lang w:eastAsia="en-US"/>
        </w:rPr>
        <w:tab/>
      </w:r>
      <w:r w:rsidR="003061D5">
        <w:rPr>
          <w:lang w:eastAsia="en-US"/>
        </w:rPr>
        <w:t>61</w:t>
      </w:r>
      <w:r>
        <w:rPr>
          <w:lang w:eastAsia="en-US"/>
        </w:rPr>
        <w:tab/>
      </w:r>
      <w:r w:rsidR="003061D5">
        <w:rPr>
          <w:lang w:eastAsia="en-US"/>
        </w:rPr>
        <w:t>10</w:t>
      </w:r>
    </w:p>
    <w:p w14:paraId="14599814" w14:textId="19694A8E" w:rsidR="003061D5" w:rsidRDefault="003061D5" w:rsidP="00CF722D">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t>XI.</w:t>
      </w:r>
      <w:r>
        <w:rPr>
          <w:lang w:eastAsia="en-US"/>
        </w:rPr>
        <w:tab/>
        <w:t>Adoption du rapport (point 10 de l’ordre du jour)</w:t>
      </w:r>
      <w:r>
        <w:rPr>
          <w:lang w:eastAsia="en-US"/>
        </w:rPr>
        <w:tab/>
      </w:r>
      <w:r w:rsidR="00C33BAA">
        <w:rPr>
          <w:lang w:eastAsia="en-US"/>
        </w:rPr>
        <w:tab/>
        <w:t>62-64</w:t>
      </w:r>
      <w:r w:rsidR="00C33BAA">
        <w:rPr>
          <w:lang w:eastAsia="en-US"/>
        </w:rPr>
        <w:tab/>
        <w:t>10</w:t>
      </w:r>
    </w:p>
    <w:p w14:paraId="775DF69C" w14:textId="77777777" w:rsidR="00C33BAA" w:rsidRDefault="00C33BAA" w:rsidP="00CF722D">
      <w:pPr>
        <w:tabs>
          <w:tab w:val="right" w:pos="851"/>
          <w:tab w:val="left" w:pos="1134"/>
          <w:tab w:val="left" w:pos="1559"/>
          <w:tab w:val="left" w:pos="1984"/>
          <w:tab w:val="left" w:leader="dot" w:pos="7654"/>
          <w:tab w:val="right" w:pos="8929"/>
          <w:tab w:val="right" w:pos="9638"/>
        </w:tabs>
        <w:spacing w:after="120"/>
        <w:ind w:left="1144" w:hanging="435"/>
        <w:rPr>
          <w:lang w:eastAsia="en-US"/>
        </w:rPr>
      </w:pPr>
    </w:p>
    <w:p w14:paraId="62FF0BE8" w14:textId="77777777" w:rsidR="00CF722D" w:rsidRDefault="00CF722D" w:rsidP="00FB18C6">
      <w:pPr>
        <w:tabs>
          <w:tab w:val="right" w:pos="851"/>
          <w:tab w:val="left" w:pos="1134"/>
          <w:tab w:val="left" w:pos="1560"/>
          <w:tab w:val="left" w:pos="1985"/>
          <w:tab w:val="left" w:leader="dot" w:pos="7654"/>
          <w:tab w:val="right" w:pos="8929"/>
          <w:tab w:val="right" w:pos="9638"/>
        </w:tabs>
        <w:spacing w:after="120"/>
        <w:ind w:left="1144"/>
      </w:pPr>
    </w:p>
    <w:p w14:paraId="1EA18628" w14:textId="021000FB" w:rsidR="009C3A81" w:rsidRDefault="00C33BAA">
      <w:pPr>
        <w:suppressAutoHyphens w:val="0"/>
        <w:kinsoku/>
        <w:overflowPunct/>
        <w:autoSpaceDE/>
        <w:autoSpaceDN/>
        <w:adjustRightInd/>
        <w:snapToGrid/>
        <w:spacing w:after="200" w:line="276" w:lineRule="auto"/>
      </w:pPr>
      <w:r>
        <w:t>Annexe</w:t>
      </w:r>
    </w:p>
    <w:p w14:paraId="4BB27F32" w14:textId="44DD0B31" w:rsidR="001B3021" w:rsidRPr="005C2AD1" w:rsidRDefault="001B3021" w:rsidP="005C2AD1">
      <w:pPr>
        <w:tabs>
          <w:tab w:val="right" w:pos="851"/>
          <w:tab w:val="left" w:pos="1134"/>
          <w:tab w:val="left" w:pos="1559"/>
          <w:tab w:val="left" w:pos="1984"/>
          <w:tab w:val="left" w:leader="dot" w:pos="7654"/>
          <w:tab w:val="right" w:pos="8929"/>
          <w:tab w:val="right" w:pos="9638"/>
        </w:tabs>
        <w:spacing w:after="120"/>
        <w:ind w:left="1144" w:hanging="435"/>
        <w:rPr>
          <w:lang w:val="fr-FR"/>
        </w:rPr>
      </w:pPr>
      <w:r w:rsidRPr="005C2AD1">
        <w:rPr>
          <w:lang w:val="fr-FR"/>
        </w:rPr>
        <w:tab/>
      </w:r>
      <w:r w:rsidRPr="005C2AD1">
        <w:rPr>
          <w:lang w:val="fr-FR"/>
        </w:rPr>
        <w:tab/>
        <w:t xml:space="preserve">Projet d’amendements aux annexes A et B de l’ADR pour </w:t>
      </w:r>
      <w:proofErr w:type="spellStart"/>
      <w:r w:rsidRPr="005C2AD1">
        <w:rPr>
          <w:lang w:val="fr-FR"/>
        </w:rPr>
        <w:t>entrée</w:t>
      </w:r>
      <w:proofErr w:type="spellEnd"/>
      <w:r w:rsidRPr="005C2AD1">
        <w:rPr>
          <w:lang w:val="fr-FR"/>
        </w:rPr>
        <w:t xml:space="preserve"> en vigueur</w:t>
      </w:r>
      <w:r w:rsidRPr="005C2AD1">
        <w:rPr>
          <w:lang w:val="fr-FR"/>
        </w:rPr>
        <w:br/>
        <w:t>le 1er janvier 2025</w:t>
      </w:r>
      <w:r w:rsidR="005C2AD1" w:rsidRPr="005C2AD1">
        <w:rPr>
          <w:lang w:val="fr-FR"/>
        </w:rPr>
        <w:tab/>
      </w:r>
      <w:r w:rsidR="005C2AD1">
        <w:rPr>
          <w:lang w:val="fr-FR"/>
        </w:rPr>
        <w:tab/>
      </w:r>
      <w:r w:rsidR="005C2AD1">
        <w:rPr>
          <w:lang w:val="fr-FR"/>
        </w:rPr>
        <w:tab/>
        <w:t>11</w:t>
      </w:r>
    </w:p>
    <w:p w14:paraId="02DAE6AA" w14:textId="22CFAF52" w:rsidR="009C3A81" w:rsidRDefault="009C3A81">
      <w:pPr>
        <w:suppressAutoHyphens w:val="0"/>
        <w:kinsoku/>
        <w:overflowPunct/>
        <w:autoSpaceDE/>
        <w:autoSpaceDN/>
        <w:adjustRightInd/>
        <w:snapToGrid/>
        <w:spacing w:after="200" w:line="276" w:lineRule="auto"/>
      </w:pPr>
    </w:p>
    <w:p w14:paraId="1485B309" w14:textId="68322D5E" w:rsidR="009C3A81" w:rsidRDefault="009C3A81">
      <w:pPr>
        <w:suppressAutoHyphens w:val="0"/>
        <w:kinsoku/>
        <w:overflowPunct/>
        <w:autoSpaceDE/>
        <w:autoSpaceDN/>
        <w:adjustRightInd/>
        <w:snapToGrid/>
        <w:spacing w:after="200" w:line="276" w:lineRule="auto"/>
      </w:pPr>
    </w:p>
    <w:p w14:paraId="68036BD4" w14:textId="664C8772" w:rsidR="009C3A81" w:rsidRDefault="009C3A81">
      <w:pPr>
        <w:suppressAutoHyphens w:val="0"/>
        <w:kinsoku/>
        <w:overflowPunct/>
        <w:autoSpaceDE/>
        <w:autoSpaceDN/>
        <w:adjustRightInd/>
        <w:snapToGrid/>
        <w:spacing w:after="200" w:line="276" w:lineRule="auto"/>
      </w:pPr>
    </w:p>
    <w:p w14:paraId="20F4FBAE" w14:textId="7167FED3" w:rsidR="009C3A81" w:rsidRDefault="009C3A81">
      <w:pPr>
        <w:suppressAutoHyphens w:val="0"/>
        <w:kinsoku/>
        <w:overflowPunct/>
        <w:autoSpaceDE/>
        <w:autoSpaceDN/>
        <w:adjustRightInd/>
        <w:snapToGrid/>
        <w:spacing w:after="200" w:line="276" w:lineRule="auto"/>
      </w:pPr>
    </w:p>
    <w:p w14:paraId="3DA7E2D5" w14:textId="6CB5DAB8" w:rsidR="009C3A81" w:rsidRDefault="009C3A81">
      <w:pPr>
        <w:suppressAutoHyphens w:val="0"/>
        <w:kinsoku/>
        <w:overflowPunct/>
        <w:autoSpaceDE/>
        <w:autoSpaceDN/>
        <w:adjustRightInd/>
        <w:snapToGrid/>
        <w:spacing w:after="200" w:line="276" w:lineRule="auto"/>
      </w:pPr>
    </w:p>
    <w:p w14:paraId="1794C0C7" w14:textId="77777777" w:rsidR="009C3A81" w:rsidRDefault="009C3A81">
      <w:pPr>
        <w:suppressAutoHyphens w:val="0"/>
        <w:kinsoku/>
        <w:overflowPunct/>
        <w:autoSpaceDE/>
        <w:autoSpaceDN/>
        <w:adjustRightInd/>
        <w:snapToGrid/>
        <w:spacing w:after="200" w:line="276" w:lineRule="auto"/>
      </w:pPr>
    </w:p>
    <w:p w14:paraId="242D819C" w14:textId="77777777" w:rsidR="008207DE" w:rsidRDefault="008207DE">
      <w:pPr>
        <w:suppressAutoHyphens w:val="0"/>
        <w:kinsoku/>
        <w:overflowPunct/>
        <w:autoSpaceDE/>
        <w:autoSpaceDN/>
        <w:adjustRightInd/>
        <w:snapToGrid/>
        <w:spacing w:after="200" w:line="276" w:lineRule="auto"/>
      </w:pPr>
    </w:p>
    <w:p w14:paraId="2AE569C5" w14:textId="5DF89308" w:rsidR="00945720" w:rsidRDefault="00945720">
      <w:pPr>
        <w:suppressAutoHyphens w:val="0"/>
        <w:kinsoku/>
        <w:overflowPunct/>
        <w:autoSpaceDE/>
        <w:autoSpaceDN/>
        <w:adjustRightInd/>
        <w:snapToGrid/>
        <w:spacing w:after="200" w:line="276" w:lineRule="auto"/>
      </w:pPr>
      <w:r>
        <w:br w:type="page"/>
      </w:r>
    </w:p>
    <w:p w14:paraId="268E24A7"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lastRenderedPageBreak/>
        <w:tab/>
        <w:t>I.</w:t>
      </w:r>
      <w:r>
        <w:rPr>
          <w:b/>
          <w:sz w:val="28"/>
          <w:lang w:eastAsia="en-US"/>
        </w:rPr>
        <w:tab/>
        <w:t>Questions d’organisation et participation</w:t>
      </w:r>
    </w:p>
    <w:p w14:paraId="3620D1BE" w14:textId="77777777" w:rsidR="00AB524C" w:rsidRDefault="00AB524C" w:rsidP="00AB524C">
      <w:pPr>
        <w:spacing w:after="120"/>
        <w:ind w:left="1134" w:right="1134"/>
        <w:jc w:val="both"/>
        <w:rPr>
          <w:lang w:val="fr-FR"/>
        </w:rPr>
      </w:pPr>
      <w:r>
        <w:rPr>
          <w:lang w:val="fr-FR"/>
        </w:rPr>
        <w:t>1.</w:t>
      </w:r>
      <w:r>
        <w:rPr>
          <w:lang w:val="fr-FR"/>
        </w:rPr>
        <w:tab/>
        <w:t>Le Groupe de travail des transports de marchandises dangereuses a tenu sa 112e session du 8 au 11 novembre 2022 sous la présidence de M</w:t>
      </w:r>
      <w:r>
        <w:rPr>
          <w:vertAlign w:val="superscript"/>
          <w:lang w:val="fr-FR"/>
        </w:rPr>
        <w:t>me</w:t>
      </w:r>
      <w:r>
        <w:rPr>
          <w:lang w:val="fr-FR"/>
        </w:rPr>
        <w:t> A. Roumier (France) et la vice-présidence de M. A. Simoni (Italie).</w:t>
      </w:r>
    </w:p>
    <w:p w14:paraId="241B2CE8"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A.</w:t>
      </w:r>
      <w:r>
        <w:rPr>
          <w:rFonts w:eastAsia="Calibri"/>
          <w:b/>
          <w:sz w:val="24"/>
          <w:lang w:val="fr-FR" w:eastAsia="en-US"/>
        </w:rPr>
        <w:tab/>
        <w:t>Questions d’organisation</w:t>
      </w:r>
    </w:p>
    <w:p w14:paraId="419693AD" w14:textId="77777777" w:rsidR="00AB524C" w:rsidRDefault="00AB524C" w:rsidP="00AB524C">
      <w:pPr>
        <w:spacing w:after="120"/>
        <w:ind w:left="3402" w:right="1134" w:hanging="2268"/>
        <w:jc w:val="both"/>
        <w:rPr>
          <w:lang w:val="fr-FR"/>
        </w:rPr>
      </w:pPr>
      <w:r>
        <w:rPr>
          <w:i/>
          <w:iCs/>
          <w:lang w:val="fr-FR"/>
        </w:rPr>
        <w:t>Document informel </w:t>
      </w:r>
      <w:r>
        <w:rPr>
          <w:lang w:val="fr-FR"/>
        </w:rPr>
        <w:t>:</w:t>
      </w:r>
      <w:r>
        <w:rPr>
          <w:lang w:val="fr-FR"/>
        </w:rPr>
        <w:tab/>
        <w:t>INF.5/Rev.1 (secrétariat)</w:t>
      </w:r>
    </w:p>
    <w:p w14:paraId="48AC340E" w14:textId="77777777" w:rsidR="00AB524C" w:rsidRDefault="00AB524C" w:rsidP="00AB524C">
      <w:pPr>
        <w:spacing w:after="120"/>
        <w:ind w:left="1134" w:right="1134"/>
        <w:jc w:val="both"/>
        <w:rPr>
          <w:rFonts w:eastAsia="Calibri"/>
          <w:lang w:val="fr-FR" w:eastAsia="en-US"/>
        </w:rPr>
      </w:pPr>
      <w:r>
        <w:rPr>
          <w:rFonts w:eastAsia="Calibri"/>
          <w:lang w:val="fr-FR" w:eastAsia="en-US"/>
        </w:rPr>
        <w:t>2.</w:t>
      </w:r>
      <w:r>
        <w:rPr>
          <w:rFonts w:eastAsia="Calibri"/>
          <w:lang w:val="fr-FR" w:eastAsia="en-US"/>
        </w:rPr>
        <w:tab/>
        <w:t>La session s’est tenue sous forme hybride, avec la possibilité de participer en ligne ou en présentiel, suivant le format indiqué dans le document informel INF.5/Rev.1.</w:t>
      </w:r>
    </w:p>
    <w:p w14:paraId="1155DF9F" w14:textId="77777777" w:rsidR="00AB524C" w:rsidRDefault="00AB524C" w:rsidP="00AB524C">
      <w:pPr>
        <w:spacing w:after="120"/>
        <w:ind w:left="1134" w:right="1134"/>
        <w:jc w:val="both"/>
        <w:rPr>
          <w:rFonts w:eastAsia="Calibri"/>
          <w:lang w:eastAsia="en-US"/>
        </w:rPr>
      </w:pPr>
      <w:r>
        <w:rPr>
          <w:rFonts w:eastAsia="Calibri"/>
          <w:lang w:val="fr-FR" w:eastAsia="en-US"/>
        </w:rPr>
        <w:t>3.</w:t>
      </w:r>
      <w:r>
        <w:rPr>
          <w:rFonts w:eastAsia="Calibri"/>
          <w:lang w:val="fr-FR" w:eastAsia="en-US"/>
        </w:rPr>
        <w:tab/>
        <w:t>Le Groupe de travail a noté qu'à partir de 2023, toutes les réunions se tiendraient en présentiel et que les plates-formes d'interprétation simultanée à distance (RSI), si demandées, seraient payantes et ne pourraient être mises à disposition que sous réserve de la disponibilité de financements extrabudgétaires.</w:t>
      </w:r>
    </w:p>
    <w:p w14:paraId="267084C5"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B.</w:t>
      </w:r>
      <w:r>
        <w:rPr>
          <w:rFonts w:eastAsia="Calibri"/>
          <w:b/>
          <w:sz w:val="24"/>
          <w:lang w:val="fr-FR" w:eastAsia="en-US"/>
        </w:rPr>
        <w:tab/>
        <w:t>Participation</w:t>
      </w:r>
    </w:p>
    <w:p w14:paraId="45A24146" w14:textId="77777777" w:rsidR="00AB524C" w:rsidRDefault="00AB524C" w:rsidP="00AB524C">
      <w:pPr>
        <w:spacing w:after="120"/>
        <w:ind w:left="1134" w:right="1134"/>
        <w:jc w:val="both"/>
      </w:pPr>
      <w:r>
        <w:t>4.</w:t>
      </w:r>
      <w:r>
        <w:tab/>
        <w:t>Ont pris part à la session des représentants des pays suivants : Allemagne, Autriche, Bélarus, Belgique, Bulgarie, Danemark, Espagne, Fédération de Russie, Finlande, France, Géorgie, Hongrie, Italie, Lettonie, Luxembourg, Malte, Pays-Bas, Pologne, Roumanie, Royaume-Uni, Slovaquie, Slovénie, Suède, Suisse, Tchéquie et Türkiye.</w:t>
      </w:r>
    </w:p>
    <w:p w14:paraId="7CAEEDBF" w14:textId="7E841300" w:rsidR="00AB524C" w:rsidRDefault="00AB524C" w:rsidP="00AB524C">
      <w:pPr>
        <w:spacing w:after="120"/>
        <w:ind w:left="1134" w:right="1134"/>
        <w:jc w:val="both"/>
        <w:rPr>
          <w:lang w:val="fr-FR"/>
        </w:rPr>
      </w:pPr>
      <w:r>
        <w:rPr>
          <w:lang w:val="fr-FR"/>
        </w:rPr>
        <w:t>5.</w:t>
      </w:r>
      <w:r>
        <w:rPr>
          <w:lang w:val="fr-FR"/>
        </w:rPr>
        <w:tab/>
        <w:t xml:space="preserve">Des représentants de l’Australie, de la Jordanie et du Nigéria ont participé à la session conformément aux dispositions du paragraphe 11 du mandat de la Commission économique pour l’Europe. Le représentant du Nigéria a pris part de plein droit à la session pour les questions relatives à l’Accord relatif au transport international des marchandises dangereuses par route (ADR), conformément à l’article premier, alinéa b), du règlement intérieur du Groupe de travail. </w:t>
      </w:r>
    </w:p>
    <w:p w14:paraId="5DE3B7FD" w14:textId="77777777" w:rsidR="00AB524C" w:rsidRDefault="00AB524C" w:rsidP="00AB524C">
      <w:pPr>
        <w:spacing w:after="120"/>
        <w:ind w:left="1134" w:right="1134"/>
        <w:jc w:val="both"/>
        <w:rPr>
          <w:lang w:val="fr-FR"/>
        </w:rPr>
      </w:pPr>
      <w:r>
        <w:rPr>
          <w:lang w:val="fr-FR"/>
        </w:rPr>
        <w:t>6.</w:t>
      </w:r>
      <w:r>
        <w:rPr>
          <w:lang w:val="fr-FR"/>
        </w:rPr>
        <w:tab/>
        <w:t>L’Union Européenne était représentée.</w:t>
      </w:r>
    </w:p>
    <w:p w14:paraId="04164BA4" w14:textId="77777777" w:rsidR="00AB524C" w:rsidRDefault="00AB524C" w:rsidP="00AB524C">
      <w:pPr>
        <w:spacing w:after="120"/>
        <w:ind w:left="1134" w:right="1134"/>
        <w:jc w:val="both"/>
        <w:rPr>
          <w:lang w:val="fr-FR"/>
        </w:rPr>
      </w:pPr>
      <w:r>
        <w:rPr>
          <w:lang w:val="fr-FR"/>
        </w:rPr>
        <w:t>7.</w:t>
      </w:r>
      <w:r>
        <w:rPr>
          <w:lang w:val="fr-FR"/>
        </w:rPr>
        <w:tab/>
        <w:t>L’organisation intergouvernementale suivante était représentée : Organisation intergouvernementale pour les transports internationaux ferroviaires (OTIF).</w:t>
      </w:r>
    </w:p>
    <w:p w14:paraId="6660872D" w14:textId="77777777" w:rsidR="00AB524C" w:rsidRDefault="00AB524C" w:rsidP="00AB524C">
      <w:pPr>
        <w:spacing w:after="120"/>
        <w:ind w:left="1134" w:right="1134"/>
        <w:jc w:val="both"/>
        <w:rPr>
          <w:lang w:val="fr-FR"/>
        </w:rPr>
      </w:pPr>
      <w:r>
        <w:rPr>
          <w:lang w:val="fr-FR"/>
        </w:rPr>
        <w:t>8.</w:t>
      </w:r>
      <w:r>
        <w:rPr>
          <w:lang w:val="fr-FR"/>
        </w:rPr>
        <w:tab/>
        <w:t>Les organisations non gouvernementales suivantes étaient représentées : l’Association internationale des marchandises dangereuses et des conteneurs (IDGCA), la Confédération européenne des distributeurs de carburant (</w:t>
      </w:r>
      <w:proofErr w:type="spellStart"/>
      <w:r>
        <w:rPr>
          <w:lang w:val="fr-FR"/>
        </w:rPr>
        <w:t>European</w:t>
      </w:r>
      <w:proofErr w:type="spellEnd"/>
      <w:r>
        <w:rPr>
          <w:lang w:val="fr-FR"/>
        </w:rPr>
        <w:t xml:space="preserve"> </w:t>
      </w:r>
      <w:proofErr w:type="spellStart"/>
      <w:r>
        <w:rPr>
          <w:lang w:val="fr-FR"/>
        </w:rPr>
        <w:t>Confederation</w:t>
      </w:r>
      <w:proofErr w:type="spellEnd"/>
      <w:r>
        <w:rPr>
          <w:lang w:val="fr-FR"/>
        </w:rPr>
        <w:t xml:space="preserve"> of Fuel </w:t>
      </w:r>
      <w:proofErr w:type="spellStart"/>
      <w:r>
        <w:rPr>
          <w:lang w:val="fr-FR"/>
        </w:rPr>
        <w:t>Distributors</w:t>
      </w:r>
      <w:proofErr w:type="spellEnd"/>
      <w:r>
        <w:rPr>
          <w:lang w:val="fr-FR"/>
        </w:rPr>
        <w:t xml:space="preserve">) (ECFD), le Conseil européen de l’industrie chimique (Cefic), la Fédération européenne des activités de la dépollution et de l’environnement (FEAD), l’Organisation internationale des constructeurs automobiles (OICA) et l’Union internationale des transports routiers (IRU). Le projet </w:t>
      </w:r>
      <w:proofErr w:type="spellStart"/>
      <w:r>
        <w:rPr>
          <w:lang w:val="fr-FR"/>
        </w:rPr>
        <w:t>EuroMed</w:t>
      </w:r>
      <w:proofErr w:type="spellEnd"/>
      <w:r>
        <w:rPr>
          <w:lang w:val="fr-FR"/>
        </w:rPr>
        <w:t xml:space="preserve"> de soutien aux transports (TSP) était également représenté.</w:t>
      </w:r>
    </w:p>
    <w:p w14:paraId="202EB6D2"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tab/>
        <w:t>II.</w:t>
      </w:r>
      <w:r>
        <w:rPr>
          <w:b/>
          <w:sz w:val="28"/>
          <w:lang w:eastAsia="en-US"/>
        </w:rPr>
        <w:tab/>
      </w:r>
      <w:bookmarkStart w:id="1" w:name="_Hlk6316889"/>
      <w:r>
        <w:rPr>
          <w:b/>
          <w:sz w:val="28"/>
          <w:lang w:eastAsia="en-US"/>
        </w:rPr>
        <w:t>Adoption de l’ordre du jour (point 1 de l’ordre du jour)</w:t>
      </w:r>
      <w:bookmarkStart w:id="2" w:name="_Toc499903630"/>
      <w:bookmarkEnd w:id="1"/>
      <w:bookmarkEnd w:id="2"/>
    </w:p>
    <w:p w14:paraId="3B28583A" w14:textId="77777777" w:rsidR="00AB524C" w:rsidRDefault="00AB524C" w:rsidP="00AB524C">
      <w:pPr>
        <w:ind w:left="3402" w:right="1134" w:hanging="2268"/>
        <w:jc w:val="both"/>
        <w:rPr>
          <w:lang w:val="fr-FR"/>
        </w:rPr>
      </w:pPr>
      <w:r>
        <w:rPr>
          <w:i/>
          <w:iCs/>
          <w:lang w:val="fr-FR"/>
        </w:rPr>
        <w:t>Documents </w:t>
      </w:r>
      <w:r>
        <w:rPr>
          <w:iCs/>
          <w:lang w:val="fr-FR"/>
        </w:rPr>
        <w:t>:</w:t>
      </w:r>
      <w:r>
        <w:rPr>
          <w:lang w:val="fr-FR"/>
        </w:rPr>
        <w:tab/>
        <w:t>ECE/TRANS/WP.15/259 et Add.1 (secrétariat)</w:t>
      </w:r>
    </w:p>
    <w:p w14:paraId="15CD7CEB" w14:textId="77777777" w:rsidR="00AB524C" w:rsidRDefault="00AB524C" w:rsidP="00AB524C">
      <w:pPr>
        <w:spacing w:before="120" w:after="120"/>
        <w:ind w:left="3402" w:right="1134" w:hanging="2268"/>
        <w:jc w:val="both"/>
        <w:rPr>
          <w:lang w:val="fr-FR"/>
        </w:rPr>
      </w:pPr>
      <w:r>
        <w:rPr>
          <w:i/>
          <w:iCs/>
          <w:lang w:val="fr-FR"/>
        </w:rPr>
        <w:t>Documents informels </w:t>
      </w:r>
      <w:r>
        <w:rPr>
          <w:lang w:val="fr-FR"/>
        </w:rPr>
        <w:t>:</w:t>
      </w:r>
      <w:r>
        <w:rPr>
          <w:lang w:val="fr-FR"/>
        </w:rPr>
        <w:tab/>
        <w:t>INF.1, INF.2 et INF.5/Rev.1 (secrétariat)</w:t>
      </w:r>
    </w:p>
    <w:p w14:paraId="073E00AB" w14:textId="2BD9EFD2" w:rsidR="00AB524C" w:rsidRDefault="00AB524C" w:rsidP="00AB524C">
      <w:pPr>
        <w:spacing w:after="120"/>
        <w:ind w:left="1134" w:right="1134"/>
        <w:jc w:val="both"/>
        <w:rPr>
          <w:lang w:val="fr-FR"/>
        </w:rPr>
      </w:pPr>
      <w:r>
        <w:rPr>
          <w:lang w:val="fr-FR"/>
        </w:rPr>
        <w:t>9.</w:t>
      </w:r>
      <w:r>
        <w:rPr>
          <w:lang w:val="fr-FR"/>
        </w:rPr>
        <w:tab/>
        <w:t xml:space="preserve">Le Groupe de travail a adopté l’ordre du jour provisoire établi par le secrétariat, tel que modifié par le document informel INF.2 pour tenir compte des documents informels INF.1 à INF.11. </w:t>
      </w:r>
    </w:p>
    <w:p w14:paraId="70AC438F"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lastRenderedPageBreak/>
        <w:tab/>
        <w:t>III.</w:t>
      </w:r>
      <w:r>
        <w:rPr>
          <w:b/>
          <w:sz w:val="28"/>
          <w:lang w:eastAsia="en-US"/>
        </w:rPr>
        <w:tab/>
        <w:t>Quatre-vingt-quatrième session du Comité des transports intérieurs (CTI) (point 2 de l’ordre du jour)</w:t>
      </w:r>
    </w:p>
    <w:p w14:paraId="1BA8C1EF" w14:textId="77777777" w:rsidR="00AB524C" w:rsidRDefault="00AB524C" w:rsidP="00AB524C">
      <w:pPr>
        <w:keepNext/>
        <w:keepLines/>
        <w:tabs>
          <w:tab w:val="left" w:pos="3402"/>
        </w:tabs>
        <w:spacing w:after="120"/>
        <w:ind w:left="3402" w:right="1134" w:hanging="2268"/>
        <w:rPr>
          <w:lang w:val="fr-FR"/>
        </w:rPr>
      </w:pPr>
      <w:r>
        <w:rPr>
          <w:i/>
          <w:lang w:val="fr-FR"/>
        </w:rPr>
        <w:t>Document </w:t>
      </w:r>
      <w:r>
        <w:rPr>
          <w:lang w:val="fr-FR"/>
        </w:rPr>
        <w:t>:</w:t>
      </w:r>
      <w:r>
        <w:rPr>
          <w:lang w:val="fr-FR"/>
        </w:rPr>
        <w:tab/>
      </w:r>
      <w:r>
        <w:rPr>
          <w:lang w:val="fr-FR"/>
        </w:rPr>
        <w:tab/>
        <w:t>ECE/TRANS/316, -/Add.1 et -/Add.2 (Rapport du CTI sur sa quatre-vingt-quatrième session)</w:t>
      </w:r>
    </w:p>
    <w:p w14:paraId="3424A067" w14:textId="77777777" w:rsidR="00AB524C" w:rsidRDefault="00AB524C" w:rsidP="00AB524C">
      <w:pPr>
        <w:spacing w:after="120"/>
        <w:ind w:left="1134" w:right="1134"/>
        <w:jc w:val="both"/>
        <w:rPr>
          <w:lang w:val="fr-FR"/>
        </w:rPr>
      </w:pPr>
      <w:r>
        <w:rPr>
          <w:lang w:val="fr-FR"/>
        </w:rPr>
        <w:t>10.</w:t>
      </w:r>
      <w:r>
        <w:rPr>
          <w:lang w:val="fr-FR"/>
        </w:rPr>
        <w:tab/>
        <w:t xml:space="preserve">Le Groupe de travail a noté que le rapport du CTI sur sa quatre-vingt-quatrième session était disponible en anglais, français et russe. </w:t>
      </w:r>
    </w:p>
    <w:p w14:paraId="7C2A5A31"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tab/>
        <w:t>IV.</w:t>
      </w:r>
      <w:r>
        <w:rPr>
          <w:b/>
          <w:sz w:val="28"/>
          <w:lang w:eastAsia="en-US"/>
        </w:rPr>
        <w:tab/>
        <w:t>État de l’Accord relatif au transport international des marchandises dangereuses par route (ADR) et questions connexes (point 3 de l’ordre du jour)</w:t>
      </w:r>
    </w:p>
    <w:p w14:paraId="7FD314A4"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A.</w:t>
      </w:r>
      <w:r>
        <w:rPr>
          <w:rFonts w:eastAsia="Calibri"/>
          <w:b/>
          <w:sz w:val="24"/>
          <w:lang w:val="fr-FR" w:eastAsia="en-US"/>
        </w:rPr>
        <w:tab/>
        <w:t xml:space="preserve">État de l’Accord </w:t>
      </w:r>
    </w:p>
    <w:p w14:paraId="5FCBC7BF" w14:textId="77777777" w:rsidR="00AB524C" w:rsidRDefault="00AB524C" w:rsidP="00AB524C">
      <w:pPr>
        <w:kinsoku/>
        <w:overflowPunct/>
        <w:autoSpaceDE/>
        <w:adjustRightInd/>
        <w:snapToGrid/>
        <w:spacing w:after="120"/>
        <w:ind w:left="1134" w:right="1134"/>
        <w:jc w:val="both"/>
        <w:rPr>
          <w:lang w:eastAsia="en-US"/>
        </w:rPr>
      </w:pPr>
      <w:r>
        <w:rPr>
          <w:lang w:eastAsia="en-US"/>
        </w:rPr>
        <w:t>11.</w:t>
      </w:r>
      <w:r>
        <w:rPr>
          <w:lang w:eastAsia="en-US"/>
        </w:rPr>
        <w:tab/>
        <w:t xml:space="preserve">Le Groupe de travail s’est félicité de l’adhésion de l’Ouganda à l’ADR (Notification dépositaire </w:t>
      </w:r>
      <w:r>
        <w:t>: C.N.</w:t>
      </w:r>
      <w:proofErr w:type="gramStart"/>
      <w:r>
        <w:t>278.2022.TREATIES</w:t>
      </w:r>
      <w:proofErr w:type="gramEnd"/>
      <w:r>
        <w:t>-XI.B.14</w:t>
      </w:r>
      <w:r>
        <w:rPr>
          <w:lang w:eastAsia="en-US"/>
        </w:rPr>
        <w:t xml:space="preserve">), portant ainsi le nombre de parties contractantes à 54. </w:t>
      </w:r>
    </w:p>
    <w:p w14:paraId="27BAC115" w14:textId="77777777" w:rsidR="00AB524C" w:rsidRDefault="00AB524C" w:rsidP="00AB524C">
      <w:pPr>
        <w:spacing w:after="120"/>
        <w:ind w:left="1134" w:right="1134"/>
        <w:jc w:val="both"/>
        <w:rPr>
          <w:lang w:eastAsia="en-US"/>
        </w:rPr>
      </w:pPr>
      <w:r>
        <w:rPr>
          <w:lang w:eastAsia="en-US"/>
        </w:rPr>
        <w:t>12.</w:t>
      </w:r>
      <w:r>
        <w:rPr>
          <w:lang w:eastAsia="en-US"/>
        </w:rPr>
        <w:tab/>
        <w:t xml:space="preserve">Le Groupe de travail a noté que cette nouvelle adhésion portait le quorum pour pouvoir prendre des décisions relatives à l’ADR à 18 Parties contractantes. </w:t>
      </w:r>
    </w:p>
    <w:p w14:paraId="428DFC2D" w14:textId="77777777" w:rsidR="00AB524C" w:rsidRDefault="00AB524C" w:rsidP="00AB524C">
      <w:pPr>
        <w:spacing w:after="120"/>
        <w:ind w:left="1134" w:right="1134"/>
        <w:jc w:val="both"/>
        <w:rPr>
          <w:lang w:val="fr-FR"/>
        </w:rPr>
      </w:pPr>
      <w:r>
        <w:rPr>
          <w:lang w:eastAsia="en-US"/>
        </w:rPr>
        <w:t>13.</w:t>
      </w:r>
      <w:r>
        <w:rPr>
          <w:lang w:eastAsia="en-US"/>
        </w:rPr>
        <w:tab/>
        <w:t xml:space="preserve">La présidente a rappelé que </w:t>
      </w:r>
      <w:r>
        <w:rPr>
          <w:lang w:val="fr-FR"/>
        </w:rPr>
        <w:t xml:space="preserve">la participation aux sessions du Groupe de travail est un excellent moyen de rencontrer des homologues, de partager leur retour d'expérience et de débattre de questions d’application et que tous les pays Parties contractantes à l’ADR ont les mêmes possibilités d’orienter l’évolution de l’ADR en présentant des propositions d’amendements et ont ainsi leur mot à dire dans les changements futurs de la réglementation. </w:t>
      </w:r>
    </w:p>
    <w:p w14:paraId="5C101101" w14:textId="77777777" w:rsidR="00AB524C" w:rsidRDefault="00AB524C" w:rsidP="00AB524C">
      <w:pPr>
        <w:spacing w:after="120"/>
        <w:ind w:left="1134" w:right="1134"/>
        <w:jc w:val="both"/>
        <w:rPr>
          <w:lang w:val="fr-FR"/>
        </w:rPr>
      </w:pPr>
      <w:r>
        <w:rPr>
          <w:lang w:val="fr-FR"/>
        </w:rPr>
        <w:t>14.</w:t>
      </w:r>
      <w:r>
        <w:rPr>
          <w:lang w:val="fr-FR"/>
        </w:rPr>
        <w:tab/>
        <w:t>Le Groupe de travail a recommandé à tous les pays qui sont Parties contractantes à l’ADR, aux pays souhaitant adhérer à l’ADR et à ceux qui appliquent ou ont l’intention d’appliquer les dispositions des annexes de l’ADR en tant que réglementation nationale de participer à ses réunions.</w:t>
      </w:r>
    </w:p>
    <w:p w14:paraId="6F693837" w14:textId="6E6C0C07" w:rsidR="00AB524C" w:rsidRDefault="00AB524C" w:rsidP="00AB524C">
      <w:pPr>
        <w:spacing w:after="120"/>
        <w:ind w:left="1134" w:right="1134"/>
        <w:jc w:val="both"/>
        <w:rPr>
          <w:lang w:val="fr-FR"/>
        </w:rPr>
      </w:pPr>
      <w:r>
        <w:rPr>
          <w:lang w:val="fr-FR"/>
        </w:rPr>
        <w:t xml:space="preserve">15. </w:t>
      </w:r>
      <w:r>
        <w:rPr>
          <w:lang w:val="fr-FR"/>
        </w:rPr>
        <w:tab/>
        <w:t>Le secrétariat a rappelé que, selon la section 1.8.</w:t>
      </w:r>
      <w:r w:rsidR="00841C4C">
        <w:rPr>
          <w:lang w:val="fr-FR"/>
        </w:rPr>
        <w:t>4</w:t>
      </w:r>
      <w:r>
        <w:rPr>
          <w:lang w:val="fr-FR"/>
        </w:rPr>
        <w:t xml:space="preserve"> de l’ADR, il est demandé aux Parties contractantes de communiquer à la Commission économique pour l'Europe les adresses des autorités et organismes désignés par elle qui sont compétents, selon le droit national, pour l’application de l’ADR. Les Parties contractantes à l’ADR ont été invitées à vérifier les </w:t>
      </w:r>
      <w:r>
        <w:rPr>
          <w:lang w:val="fr-FR" w:eastAsia="fr-FR"/>
        </w:rPr>
        <w:t xml:space="preserve">coordonnées des autorités compétentes qui avaient été notifiées au secrétariat et qui étaient publiées à l’adresse suivante : </w:t>
      </w:r>
      <w:hyperlink r:id="rId11" w:history="1">
        <w:r>
          <w:rPr>
            <w:rStyle w:val="Hyperlink"/>
            <w:lang w:eastAsia="fr-FR"/>
          </w:rPr>
          <w:t>https://unece.org/transport/dangerous-goods/country-information-competent-authorities-notifications</w:t>
        </w:r>
      </w:hyperlink>
      <w:r>
        <w:rPr>
          <w:lang w:val="fr-FR" w:eastAsia="fr-FR"/>
        </w:rPr>
        <w:t xml:space="preserve">. </w:t>
      </w:r>
    </w:p>
    <w:p w14:paraId="329E828D" w14:textId="0061C122" w:rsidR="00AB524C" w:rsidRDefault="00AB524C" w:rsidP="00AB524C">
      <w:pPr>
        <w:spacing w:after="120"/>
        <w:ind w:left="1134" w:right="1134"/>
        <w:jc w:val="both"/>
        <w:rPr>
          <w:lang w:val="fr-FR"/>
        </w:rPr>
      </w:pPr>
      <w:r>
        <w:rPr>
          <w:lang w:val="fr-FR"/>
        </w:rPr>
        <w:t>16.</w:t>
      </w:r>
      <w:r>
        <w:rPr>
          <w:lang w:val="fr-FR"/>
        </w:rPr>
        <w:tab/>
        <w:t xml:space="preserve">Le secrétariat a également rappelé que les autorités compétentes devaient transmettre d’autres informations utiles pour la mise en œuvre de l’ADR et pour </w:t>
      </w:r>
      <w:r>
        <w:rPr>
          <w:lang w:val="fr-FR" w:eastAsia="fr-FR"/>
        </w:rPr>
        <w:t>favoriser le dialogue et la communication entre les autorités compétentes. Cela concerne par exemple la traduction des consignes écrites</w:t>
      </w:r>
      <w:r>
        <w:rPr>
          <w:lang w:val="fr-FR"/>
        </w:rPr>
        <w:t xml:space="preserve"> et les modèles de certificats de formation des conducteurs ADR. Le secrétariat a indiqué qu’un tableau récapitulatif des principales informations à communiquer au secrétariat se trouve en annexe de la Feuille de route relative à l’adhésion et la mise en œuvre de l’ADR (Feuille de route ADR) </w:t>
      </w:r>
      <w:r w:rsidRPr="00AB524C">
        <w:rPr>
          <w:lang w:val="fr-FR"/>
        </w:rPr>
        <w:t>(voir aussi paragraphe 57).</w:t>
      </w:r>
    </w:p>
    <w:p w14:paraId="06033CB5" w14:textId="77777777" w:rsidR="00AB524C" w:rsidRDefault="00AB524C" w:rsidP="00AB524C">
      <w:pPr>
        <w:spacing w:after="120"/>
        <w:ind w:left="1134" w:right="1134"/>
        <w:jc w:val="both"/>
        <w:rPr>
          <w:rFonts w:eastAsia="Calibri"/>
          <w:lang w:val="fr-FR" w:eastAsia="en-US"/>
        </w:rPr>
      </w:pPr>
      <w:r>
        <w:rPr>
          <w:rFonts w:eastAsia="Calibri"/>
          <w:lang w:val="fr-FR" w:eastAsia="en-US"/>
        </w:rPr>
        <w:t>17.</w:t>
      </w:r>
      <w:r>
        <w:rPr>
          <w:rFonts w:eastAsia="Calibri"/>
          <w:lang w:val="fr-FR" w:eastAsia="en-US"/>
        </w:rPr>
        <w:tab/>
        <w:t xml:space="preserve">Le Groupe de travail a noté que les amendements adoptés au cours des deux dernières années (ECE/TRANS/WP.15/256 et Corr.1 et ECE/TRANS/WP.15/256/Add.1) avaient été proposés aux Parties contractantes par le Gouvernement de la France et étaient réputés acceptés pour </w:t>
      </w:r>
      <w:proofErr w:type="spellStart"/>
      <w:r>
        <w:rPr>
          <w:rFonts w:eastAsia="Calibri"/>
          <w:lang w:val="fr-FR" w:eastAsia="en-US"/>
        </w:rPr>
        <w:t>entrée</w:t>
      </w:r>
      <w:proofErr w:type="spellEnd"/>
      <w:r>
        <w:rPr>
          <w:rFonts w:eastAsia="Calibri"/>
          <w:lang w:val="fr-FR" w:eastAsia="en-US"/>
        </w:rPr>
        <w:t xml:space="preserve"> en vigueur le 1</w:t>
      </w:r>
      <w:r>
        <w:rPr>
          <w:rFonts w:eastAsia="Calibri"/>
          <w:vertAlign w:val="superscript"/>
          <w:lang w:val="fr-FR" w:eastAsia="en-US"/>
        </w:rPr>
        <w:t>er</w:t>
      </w:r>
      <w:r>
        <w:rPr>
          <w:rFonts w:eastAsia="Calibri"/>
          <w:lang w:val="fr-FR" w:eastAsia="en-US"/>
        </w:rPr>
        <w:t xml:space="preserve"> janvier 2023 (notifications dépositaires </w:t>
      </w:r>
      <w:r>
        <w:rPr>
          <w:rFonts w:eastAsia="Calibri"/>
          <w:lang w:eastAsia="en-US"/>
        </w:rPr>
        <w:t>C.N.</w:t>
      </w:r>
      <w:proofErr w:type="gramStart"/>
      <w:r>
        <w:rPr>
          <w:rFonts w:eastAsia="Calibri"/>
          <w:lang w:eastAsia="en-US"/>
        </w:rPr>
        <w:t>171.2022.TREATIES</w:t>
      </w:r>
      <w:proofErr w:type="gramEnd"/>
      <w:r>
        <w:rPr>
          <w:rFonts w:eastAsia="Calibri"/>
          <w:lang w:eastAsia="en-US"/>
        </w:rPr>
        <w:t>-XI.B.14</w:t>
      </w:r>
      <w:r>
        <w:rPr>
          <w:rFonts w:eastAsia="Calibri"/>
          <w:spacing w:val="-2"/>
          <w:lang w:val="fr-FR" w:eastAsia="en-US"/>
        </w:rPr>
        <w:t xml:space="preserve"> du 6 juillet 2022 et </w:t>
      </w:r>
      <w:r>
        <w:rPr>
          <w:rFonts w:eastAsia="Calibri"/>
          <w:lang w:eastAsia="en-US"/>
        </w:rPr>
        <w:t>C.N.350.2022.TREATIES-XI.B.14</w:t>
      </w:r>
      <w:r>
        <w:rPr>
          <w:rFonts w:eastAsia="Calibri"/>
          <w:lang w:val="fr-FR" w:eastAsia="en-US"/>
        </w:rPr>
        <w:t xml:space="preserve"> du 13 octobre 2022).</w:t>
      </w:r>
    </w:p>
    <w:p w14:paraId="453CAB4B"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B.</w:t>
      </w:r>
      <w:r>
        <w:rPr>
          <w:rFonts w:eastAsia="Calibri"/>
          <w:b/>
          <w:sz w:val="24"/>
          <w:lang w:val="fr-FR" w:eastAsia="en-US"/>
        </w:rPr>
        <w:tab/>
        <w:t>Protocole d’amendement de 1993</w:t>
      </w:r>
    </w:p>
    <w:p w14:paraId="43843749" w14:textId="413AE2E9" w:rsidR="00AB524C" w:rsidRDefault="00AB524C" w:rsidP="00AB524C">
      <w:pPr>
        <w:kinsoku/>
        <w:overflowPunct/>
        <w:autoSpaceDE/>
        <w:adjustRightInd/>
        <w:snapToGrid/>
        <w:spacing w:after="120"/>
        <w:ind w:left="1134" w:right="1134"/>
        <w:jc w:val="both"/>
        <w:rPr>
          <w:lang w:eastAsia="en-US"/>
        </w:rPr>
      </w:pPr>
      <w:r>
        <w:rPr>
          <w:lang w:eastAsia="en-US"/>
        </w:rPr>
        <w:t>18.</w:t>
      </w:r>
      <w:r>
        <w:rPr>
          <w:lang w:eastAsia="en-US"/>
        </w:rPr>
        <w:tab/>
        <w:t>Le Groupe de travail a prié instamment les pays qui n’avaient pas encore déposé l’instrument juridique nécessaire pour l’entrée en vigueur du Protocole de 1993 (</w:t>
      </w:r>
      <w:r>
        <w:rPr>
          <w:lang w:val="fr-FR"/>
        </w:rPr>
        <w:t xml:space="preserve">Arménie, </w:t>
      </w:r>
      <w:r>
        <w:rPr>
          <w:lang w:val="fr-FR"/>
        </w:rPr>
        <w:lastRenderedPageBreak/>
        <w:t>Azerbaïdjan, Bélarus, Bosnie-Herzégovine, Croatie, Islande, Kazakhstan, Maroc, Monténégro, Macédoine du Nord, Nigéria, Saint</w:t>
      </w:r>
      <w:r>
        <w:rPr>
          <w:lang w:val="fr-FR"/>
        </w:rPr>
        <w:noBreakHyphen/>
        <w:t>Marin, Tadjikistan et Ouganda</w:t>
      </w:r>
      <w:r>
        <w:rPr>
          <w:lang w:eastAsia="en-US"/>
        </w:rPr>
        <w:t>) à prendre les mesures nécessaires pour ratifier le Protocole ou y adhérer, afin qu’il puisse rapidement prendre effet.</w:t>
      </w:r>
    </w:p>
    <w:p w14:paraId="4249B998"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tab/>
        <w:t>V.</w:t>
      </w:r>
      <w:r>
        <w:rPr>
          <w:b/>
          <w:sz w:val="28"/>
          <w:lang w:eastAsia="en-US"/>
        </w:rPr>
        <w:tab/>
        <w:t>Travaux de la Réunion commune RID/ADR/ADN (point 4 de l’ordre du jour)</w:t>
      </w:r>
    </w:p>
    <w:p w14:paraId="2161E066" w14:textId="77777777" w:rsidR="00AB524C" w:rsidRDefault="00AB524C" w:rsidP="00AB524C">
      <w:pPr>
        <w:spacing w:after="120"/>
        <w:ind w:left="3402" w:right="1134" w:hanging="2268"/>
        <w:jc w:val="both"/>
        <w:rPr>
          <w:lang w:val="fr-FR"/>
        </w:rPr>
      </w:pPr>
      <w:r>
        <w:rPr>
          <w:i/>
          <w:iCs/>
          <w:lang w:val="fr-FR"/>
        </w:rPr>
        <w:t>Document informel </w:t>
      </w:r>
      <w:r>
        <w:rPr>
          <w:lang w:val="fr-FR"/>
        </w:rPr>
        <w:t>:</w:t>
      </w:r>
      <w:r>
        <w:rPr>
          <w:lang w:val="fr-FR"/>
        </w:rPr>
        <w:tab/>
        <w:t>INF.7 (secrétariat)</w:t>
      </w:r>
    </w:p>
    <w:p w14:paraId="42EA7D46" w14:textId="627A83E8" w:rsidR="00AB524C" w:rsidRDefault="00AB524C" w:rsidP="00AB524C">
      <w:pPr>
        <w:kinsoku/>
        <w:overflowPunct/>
        <w:autoSpaceDE/>
        <w:adjustRightInd/>
        <w:snapToGrid/>
        <w:spacing w:after="120"/>
        <w:ind w:left="1134" w:right="1134"/>
        <w:jc w:val="both"/>
        <w:rPr>
          <w:lang w:eastAsia="fr-FR"/>
        </w:rPr>
      </w:pPr>
      <w:r>
        <w:rPr>
          <w:lang w:eastAsia="fr-FR"/>
        </w:rPr>
        <w:t>19.</w:t>
      </w:r>
      <w:r>
        <w:rPr>
          <w:lang w:eastAsia="fr-FR"/>
        </w:rPr>
        <w:tab/>
        <w:t xml:space="preserve">Les amendements ont été adoptés pour </w:t>
      </w:r>
      <w:proofErr w:type="spellStart"/>
      <w:r>
        <w:rPr>
          <w:lang w:eastAsia="fr-FR"/>
        </w:rPr>
        <w:t>entrée</w:t>
      </w:r>
      <w:proofErr w:type="spellEnd"/>
      <w:r>
        <w:rPr>
          <w:lang w:eastAsia="fr-FR"/>
        </w:rPr>
        <w:t xml:space="preserve"> en vigueur le 1er janvier 2025 en supprimant les crochets autour de la date de la norme EN </w:t>
      </w:r>
      <w:proofErr w:type="gramStart"/>
      <w:r>
        <w:rPr>
          <w:lang w:eastAsia="fr-FR"/>
        </w:rPr>
        <w:t>13799:</w:t>
      </w:r>
      <w:proofErr w:type="gramEnd"/>
      <w:r>
        <w:rPr>
          <w:lang w:eastAsia="fr-FR"/>
        </w:rPr>
        <w:t xml:space="preserve">2022 qui avait été publiée (voir annexe). </w:t>
      </w:r>
    </w:p>
    <w:p w14:paraId="38D4C690"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tab/>
        <w:t>VI.</w:t>
      </w:r>
      <w:r>
        <w:rPr>
          <w:b/>
          <w:sz w:val="28"/>
          <w:lang w:eastAsia="en-US"/>
        </w:rPr>
        <w:tab/>
        <w:t>Propositions d’amendements aux annexes A et B de l’ADR (point 5 de l’ordre du jour)</w:t>
      </w:r>
    </w:p>
    <w:p w14:paraId="55D25DE0" w14:textId="77777777" w:rsidR="00AB524C" w:rsidRDefault="00AB524C" w:rsidP="00AB524C">
      <w:pPr>
        <w:keepNext/>
        <w:keepLines/>
        <w:tabs>
          <w:tab w:val="right" w:pos="851"/>
        </w:tabs>
        <w:kinsoku/>
        <w:overflowPunct/>
        <w:autoSpaceDE/>
        <w:adjustRightInd/>
        <w:snapToGrid/>
        <w:spacing w:before="360" w:line="270" w:lineRule="exact"/>
        <w:ind w:left="1134" w:right="1134" w:hanging="1134"/>
        <w:rPr>
          <w:rFonts w:eastAsia="Calibri"/>
          <w:b/>
          <w:sz w:val="24"/>
          <w:lang w:val="fr-FR" w:eastAsia="en-US"/>
        </w:rPr>
      </w:pPr>
      <w:r>
        <w:rPr>
          <w:rFonts w:eastAsia="Calibri"/>
          <w:b/>
          <w:sz w:val="24"/>
          <w:lang w:val="fr-FR" w:eastAsia="en-US"/>
        </w:rPr>
        <w:tab/>
        <w:t>A.</w:t>
      </w:r>
      <w:r>
        <w:rPr>
          <w:rFonts w:eastAsia="Calibri"/>
          <w:b/>
          <w:sz w:val="24"/>
          <w:lang w:val="fr-FR" w:eastAsia="en-US"/>
        </w:rPr>
        <w:tab/>
        <w:t>Construction et agrément des véhicules</w:t>
      </w:r>
    </w:p>
    <w:p w14:paraId="026832DF" w14:textId="77777777" w:rsidR="00AB524C" w:rsidRDefault="00AB524C" w:rsidP="00AB524C">
      <w:pPr>
        <w:pStyle w:val="H23G"/>
        <w:rPr>
          <w:lang w:val="fr-FR"/>
        </w:rPr>
      </w:pPr>
      <w:r>
        <w:rPr>
          <w:lang w:val="fr-FR"/>
        </w:rPr>
        <w:tab/>
        <w:t>1.</w:t>
      </w:r>
      <w:r>
        <w:rPr>
          <w:lang w:val="fr-FR"/>
        </w:rPr>
        <w:tab/>
        <w:t>Dates de publication des normes au 9.2.2.2.2</w:t>
      </w:r>
    </w:p>
    <w:p w14:paraId="727435FA" w14:textId="77777777" w:rsidR="00AB524C" w:rsidRDefault="00AB524C" w:rsidP="00AB524C">
      <w:pPr>
        <w:spacing w:after="120"/>
        <w:ind w:left="3402" w:right="1134" w:hanging="2268"/>
        <w:jc w:val="both"/>
        <w:rPr>
          <w:lang w:val="fr-FR"/>
        </w:rPr>
      </w:pPr>
      <w:r>
        <w:rPr>
          <w:i/>
          <w:iCs/>
          <w:lang w:val="fr-FR"/>
        </w:rPr>
        <w:t>Document </w:t>
      </w:r>
      <w:r>
        <w:rPr>
          <w:lang w:val="fr-FR"/>
        </w:rPr>
        <w:t>:</w:t>
      </w:r>
      <w:r>
        <w:rPr>
          <w:lang w:val="fr-FR"/>
        </w:rPr>
        <w:tab/>
      </w:r>
      <w:r>
        <w:rPr>
          <w:lang w:eastAsia="fr-FR"/>
        </w:rPr>
        <w:t>ECE/TRANS/WP.15/2022/8</w:t>
      </w:r>
      <w:r>
        <w:rPr>
          <w:lang w:val="fr-FR"/>
        </w:rPr>
        <w:t xml:space="preserve"> (secrétariat)</w:t>
      </w:r>
    </w:p>
    <w:p w14:paraId="6F47B506" w14:textId="358935E5" w:rsidR="00AB524C" w:rsidRDefault="00AB524C" w:rsidP="00AB524C">
      <w:pPr>
        <w:pStyle w:val="SingleTxtG"/>
        <w:rPr>
          <w:lang w:val="fr-FR"/>
        </w:rPr>
      </w:pPr>
      <w:r>
        <w:rPr>
          <w:lang w:val="fr-FR"/>
        </w:rPr>
        <w:t>20.</w:t>
      </w:r>
      <w:r>
        <w:rPr>
          <w:lang w:val="fr-FR"/>
        </w:rPr>
        <w:tab/>
        <w:t>La proposition d’amendement du 9.2.2.2.2 a été adoptée (voir annexe).</w:t>
      </w:r>
    </w:p>
    <w:p w14:paraId="2CF8AC07" w14:textId="77777777" w:rsidR="00AB524C" w:rsidRDefault="00AB524C" w:rsidP="00AB524C">
      <w:pPr>
        <w:pStyle w:val="H23G"/>
        <w:rPr>
          <w:lang w:val="fr-FR"/>
        </w:rPr>
      </w:pPr>
      <w:r>
        <w:rPr>
          <w:lang w:val="fr-FR"/>
        </w:rPr>
        <w:tab/>
        <w:t>2.</w:t>
      </w:r>
      <w:r>
        <w:rPr>
          <w:lang w:val="fr-FR"/>
        </w:rPr>
        <w:tab/>
        <w:t>Rapport du groupe de travail informel sur les véhicules électrifiés</w:t>
      </w:r>
    </w:p>
    <w:p w14:paraId="5AEC6454" w14:textId="77777777" w:rsidR="00AB524C" w:rsidRDefault="00AB524C" w:rsidP="00AB524C">
      <w:pPr>
        <w:spacing w:after="120"/>
        <w:ind w:left="3402" w:right="1134" w:hanging="2268"/>
        <w:rPr>
          <w:lang w:val="fr-FR"/>
        </w:rPr>
      </w:pPr>
      <w:r>
        <w:rPr>
          <w:i/>
          <w:iCs/>
          <w:lang w:val="fr-FR"/>
        </w:rPr>
        <w:t>Document informel </w:t>
      </w:r>
      <w:r>
        <w:rPr>
          <w:lang w:val="fr-FR"/>
        </w:rPr>
        <w:t>:</w:t>
      </w:r>
      <w:r>
        <w:rPr>
          <w:lang w:val="fr-FR"/>
        </w:rPr>
        <w:tab/>
      </w:r>
      <w:r>
        <w:rPr>
          <w:lang w:eastAsia="fr-FR"/>
        </w:rPr>
        <w:t>INF.6</w:t>
      </w:r>
      <w:r>
        <w:rPr>
          <w:lang w:val="fr-FR"/>
        </w:rPr>
        <w:t xml:space="preserve"> (Pays-Bas au nom du groupe de travail informel des véhicules électrifiés)</w:t>
      </w:r>
    </w:p>
    <w:p w14:paraId="39D1D7E9" w14:textId="6BE55CBE" w:rsidR="00AB524C" w:rsidRDefault="00AB524C" w:rsidP="00AB524C">
      <w:pPr>
        <w:pStyle w:val="SingleTxtG"/>
        <w:rPr>
          <w:rFonts w:eastAsiaTheme="minorHAnsi"/>
          <w:lang w:eastAsia="en-US"/>
        </w:rPr>
      </w:pPr>
      <w:r>
        <w:rPr>
          <w:lang w:val="fr-FR"/>
        </w:rPr>
        <w:t>21.</w:t>
      </w:r>
      <w:r>
        <w:rPr>
          <w:lang w:val="fr-FR"/>
        </w:rPr>
        <w:tab/>
      </w:r>
      <w:r>
        <w:rPr>
          <w:rFonts w:eastAsiaTheme="minorHAnsi"/>
          <w:lang w:val="fr-FR" w:eastAsia="en-US"/>
        </w:rPr>
        <w:t xml:space="preserve">Le représentant des Pays-Bas, en tant que Président du groupe de travail informel des véhicules électrifiés a présenté l’état d’avancement de ses travaux. </w:t>
      </w:r>
    </w:p>
    <w:p w14:paraId="4254E6FA" w14:textId="7AADA573" w:rsidR="00AB524C" w:rsidRDefault="00AB524C" w:rsidP="00AB524C">
      <w:pPr>
        <w:spacing w:after="120"/>
        <w:ind w:left="1134" w:right="1134"/>
        <w:jc w:val="both"/>
        <w:rPr>
          <w:rFonts w:eastAsiaTheme="minorHAnsi"/>
          <w:lang w:val="fr-FR" w:eastAsia="en-US"/>
        </w:rPr>
      </w:pPr>
      <w:r>
        <w:rPr>
          <w:rFonts w:eastAsiaTheme="minorHAnsi"/>
          <w:lang w:val="fr-FR" w:eastAsia="en-US"/>
        </w:rPr>
        <w:t>22.</w:t>
      </w:r>
      <w:r>
        <w:rPr>
          <w:rFonts w:eastAsiaTheme="minorHAnsi"/>
          <w:lang w:val="fr-FR" w:eastAsia="en-US"/>
        </w:rPr>
        <w:tab/>
        <w:t>Le Groupe de travail a confirmé l’approche proposée par le groupe de travail informel à savoir :</w:t>
      </w:r>
    </w:p>
    <w:p w14:paraId="4E2DDCC9" w14:textId="77777777" w:rsidR="00AB524C" w:rsidRDefault="00AB524C" w:rsidP="00AB524C">
      <w:pPr>
        <w:pStyle w:val="Bullet1G"/>
        <w:numPr>
          <w:ilvl w:val="0"/>
          <w:numId w:val="14"/>
        </w:numPr>
        <w:rPr>
          <w:rFonts w:eastAsiaTheme="minorHAnsi"/>
          <w:lang w:val="fr-FR" w:eastAsia="en-US"/>
        </w:rPr>
      </w:pPr>
      <w:r>
        <w:rPr>
          <w:rFonts w:eastAsiaTheme="minorHAnsi"/>
          <w:lang w:val="fr-FR" w:eastAsia="en-US"/>
        </w:rPr>
        <w:t xml:space="preserve">Inclure des objectifs de sécurité généraux dans l’ADR pour l’utilisation des véhicules électrifiés à batterie en tant que véhicules FL et pour l’utilisation des </w:t>
      </w:r>
      <w:r>
        <w:rPr>
          <w:lang w:val="fr-FR"/>
        </w:rPr>
        <w:t>véhicules fonctionnant à l’hydrogène pour transporter des marchandises dangereuses ;</w:t>
      </w:r>
    </w:p>
    <w:p w14:paraId="507BEE4D" w14:textId="77777777" w:rsidR="00AB524C" w:rsidRDefault="00AB524C" w:rsidP="00AB524C">
      <w:pPr>
        <w:pStyle w:val="Bullet1G"/>
        <w:numPr>
          <w:ilvl w:val="0"/>
          <w:numId w:val="14"/>
        </w:numPr>
        <w:rPr>
          <w:rFonts w:eastAsiaTheme="minorHAnsi"/>
          <w:lang w:val="fr-FR" w:eastAsia="en-US"/>
        </w:rPr>
      </w:pPr>
      <w:r>
        <w:rPr>
          <w:lang w:val="fr-FR"/>
        </w:rPr>
        <w:t xml:space="preserve">Inviter le </w:t>
      </w:r>
      <w:r>
        <w:rPr>
          <w:lang w:eastAsia="fr-FR"/>
        </w:rPr>
        <w:t>Forum mondial de l'harmonisation des Règlements concernant les véhicules (WP.29) à modifier les Règlements ONU No. 100 et No. 134 afin de compléter les prescriptions relatives à la conception de ces véhicules pour s’assurer qu’ils peuvent être utilisés à ces fins.</w:t>
      </w:r>
    </w:p>
    <w:p w14:paraId="3D71CD4D" w14:textId="3FD68C43" w:rsidR="00AB524C" w:rsidRDefault="00AB524C" w:rsidP="00AB524C">
      <w:pPr>
        <w:pStyle w:val="SingleTxtG"/>
        <w:rPr>
          <w:rFonts w:eastAsiaTheme="minorHAnsi"/>
          <w:lang w:val="fr-FR" w:eastAsia="en-US"/>
        </w:rPr>
      </w:pPr>
      <w:r>
        <w:rPr>
          <w:rFonts w:eastAsiaTheme="minorHAnsi"/>
          <w:lang w:val="fr-FR" w:eastAsia="en-US"/>
        </w:rPr>
        <w:t>23.</w:t>
      </w:r>
      <w:r>
        <w:rPr>
          <w:rFonts w:eastAsiaTheme="minorHAnsi"/>
          <w:lang w:val="fr-FR" w:eastAsia="en-US"/>
        </w:rPr>
        <w:tab/>
        <w:t xml:space="preserve">Le représentant du Cefic a présenté les travaux en cours au sein du sous-groupe des utilisateurs et les scénarios les plus préoccupants concernant l'utilisation par les remplisseurs, déchargeurs, transporteurs et expéditeurs des véhicules électrifiés à batterie et des véhicules </w:t>
      </w:r>
      <w:r>
        <w:rPr>
          <w:lang w:val="fr-FR"/>
        </w:rPr>
        <w:t>fonctionnant à l’hydrogène</w:t>
      </w:r>
      <w:r>
        <w:rPr>
          <w:rFonts w:eastAsiaTheme="minorHAnsi"/>
          <w:lang w:val="fr-FR" w:eastAsia="en-US"/>
        </w:rPr>
        <w:t>.</w:t>
      </w:r>
    </w:p>
    <w:p w14:paraId="51DDC7D5" w14:textId="23F0B023" w:rsidR="00AB524C" w:rsidRDefault="00AB524C" w:rsidP="00AB524C">
      <w:pPr>
        <w:pStyle w:val="SingleTxtG"/>
        <w:rPr>
          <w:rFonts w:eastAsiaTheme="minorHAnsi"/>
          <w:lang w:val="fr-FR" w:eastAsia="en-US"/>
        </w:rPr>
      </w:pPr>
      <w:r>
        <w:rPr>
          <w:rFonts w:eastAsiaTheme="minorHAnsi"/>
        </w:rPr>
        <w:t>24.</w:t>
      </w:r>
      <w:r>
        <w:rPr>
          <w:rFonts w:eastAsiaTheme="minorHAnsi"/>
        </w:rPr>
        <w:tab/>
        <w:t xml:space="preserve">Le </w:t>
      </w:r>
      <w:r>
        <w:rPr>
          <w:rFonts w:eastAsiaTheme="minorHAnsi"/>
          <w:lang w:val="fr-FR" w:eastAsia="en-US"/>
        </w:rPr>
        <w:t>Groupe de travail a encouragé le groupe de travail informel et ses sous-groupes à poursuivre leurs travaux.</w:t>
      </w:r>
    </w:p>
    <w:p w14:paraId="44480D72" w14:textId="63A1FF7C" w:rsidR="00AB524C" w:rsidRDefault="00AB524C" w:rsidP="00AB524C">
      <w:pPr>
        <w:pStyle w:val="SingleTxtG"/>
        <w:rPr>
          <w:rFonts w:eastAsiaTheme="minorHAnsi"/>
          <w:lang w:val="fr-FR" w:eastAsia="en-US"/>
        </w:rPr>
      </w:pPr>
      <w:r>
        <w:rPr>
          <w:rFonts w:eastAsiaTheme="minorHAnsi"/>
          <w:lang w:val="fr-FR" w:eastAsia="en-US"/>
        </w:rPr>
        <w:t>25.</w:t>
      </w:r>
      <w:r>
        <w:rPr>
          <w:rFonts w:eastAsiaTheme="minorHAnsi"/>
          <w:lang w:val="fr-FR" w:eastAsia="en-US"/>
        </w:rPr>
        <w:tab/>
        <w:t>Le Groupe de travail a noté que des travaux étaient en cours au WP.29 en vue de publier d’ici 2025 des règlements relatifs à l’utilisation des véhicules hautement automatisés et des véhicules autonomes. Le Groupe de travail pourra être amené à prendre position dans un futur proche quant à l’utilisation de ces véhicules pour les transports de marchandises dangereuses.</w:t>
      </w:r>
    </w:p>
    <w:p w14:paraId="1B38AACE" w14:textId="58D330E8" w:rsidR="00AB524C" w:rsidRDefault="00AB524C" w:rsidP="00AB524C">
      <w:pPr>
        <w:pStyle w:val="SingleTxtG"/>
        <w:rPr>
          <w:rFonts w:eastAsiaTheme="minorHAnsi"/>
          <w:lang w:eastAsia="en-US"/>
        </w:rPr>
      </w:pPr>
      <w:r>
        <w:rPr>
          <w:rFonts w:eastAsiaTheme="minorHAnsi"/>
          <w:lang w:val="fr-FR" w:eastAsia="en-US"/>
        </w:rPr>
        <w:t>26.</w:t>
      </w:r>
      <w:r>
        <w:rPr>
          <w:rFonts w:eastAsiaTheme="minorHAnsi"/>
          <w:lang w:val="fr-FR" w:eastAsia="en-US"/>
        </w:rPr>
        <w:tab/>
        <w:t xml:space="preserve">Le Groupe de travail a noté que les véhicules neufs au sein de l’Union européenne devaient être équipés de contrôle de stabilité électronique et qu’il pourrait être intéressant </w:t>
      </w:r>
      <w:r>
        <w:rPr>
          <w:rFonts w:eastAsiaTheme="minorHAnsi"/>
          <w:lang w:val="fr-FR" w:eastAsia="en-US"/>
        </w:rPr>
        <w:lastRenderedPageBreak/>
        <w:t>d’introduire des prescriptions similaires dans l’ADR pour étendre cette obligation à tous les pays Partie Contractante à l’ADR.</w:t>
      </w:r>
    </w:p>
    <w:p w14:paraId="67FD52E3" w14:textId="77777777" w:rsidR="00AB524C" w:rsidRDefault="00AB524C" w:rsidP="00AB524C">
      <w:pPr>
        <w:pStyle w:val="H23G"/>
        <w:rPr>
          <w:lang w:val="fr-FR"/>
        </w:rPr>
      </w:pPr>
      <w:r>
        <w:rPr>
          <w:lang w:val="fr-FR"/>
        </w:rPr>
        <w:tab/>
        <w:t>3.</w:t>
      </w:r>
      <w:r>
        <w:rPr>
          <w:lang w:val="fr-FR"/>
        </w:rPr>
        <w:tab/>
        <w:t>Règlement ONU No 105</w:t>
      </w:r>
    </w:p>
    <w:p w14:paraId="7C61B530" w14:textId="40AEA5A8" w:rsidR="00AB524C" w:rsidRDefault="00AB524C" w:rsidP="00AB524C">
      <w:pPr>
        <w:kinsoku/>
        <w:overflowPunct/>
        <w:autoSpaceDE/>
        <w:adjustRightInd/>
        <w:snapToGrid/>
        <w:spacing w:after="120"/>
        <w:ind w:left="1134" w:right="1134"/>
        <w:jc w:val="both"/>
        <w:rPr>
          <w:lang w:eastAsia="fr-FR"/>
        </w:rPr>
      </w:pPr>
      <w:r>
        <w:rPr>
          <w:lang w:eastAsia="fr-FR"/>
        </w:rPr>
        <w:t>27.</w:t>
      </w:r>
      <w:r>
        <w:rPr>
          <w:lang w:eastAsia="fr-FR"/>
        </w:rPr>
        <w:tab/>
        <w:t xml:space="preserve">L’OICA avait soumis au Groupe de travail des dispositions générales de sécurité (GRSG) du WP.29 une proposition visant à aligner les dispositions du Règlement </w:t>
      </w:r>
      <w:r w:rsidR="00501F0A">
        <w:rPr>
          <w:lang w:eastAsia="fr-FR"/>
        </w:rPr>
        <w:t xml:space="preserve">No. </w:t>
      </w:r>
      <w:r>
        <w:rPr>
          <w:lang w:eastAsia="fr-FR"/>
        </w:rPr>
        <w:t xml:space="preserve">105 sur celles de la nouvelle édition 2023 de l'ADR (voir ECE/TRANS/WP.29/GRSG/2022/29). Le GRSG a validé cette proposition telle que corrigée par le document informel GRSG-124-18. </w:t>
      </w:r>
    </w:p>
    <w:p w14:paraId="4B70F3C3" w14:textId="04FE6DD8" w:rsidR="00AB524C" w:rsidRDefault="00AB524C" w:rsidP="00AB524C">
      <w:pPr>
        <w:kinsoku/>
        <w:overflowPunct/>
        <w:autoSpaceDE/>
        <w:adjustRightInd/>
        <w:snapToGrid/>
        <w:spacing w:after="120"/>
        <w:ind w:left="1134" w:right="1134"/>
        <w:jc w:val="both"/>
        <w:rPr>
          <w:lang w:eastAsia="fr-FR"/>
        </w:rPr>
      </w:pPr>
      <w:r>
        <w:rPr>
          <w:lang w:eastAsia="fr-FR"/>
        </w:rPr>
        <w:t>28.</w:t>
      </w:r>
      <w:r>
        <w:rPr>
          <w:lang w:eastAsia="fr-FR"/>
        </w:rPr>
        <w:tab/>
        <w:t xml:space="preserve">Le Groupe de travail a noté que la proposition serait présentée à la session de mars 2023 du WP.29 pour adoption. </w:t>
      </w:r>
    </w:p>
    <w:p w14:paraId="47446D76" w14:textId="77777777" w:rsidR="00AB524C" w:rsidRDefault="00AB524C" w:rsidP="00AB524C">
      <w:pPr>
        <w:pStyle w:val="H23G"/>
        <w:rPr>
          <w:lang w:val="fr-FR"/>
        </w:rPr>
      </w:pPr>
      <w:r>
        <w:rPr>
          <w:lang w:val="fr-FR"/>
        </w:rPr>
        <w:tab/>
        <w:t>4.</w:t>
      </w:r>
      <w:r>
        <w:rPr>
          <w:lang w:val="fr-FR"/>
        </w:rPr>
        <w:tab/>
      </w:r>
      <w:r>
        <w:rPr>
          <w:lang w:eastAsia="fr-FR"/>
        </w:rPr>
        <w:t>Lignes directrices pour la détermination de la date de première immatriculation des véhicules routiers</w:t>
      </w:r>
    </w:p>
    <w:p w14:paraId="272817BE" w14:textId="2FC8A0FB" w:rsidR="00AB524C" w:rsidRDefault="00AB524C" w:rsidP="00AB524C">
      <w:pPr>
        <w:kinsoku/>
        <w:overflowPunct/>
        <w:autoSpaceDE/>
        <w:adjustRightInd/>
        <w:snapToGrid/>
        <w:spacing w:after="120"/>
        <w:ind w:left="1134" w:right="1134"/>
        <w:jc w:val="both"/>
        <w:rPr>
          <w:lang w:eastAsia="fr-FR"/>
        </w:rPr>
      </w:pPr>
      <w:r>
        <w:rPr>
          <w:lang w:eastAsia="fr-FR"/>
        </w:rPr>
        <w:t>29.</w:t>
      </w:r>
      <w:r>
        <w:rPr>
          <w:lang w:eastAsia="fr-FR"/>
        </w:rPr>
        <w:tab/>
        <w:t xml:space="preserve">À sa 110e session, le Groupe de travail des transports de marchandises dangereuses (WP.15) a adopté (ECE/TRANS/WP.15/255, paragraphe 69 et annexe IV) des Lignes directrices pour la détermination de la date de première immatriculation des véhicules routiers (ou de mise en service si l’immatriculation n’est pas obligatoire) aux fins du transport de marchandises dangereuses en application des prescriptions du chapitre 9.2. </w:t>
      </w:r>
    </w:p>
    <w:p w14:paraId="48239FA0" w14:textId="3ED488C9" w:rsidR="00AB524C" w:rsidRDefault="00AB524C" w:rsidP="00AB524C">
      <w:pPr>
        <w:pStyle w:val="SingleTxtG"/>
        <w:rPr>
          <w:i/>
          <w:iCs/>
        </w:rPr>
      </w:pPr>
      <w:r>
        <w:rPr>
          <w:lang w:eastAsia="fr-FR"/>
        </w:rPr>
        <w:t>30.</w:t>
      </w:r>
      <w:r>
        <w:rPr>
          <w:lang w:eastAsia="fr-FR"/>
        </w:rPr>
        <w:tab/>
        <w:t>Le Groupe de travail a noté que ces lignes directrices avaient été publiées sur la page dédiée du site internet de la Commission économique pour l’Europe (</w:t>
      </w:r>
      <w:hyperlink r:id="rId12" w:history="1">
        <w:r>
          <w:rPr>
            <w:rStyle w:val="Hyperlink"/>
            <w:lang w:eastAsia="fr-FR"/>
          </w:rPr>
          <w:t>https://unece.org/guidelines-telematics-application-standards-construction-and-approval-vehicles-calculation-risks</w:t>
        </w:r>
      </w:hyperlink>
      <w:r>
        <w:rPr>
          <w:lang w:eastAsia="fr-FR"/>
        </w:rPr>
        <w:t xml:space="preserve">) avec une correction dans la version anglaise qui faisait référence à la « date de mise en service si l’immatriculation </w:t>
      </w:r>
      <w:r>
        <w:rPr>
          <w:u w:val="single"/>
          <w:lang w:eastAsia="fr-FR"/>
        </w:rPr>
        <w:t>est</w:t>
      </w:r>
      <w:r>
        <w:rPr>
          <w:lang w:eastAsia="fr-FR"/>
        </w:rPr>
        <w:t xml:space="preserve"> obligatoire » au lieu de « date de mise en service si l’immatriculation </w:t>
      </w:r>
      <w:r>
        <w:rPr>
          <w:u w:val="single"/>
          <w:lang w:eastAsia="fr-FR"/>
        </w:rPr>
        <w:t>n’est pas</w:t>
      </w:r>
      <w:r>
        <w:rPr>
          <w:lang w:eastAsia="fr-FR"/>
        </w:rPr>
        <w:t xml:space="preserve"> obligatoire ».</w:t>
      </w:r>
    </w:p>
    <w:p w14:paraId="19AFA188"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B.</w:t>
      </w:r>
      <w:r>
        <w:rPr>
          <w:rFonts w:eastAsia="Calibri"/>
          <w:b/>
          <w:sz w:val="24"/>
          <w:lang w:val="fr-FR" w:eastAsia="en-US"/>
        </w:rPr>
        <w:tab/>
        <w:t>Propositions diverses</w:t>
      </w:r>
    </w:p>
    <w:p w14:paraId="01D4A12C" w14:textId="77777777" w:rsidR="00AB524C" w:rsidRDefault="00AB524C" w:rsidP="00AB524C">
      <w:pPr>
        <w:pStyle w:val="H23G"/>
      </w:pPr>
      <w:r>
        <w:tab/>
        <w:t>1.</w:t>
      </w:r>
      <w:r>
        <w:tab/>
        <w:t>Exemption des restrictions de circulation en tunnels pour les marchandises dangereuses de catégorie 4</w:t>
      </w:r>
    </w:p>
    <w:p w14:paraId="5537C264" w14:textId="77777777" w:rsidR="00AB524C" w:rsidRDefault="00AB524C" w:rsidP="00AB524C">
      <w:pPr>
        <w:pStyle w:val="SingleTxtG"/>
      </w:pPr>
      <w:r>
        <w:rPr>
          <w:i/>
          <w:iCs/>
        </w:rPr>
        <w:t>Document :</w:t>
      </w:r>
      <w:r>
        <w:rPr>
          <w:i/>
          <w:iCs/>
        </w:rPr>
        <w:tab/>
      </w:r>
      <w:r>
        <w:t>ECE/TRANS/WP.15/2022/6 (Türkiye)</w:t>
      </w:r>
    </w:p>
    <w:p w14:paraId="57295304" w14:textId="7A906B6C" w:rsidR="00AB524C" w:rsidRDefault="00AB524C" w:rsidP="00AB524C">
      <w:pPr>
        <w:pStyle w:val="SingleTxtG"/>
      </w:pPr>
      <w:r>
        <w:t>31.</w:t>
      </w:r>
      <w:r>
        <w:tab/>
        <w:t>La proposition de la Türkiye n’a pas reçu de soutien.</w:t>
      </w:r>
    </w:p>
    <w:p w14:paraId="6762A561" w14:textId="1175F75D" w:rsidR="00AB524C" w:rsidRDefault="00AB524C" w:rsidP="00AB524C">
      <w:pPr>
        <w:pStyle w:val="SingleTxtG"/>
      </w:pPr>
      <w:r>
        <w:t>32.</w:t>
      </w:r>
      <w:r>
        <w:tab/>
        <w:t xml:space="preserve">Le Groupe de travail a confirmé que le code de restriction en tunnel (E) pour les rubriques listées était justifié en fonction des dangers associé au transport en tunnel de ces marchandises en dehors du régime d’exemption du 1.1.3.6. </w:t>
      </w:r>
    </w:p>
    <w:p w14:paraId="4E6F6DC7" w14:textId="759F5844" w:rsidR="00AB524C" w:rsidRDefault="00AB524C" w:rsidP="00AB524C">
      <w:pPr>
        <w:pStyle w:val="SingleTxtG"/>
      </w:pPr>
      <w:r>
        <w:t>33.</w:t>
      </w:r>
      <w:r>
        <w:tab/>
        <w:t>Le Groupe de travail a noté qu’il pourrait être nécessaire de modifier la formulation du 1.9.5.3.6 et du 8.6.3.3 pour clarifier que les restrictions de circulation en tunnels restent applicables aux transports des marchandises dont les rubriques sont énumérées au 1.1.3.6.2 lorsque ces marchandises sont transportées en dehors du régime d’exemption du 1.1.3.6.</w:t>
      </w:r>
    </w:p>
    <w:p w14:paraId="23D34895" w14:textId="77777777" w:rsidR="00AB524C" w:rsidRDefault="00AB524C" w:rsidP="00AB524C">
      <w:pPr>
        <w:pStyle w:val="H23G"/>
      </w:pPr>
      <w:r>
        <w:tab/>
        <w:t>2.</w:t>
      </w:r>
      <w:r>
        <w:tab/>
        <w:t>Section 9.1.3 – certificats d’agrément des véhicules</w:t>
      </w:r>
    </w:p>
    <w:p w14:paraId="7B943512" w14:textId="77777777" w:rsidR="00AB524C" w:rsidRDefault="00AB524C" w:rsidP="00AB524C">
      <w:pPr>
        <w:pStyle w:val="SingleTxtG"/>
        <w:keepNext/>
      </w:pPr>
      <w:r>
        <w:rPr>
          <w:i/>
          <w:iCs/>
        </w:rPr>
        <w:t>Document :</w:t>
      </w:r>
      <w:r>
        <w:rPr>
          <w:i/>
          <w:iCs/>
        </w:rPr>
        <w:tab/>
      </w:r>
      <w:r>
        <w:t>ECE/TRANS/WP.15/2022/7 (Pologne)</w:t>
      </w:r>
    </w:p>
    <w:p w14:paraId="7FC4F589" w14:textId="77777777" w:rsidR="00AB524C" w:rsidRDefault="00AB524C" w:rsidP="00AB524C">
      <w:pPr>
        <w:pStyle w:val="SingleTxtG"/>
        <w:keepNext/>
        <w:rPr>
          <w:i/>
          <w:iCs/>
        </w:rPr>
      </w:pPr>
      <w:r>
        <w:rPr>
          <w:i/>
          <w:iCs/>
        </w:rPr>
        <w:t>Document informel :</w:t>
      </w:r>
      <w:r>
        <w:rPr>
          <w:i/>
          <w:iCs/>
        </w:rPr>
        <w:tab/>
      </w:r>
      <w:r>
        <w:t>INF.10 (Pays-Bas)</w:t>
      </w:r>
    </w:p>
    <w:p w14:paraId="420C8EAB" w14:textId="7E136283" w:rsidR="00AB524C" w:rsidRDefault="00AB524C" w:rsidP="00AB524C">
      <w:pPr>
        <w:pStyle w:val="SingleTxtG"/>
        <w:rPr>
          <w:i/>
          <w:iCs/>
        </w:rPr>
      </w:pPr>
      <w:r>
        <w:t xml:space="preserve">34. </w:t>
      </w:r>
      <w:r>
        <w:tab/>
        <w:t>Le Groupe de travail a adopté la proposition alternative figurant dans le document informel INF.10 telle que modifiée pour inclure les dispositifs de sûreté numériques</w:t>
      </w:r>
      <w:r>
        <w:rPr>
          <w:rFonts w:asciiTheme="majorBidi" w:hAnsiTheme="majorBidi" w:cstheme="majorBidi"/>
          <w:lang w:val="fr-FR" w:eastAsia="en-US"/>
        </w:rPr>
        <w:t xml:space="preserve"> (voir annexe)</w:t>
      </w:r>
      <w:r w:rsidR="00E9259F">
        <w:rPr>
          <w:rFonts w:asciiTheme="majorBidi" w:hAnsiTheme="majorBidi" w:cstheme="majorBidi"/>
          <w:lang w:val="fr-FR" w:eastAsia="en-US"/>
        </w:rPr>
        <w:t>.</w:t>
      </w:r>
    </w:p>
    <w:p w14:paraId="76CA005F" w14:textId="77777777" w:rsidR="00AB524C" w:rsidRDefault="00AB524C" w:rsidP="00AB524C">
      <w:pPr>
        <w:pStyle w:val="H23G"/>
      </w:pPr>
      <w:r>
        <w:tab/>
        <w:t>3.</w:t>
      </w:r>
      <w:r>
        <w:tab/>
        <w:t>Nouvelles dispositions pour les citernes en matière plastique renforcée de fibres – amendements de conséquence</w:t>
      </w:r>
    </w:p>
    <w:p w14:paraId="3E7D3CF0" w14:textId="77777777" w:rsidR="00AB524C" w:rsidRDefault="00AB524C" w:rsidP="00AB524C">
      <w:pPr>
        <w:pStyle w:val="SingleTxtG"/>
        <w:rPr>
          <w:i/>
          <w:iCs/>
        </w:rPr>
      </w:pPr>
      <w:r>
        <w:rPr>
          <w:i/>
          <w:iCs/>
        </w:rPr>
        <w:t>Document :</w:t>
      </w:r>
      <w:r>
        <w:rPr>
          <w:i/>
          <w:iCs/>
        </w:rPr>
        <w:tab/>
      </w:r>
      <w:r>
        <w:t>ECE/TRANS/WP.15/2022/10 (secrétariat)</w:t>
      </w:r>
    </w:p>
    <w:p w14:paraId="6597A9EA" w14:textId="77777777" w:rsidR="00AB524C" w:rsidRDefault="00AB524C" w:rsidP="00AB524C">
      <w:pPr>
        <w:pStyle w:val="SingleTxtG"/>
      </w:pPr>
      <w:r>
        <w:rPr>
          <w:i/>
          <w:iCs/>
        </w:rPr>
        <w:t>Documents informels :</w:t>
      </w:r>
      <w:r>
        <w:rPr>
          <w:i/>
          <w:iCs/>
        </w:rPr>
        <w:tab/>
      </w:r>
      <w:r>
        <w:t>INF.3 (secrétariat), INF.9 (Pologne)</w:t>
      </w:r>
    </w:p>
    <w:p w14:paraId="065E50F9" w14:textId="48B749BB" w:rsidR="00AB524C" w:rsidRDefault="00AB524C" w:rsidP="00AB524C">
      <w:pPr>
        <w:pStyle w:val="SingleTxtG"/>
      </w:pPr>
      <w:r>
        <w:lastRenderedPageBreak/>
        <w:t>35.</w:t>
      </w:r>
      <w:r>
        <w:tab/>
        <w:t>Le Groupe de travail a adopté la proposition 1 visant à modifier le titre du chapitre 4.4 avec une modification rédactionnelle</w:t>
      </w:r>
      <w:r>
        <w:rPr>
          <w:rFonts w:asciiTheme="majorBidi" w:hAnsiTheme="majorBidi" w:cstheme="majorBidi"/>
          <w:lang w:val="fr-FR" w:eastAsia="en-US"/>
        </w:rPr>
        <w:t xml:space="preserve"> (voir annexe)</w:t>
      </w:r>
      <w:r w:rsidR="00E9259F">
        <w:rPr>
          <w:rFonts w:asciiTheme="majorBidi" w:hAnsiTheme="majorBidi" w:cstheme="majorBidi"/>
          <w:lang w:val="fr-FR" w:eastAsia="en-US"/>
        </w:rPr>
        <w:t>.</w:t>
      </w:r>
    </w:p>
    <w:p w14:paraId="6B552790" w14:textId="19FB6DE7" w:rsidR="00AB524C" w:rsidRDefault="00AB524C" w:rsidP="00AB524C">
      <w:pPr>
        <w:pStyle w:val="SingleTxtG"/>
        <w:rPr>
          <w:rFonts w:asciiTheme="majorBidi" w:hAnsiTheme="majorBidi" w:cstheme="majorBidi"/>
          <w:lang w:val="fr-FR" w:eastAsia="en-US"/>
        </w:rPr>
      </w:pPr>
      <w:r>
        <w:t>36.</w:t>
      </w:r>
      <w:r>
        <w:tab/>
        <w:t>La présidente a confirmé que la date du 1</w:t>
      </w:r>
      <w:r>
        <w:rPr>
          <w:vertAlign w:val="superscript"/>
        </w:rPr>
        <w:t>er</w:t>
      </w:r>
      <w:r>
        <w:t xml:space="preserve"> juillet 2033 figurant dans la mesure transitoire 1.6.4.59 en vigueur à partir du 1</w:t>
      </w:r>
      <w:r>
        <w:rPr>
          <w:vertAlign w:val="superscript"/>
        </w:rPr>
        <w:t>er</w:t>
      </w:r>
      <w:r>
        <w:t xml:space="preserve"> janvier 2023 était la date qui avait été adoptée par la Réunion commune sur la base d’une proposition du Groupe de travail sur les citernes afin de permettre la construction des conteneurs-citernes </w:t>
      </w:r>
      <w:r>
        <w:rPr>
          <w:rFonts w:asciiTheme="majorBidi" w:hAnsiTheme="majorBidi" w:cstheme="majorBidi"/>
          <w:lang w:val="fr-FR" w:eastAsia="en-US"/>
        </w:rPr>
        <w:t>conformément aux prescriptions du chapitre 6.9 applicables jusqu'au 31 décembre 2022</w:t>
      </w:r>
      <w:r>
        <w:rPr>
          <w:lang w:val="fr-FR"/>
        </w:rPr>
        <w:t xml:space="preserve"> </w:t>
      </w:r>
      <w:r>
        <w:t>et leur utilisation</w:t>
      </w:r>
      <w:r>
        <w:rPr>
          <w:rFonts w:asciiTheme="majorBidi" w:hAnsiTheme="majorBidi" w:cstheme="majorBidi"/>
          <w:lang w:val="fr-FR" w:eastAsia="en-US"/>
        </w:rPr>
        <w:t>.</w:t>
      </w:r>
    </w:p>
    <w:p w14:paraId="3CDBA79D" w14:textId="4E8F0FE0" w:rsidR="00AB524C" w:rsidRDefault="00AB524C" w:rsidP="00AB524C">
      <w:pPr>
        <w:pStyle w:val="SingleTxtG"/>
        <w:rPr>
          <w:rFonts w:ascii="TimesNewRomanPSMT" w:hAnsi="TimesNewRomanPSMT" w:cs="TimesNewRomanPSMT"/>
          <w:lang w:val="fr-FR"/>
        </w:rPr>
      </w:pPr>
      <w:r>
        <w:rPr>
          <w:rFonts w:asciiTheme="majorBidi" w:hAnsiTheme="majorBidi" w:cstheme="majorBidi"/>
          <w:lang w:val="fr-FR" w:eastAsia="en-US"/>
        </w:rPr>
        <w:t>37.</w:t>
      </w:r>
      <w:r>
        <w:rPr>
          <w:rFonts w:asciiTheme="majorBidi" w:hAnsiTheme="majorBidi" w:cstheme="majorBidi"/>
          <w:lang w:val="fr-FR" w:eastAsia="en-US"/>
        </w:rPr>
        <w:tab/>
        <w:t xml:space="preserve">Le Groupe de travail a confirmé que </w:t>
      </w:r>
      <w:r>
        <w:rPr>
          <w:lang w:val="fr-FR"/>
        </w:rPr>
        <w:t xml:space="preserve">les dispositions du chapitre 4.4 en vigueur jusqu’au 31 décembre 2022 restaient applicables aux </w:t>
      </w:r>
      <w:r>
        <w:rPr>
          <w:rFonts w:ascii="TimesNewRomanPSMT" w:hAnsi="TimesNewRomanPSMT" w:cs="TimesNewRomanPSMT"/>
          <w:lang w:val="fr-FR"/>
        </w:rPr>
        <w:t xml:space="preserve">conteneurs-citernes en matière plastique renforcée de fibres qui seraient utilisés conformément à la mesure transitoire 1.6.4.59. Cette interprétation sera publiée sur la page dédiée du site internet de la Commission économique pour l’Europe. </w:t>
      </w:r>
    </w:p>
    <w:p w14:paraId="51BA05E1" w14:textId="5F4D5237" w:rsidR="00AB524C" w:rsidRDefault="00AB524C" w:rsidP="00AB524C">
      <w:pPr>
        <w:pStyle w:val="SingleTxtG"/>
        <w:rPr>
          <w:rFonts w:asciiTheme="majorBidi" w:hAnsiTheme="majorBidi" w:cstheme="majorBidi"/>
          <w:lang w:val="fr-FR" w:eastAsia="en-US"/>
        </w:rPr>
      </w:pPr>
      <w:r>
        <w:rPr>
          <w:rFonts w:ascii="TimesNewRomanPSMT" w:hAnsi="TimesNewRomanPSMT" w:cs="TimesNewRomanPSMT"/>
          <w:lang w:val="fr-FR"/>
        </w:rPr>
        <w:t>38.</w:t>
      </w:r>
      <w:r>
        <w:rPr>
          <w:rFonts w:ascii="TimesNewRomanPSMT" w:hAnsi="TimesNewRomanPSMT" w:cs="TimesNewRomanPSMT"/>
          <w:lang w:val="fr-FR"/>
        </w:rPr>
        <w:tab/>
        <w:t>Sur cette base, l</w:t>
      </w:r>
      <w:r>
        <w:rPr>
          <w:rFonts w:asciiTheme="majorBidi" w:hAnsiTheme="majorBidi" w:cstheme="majorBidi"/>
          <w:lang w:val="fr-FR" w:eastAsia="en-US"/>
        </w:rPr>
        <w:t>e Groupe de travail a adopté la proposition de modification du 1.6.4.59 telle que figurant dans le document informel INF.9, sauf en ce qui concerne la date limite d’application qui reste fixée au 1</w:t>
      </w:r>
      <w:r>
        <w:rPr>
          <w:rFonts w:asciiTheme="majorBidi" w:hAnsiTheme="majorBidi" w:cstheme="majorBidi"/>
          <w:vertAlign w:val="superscript"/>
          <w:lang w:val="fr-FR" w:eastAsia="en-US"/>
        </w:rPr>
        <w:t>er</w:t>
      </w:r>
      <w:r>
        <w:rPr>
          <w:rFonts w:asciiTheme="majorBidi" w:hAnsiTheme="majorBidi" w:cstheme="majorBidi"/>
          <w:lang w:val="fr-FR" w:eastAsia="en-US"/>
        </w:rPr>
        <w:t xml:space="preserve"> juillet 2033 (voir annexe).</w:t>
      </w:r>
    </w:p>
    <w:p w14:paraId="68806C64" w14:textId="2DAF623C" w:rsidR="00AB524C" w:rsidRDefault="00AB524C" w:rsidP="00AB524C">
      <w:pPr>
        <w:pStyle w:val="SingleTxtG"/>
      </w:pPr>
      <w:r>
        <w:t>39.</w:t>
      </w:r>
      <w:r>
        <w:tab/>
        <w:t>Le Groupe de travail a également adopté l’amendement de conséquence à la note explicative de la colonne (10) du tableau A proposé dans le document informel INF.3</w:t>
      </w:r>
      <w:r>
        <w:rPr>
          <w:rFonts w:asciiTheme="majorBidi" w:hAnsiTheme="majorBidi" w:cstheme="majorBidi"/>
          <w:lang w:val="fr-FR" w:eastAsia="en-US"/>
        </w:rPr>
        <w:t xml:space="preserve"> (voir annexe).</w:t>
      </w:r>
      <w:r>
        <w:rPr>
          <w:lang w:val="fr-FR"/>
        </w:rPr>
        <w:t xml:space="preserve"> </w:t>
      </w:r>
    </w:p>
    <w:p w14:paraId="21CB287F"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eastAsia="en-US"/>
        </w:rPr>
      </w:pPr>
      <w:r>
        <w:rPr>
          <w:b/>
          <w:sz w:val="28"/>
          <w:lang w:eastAsia="en-US"/>
        </w:rPr>
        <w:tab/>
        <w:t>VII.</w:t>
      </w:r>
      <w:r>
        <w:rPr>
          <w:b/>
          <w:sz w:val="28"/>
          <w:lang w:eastAsia="en-US"/>
        </w:rPr>
        <w:tab/>
        <w:t>Interprétation de l’ADR (point 6 de l’ordre du jour)</w:t>
      </w:r>
    </w:p>
    <w:p w14:paraId="09DD66C2"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A.</w:t>
      </w:r>
      <w:r>
        <w:rPr>
          <w:rFonts w:eastAsia="Calibri"/>
          <w:b/>
          <w:sz w:val="24"/>
          <w:lang w:val="fr-FR" w:eastAsia="en-US"/>
        </w:rPr>
        <w:tab/>
        <w:t>Calcul de la masse nette de matière explosible</w:t>
      </w:r>
    </w:p>
    <w:p w14:paraId="0DBBD30E" w14:textId="77777777" w:rsidR="00AB524C" w:rsidRDefault="00AB524C" w:rsidP="00AB524C">
      <w:pPr>
        <w:spacing w:after="120"/>
        <w:ind w:left="3402" w:right="1134" w:hanging="2268"/>
        <w:jc w:val="both"/>
        <w:rPr>
          <w:lang w:val="fr-FR"/>
        </w:rPr>
      </w:pPr>
      <w:r>
        <w:rPr>
          <w:i/>
          <w:iCs/>
          <w:lang w:val="fr-FR"/>
        </w:rPr>
        <w:t>Document </w:t>
      </w:r>
      <w:r>
        <w:rPr>
          <w:lang w:val="fr-FR"/>
        </w:rPr>
        <w:t>:</w:t>
      </w:r>
      <w:r>
        <w:rPr>
          <w:lang w:val="fr-FR"/>
        </w:rPr>
        <w:tab/>
      </w:r>
      <w:r>
        <w:rPr>
          <w:lang w:eastAsia="fr-FR"/>
        </w:rPr>
        <w:t>ECE/TRANS/WP.15/2022/9</w:t>
      </w:r>
      <w:r>
        <w:rPr>
          <w:lang w:val="fr-FR"/>
        </w:rPr>
        <w:t xml:space="preserve"> (secrétariat)</w:t>
      </w:r>
    </w:p>
    <w:p w14:paraId="799C8ADC" w14:textId="3C585DB5" w:rsidR="00AB524C" w:rsidRDefault="00AB524C" w:rsidP="00AB524C">
      <w:pPr>
        <w:spacing w:after="120"/>
        <w:ind w:left="1134" w:right="1134"/>
        <w:jc w:val="both"/>
        <w:rPr>
          <w:rFonts w:eastAsiaTheme="minorHAnsi"/>
          <w:lang w:val="fr-FR" w:eastAsia="en-US"/>
        </w:rPr>
      </w:pPr>
      <w:r>
        <w:rPr>
          <w:rFonts w:eastAsiaTheme="minorHAnsi"/>
          <w:lang w:val="fr-FR" w:eastAsia="en-US"/>
        </w:rPr>
        <w:t>40.</w:t>
      </w:r>
      <w:r>
        <w:rPr>
          <w:rFonts w:eastAsiaTheme="minorHAnsi"/>
          <w:lang w:val="fr-FR" w:eastAsia="en-US"/>
        </w:rPr>
        <w:tab/>
        <w:t xml:space="preserve">Le Groupe de travail a noté les conclusions du Groupe de travail des explosifs, qui s’est réuni à l’occasion de la soixantième session du </w:t>
      </w:r>
      <w:r>
        <w:rPr>
          <w:lang w:val="fr-FR"/>
        </w:rPr>
        <w:t>Sous-Comité d’experts du transport des marchandises dangereuses</w:t>
      </w:r>
      <w:r>
        <w:rPr>
          <w:rFonts w:eastAsiaTheme="minorHAnsi"/>
          <w:lang w:val="fr-FR" w:eastAsia="en-US"/>
        </w:rPr>
        <w:t xml:space="preserve"> (Genève, 27 juin-6 juillet 2022). Le Groupe de travail a également noté que la Suède allait présenter, à la soixante-et-unième session du Sous-Comité (Genève, 28 novembre-6 décembre 2022), une proposition visant à modifier la définition du terme « matière pyrotechnique » dans le Règlement type de façon à préciser que les matières pyrotechniques sont des matières explosibles (document ST/SG/AC.10/C.3/2022/47). </w:t>
      </w:r>
    </w:p>
    <w:p w14:paraId="058824C5" w14:textId="659E15F0" w:rsidR="00AB524C" w:rsidRDefault="00AB524C" w:rsidP="00AB524C">
      <w:pPr>
        <w:spacing w:after="120"/>
        <w:ind w:left="1134" w:right="1134"/>
        <w:jc w:val="both"/>
        <w:rPr>
          <w:lang w:eastAsia="en-US"/>
        </w:rPr>
      </w:pPr>
      <w:r>
        <w:rPr>
          <w:rFonts w:eastAsiaTheme="minorHAnsi"/>
          <w:lang w:val="fr-FR" w:eastAsia="en-US"/>
        </w:rPr>
        <w:t>41.</w:t>
      </w:r>
      <w:r>
        <w:rPr>
          <w:rFonts w:eastAsiaTheme="minorHAnsi"/>
          <w:lang w:val="fr-FR" w:eastAsia="en-US"/>
        </w:rPr>
        <w:tab/>
        <w:t xml:space="preserve">À la lumière des conclusions du Groupe de travail des explosifs, le Groupe de travail a confirmé que </w:t>
      </w:r>
      <w:r>
        <w:rPr>
          <w:lang w:eastAsia="en-US"/>
        </w:rPr>
        <w:t xml:space="preserve">les quantités de matières pyrotechniques devaient être prises en compte dans le calcul de la masse nette de matière explosible au 7.5.5.2 ainsi que dans les autres dispositions de l’ADR qui font appel à cette notion et notamment au 1.1.3.6 et dans les dispositions relatives aux restrictions de circulation dans les tunnels. </w:t>
      </w:r>
      <w:r>
        <w:rPr>
          <w:rFonts w:ascii="TimesNewRomanPSMT" w:hAnsi="TimesNewRomanPSMT" w:cs="TimesNewRomanPSMT"/>
          <w:lang w:val="fr-FR"/>
        </w:rPr>
        <w:t>Cette interprétation sera publiée sur la page dédiée du site Web de la Commission économique pour l’Europe.</w:t>
      </w:r>
    </w:p>
    <w:p w14:paraId="52F73D02"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B.</w:t>
      </w:r>
      <w:r>
        <w:rPr>
          <w:rFonts w:eastAsia="Calibri"/>
          <w:b/>
          <w:sz w:val="24"/>
          <w:lang w:val="fr-FR" w:eastAsia="en-US"/>
        </w:rPr>
        <w:tab/>
        <w:t>Champ d’application de l’ADR</w:t>
      </w:r>
    </w:p>
    <w:p w14:paraId="71EC4C57" w14:textId="77777777" w:rsidR="00AB524C" w:rsidRDefault="00AB524C" w:rsidP="00AB524C">
      <w:pPr>
        <w:spacing w:after="120"/>
        <w:ind w:left="3402" w:right="1134" w:hanging="2268"/>
        <w:jc w:val="both"/>
        <w:rPr>
          <w:lang w:val="fr-FR"/>
        </w:rPr>
      </w:pPr>
      <w:r>
        <w:rPr>
          <w:i/>
          <w:iCs/>
          <w:lang w:val="fr-FR"/>
        </w:rPr>
        <w:t>Document informel </w:t>
      </w:r>
      <w:r>
        <w:rPr>
          <w:lang w:val="fr-FR"/>
        </w:rPr>
        <w:t>:</w:t>
      </w:r>
      <w:r>
        <w:rPr>
          <w:lang w:val="fr-FR"/>
        </w:rPr>
        <w:tab/>
      </w:r>
      <w:r>
        <w:rPr>
          <w:lang w:eastAsia="fr-FR"/>
        </w:rPr>
        <w:t>INF.4</w:t>
      </w:r>
      <w:r>
        <w:rPr>
          <w:lang w:val="fr-FR"/>
        </w:rPr>
        <w:t xml:space="preserve"> (secrétariat)</w:t>
      </w:r>
    </w:p>
    <w:p w14:paraId="1139A4E9" w14:textId="48DFB621" w:rsidR="00AB524C" w:rsidRDefault="00AB524C" w:rsidP="00AB524C">
      <w:pPr>
        <w:spacing w:after="120"/>
        <w:ind w:left="1134" w:right="1134"/>
        <w:jc w:val="both"/>
        <w:rPr>
          <w:lang w:val="fr-FR"/>
        </w:rPr>
      </w:pPr>
      <w:r>
        <w:rPr>
          <w:lang w:val="fr-FR"/>
        </w:rPr>
        <w:t>42.</w:t>
      </w:r>
      <w:r>
        <w:rPr>
          <w:lang w:val="fr-FR"/>
        </w:rPr>
        <w:tab/>
        <w:t xml:space="preserve">Le document préparé par le secrétariat essayait d’apporter des premiers éléments de réponse concernant l’applicabilité de l’accord ADR et de ses annexes aux deux et trois roues. Le </w:t>
      </w:r>
      <w:r>
        <w:rPr>
          <w:rFonts w:eastAsiaTheme="minorHAnsi"/>
          <w:lang w:val="fr-FR" w:eastAsia="en-US"/>
        </w:rPr>
        <w:t>Groupe de travail</w:t>
      </w:r>
      <w:r>
        <w:rPr>
          <w:lang w:val="fr-FR"/>
        </w:rPr>
        <w:t xml:space="preserve"> est convenu qu'il fallait encore en débattre, notamment en ce qui concerne d’autres types de deux-roues et trois-roues motorisés comme les vélos électriques, le statut des transports n’entrant pas dans </w:t>
      </w:r>
      <w:r w:rsidR="00630E4B">
        <w:rPr>
          <w:lang w:val="fr-FR"/>
        </w:rPr>
        <w:t>le champ</w:t>
      </w:r>
      <w:r>
        <w:rPr>
          <w:lang w:val="fr-FR"/>
        </w:rPr>
        <w:t xml:space="preserve"> d’application de l’ADR et les possibilités de modification de la portée de l’accord avant que le protocole d’amendement de 1993 n’entre en vigueur au vu notamment de l’article 18 de la </w:t>
      </w:r>
      <w:r>
        <w:t>Convention de Vienne sur le droit des traités (1968)</w:t>
      </w:r>
      <w:r>
        <w:rPr>
          <w:lang w:val="fr-FR"/>
        </w:rPr>
        <w:t xml:space="preserve">. </w:t>
      </w:r>
    </w:p>
    <w:p w14:paraId="6B78497F" w14:textId="40813369" w:rsidR="00AB524C" w:rsidRDefault="00AB524C" w:rsidP="00AB524C">
      <w:pPr>
        <w:spacing w:after="120"/>
        <w:ind w:left="1134" w:right="1134"/>
        <w:jc w:val="both"/>
        <w:rPr>
          <w:lang w:val="fr-FR"/>
        </w:rPr>
      </w:pPr>
      <w:r>
        <w:rPr>
          <w:lang w:val="fr-FR"/>
        </w:rPr>
        <w:t>43.</w:t>
      </w:r>
      <w:r>
        <w:rPr>
          <w:lang w:val="fr-FR"/>
        </w:rPr>
        <w:tab/>
        <w:t xml:space="preserve">Le Groupe est convenu qu’il était prématuré de présenter ce document à la Réunion commune et a souhaité reprendre les discussions à la prochaine session. Il a demandé au secrétariat de préparer un document officiel reprenant les informations du document informel </w:t>
      </w:r>
      <w:r>
        <w:rPr>
          <w:lang w:val="fr-FR"/>
        </w:rPr>
        <w:lastRenderedPageBreak/>
        <w:t>INF.4 en tenant compte des commentaires reçus en session ou intersession et après consultation du bureau des services juridiques des Nations Unies.</w:t>
      </w:r>
    </w:p>
    <w:p w14:paraId="00A87897" w14:textId="77777777" w:rsidR="00AB524C" w:rsidRDefault="00AB524C" w:rsidP="00AB524C">
      <w:pPr>
        <w:pStyle w:val="SingleTxtG"/>
        <w:tabs>
          <w:tab w:val="left" w:pos="1134"/>
        </w:tabs>
        <w:ind w:left="426"/>
        <w:rPr>
          <w:b/>
          <w:sz w:val="28"/>
          <w:lang w:eastAsia="en-US"/>
        </w:rPr>
      </w:pPr>
      <w:r>
        <w:rPr>
          <w:b/>
          <w:sz w:val="28"/>
          <w:lang w:eastAsia="en-US"/>
        </w:rPr>
        <w:t>VIII.</w:t>
      </w:r>
      <w:r>
        <w:rPr>
          <w:b/>
          <w:sz w:val="28"/>
          <w:lang w:eastAsia="en-US"/>
        </w:rPr>
        <w:tab/>
        <w:t>Programme de travail (point 7 de l’ordre du jour)</w:t>
      </w:r>
    </w:p>
    <w:p w14:paraId="5A26D840" w14:textId="379E2155" w:rsidR="00AB524C" w:rsidRDefault="00AB524C" w:rsidP="00AB524C">
      <w:pPr>
        <w:spacing w:before="240" w:after="120"/>
        <w:ind w:left="1134" w:right="1134"/>
        <w:jc w:val="both"/>
        <w:rPr>
          <w:lang w:val="fr-FR"/>
        </w:rPr>
      </w:pPr>
      <w:r>
        <w:rPr>
          <w:lang w:val="fr-FR"/>
        </w:rPr>
        <w:t>44.</w:t>
      </w:r>
      <w:r>
        <w:rPr>
          <w:lang w:val="fr-FR"/>
        </w:rPr>
        <w:tab/>
        <w:t xml:space="preserve">Les points à l'ordre du jour de la prochaine session (provisoirement prévue du 15 au 19 mai 2023) seront : </w:t>
      </w:r>
    </w:p>
    <w:p w14:paraId="1F42ED37" w14:textId="77777777" w:rsidR="00AB524C" w:rsidRDefault="00AB524C" w:rsidP="00AB524C">
      <w:pPr>
        <w:tabs>
          <w:tab w:val="num" w:pos="1701"/>
        </w:tabs>
        <w:spacing w:after="120"/>
        <w:ind w:left="1701" w:right="1134" w:hanging="170"/>
        <w:jc w:val="both"/>
        <w:rPr>
          <w:lang w:val="fr-FR"/>
        </w:rPr>
      </w:pPr>
      <w:r>
        <w:rPr>
          <w:lang w:val="fr-FR"/>
        </w:rPr>
        <w:tab/>
        <w:t>Adoption de l’ordre du jour ;</w:t>
      </w:r>
    </w:p>
    <w:p w14:paraId="65930D60" w14:textId="77777777" w:rsidR="00AB524C" w:rsidRDefault="00AB524C" w:rsidP="00AB524C">
      <w:pPr>
        <w:tabs>
          <w:tab w:val="num" w:pos="1701"/>
        </w:tabs>
        <w:spacing w:after="120"/>
        <w:ind w:left="1701" w:right="1134" w:hanging="170"/>
        <w:jc w:val="both"/>
        <w:rPr>
          <w:lang w:val="fr-FR"/>
        </w:rPr>
      </w:pPr>
      <w:r>
        <w:rPr>
          <w:lang w:val="fr-FR"/>
        </w:rPr>
        <w:tab/>
        <w:t>Quatre-vingt-cinquième session du Comité des transports intérieurs ;</w:t>
      </w:r>
    </w:p>
    <w:p w14:paraId="55751722" w14:textId="77777777" w:rsidR="00AB524C" w:rsidRDefault="00AB524C" w:rsidP="00AB524C">
      <w:pPr>
        <w:tabs>
          <w:tab w:val="num" w:pos="1701"/>
        </w:tabs>
        <w:spacing w:after="120"/>
        <w:ind w:left="1701" w:right="1134" w:hanging="170"/>
        <w:jc w:val="both"/>
        <w:rPr>
          <w:lang w:val="fr-FR"/>
        </w:rPr>
      </w:pPr>
      <w:r>
        <w:rPr>
          <w:lang w:val="fr-FR"/>
        </w:rPr>
        <w:tab/>
        <w:t>État de l’Accord relatif au transport international des marchandises dangereuses par route (ADR) et questions connexes ;</w:t>
      </w:r>
    </w:p>
    <w:p w14:paraId="0805457A" w14:textId="77777777" w:rsidR="00AB524C" w:rsidRDefault="00AB524C" w:rsidP="00AB524C">
      <w:pPr>
        <w:tabs>
          <w:tab w:val="num" w:pos="1701"/>
        </w:tabs>
        <w:spacing w:after="120"/>
        <w:ind w:left="1701" w:right="1134" w:hanging="170"/>
        <w:jc w:val="both"/>
        <w:rPr>
          <w:lang w:val="fr-FR"/>
        </w:rPr>
      </w:pPr>
      <w:r>
        <w:rPr>
          <w:lang w:val="fr-FR"/>
        </w:rPr>
        <w:tab/>
        <w:t>Travaux de la Réunion commune RID/ADR/ADN ;</w:t>
      </w:r>
    </w:p>
    <w:p w14:paraId="4D470FCB" w14:textId="77777777" w:rsidR="00AB524C" w:rsidRDefault="00AB524C" w:rsidP="00AB524C">
      <w:pPr>
        <w:tabs>
          <w:tab w:val="num" w:pos="1701"/>
        </w:tabs>
        <w:spacing w:after="120"/>
        <w:ind w:left="1701" w:right="1134" w:hanging="170"/>
        <w:jc w:val="both"/>
        <w:rPr>
          <w:lang w:val="fr-FR"/>
        </w:rPr>
      </w:pPr>
      <w:r>
        <w:rPr>
          <w:lang w:val="fr-FR"/>
        </w:rPr>
        <w:tab/>
        <w:t>Propositions d'amendement aux annexes A et B de l'ADR ;</w:t>
      </w:r>
    </w:p>
    <w:p w14:paraId="3A35BA9C" w14:textId="77777777" w:rsidR="00AB524C" w:rsidRDefault="00AB524C" w:rsidP="00AB524C">
      <w:pPr>
        <w:tabs>
          <w:tab w:val="num" w:pos="1701"/>
        </w:tabs>
        <w:spacing w:after="120"/>
        <w:ind w:left="1701" w:right="1134" w:hanging="170"/>
        <w:jc w:val="both"/>
        <w:rPr>
          <w:lang w:val="fr-FR"/>
        </w:rPr>
      </w:pPr>
      <w:r>
        <w:rPr>
          <w:lang w:val="fr-FR"/>
        </w:rPr>
        <w:tab/>
        <w:t>Interprétation de l’ADR ;</w:t>
      </w:r>
    </w:p>
    <w:p w14:paraId="3A44C0AC" w14:textId="0E7902E1" w:rsidR="00AB524C" w:rsidRDefault="00AB524C" w:rsidP="00AB524C">
      <w:pPr>
        <w:tabs>
          <w:tab w:val="num" w:pos="1701"/>
        </w:tabs>
        <w:spacing w:after="120"/>
        <w:ind w:left="1701" w:right="1134" w:hanging="170"/>
        <w:jc w:val="both"/>
        <w:rPr>
          <w:lang w:val="fr-FR"/>
        </w:rPr>
      </w:pPr>
      <w:r>
        <w:rPr>
          <w:lang w:val="fr-FR"/>
        </w:rPr>
        <w:tab/>
      </w:r>
      <w:r>
        <w:rPr>
          <w:lang w:val="fr-FR" w:eastAsia="fr-FR"/>
        </w:rPr>
        <w:t>Économie circulaire, utilisation durable des ressources naturelles et</w:t>
      </w:r>
      <w:r>
        <w:rPr>
          <w:lang w:val="fr-FR"/>
        </w:rPr>
        <w:t xml:space="preserve"> objectifs de développement durable</w:t>
      </w:r>
      <w:r>
        <w:rPr>
          <w:lang w:val="fr-FR" w:eastAsia="fr-FR"/>
        </w:rPr>
        <w:t> ;</w:t>
      </w:r>
    </w:p>
    <w:p w14:paraId="7AA063B1" w14:textId="77777777" w:rsidR="00AB524C" w:rsidRDefault="00AB524C" w:rsidP="00AB524C">
      <w:pPr>
        <w:tabs>
          <w:tab w:val="num" w:pos="1701"/>
        </w:tabs>
        <w:spacing w:after="120"/>
        <w:ind w:left="1701" w:right="1134" w:hanging="170"/>
        <w:jc w:val="both"/>
        <w:rPr>
          <w:lang w:val="fr-FR"/>
        </w:rPr>
      </w:pPr>
      <w:r>
        <w:rPr>
          <w:lang w:val="fr-FR"/>
        </w:rPr>
        <w:tab/>
        <w:t>Programme de travail ;</w:t>
      </w:r>
    </w:p>
    <w:p w14:paraId="761D7C00" w14:textId="77777777" w:rsidR="00AB524C" w:rsidRDefault="00AB524C" w:rsidP="00AB524C">
      <w:pPr>
        <w:tabs>
          <w:tab w:val="num" w:pos="1701"/>
        </w:tabs>
        <w:spacing w:after="120"/>
        <w:ind w:left="1701" w:right="1134" w:hanging="170"/>
        <w:jc w:val="both"/>
        <w:rPr>
          <w:lang w:val="fr-FR"/>
        </w:rPr>
      </w:pPr>
      <w:r>
        <w:rPr>
          <w:lang w:val="fr-FR"/>
        </w:rPr>
        <w:tab/>
        <w:t>Questions diverses ;</w:t>
      </w:r>
    </w:p>
    <w:p w14:paraId="642B1232" w14:textId="77777777" w:rsidR="00AB524C" w:rsidRDefault="00AB524C" w:rsidP="00AB524C">
      <w:pPr>
        <w:tabs>
          <w:tab w:val="num" w:pos="1701"/>
        </w:tabs>
        <w:spacing w:after="120"/>
        <w:ind w:left="1701" w:right="1134" w:hanging="170"/>
        <w:jc w:val="both"/>
        <w:rPr>
          <w:lang w:eastAsia="en-US"/>
        </w:rPr>
      </w:pPr>
      <w:r>
        <w:rPr>
          <w:lang w:val="fr-FR"/>
        </w:rPr>
        <w:tab/>
        <w:t>Adoption du rapport.</w:t>
      </w:r>
    </w:p>
    <w:p w14:paraId="6365EE4A" w14:textId="5F13A73D" w:rsidR="00AB524C" w:rsidRDefault="00AB524C" w:rsidP="00AB524C">
      <w:pPr>
        <w:tabs>
          <w:tab w:val="right" w:pos="851"/>
        </w:tabs>
        <w:kinsoku/>
        <w:overflowPunct/>
        <w:autoSpaceDE/>
        <w:adjustRightInd/>
        <w:snapToGrid/>
        <w:spacing w:before="360" w:after="240" w:line="300" w:lineRule="exact"/>
        <w:ind w:left="1134" w:right="1134" w:hanging="1134"/>
        <w:rPr>
          <w:b/>
          <w:i/>
          <w:iCs/>
          <w:sz w:val="28"/>
          <w:lang w:eastAsia="en-US"/>
        </w:rPr>
      </w:pPr>
      <w:r>
        <w:rPr>
          <w:b/>
          <w:sz w:val="28"/>
          <w:lang w:eastAsia="en-US"/>
        </w:rPr>
        <w:tab/>
        <w:t>IX.</w:t>
      </w:r>
      <w:r>
        <w:rPr>
          <w:b/>
          <w:sz w:val="28"/>
          <w:lang w:eastAsia="en-US"/>
        </w:rPr>
        <w:tab/>
      </w:r>
      <w:r>
        <w:rPr>
          <w:b/>
          <w:sz w:val="28"/>
          <w:lang w:val="fr-FR" w:eastAsia="fr-FR"/>
        </w:rPr>
        <w:t>Questions diverses</w:t>
      </w:r>
      <w:r>
        <w:rPr>
          <w:b/>
          <w:sz w:val="28"/>
          <w:lang w:eastAsia="en-US"/>
        </w:rPr>
        <w:t xml:space="preserve"> (point 8 de l’ordre du jour)</w:t>
      </w:r>
    </w:p>
    <w:p w14:paraId="58737CD3"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A.</w:t>
      </w:r>
      <w:r>
        <w:rPr>
          <w:rFonts w:eastAsia="Calibri"/>
          <w:b/>
          <w:sz w:val="24"/>
          <w:lang w:val="fr-FR" w:eastAsia="en-US"/>
        </w:rPr>
        <w:tab/>
      </w:r>
      <w:r>
        <w:rPr>
          <w:b/>
          <w:sz w:val="24"/>
          <w:lang w:val="fr-FR" w:eastAsia="fr-FR"/>
        </w:rPr>
        <w:t>Économie circulaire et utilisation durable des ressources naturelles</w:t>
      </w:r>
    </w:p>
    <w:p w14:paraId="618892BA" w14:textId="77777777" w:rsidR="00AB524C" w:rsidRDefault="00AB524C" w:rsidP="00AB524C">
      <w:pPr>
        <w:spacing w:after="120"/>
        <w:ind w:left="3402" w:right="1134" w:hanging="2268"/>
        <w:jc w:val="both"/>
        <w:rPr>
          <w:lang w:val="fr-FR"/>
        </w:rPr>
      </w:pPr>
      <w:r>
        <w:rPr>
          <w:i/>
          <w:iCs/>
          <w:lang w:val="fr-FR"/>
        </w:rPr>
        <w:t>Document informel </w:t>
      </w:r>
      <w:r>
        <w:rPr>
          <w:lang w:val="fr-FR"/>
        </w:rPr>
        <w:t>:</w:t>
      </w:r>
      <w:r>
        <w:rPr>
          <w:lang w:val="fr-FR"/>
        </w:rPr>
        <w:tab/>
      </w:r>
      <w:r>
        <w:rPr>
          <w:lang w:val="fr-FR" w:eastAsia="fr-FR"/>
        </w:rPr>
        <w:t>INF.8/Rev.1</w:t>
      </w:r>
      <w:r>
        <w:rPr>
          <w:lang w:val="fr-FR"/>
        </w:rPr>
        <w:t xml:space="preserve"> (secrétariat)</w:t>
      </w:r>
    </w:p>
    <w:p w14:paraId="4F71CEDF" w14:textId="537025D0" w:rsidR="00AB524C" w:rsidRDefault="00AB524C" w:rsidP="00AB524C">
      <w:pPr>
        <w:spacing w:after="120"/>
        <w:ind w:left="1134" w:right="1134"/>
        <w:jc w:val="both"/>
        <w:rPr>
          <w:lang w:val="fr-FR"/>
        </w:rPr>
      </w:pPr>
      <w:r>
        <w:rPr>
          <w:lang w:val="fr-FR"/>
        </w:rPr>
        <w:t>45.</w:t>
      </w:r>
      <w:r>
        <w:rPr>
          <w:lang w:val="fr-FR"/>
        </w:rPr>
        <w:tab/>
        <w:t>Une table ronde sur l’Économie circulaire sous l’angle du transport multimodal de marchandises dangereuses s’est tenue pendant la 112e session du Groupe de travail. Cette table ronde faisait suite aux discussions de la 111e session et à la demande du Comité des Transports Intérieurs, dans le cadre de sa stratégie à l’horizon 2030, de lui fournir annuellement un rapport sur les travaux des groupes subsidiaires liés à l’économie circulaire</w:t>
      </w:r>
      <w:r>
        <w:rPr>
          <w:rFonts w:eastAsia="Calibri"/>
          <w:lang w:val="fr-FR" w:eastAsia="en-US"/>
        </w:rPr>
        <w:t xml:space="preserve"> et aux objectifs de développement durable</w:t>
      </w:r>
      <w:r>
        <w:rPr>
          <w:lang w:val="fr-FR"/>
        </w:rPr>
        <w:t>.</w:t>
      </w:r>
    </w:p>
    <w:p w14:paraId="5C1A3107" w14:textId="10677F9F" w:rsidR="00AB524C" w:rsidRDefault="00AB524C" w:rsidP="00AB524C">
      <w:pPr>
        <w:spacing w:after="120"/>
        <w:ind w:left="1134" w:right="1134"/>
        <w:jc w:val="both"/>
        <w:rPr>
          <w:lang w:val="fr-FR"/>
        </w:rPr>
      </w:pPr>
      <w:r>
        <w:rPr>
          <w:lang w:val="fr-FR"/>
        </w:rPr>
        <w:t>46.</w:t>
      </w:r>
      <w:r>
        <w:rPr>
          <w:lang w:val="fr-FR"/>
        </w:rPr>
        <w:tab/>
        <w:t>Le programme et l'ensemble des présentations faites lors de la table ronde seront mises à disposition sur la page Web de la 112e session du Groupe de travail (</w:t>
      </w:r>
      <w:hyperlink r:id="rId13" w:history="1">
        <w:r>
          <w:rPr>
            <w:rStyle w:val="Hyperlink"/>
            <w:lang w:val="fr-FR"/>
          </w:rPr>
          <w:t>https://unece.org/info/Transport/Dangerous-Goods/events/364687</w:t>
        </w:r>
      </w:hyperlink>
      <w:r>
        <w:rPr>
          <w:lang w:val="fr-FR"/>
        </w:rPr>
        <w:t xml:space="preserve">). </w:t>
      </w:r>
    </w:p>
    <w:p w14:paraId="73D7C895" w14:textId="6F286F4B" w:rsidR="00AB524C" w:rsidRDefault="00AB524C" w:rsidP="00AB524C">
      <w:pPr>
        <w:spacing w:after="120"/>
        <w:ind w:left="1134" w:right="1134"/>
        <w:jc w:val="both"/>
        <w:rPr>
          <w:lang w:val="fr-FR"/>
        </w:rPr>
      </w:pPr>
      <w:r>
        <w:rPr>
          <w:lang w:val="fr-FR"/>
        </w:rPr>
        <w:t>47.</w:t>
      </w:r>
      <w:r>
        <w:rPr>
          <w:lang w:val="fr-FR"/>
        </w:rPr>
        <w:tab/>
        <w:t>À l’ouverture de la table ronde, la Secrétaire exécutive de la Commission économique pour l’Europe, le Directeur de la Division des transports durables et le chef de la Section des Marchandises dangereuses ont prononcé des allocutions de bienvenue. La Secrétaire exécutive a souligné l'importance de l'économie circulaire et de l'utilisation durable des ressources naturelles dans la réalisation des objectifs de développement durable (ODD) de l'Agenda 2030. Le Directeur de la Division des Transports Durables a notamment rappelé que le mandat révisé du CTI avait été récemment approuvé par le Conseil économique et social. Ce nouveau mandat a été rédigé dans l’optique de promouvoir la participation des pays non-membres de la Commission économique pour l’Europe aux réunions du CTI et de ses organes subsidiaires et de permettre leur adhésion aux instruments juridiques des Nations Unies développés sous l’égide de la Division des transports durables. Le chef de la Section des Marchandises dangereuses a rappelé les décisions prises par la Réunion commune concernant l’ajout dans son programme de travail d’un point spécifique pour traiter de l’économie circulaire et des ODD et concernant les références à ces sujets dans les documents de travail.</w:t>
      </w:r>
    </w:p>
    <w:p w14:paraId="383703AD" w14:textId="6CD53FAE" w:rsidR="00AB524C" w:rsidRDefault="00AB524C" w:rsidP="00AB524C">
      <w:pPr>
        <w:spacing w:after="120"/>
        <w:ind w:left="1134" w:right="1134"/>
        <w:jc w:val="both"/>
        <w:rPr>
          <w:lang w:val="fr-FR"/>
        </w:rPr>
      </w:pPr>
      <w:r>
        <w:rPr>
          <w:lang w:val="fr-FR"/>
        </w:rPr>
        <w:t>48.</w:t>
      </w:r>
      <w:r>
        <w:rPr>
          <w:lang w:val="fr-FR"/>
        </w:rPr>
        <w:tab/>
        <w:t xml:space="preserve">Les panélistes et les participants ont reconnu que les travaux des organes des Nations Unies relatifs aux transports de marchandises dangereuses avaient déjà un impact direct ou </w:t>
      </w:r>
      <w:r>
        <w:rPr>
          <w:lang w:val="fr-FR"/>
        </w:rPr>
        <w:lastRenderedPageBreak/>
        <w:t>indirect sur le développement de l’économie circulaire et les ODD et qu’il était dorénavant important de mieux identifier les liens entre ces domaines.</w:t>
      </w:r>
    </w:p>
    <w:p w14:paraId="3194CDF4" w14:textId="4BF8F85C" w:rsidR="00AB524C" w:rsidRDefault="00AB524C" w:rsidP="00AB524C">
      <w:pPr>
        <w:spacing w:after="120"/>
        <w:ind w:left="1134" w:right="1134"/>
        <w:jc w:val="both"/>
        <w:rPr>
          <w:lang w:val="fr-FR"/>
        </w:rPr>
      </w:pPr>
      <w:r>
        <w:rPr>
          <w:lang w:val="fr-FR"/>
        </w:rPr>
        <w:t>49.</w:t>
      </w:r>
      <w:r>
        <w:rPr>
          <w:lang w:val="fr-FR"/>
        </w:rPr>
        <w:tab/>
        <w:t>Le Groupe de travail s'est félicité de la table ronde. Il a souligné l'importance de continuer à considérer ses travaux à la lumière des objectifs liés à l’économie circulaire et à l’utilisation durable des ressources naturelles tout en conciliant ces enjeux avec les objectifs attendus de sécurité.</w:t>
      </w:r>
    </w:p>
    <w:p w14:paraId="34ADD5C5" w14:textId="295CCEE5" w:rsidR="00AB524C" w:rsidRDefault="00AB524C" w:rsidP="00AB524C">
      <w:pPr>
        <w:spacing w:after="120"/>
        <w:ind w:left="1134" w:right="1134"/>
        <w:jc w:val="both"/>
        <w:rPr>
          <w:rFonts w:eastAsia="Calibri"/>
          <w:lang w:val="fr-FR" w:eastAsia="en-US"/>
        </w:rPr>
      </w:pPr>
      <w:r>
        <w:rPr>
          <w:rFonts w:eastAsia="Calibri"/>
          <w:lang w:val="fr-FR" w:eastAsia="en-US"/>
        </w:rPr>
        <w:t>50.</w:t>
      </w:r>
      <w:r>
        <w:rPr>
          <w:rFonts w:eastAsia="Calibri"/>
          <w:lang w:val="fr-FR" w:eastAsia="en-US"/>
        </w:rPr>
        <w:tab/>
        <w:t>Le Groupe de travail a décidé de consacrer un nouveau point de son ordre du jour à la question des objectifs de développement durable et de l’éc</w:t>
      </w:r>
      <w:r>
        <w:rPr>
          <w:lang w:val="fr-FR" w:eastAsia="fr-FR"/>
        </w:rPr>
        <w:t xml:space="preserve">onomie circulaire </w:t>
      </w:r>
      <w:r>
        <w:rPr>
          <w:rFonts w:eastAsia="Calibri"/>
          <w:lang w:val="fr-FR" w:eastAsia="en-US"/>
        </w:rPr>
        <w:t>de façon à permettre une discussion régulière sur les actions de suivi. Il a également invité les délégations à préciser dans la partie « justification » de leurs futures propositions le lien éventuel avec ces sujets.</w:t>
      </w:r>
    </w:p>
    <w:p w14:paraId="0BEEAF07" w14:textId="27F16AD6" w:rsidR="00AB524C" w:rsidRDefault="00AB524C" w:rsidP="00AB524C">
      <w:pPr>
        <w:spacing w:after="120"/>
        <w:ind w:left="1134" w:right="1134"/>
        <w:jc w:val="both"/>
        <w:rPr>
          <w:rFonts w:eastAsia="Calibri"/>
          <w:lang w:val="fr-FR" w:eastAsia="en-US"/>
        </w:rPr>
      </w:pPr>
      <w:r>
        <w:rPr>
          <w:rFonts w:eastAsia="Calibri"/>
          <w:lang w:val="fr-FR" w:eastAsia="en-US"/>
        </w:rPr>
        <w:t>51.</w:t>
      </w:r>
      <w:r>
        <w:rPr>
          <w:rFonts w:eastAsia="Calibri"/>
          <w:lang w:val="fr-FR" w:eastAsia="en-US"/>
        </w:rPr>
        <w:tab/>
        <w:t>Le Groupe de travail a noté que la Réunion commune allait discuter plus avant des principaux ODD applicables à ses travaux à sa session de printemps 2023 et qu’il sera informé des conclusions lors de sa 113e session.</w:t>
      </w:r>
    </w:p>
    <w:p w14:paraId="5EBD4575"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b/>
          <w:sz w:val="24"/>
          <w:lang w:val="fr-FR" w:eastAsia="fr-FR"/>
        </w:rPr>
      </w:pPr>
      <w:r>
        <w:rPr>
          <w:rFonts w:eastAsia="Calibri"/>
          <w:b/>
          <w:sz w:val="24"/>
          <w:lang w:val="fr-FR" w:eastAsia="en-US"/>
        </w:rPr>
        <w:tab/>
        <w:t>B.</w:t>
      </w:r>
      <w:r>
        <w:rPr>
          <w:rFonts w:eastAsia="Calibri"/>
          <w:b/>
          <w:sz w:val="24"/>
          <w:lang w:val="fr-FR" w:eastAsia="en-US"/>
        </w:rPr>
        <w:tab/>
      </w:r>
      <w:r>
        <w:rPr>
          <w:b/>
          <w:sz w:val="24"/>
          <w:lang w:val="fr-FR" w:eastAsia="fr-FR"/>
        </w:rPr>
        <w:t xml:space="preserve">Projet </w:t>
      </w:r>
      <w:proofErr w:type="spellStart"/>
      <w:r>
        <w:rPr>
          <w:b/>
          <w:sz w:val="24"/>
          <w:lang w:val="fr-FR" w:eastAsia="fr-FR"/>
        </w:rPr>
        <w:t>EuroMed</w:t>
      </w:r>
      <w:proofErr w:type="spellEnd"/>
      <w:r>
        <w:rPr>
          <w:b/>
          <w:sz w:val="24"/>
          <w:lang w:val="fr-FR" w:eastAsia="fr-FR"/>
        </w:rPr>
        <w:t xml:space="preserve"> TSP</w:t>
      </w:r>
    </w:p>
    <w:p w14:paraId="1E1E6FE6" w14:textId="77777777" w:rsidR="00AB524C" w:rsidRDefault="00AB524C" w:rsidP="00AB524C">
      <w:pPr>
        <w:spacing w:after="120"/>
        <w:ind w:left="3402" w:right="1134" w:hanging="2268"/>
        <w:jc w:val="both"/>
        <w:rPr>
          <w:lang w:val="fr-FR"/>
        </w:rPr>
      </w:pPr>
      <w:r>
        <w:rPr>
          <w:i/>
          <w:iCs/>
          <w:lang w:val="fr-FR"/>
        </w:rPr>
        <w:t>Document informel </w:t>
      </w:r>
      <w:r>
        <w:rPr>
          <w:lang w:val="fr-FR"/>
        </w:rPr>
        <w:t>:</w:t>
      </w:r>
      <w:r>
        <w:rPr>
          <w:lang w:val="fr-FR"/>
        </w:rPr>
        <w:tab/>
      </w:r>
      <w:r>
        <w:rPr>
          <w:lang w:val="fr-FR" w:eastAsia="fr-FR"/>
        </w:rPr>
        <w:t>INF.11</w:t>
      </w:r>
      <w:r>
        <w:rPr>
          <w:lang w:val="fr-FR"/>
        </w:rPr>
        <w:t xml:space="preserve"> (</w:t>
      </w:r>
      <w:proofErr w:type="spellStart"/>
      <w:r>
        <w:rPr>
          <w:lang w:val="fr-FR"/>
        </w:rPr>
        <w:t>EuroMed</w:t>
      </w:r>
      <w:proofErr w:type="spellEnd"/>
      <w:r>
        <w:rPr>
          <w:lang w:val="fr-FR"/>
        </w:rPr>
        <w:t xml:space="preserve"> TSP)</w:t>
      </w:r>
    </w:p>
    <w:p w14:paraId="10B78E98" w14:textId="4EDD9013" w:rsidR="00AB524C" w:rsidRDefault="00AB524C" w:rsidP="00AB524C">
      <w:pPr>
        <w:spacing w:after="120"/>
        <w:ind w:left="1134" w:right="1134"/>
        <w:jc w:val="both"/>
        <w:rPr>
          <w:lang w:val="fr-FR"/>
        </w:rPr>
      </w:pPr>
      <w:r>
        <w:rPr>
          <w:lang w:val="fr-FR"/>
        </w:rPr>
        <w:t>52.</w:t>
      </w:r>
      <w:r>
        <w:rPr>
          <w:lang w:val="fr-FR"/>
        </w:rPr>
        <w:tab/>
        <w:t>Un représentant de l’</w:t>
      </w:r>
      <w:proofErr w:type="spellStart"/>
      <w:r>
        <w:rPr>
          <w:lang w:val="fr-FR"/>
        </w:rPr>
        <w:t>EuroMed</w:t>
      </w:r>
      <w:proofErr w:type="spellEnd"/>
      <w:r>
        <w:rPr>
          <w:lang w:val="fr-FR"/>
        </w:rPr>
        <w:t xml:space="preserve"> TSP a résumé les activités des projets </w:t>
      </w:r>
      <w:proofErr w:type="spellStart"/>
      <w:r>
        <w:rPr>
          <w:lang w:val="fr-FR"/>
        </w:rPr>
        <w:t>EuroMed</w:t>
      </w:r>
      <w:proofErr w:type="spellEnd"/>
      <w:r>
        <w:rPr>
          <w:lang w:val="fr-FR"/>
        </w:rPr>
        <w:t xml:space="preserve"> Route et Rail &amp; Transport Urbain (RRU) et TSP de l’Union européenne depuis 2012 en ce qui concerne le domaine du transport routier des marchandises dangereuses et la promotion de l’ADR et de législations alignées pour le transport national dans certains pays du Moyen-Orient et d’Afrique du Nord méditerranéens ou limitrophes. Le Groupe de travail a noté avec satisfaction les résultats obtenus jusqu’à présent, tout en relevant que le projet arrive à sa fin en 2023 et qu’il reste beaucoup de travail à faire.</w:t>
      </w:r>
    </w:p>
    <w:p w14:paraId="6CE60DFF" w14:textId="590DFA18" w:rsidR="00AB524C" w:rsidRDefault="00AB524C" w:rsidP="00AB524C">
      <w:pPr>
        <w:spacing w:after="120"/>
        <w:ind w:left="1134" w:right="1134"/>
        <w:jc w:val="both"/>
        <w:rPr>
          <w:lang w:val="fr-FR"/>
        </w:rPr>
      </w:pPr>
      <w:r>
        <w:rPr>
          <w:lang w:val="fr-FR"/>
        </w:rPr>
        <w:t>53.</w:t>
      </w:r>
      <w:r>
        <w:rPr>
          <w:lang w:val="fr-FR"/>
        </w:rPr>
        <w:tab/>
        <w:t xml:space="preserve">Le Groupe de travail a aussi noté qu’une nouvelle phase du projet pourrait voir le jour après 2023 et a vivement encouragé la Commission européenne à y donner suite de manière appropriée. </w:t>
      </w:r>
    </w:p>
    <w:p w14:paraId="50B3D2FE" w14:textId="12A5F556" w:rsidR="00AB524C" w:rsidRDefault="00AB524C" w:rsidP="00AB524C">
      <w:pPr>
        <w:spacing w:after="120"/>
        <w:ind w:left="1134" w:right="1134"/>
        <w:jc w:val="both"/>
        <w:rPr>
          <w:lang w:val="fr-FR"/>
        </w:rPr>
      </w:pPr>
      <w:r>
        <w:rPr>
          <w:lang w:val="fr-FR"/>
        </w:rPr>
        <w:t>54.</w:t>
      </w:r>
      <w:r>
        <w:rPr>
          <w:lang w:val="fr-FR"/>
        </w:rPr>
        <w:tab/>
        <w:t xml:space="preserve">Le Groupe de travail a également noté que, </w:t>
      </w:r>
      <w:proofErr w:type="gramStart"/>
      <w:r>
        <w:rPr>
          <w:lang w:val="fr-FR"/>
        </w:rPr>
        <w:t>suite aux</w:t>
      </w:r>
      <w:proofErr w:type="gramEnd"/>
      <w:r>
        <w:rPr>
          <w:lang w:val="fr-FR"/>
        </w:rPr>
        <w:t xml:space="preserve"> discussions qui avaient eu lieu aux sessions précédentes au sujet de la traduction de l’ADR en arabe et compte-tenu de l’impossibilité de trouver pour l’instant une solution au sein du secrétariat des Nations Unies, </w:t>
      </w:r>
      <w:proofErr w:type="spellStart"/>
      <w:r>
        <w:rPr>
          <w:lang w:val="fr-FR"/>
        </w:rPr>
        <w:t>EuroMed</w:t>
      </w:r>
      <w:proofErr w:type="spellEnd"/>
      <w:r>
        <w:rPr>
          <w:lang w:val="fr-FR"/>
        </w:rPr>
        <w:t xml:space="preserve"> TSP avait finalement décidé de s’en charger. Une version arabe de l’ADR 2023 devrait être disponible fin novembre 2022. Il est prévu qu’elle soit mise à disposition du secrétariat de la CEE-ONU pour diffusion par l’intermédiaire de son site internet et publication. Le Groupe de travail s’est félicité de ce dénouement. Afin de ne pas perdre le bénéfice d’un tel travail, il conviendra de trouver une solution pérenne pour la traduction des amendements tous les deux ans et la publication des versions modifiées consolidées correspondantes. Le secrétariat est invité à consulter les services concernés pour trouver une solution durable.</w:t>
      </w:r>
    </w:p>
    <w:p w14:paraId="1DB22EB8" w14:textId="03C19CD1" w:rsidR="00AB524C" w:rsidRDefault="00AB524C" w:rsidP="00AB524C">
      <w:pPr>
        <w:spacing w:after="120"/>
        <w:ind w:left="1134" w:right="1134"/>
        <w:jc w:val="both"/>
        <w:rPr>
          <w:lang w:val="fr-FR"/>
        </w:rPr>
      </w:pPr>
      <w:r>
        <w:rPr>
          <w:lang w:val="fr-FR"/>
        </w:rPr>
        <w:t>55.</w:t>
      </w:r>
      <w:r>
        <w:rPr>
          <w:lang w:val="fr-FR"/>
        </w:rPr>
        <w:tab/>
        <w:t>Les experts d'</w:t>
      </w:r>
      <w:proofErr w:type="spellStart"/>
      <w:r>
        <w:rPr>
          <w:lang w:val="fr-FR"/>
        </w:rPr>
        <w:t>EuroMed</w:t>
      </w:r>
      <w:proofErr w:type="spellEnd"/>
      <w:r>
        <w:rPr>
          <w:lang w:val="fr-FR"/>
        </w:rPr>
        <w:t xml:space="preserve"> TSP ont remercié le secrétariat de la Commission économique pour l’Europe et sa Division des Transports Durables pour leur soutien continu depuis le début du projet.</w:t>
      </w:r>
    </w:p>
    <w:p w14:paraId="57B71784"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b/>
          <w:sz w:val="24"/>
          <w:lang w:val="fr-FR" w:eastAsia="fr-FR"/>
        </w:rPr>
      </w:pPr>
      <w:r>
        <w:rPr>
          <w:rFonts w:eastAsia="Calibri"/>
          <w:b/>
          <w:sz w:val="24"/>
          <w:lang w:val="fr-FR" w:eastAsia="en-US"/>
        </w:rPr>
        <w:tab/>
        <w:t>C.</w:t>
      </w:r>
      <w:r>
        <w:rPr>
          <w:rFonts w:eastAsia="Calibri"/>
          <w:b/>
          <w:sz w:val="24"/>
          <w:lang w:val="fr-FR" w:eastAsia="en-US"/>
        </w:rPr>
        <w:tab/>
      </w:r>
      <w:r>
        <w:rPr>
          <w:b/>
          <w:sz w:val="24"/>
          <w:lang w:val="fr-FR" w:eastAsia="fr-FR"/>
        </w:rPr>
        <w:t>Traductions de l’ADR</w:t>
      </w:r>
    </w:p>
    <w:p w14:paraId="260E1884" w14:textId="35A9B6B9" w:rsidR="00AB524C" w:rsidRDefault="00AB524C" w:rsidP="00AB524C">
      <w:pPr>
        <w:kinsoku/>
        <w:overflowPunct/>
        <w:autoSpaceDE/>
        <w:adjustRightInd/>
        <w:snapToGrid/>
        <w:spacing w:after="120"/>
        <w:ind w:left="1134" w:right="1134"/>
        <w:jc w:val="both"/>
        <w:rPr>
          <w:lang w:eastAsia="en-US"/>
        </w:rPr>
      </w:pPr>
      <w:r>
        <w:rPr>
          <w:lang w:eastAsia="en-US"/>
        </w:rPr>
        <w:t>56.</w:t>
      </w:r>
      <w:r>
        <w:rPr>
          <w:lang w:eastAsia="en-US"/>
        </w:rPr>
        <w:tab/>
        <w:t>Le secrétariat a rappelé que les délégations qui le souhaitaient pouvaient lui transmettre un lien vers leur traduction nationale de l’ADR afin de le faire figurer sur le site internet de la Commission économique pour l’Europe.</w:t>
      </w:r>
    </w:p>
    <w:p w14:paraId="05CF5992" w14:textId="77777777" w:rsidR="00AB524C" w:rsidRDefault="00AB524C" w:rsidP="00AB524C">
      <w:pPr>
        <w:tabs>
          <w:tab w:val="right" w:pos="851"/>
        </w:tabs>
        <w:kinsoku/>
        <w:overflowPunct/>
        <w:autoSpaceDE/>
        <w:adjustRightInd/>
        <w:snapToGrid/>
        <w:spacing w:before="360" w:after="240" w:line="270" w:lineRule="exact"/>
        <w:ind w:left="1134" w:right="1134" w:hanging="1134"/>
        <w:rPr>
          <w:b/>
          <w:sz w:val="24"/>
          <w:lang w:val="fr-FR" w:eastAsia="fr-FR"/>
        </w:rPr>
      </w:pPr>
      <w:r>
        <w:rPr>
          <w:rFonts w:eastAsia="Calibri"/>
          <w:b/>
          <w:sz w:val="24"/>
          <w:lang w:val="fr-FR" w:eastAsia="en-US"/>
        </w:rPr>
        <w:tab/>
        <w:t>D.</w:t>
      </w:r>
      <w:r>
        <w:rPr>
          <w:rFonts w:eastAsia="Calibri"/>
          <w:b/>
          <w:sz w:val="24"/>
          <w:lang w:val="fr-FR" w:eastAsia="en-US"/>
        </w:rPr>
        <w:tab/>
      </w:r>
      <w:r>
        <w:rPr>
          <w:b/>
          <w:sz w:val="24"/>
          <w:lang w:val="fr-FR" w:eastAsia="fr-FR"/>
        </w:rPr>
        <w:t>Feuille de route ADR</w:t>
      </w:r>
    </w:p>
    <w:p w14:paraId="7EABF2CD" w14:textId="6BA82EDF" w:rsidR="00AB524C" w:rsidRDefault="00AB524C" w:rsidP="00CD4053">
      <w:pPr>
        <w:kinsoku/>
        <w:overflowPunct/>
        <w:autoSpaceDE/>
        <w:adjustRightInd/>
        <w:snapToGrid/>
        <w:spacing w:after="120"/>
        <w:ind w:left="1134" w:right="1134"/>
        <w:jc w:val="both"/>
        <w:rPr>
          <w:lang w:eastAsia="fr-FR"/>
        </w:rPr>
      </w:pPr>
      <w:r>
        <w:rPr>
          <w:lang w:val="fr-FR" w:eastAsia="fr-FR"/>
        </w:rPr>
        <w:t>57.</w:t>
      </w:r>
      <w:r>
        <w:rPr>
          <w:lang w:val="fr-FR" w:eastAsia="fr-FR"/>
        </w:rPr>
        <w:tab/>
        <w:t>Le Groupe de travail a noté avec satisfaction que la version électronique de la feuille de route relative à l’ADR était disponible</w:t>
      </w:r>
      <w:r>
        <w:rPr>
          <w:lang w:eastAsia="fr-FR"/>
        </w:rPr>
        <w:t xml:space="preserve"> sur le site Web de la Commission économique pour </w:t>
      </w:r>
      <w:r>
        <w:rPr>
          <w:lang w:eastAsia="fr-FR"/>
        </w:rPr>
        <w:lastRenderedPageBreak/>
        <w:t>l’Europe en anglais, français et russe (</w:t>
      </w:r>
      <w:hyperlink r:id="rId14" w:history="1">
        <w:r w:rsidR="003D54C0" w:rsidRPr="004D38B9">
          <w:rPr>
            <w:rStyle w:val="Hyperlink"/>
            <w:lang w:eastAsia="fr-FR"/>
          </w:rPr>
          <w:t>https://unece.org/info/Transport/pub/2576</w:t>
        </w:r>
      </w:hyperlink>
      <w:r>
        <w:rPr>
          <w:lang w:eastAsia="fr-FR"/>
        </w:rPr>
        <w:t xml:space="preserve">) et que le secrétariat était en train d’en finaliser une version espagnole. </w:t>
      </w:r>
    </w:p>
    <w:p w14:paraId="258EAE97"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E.</w:t>
      </w:r>
      <w:r>
        <w:rPr>
          <w:rFonts w:eastAsia="Calibri"/>
          <w:b/>
          <w:sz w:val="24"/>
          <w:lang w:val="fr-FR" w:eastAsia="en-US"/>
        </w:rPr>
        <w:tab/>
        <w:t xml:space="preserve">Plateforme d'apprentissage en ligne </w:t>
      </w:r>
      <w:proofErr w:type="spellStart"/>
      <w:r>
        <w:rPr>
          <w:rFonts w:eastAsia="Calibri"/>
          <w:b/>
          <w:sz w:val="24"/>
          <w:lang w:val="fr-FR" w:eastAsia="en-US"/>
        </w:rPr>
        <w:t>LearnITC</w:t>
      </w:r>
      <w:proofErr w:type="spellEnd"/>
    </w:p>
    <w:p w14:paraId="6DCCA41B" w14:textId="6B256902" w:rsidR="00AB524C" w:rsidRDefault="00AB524C" w:rsidP="00AB524C">
      <w:pPr>
        <w:kinsoku/>
        <w:overflowPunct/>
        <w:autoSpaceDE/>
        <w:adjustRightInd/>
        <w:snapToGrid/>
        <w:spacing w:after="120"/>
        <w:ind w:left="1134" w:right="1134"/>
        <w:jc w:val="both"/>
        <w:rPr>
          <w:lang w:eastAsia="en-US"/>
        </w:rPr>
      </w:pPr>
      <w:r>
        <w:rPr>
          <w:lang w:eastAsia="en-US"/>
        </w:rPr>
        <w:t>58.</w:t>
      </w:r>
      <w:r>
        <w:rPr>
          <w:lang w:eastAsia="en-US"/>
        </w:rPr>
        <w:tab/>
        <w:t xml:space="preserve">Un membre du secrétariat a présenté </w:t>
      </w:r>
      <w:proofErr w:type="spellStart"/>
      <w:r>
        <w:rPr>
          <w:lang w:eastAsia="en-US"/>
        </w:rPr>
        <w:t>LearnITC</w:t>
      </w:r>
      <w:proofErr w:type="spellEnd"/>
      <w:r>
        <w:rPr>
          <w:lang w:eastAsia="en-US"/>
        </w:rPr>
        <w:t>, la plateforme d’apprentissage en ligne consacrée à la connectivité des transports intérieurs et du commerce (</w:t>
      </w:r>
      <w:hyperlink r:id="rId15" w:history="1">
        <w:r>
          <w:rPr>
            <w:rStyle w:val="Hyperlink"/>
            <w:lang w:eastAsia="en-US"/>
          </w:rPr>
          <w:t>https://learnitc.unece.org/</w:t>
        </w:r>
      </w:hyperlink>
      <w:r>
        <w:rPr>
          <w:lang w:eastAsia="en-US"/>
        </w:rPr>
        <w:t xml:space="preserve">).  </w:t>
      </w:r>
    </w:p>
    <w:p w14:paraId="5EC08410" w14:textId="153A4FFD" w:rsidR="00AB524C" w:rsidRDefault="00AB524C" w:rsidP="00AB524C">
      <w:pPr>
        <w:kinsoku/>
        <w:overflowPunct/>
        <w:autoSpaceDE/>
        <w:adjustRightInd/>
        <w:snapToGrid/>
        <w:spacing w:after="120"/>
        <w:ind w:left="1134" w:right="1134"/>
        <w:jc w:val="both"/>
        <w:rPr>
          <w:lang w:eastAsia="en-US"/>
        </w:rPr>
      </w:pPr>
      <w:r>
        <w:rPr>
          <w:lang w:eastAsia="en-US"/>
        </w:rPr>
        <w:t>59.</w:t>
      </w:r>
      <w:r>
        <w:rPr>
          <w:lang w:eastAsia="en-US"/>
        </w:rPr>
        <w:tab/>
        <w:t xml:space="preserve">Cette plateforme d'apprentissage en ligne sur les instruments juridiques, normes et autres outils des Nations Unies en matière de transport intérieur et de commerce s’adresse particulièrement aux représentants des acteurs institutionnels et sectoriels qui souhaitent mettre en œuvre des politiques de transport et de connectivité commerciale durables. </w:t>
      </w:r>
    </w:p>
    <w:p w14:paraId="1A973527" w14:textId="77777777" w:rsidR="00AB524C" w:rsidRDefault="00AB524C" w:rsidP="00AB524C">
      <w:pPr>
        <w:keepNext/>
        <w:keepLines/>
        <w:tabs>
          <w:tab w:val="right" w:pos="851"/>
        </w:tabs>
        <w:kinsoku/>
        <w:overflowPunct/>
        <w:autoSpaceDE/>
        <w:adjustRightInd/>
        <w:snapToGrid/>
        <w:spacing w:before="360" w:after="240" w:line="270" w:lineRule="exact"/>
        <w:ind w:left="1134" w:right="1134" w:hanging="1134"/>
        <w:rPr>
          <w:rFonts w:eastAsia="Calibri"/>
          <w:b/>
          <w:sz w:val="24"/>
          <w:lang w:val="fr-FR" w:eastAsia="en-US"/>
        </w:rPr>
      </w:pPr>
      <w:r>
        <w:rPr>
          <w:rFonts w:eastAsia="Calibri"/>
          <w:b/>
          <w:sz w:val="24"/>
          <w:lang w:val="fr-FR" w:eastAsia="en-US"/>
        </w:rPr>
        <w:tab/>
        <w:t>F.</w:t>
      </w:r>
      <w:r>
        <w:rPr>
          <w:rFonts w:eastAsia="Calibri"/>
          <w:b/>
          <w:sz w:val="24"/>
          <w:lang w:val="fr-FR" w:eastAsia="en-US"/>
        </w:rPr>
        <w:tab/>
        <w:t>Hommage</w:t>
      </w:r>
    </w:p>
    <w:p w14:paraId="35DEDCC1" w14:textId="11F2B0DA" w:rsidR="00AB524C" w:rsidRDefault="00AB524C" w:rsidP="00AB524C">
      <w:pPr>
        <w:kinsoku/>
        <w:overflowPunct/>
        <w:autoSpaceDE/>
        <w:adjustRightInd/>
        <w:snapToGrid/>
        <w:spacing w:after="120"/>
        <w:ind w:left="1134" w:right="1134"/>
        <w:jc w:val="both"/>
        <w:rPr>
          <w:lang w:eastAsia="en-US"/>
        </w:rPr>
      </w:pPr>
      <w:r>
        <w:rPr>
          <w:lang w:eastAsia="en-US"/>
        </w:rPr>
        <w:t>60.</w:t>
      </w:r>
      <w:r>
        <w:rPr>
          <w:lang w:eastAsia="en-US"/>
        </w:rPr>
        <w:tab/>
        <w:t xml:space="preserve">Le Groupe de travail a appris que </w:t>
      </w:r>
      <w:r w:rsidR="00CD4053">
        <w:rPr>
          <w:lang w:val="fr-FR"/>
        </w:rPr>
        <w:t>M</w:t>
      </w:r>
      <w:r w:rsidR="00CD4053">
        <w:rPr>
          <w:vertAlign w:val="superscript"/>
          <w:lang w:val="fr-FR"/>
        </w:rPr>
        <w:t>me</w:t>
      </w:r>
      <w:r w:rsidR="00CD4053">
        <w:rPr>
          <w:lang w:eastAsia="en-US"/>
        </w:rPr>
        <w:t xml:space="preserve"> </w:t>
      </w:r>
      <w:r>
        <w:rPr>
          <w:lang w:eastAsia="en-US"/>
        </w:rPr>
        <w:t xml:space="preserve">Karine Pelletier de l’OICA ne participerait plus à ses travaux et lui a souhaité </w:t>
      </w:r>
      <w:r>
        <w:t>une bonne continuation dans ses nouvelles fonctions</w:t>
      </w:r>
      <w:r>
        <w:rPr>
          <w:lang w:eastAsia="en-US"/>
        </w:rPr>
        <w:t xml:space="preserve">. Il l’a remerciée pour son expertise et sa contribution importante aux travaux relatifs à la construction des véhicules, notamment en ce qui concerne sa participation au groupe de travail informel des véhicules électrifiés. </w:t>
      </w:r>
    </w:p>
    <w:p w14:paraId="41C7ABCF"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val="fr-FR" w:eastAsia="en-US"/>
        </w:rPr>
      </w:pPr>
      <w:r>
        <w:rPr>
          <w:b/>
          <w:sz w:val="28"/>
          <w:lang w:val="fr-FR" w:eastAsia="en-US"/>
        </w:rPr>
        <w:tab/>
        <w:t>X.</w:t>
      </w:r>
      <w:r>
        <w:rPr>
          <w:b/>
          <w:sz w:val="28"/>
          <w:lang w:val="fr-FR" w:eastAsia="en-US"/>
        </w:rPr>
        <w:tab/>
      </w:r>
      <w:r>
        <w:rPr>
          <w:b/>
          <w:sz w:val="28"/>
          <w:lang w:val="fr-FR" w:eastAsia="fr-FR"/>
        </w:rPr>
        <w:t>Élection du Bureau pour 2023</w:t>
      </w:r>
      <w:r>
        <w:rPr>
          <w:b/>
          <w:sz w:val="28"/>
          <w:lang w:val="fr-FR" w:eastAsia="en-US"/>
        </w:rPr>
        <w:t xml:space="preserve"> (point 9 de l’ordre du jour)</w:t>
      </w:r>
    </w:p>
    <w:p w14:paraId="2416F9EB" w14:textId="77777777" w:rsidR="00AB524C" w:rsidRDefault="00AB524C" w:rsidP="00AB524C">
      <w:pPr>
        <w:spacing w:after="120"/>
        <w:ind w:left="1134" w:right="1134"/>
        <w:jc w:val="both"/>
        <w:rPr>
          <w:lang w:val="fr-FR"/>
        </w:rPr>
      </w:pPr>
      <w:r>
        <w:rPr>
          <w:lang w:val="fr-FR"/>
        </w:rPr>
        <w:t>61.</w:t>
      </w:r>
      <w:r>
        <w:rPr>
          <w:lang w:val="fr-FR"/>
        </w:rPr>
        <w:tab/>
        <w:t>Sur proposition du représentant du Luxembourg soutenue par les Pays-Bas, le Groupe de travail a élu M</w:t>
      </w:r>
      <w:r>
        <w:rPr>
          <w:vertAlign w:val="superscript"/>
          <w:lang w:val="fr-FR"/>
        </w:rPr>
        <w:t>me</w:t>
      </w:r>
      <w:r>
        <w:rPr>
          <w:lang w:val="fr-FR"/>
        </w:rPr>
        <w:t> Ariane Roumier (France) Présidente et M. Alfonso Simoni (Italie) Vice-Président pour l’année 2023.</w:t>
      </w:r>
    </w:p>
    <w:p w14:paraId="207E7E6B" w14:textId="77777777" w:rsidR="00AB524C" w:rsidRDefault="00AB524C" w:rsidP="00AB524C">
      <w:pPr>
        <w:keepNext/>
        <w:keepLines/>
        <w:tabs>
          <w:tab w:val="right" w:pos="851"/>
        </w:tabs>
        <w:kinsoku/>
        <w:overflowPunct/>
        <w:autoSpaceDE/>
        <w:adjustRightInd/>
        <w:snapToGrid/>
        <w:spacing w:before="360" w:after="240" w:line="300" w:lineRule="exact"/>
        <w:ind w:left="1134" w:right="1134" w:hanging="1134"/>
        <w:rPr>
          <w:b/>
          <w:sz w:val="28"/>
          <w:lang w:val="fr-FR" w:eastAsia="en-US"/>
        </w:rPr>
      </w:pPr>
      <w:r>
        <w:rPr>
          <w:b/>
          <w:sz w:val="28"/>
          <w:lang w:val="fr-FR" w:eastAsia="en-US"/>
        </w:rPr>
        <w:tab/>
        <w:t>XI.</w:t>
      </w:r>
      <w:r>
        <w:rPr>
          <w:b/>
          <w:sz w:val="28"/>
          <w:lang w:val="fr-FR" w:eastAsia="en-US"/>
        </w:rPr>
        <w:tab/>
      </w:r>
      <w:r>
        <w:rPr>
          <w:b/>
          <w:sz w:val="28"/>
          <w:lang w:val="fr-FR" w:eastAsia="fr-FR"/>
        </w:rPr>
        <w:t>Adoption du rapport</w:t>
      </w:r>
      <w:r>
        <w:rPr>
          <w:b/>
          <w:sz w:val="28"/>
          <w:lang w:val="fr-FR" w:eastAsia="en-US"/>
        </w:rPr>
        <w:t xml:space="preserve"> (point 10 de l’ordre du jour)</w:t>
      </w:r>
    </w:p>
    <w:p w14:paraId="2FC4A4BD" w14:textId="74BF9D10" w:rsidR="00AB524C" w:rsidRDefault="00AB524C" w:rsidP="00AB524C">
      <w:pPr>
        <w:spacing w:after="120"/>
        <w:ind w:left="1134" w:right="1134"/>
        <w:jc w:val="both"/>
        <w:rPr>
          <w:lang w:val="fr-FR"/>
        </w:rPr>
      </w:pPr>
      <w:r>
        <w:rPr>
          <w:lang w:val="fr-FR"/>
        </w:rPr>
        <w:t>62.</w:t>
      </w:r>
      <w:r>
        <w:rPr>
          <w:lang w:val="fr-FR"/>
        </w:rPr>
        <w:tab/>
        <w:t>Le Groupe de travail a adopté le rapport de sa 112</w:t>
      </w:r>
      <w:r>
        <w:rPr>
          <w:vertAlign w:val="superscript"/>
          <w:lang w:val="fr-FR"/>
        </w:rPr>
        <w:t>e</w:t>
      </w:r>
      <w:r>
        <w:rPr>
          <w:lang w:val="fr-FR"/>
        </w:rPr>
        <w:t xml:space="preserve"> session et son annexe sur la base d’un projet établi par le secrétariat.</w:t>
      </w:r>
    </w:p>
    <w:p w14:paraId="25F0C6A5" w14:textId="77777777" w:rsidR="00AB524C" w:rsidRDefault="00AB524C" w:rsidP="00AB524C">
      <w:pPr>
        <w:spacing w:after="120"/>
        <w:ind w:left="1134" w:right="1134"/>
        <w:jc w:val="both"/>
        <w:rPr>
          <w:lang w:val="fr-FR"/>
        </w:rPr>
      </w:pPr>
      <w:r>
        <w:rPr>
          <w:lang w:val="fr-FR"/>
        </w:rPr>
        <w:t>63.</w:t>
      </w:r>
      <w:r>
        <w:rPr>
          <w:lang w:val="fr-FR"/>
        </w:rPr>
        <w:tab/>
        <w:t>Conformément aux procédures spéciales sur la prise de décision pour les réunions formelles avec participation à distance adoptées par le Comité exécutif (ECE/EX/2020/L.12), les décisions prises par le Groupe de travail ont été publiées et notifiées à toutes les missions permanentes à Genève (voir https://unece.org/silence-procedure).</w:t>
      </w:r>
    </w:p>
    <w:p w14:paraId="21017592" w14:textId="4C4EC09A" w:rsidR="00AB524C" w:rsidRDefault="00AB524C" w:rsidP="00AB524C">
      <w:pPr>
        <w:spacing w:after="120"/>
        <w:ind w:left="1134" w:right="1134"/>
        <w:jc w:val="both"/>
        <w:rPr>
          <w:lang w:val="fr-FR"/>
        </w:rPr>
      </w:pPr>
      <w:r w:rsidRPr="00CD5CDA">
        <w:rPr>
          <w:lang w:val="fr-FR"/>
        </w:rPr>
        <w:t>64.</w:t>
      </w:r>
      <w:r w:rsidRPr="00CD5CDA">
        <w:rPr>
          <w:lang w:val="fr-FR"/>
        </w:rPr>
        <w:tab/>
        <w:t>Après publication, aucune objection n’a été reçue. Les décisions sont réputées adoptées.</w:t>
      </w:r>
    </w:p>
    <w:p w14:paraId="50081C68" w14:textId="77777777" w:rsidR="00AB524C" w:rsidRDefault="00AB524C" w:rsidP="00AB524C">
      <w:pPr>
        <w:suppressAutoHyphens w:val="0"/>
        <w:kinsoku/>
        <w:overflowPunct/>
        <w:autoSpaceDE/>
        <w:adjustRightInd/>
        <w:snapToGrid/>
        <w:spacing w:after="200" w:line="276" w:lineRule="auto"/>
        <w:rPr>
          <w:lang w:val="fr-FR"/>
        </w:rPr>
      </w:pPr>
      <w:r>
        <w:rPr>
          <w:lang w:val="fr-FR"/>
        </w:rPr>
        <w:br w:type="page"/>
      </w:r>
    </w:p>
    <w:p w14:paraId="6236AEBA" w14:textId="4F1CC6FF" w:rsidR="00AB524C" w:rsidRDefault="00AB524C" w:rsidP="00AB524C">
      <w:pPr>
        <w:pStyle w:val="HChG"/>
        <w:rPr>
          <w:lang w:val="fr-FR"/>
        </w:rPr>
      </w:pPr>
      <w:r>
        <w:rPr>
          <w:lang w:val="fr-FR"/>
        </w:rPr>
        <w:lastRenderedPageBreak/>
        <w:t>Annexe</w:t>
      </w:r>
    </w:p>
    <w:p w14:paraId="66D9F374" w14:textId="77777777" w:rsidR="00AB524C" w:rsidRDefault="00AB524C" w:rsidP="00AB524C">
      <w:pPr>
        <w:pStyle w:val="HChG"/>
        <w:rPr>
          <w:lang w:val="fr-FR"/>
        </w:rPr>
      </w:pPr>
      <w:r>
        <w:rPr>
          <w:lang w:val="fr-FR"/>
        </w:rPr>
        <w:tab/>
      </w:r>
      <w:r>
        <w:rPr>
          <w:lang w:val="fr-FR"/>
        </w:rPr>
        <w:tab/>
        <w:t xml:space="preserve">Projet d’amendements aux annexes A et B de l’ADR pour </w:t>
      </w:r>
      <w:proofErr w:type="spellStart"/>
      <w:r>
        <w:rPr>
          <w:lang w:val="fr-FR"/>
        </w:rPr>
        <w:t>entrée</w:t>
      </w:r>
      <w:proofErr w:type="spellEnd"/>
      <w:r>
        <w:rPr>
          <w:lang w:val="fr-FR"/>
        </w:rPr>
        <w:t xml:space="preserve"> en vigueur le 1er janvier 2025</w:t>
      </w:r>
    </w:p>
    <w:p w14:paraId="525D99D5" w14:textId="77777777" w:rsidR="00AB524C" w:rsidRDefault="00AB524C" w:rsidP="00AB524C">
      <w:pPr>
        <w:pStyle w:val="H23G"/>
        <w:rPr>
          <w:lang w:val="fr-FR"/>
        </w:rPr>
      </w:pPr>
      <w:r>
        <w:rPr>
          <w:lang w:val="fr-FR"/>
        </w:rPr>
        <w:tab/>
      </w:r>
      <w:r>
        <w:rPr>
          <w:lang w:val="fr-FR"/>
        </w:rPr>
        <w:tab/>
        <w:t>Chapitre 1.6</w:t>
      </w:r>
    </w:p>
    <w:p w14:paraId="6BE36169" w14:textId="77777777" w:rsidR="00AB524C" w:rsidRDefault="00AB524C" w:rsidP="00AB524C">
      <w:pPr>
        <w:pStyle w:val="SingleTxtG"/>
        <w:ind w:left="2268" w:hanging="1134"/>
        <w:rPr>
          <w:lang w:val="fr-FR"/>
        </w:rPr>
      </w:pPr>
      <w:r>
        <w:rPr>
          <w:lang w:val="fr-FR"/>
        </w:rPr>
        <w:t>1.6.4.59</w:t>
      </w:r>
      <w:r>
        <w:rPr>
          <w:lang w:val="fr-FR"/>
        </w:rPr>
        <w:tab/>
        <w:t>Modifier pour lire comme suit :</w:t>
      </w:r>
    </w:p>
    <w:p w14:paraId="0D1CDB9B" w14:textId="77777777" w:rsidR="00AB524C" w:rsidRDefault="00AB524C" w:rsidP="00AB524C">
      <w:pPr>
        <w:pStyle w:val="SingleTxtG"/>
        <w:rPr>
          <w:lang w:val="fr-FR"/>
        </w:rPr>
      </w:pPr>
      <w:r>
        <w:rPr>
          <w:lang w:val="fr-FR"/>
        </w:rPr>
        <w:t>« 1.6.4.59</w:t>
      </w:r>
      <w:r>
        <w:rPr>
          <w:lang w:val="fr-FR"/>
        </w:rPr>
        <w:tab/>
        <w:t>Les conteneurs-citernes en matière plastique renforcée de fibres construits avant le 1er juillet 2033 conformément aux prescriptions du chapitre 6.9 applicables jusqu'au 31 décembre 2022, peuvent encore être utilisés conformément aux dispositions du chapitre 4.4 applicables jusqu'au 31 décembre 2022. »</w:t>
      </w:r>
    </w:p>
    <w:p w14:paraId="2721707F" w14:textId="77777777" w:rsidR="00AB524C" w:rsidRDefault="00AB524C" w:rsidP="00AB524C">
      <w:pPr>
        <w:pStyle w:val="SingleTxtG"/>
        <w:rPr>
          <w:i/>
          <w:iCs/>
          <w:lang w:val="fr-FR"/>
        </w:rPr>
      </w:pPr>
      <w:r>
        <w:rPr>
          <w:i/>
          <w:iCs/>
          <w:lang w:val="fr-FR"/>
        </w:rPr>
        <w:t>(Documents de référence :</w:t>
      </w:r>
      <w:r>
        <w:rPr>
          <w:lang w:val="fr-FR"/>
        </w:rPr>
        <w:t xml:space="preserve"> </w:t>
      </w:r>
      <w:r>
        <w:rPr>
          <w:i/>
          <w:iCs/>
          <w:lang w:val="fr-FR"/>
        </w:rPr>
        <w:t>ECE/TRANS/WP.15/2022/10, tel que modifié par le document informel INF.9)</w:t>
      </w:r>
    </w:p>
    <w:p w14:paraId="48E591E7"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1.8</w:t>
      </w:r>
    </w:p>
    <w:p w14:paraId="6C195245" w14:textId="77777777" w:rsidR="00AB524C" w:rsidRDefault="00AB524C" w:rsidP="00AB524C">
      <w:pPr>
        <w:spacing w:after="120"/>
        <w:ind w:left="2268" w:right="1134" w:hanging="1134"/>
        <w:jc w:val="both"/>
        <w:rPr>
          <w:lang w:val="fr-FR" w:eastAsia="en-US"/>
        </w:rPr>
      </w:pPr>
      <w:r>
        <w:rPr>
          <w:iCs/>
          <w:lang w:val="fr-FR"/>
        </w:rPr>
        <w:t>1.8.3.2</w:t>
      </w:r>
      <w:r>
        <w:rPr>
          <w:iCs/>
          <w:lang w:val="fr-FR"/>
        </w:rPr>
        <w:tab/>
      </w:r>
      <w:r>
        <w:rPr>
          <w:iCs/>
          <w:lang w:val="fr-FR"/>
        </w:rPr>
        <w:tab/>
        <w:t>Renuméroter les alinéas a) et b) en tant que b) et c). Dans l’alinéa ainsi renuméroté c), avant « </w:t>
      </w:r>
      <w:r>
        <w:rPr>
          <w:lang w:val="fr-FR" w:eastAsia="en-US"/>
        </w:rPr>
        <w:t xml:space="preserve">des transports de marchandises dangereuses » ajouter « des expéditions ou » et remplacer « des transports nationaux » par « des expéditions nationales ou des transports nationaux ». </w:t>
      </w:r>
    </w:p>
    <w:p w14:paraId="22761548" w14:textId="77777777" w:rsidR="00AB524C" w:rsidRDefault="00AB524C" w:rsidP="00AB524C">
      <w:pPr>
        <w:spacing w:after="120"/>
        <w:ind w:left="2268" w:right="1134" w:hanging="1134"/>
        <w:jc w:val="both"/>
        <w:rPr>
          <w:lang w:val="fr-FR" w:eastAsia="en-US"/>
        </w:rPr>
      </w:pPr>
      <w:r>
        <w:rPr>
          <w:lang w:val="fr-FR" w:eastAsia="en-US"/>
        </w:rPr>
        <w:tab/>
        <w:t>Ajouter un nouvel alinéa a) pour lire :</w:t>
      </w:r>
    </w:p>
    <w:p w14:paraId="271B3A82" w14:textId="77777777" w:rsidR="00AB524C" w:rsidRDefault="00AB524C" w:rsidP="00AB524C">
      <w:pPr>
        <w:spacing w:after="120"/>
        <w:ind w:left="1701" w:right="1134" w:hanging="567"/>
        <w:jc w:val="both"/>
        <w:rPr>
          <w:lang w:val="fr-FR"/>
        </w:rPr>
      </w:pPr>
      <w:r>
        <w:rPr>
          <w:lang w:val="fr-FR" w:eastAsia="en-US"/>
        </w:rPr>
        <w:t xml:space="preserve">« a) </w:t>
      </w:r>
      <w:r>
        <w:rPr>
          <w:lang w:val="fr-FR" w:eastAsia="en-US"/>
        </w:rPr>
        <w:tab/>
        <w:t>(</w:t>
      </w:r>
      <w:r>
        <w:rPr>
          <w:i/>
          <w:iCs/>
          <w:lang w:val="fr-FR" w:eastAsia="en-US"/>
        </w:rPr>
        <w:t>Réservé) </w:t>
      </w:r>
      <w:r>
        <w:rPr>
          <w:lang w:val="fr-FR" w:eastAsia="en-US"/>
        </w:rPr>
        <w:t>; »</w:t>
      </w:r>
    </w:p>
    <w:p w14:paraId="5AA04E6A"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52ED1365" w14:textId="77777777" w:rsidR="00AB524C" w:rsidRDefault="00AB524C" w:rsidP="00AB524C">
      <w:pPr>
        <w:pStyle w:val="H23G"/>
        <w:rPr>
          <w:lang w:val="fr-FR"/>
        </w:rPr>
      </w:pPr>
      <w:r>
        <w:rPr>
          <w:lang w:val="fr-FR"/>
        </w:rPr>
        <w:tab/>
      </w:r>
      <w:r>
        <w:rPr>
          <w:lang w:val="fr-FR"/>
        </w:rPr>
        <w:tab/>
        <w:t>Chapitre 3.2</w:t>
      </w:r>
    </w:p>
    <w:p w14:paraId="6C0DF031" w14:textId="77777777" w:rsidR="00AB524C" w:rsidRDefault="00AB524C" w:rsidP="00AB524C">
      <w:pPr>
        <w:pStyle w:val="SingleTxtG"/>
        <w:ind w:left="2268" w:hanging="1134"/>
        <w:rPr>
          <w:rFonts w:asciiTheme="majorBidi" w:hAnsiTheme="majorBidi" w:cstheme="majorBidi"/>
          <w:lang w:val="fr-FR"/>
        </w:rPr>
      </w:pPr>
      <w:r>
        <w:rPr>
          <w:rFonts w:asciiTheme="majorBidi" w:hAnsiTheme="majorBidi" w:cstheme="majorBidi"/>
          <w:lang w:val="fr-FR"/>
        </w:rPr>
        <w:t>3.2.1</w:t>
      </w:r>
      <w:r>
        <w:rPr>
          <w:lang w:val="fr-FR"/>
        </w:rPr>
        <w:t xml:space="preserve"> </w:t>
      </w:r>
      <w:r>
        <w:rPr>
          <w:lang w:val="fr-FR"/>
        </w:rPr>
        <w:tab/>
        <w:t>Dans la note explicative de la colonne (10), remplacer « en matière plastique renforcée de fibres » par « </w:t>
      </w:r>
      <w:r>
        <w:rPr>
          <w:rFonts w:asciiTheme="majorBidi" w:hAnsiTheme="majorBidi" w:cstheme="majorBidi"/>
          <w:lang w:val="fr-FR"/>
        </w:rPr>
        <w:t>dont les réservoirs sont en PRF ».</w:t>
      </w:r>
    </w:p>
    <w:p w14:paraId="6DC47438" w14:textId="77777777" w:rsidR="00AB524C" w:rsidRDefault="00AB524C" w:rsidP="00AB524C">
      <w:pPr>
        <w:pStyle w:val="SingleTxtG"/>
        <w:rPr>
          <w:lang w:val="fr-FR"/>
        </w:rPr>
      </w:pPr>
      <w:r>
        <w:rPr>
          <w:i/>
          <w:iCs/>
          <w:lang w:val="fr-FR"/>
        </w:rPr>
        <w:t>(Document de référence :</w:t>
      </w:r>
      <w:r>
        <w:rPr>
          <w:lang w:val="fr-FR"/>
        </w:rPr>
        <w:t xml:space="preserve"> </w:t>
      </w:r>
      <w:r>
        <w:rPr>
          <w:i/>
          <w:iCs/>
          <w:lang w:val="fr-FR"/>
        </w:rPr>
        <w:t>document informel INF.3)</w:t>
      </w:r>
    </w:p>
    <w:p w14:paraId="24AB8241"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3.2, tableau A</w:t>
      </w:r>
    </w:p>
    <w:p w14:paraId="62B0BF78" w14:textId="77777777" w:rsidR="00AB524C" w:rsidRDefault="00AB524C" w:rsidP="00AB524C">
      <w:pPr>
        <w:spacing w:after="120"/>
        <w:ind w:left="1134" w:right="1134"/>
        <w:jc w:val="both"/>
        <w:rPr>
          <w:iCs/>
          <w:lang w:val="fr-FR"/>
        </w:rPr>
      </w:pPr>
      <w:r>
        <w:rPr>
          <w:iCs/>
          <w:lang w:val="fr-FR"/>
        </w:rPr>
        <w:t xml:space="preserve">Pour les Nos ONU </w:t>
      </w:r>
      <w:r>
        <w:rPr>
          <w:lang w:val="fr-FR"/>
        </w:rPr>
        <w:t>3090, 3091, 3480 et 3481</w:t>
      </w:r>
      <w:r>
        <w:rPr>
          <w:iCs/>
          <w:lang w:val="fr-FR"/>
        </w:rPr>
        <w:t>, en colonne (6), ajouter « 677 ».</w:t>
      </w:r>
    </w:p>
    <w:p w14:paraId="31AE3FDA"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04D45F32"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3.3</w:t>
      </w:r>
    </w:p>
    <w:p w14:paraId="6254C233" w14:textId="77777777" w:rsidR="00AB524C" w:rsidRDefault="00AB524C" w:rsidP="00AB524C">
      <w:pPr>
        <w:tabs>
          <w:tab w:val="left" w:pos="1701"/>
          <w:tab w:val="left" w:pos="2268"/>
          <w:tab w:val="left" w:pos="2835"/>
        </w:tabs>
        <w:spacing w:after="120"/>
        <w:ind w:left="2268" w:right="1134" w:hanging="1134"/>
        <w:jc w:val="both"/>
        <w:rPr>
          <w:lang w:val="fr-FR" w:eastAsia="en-US"/>
        </w:rPr>
      </w:pPr>
      <w:r>
        <w:rPr>
          <w:rFonts w:eastAsia="Calibri"/>
          <w:lang w:val="fr-FR" w:eastAsia="en-US"/>
        </w:rPr>
        <w:t>DS 376</w:t>
      </w:r>
      <w:r>
        <w:rPr>
          <w:rFonts w:eastAsia="Calibri"/>
          <w:lang w:val="fr-FR" w:eastAsia="en-US"/>
        </w:rPr>
        <w:tab/>
        <w:t>Supprimer la dernière phrase du cinquième paragraphe (« </w:t>
      </w:r>
      <w:r>
        <w:rPr>
          <w:lang w:val="fr-FR" w:eastAsia="en-US"/>
        </w:rPr>
        <w:t>Dans les deux cas, les piles et batteries sont affectées à la catégorie de transport 0. »</w:t>
      </w:r>
      <w:r>
        <w:rPr>
          <w:rFonts w:eastAsia="Calibri"/>
          <w:lang w:val="fr-FR" w:eastAsia="en-US"/>
        </w:rPr>
        <w:t>).</w:t>
      </w:r>
    </w:p>
    <w:p w14:paraId="68AB11D7"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05D853DA" w14:textId="77777777" w:rsidR="00AB524C" w:rsidRDefault="00AB524C" w:rsidP="00AB524C">
      <w:pPr>
        <w:keepNext/>
        <w:spacing w:before="120" w:after="120"/>
        <w:ind w:left="1134" w:right="1134"/>
        <w:jc w:val="both"/>
        <w:rPr>
          <w:rFonts w:eastAsia="Calibri"/>
          <w:lang w:val="fr-FR" w:eastAsia="en-US"/>
        </w:rPr>
      </w:pPr>
      <w:r>
        <w:rPr>
          <w:rFonts w:eastAsia="Calibri"/>
          <w:lang w:val="fr-FR" w:eastAsia="en-US"/>
        </w:rPr>
        <w:t>Ajouter la nouvelle disposition spéciale suivante :</w:t>
      </w:r>
    </w:p>
    <w:p w14:paraId="57159781" w14:textId="77777777" w:rsidR="00AB524C" w:rsidRDefault="00AB524C" w:rsidP="00AB524C">
      <w:pPr>
        <w:keepNext/>
        <w:spacing w:before="120" w:after="120"/>
        <w:ind w:left="2268" w:right="1134" w:hanging="1134"/>
        <w:jc w:val="both"/>
        <w:rPr>
          <w:rFonts w:eastAsia="Calibri"/>
          <w:lang w:val="fr-FR" w:eastAsia="en-US"/>
        </w:rPr>
      </w:pPr>
      <w:r>
        <w:rPr>
          <w:rFonts w:eastAsia="Calibri"/>
          <w:lang w:val="fr-FR" w:eastAsia="en-US"/>
        </w:rPr>
        <w:t>« 677</w:t>
      </w:r>
      <w:r>
        <w:rPr>
          <w:rFonts w:eastAsia="Calibri"/>
          <w:lang w:val="fr-FR" w:eastAsia="en-US"/>
        </w:rPr>
        <w:tab/>
        <w:t xml:space="preserve">Les piles et batteries qui, conformément à la disposition spéciale 376, sont considérées comme endommagées ou défectueuses et susceptibles de se démonter rapidement, de réagir dangereusement, de produire une flamme ou un dangereux dégagement de chaleur </w:t>
      </w:r>
      <w:r>
        <w:rPr>
          <w:bCs/>
          <w:lang w:val="fr-FR" w:eastAsia="en-US"/>
        </w:rPr>
        <w:t>ou une émission de gaz ou de vapeur toxiques, corrosifs ou inflammables</w:t>
      </w:r>
      <w:r>
        <w:rPr>
          <w:rFonts w:eastAsia="Calibri"/>
          <w:lang w:val="fr-FR" w:eastAsia="en-US"/>
        </w:rPr>
        <w:t xml:space="preserve">, dans les conditions normales de transport, doivent être affectées à la catégorie de transport 0. Dans le document de </w:t>
      </w:r>
      <w:r>
        <w:rPr>
          <w:rFonts w:eastAsia="Calibri"/>
          <w:lang w:val="fr-FR" w:eastAsia="en-US"/>
        </w:rPr>
        <w:lastRenderedPageBreak/>
        <w:t>transport, la mention “</w:t>
      </w:r>
      <w:r>
        <w:rPr>
          <w:bCs/>
          <w:lang w:val="fr-FR" w:eastAsia="en-US"/>
        </w:rPr>
        <w:t>Transport selon la disposition spéciale</w:t>
      </w:r>
      <w:r>
        <w:rPr>
          <w:rFonts w:eastAsia="Calibri"/>
          <w:lang w:val="fr-FR" w:eastAsia="en-US"/>
        </w:rPr>
        <w:t xml:space="preserve"> 376ˮ doit être complétée par la mention “Catégorie de transport 0ˮ. »</w:t>
      </w:r>
    </w:p>
    <w:p w14:paraId="72620A60"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3634EEE6"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4.1</w:t>
      </w:r>
    </w:p>
    <w:p w14:paraId="27BDC84B"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4.1.6.15</w:t>
      </w:r>
      <w:r>
        <w:rPr>
          <w:lang w:val="fr-FR"/>
        </w:rPr>
        <w:tab/>
        <w:t>Dans le tableau 4.1.6.15.1, pour « 4.1.6.2 », dans la deuxième colonne, remplacer « EN ISO 11114-</w:t>
      </w:r>
      <w:proofErr w:type="gramStart"/>
      <w:r>
        <w:rPr>
          <w:lang w:val="fr-FR"/>
        </w:rPr>
        <w:t>2:</w:t>
      </w:r>
      <w:proofErr w:type="gramEnd"/>
      <w:r>
        <w:rPr>
          <w:lang w:val="fr-FR"/>
        </w:rPr>
        <w:t>2013 » par « EN ISO 11114-2:2021 ».</w:t>
      </w:r>
    </w:p>
    <w:p w14:paraId="36B9BDD0"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0EB3A2DE"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4.3</w:t>
      </w:r>
    </w:p>
    <w:p w14:paraId="1C7BCB02"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4.3.2.1.7</w:t>
      </w:r>
      <w:r>
        <w:rPr>
          <w:lang w:val="fr-FR"/>
        </w:rPr>
        <w:tab/>
        <w:t>Ajouter le nouveau Nota suivant à la fin :</w:t>
      </w:r>
    </w:p>
    <w:p w14:paraId="5427D395"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 </w:t>
      </w:r>
      <w:r>
        <w:rPr>
          <w:b/>
          <w:bCs/>
          <w:i/>
          <w:iCs/>
          <w:lang w:val="fr-FR"/>
        </w:rPr>
        <w:t xml:space="preserve">NOTA : </w:t>
      </w:r>
      <w:r>
        <w:rPr>
          <w:i/>
          <w:iCs/>
          <w:lang w:val="fr-FR"/>
        </w:rPr>
        <w:t>Le dossier de citerne peut également être conservé sous forme électronique.</w:t>
      </w:r>
      <w:r>
        <w:rPr>
          <w:lang w:val="fr-FR"/>
        </w:rPr>
        <w:t> »</w:t>
      </w:r>
    </w:p>
    <w:p w14:paraId="16ECDC63"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17CF92F7" w14:textId="77777777" w:rsidR="00AB524C" w:rsidRDefault="00AB524C" w:rsidP="00AB524C">
      <w:pPr>
        <w:pStyle w:val="H23G"/>
        <w:rPr>
          <w:lang w:val="fr-FR"/>
        </w:rPr>
      </w:pPr>
      <w:r>
        <w:rPr>
          <w:lang w:val="fr-FR"/>
        </w:rPr>
        <w:tab/>
      </w:r>
      <w:r>
        <w:rPr>
          <w:lang w:val="fr-FR"/>
        </w:rPr>
        <w:tab/>
        <w:t>Chapitre 4.4</w:t>
      </w:r>
    </w:p>
    <w:p w14:paraId="1145CEC5" w14:textId="77777777" w:rsidR="00AB524C" w:rsidRDefault="00AB524C" w:rsidP="00AB524C">
      <w:pPr>
        <w:pStyle w:val="SingleTxtG"/>
        <w:ind w:left="2268" w:hanging="1134"/>
        <w:rPr>
          <w:lang w:val="fr-FR"/>
        </w:rPr>
      </w:pPr>
      <w:r>
        <w:rPr>
          <w:lang w:val="fr-FR"/>
        </w:rPr>
        <w:t>4.4</w:t>
      </w:r>
      <w:r>
        <w:rPr>
          <w:lang w:val="fr-FR"/>
        </w:rPr>
        <w:tab/>
        <w:t>Modifier le titre du chapitre 4.4 pour lire « UTILISATION DES CITERNES FIXES (VÉHICULES-CITERNES) ET CITERNES DÉMONTABLES EN MATIÈRE PLASTIQUE RENFORCÉE DE FIBRES (PRF) ».</w:t>
      </w:r>
    </w:p>
    <w:p w14:paraId="3E1A2885" w14:textId="77777777" w:rsidR="00AB524C" w:rsidRDefault="00AB524C" w:rsidP="00AB524C">
      <w:pPr>
        <w:pStyle w:val="SingleTxtG"/>
        <w:rPr>
          <w:lang w:val="fr-FR"/>
        </w:rPr>
      </w:pPr>
      <w:r>
        <w:rPr>
          <w:i/>
          <w:iCs/>
          <w:lang w:val="fr-FR"/>
        </w:rPr>
        <w:t>(Document de référence :</w:t>
      </w:r>
      <w:r>
        <w:rPr>
          <w:lang w:val="fr-FR"/>
        </w:rPr>
        <w:t xml:space="preserve"> </w:t>
      </w:r>
      <w:r>
        <w:rPr>
          <w:i/>
          <w:iCs/>
          <w:lang w:val="fr-FR"/>
        </w:rPr>
        <w:t>ECE/TRANS/WP.15/2022/10 avec une modification éditoriale)</w:t>
      </w:r>
    </w:p>
    <w:p w14:paraId="0C913EB3"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6.2</w:t>
      </w:r>
    </w:p>
    <w:p w14:paraId="3B1F1E56" w14:textId="77777777" w:rsidR="00AB524C" w:rsidRDefault="00AB524C" w:rsidP="00AB524C">
      <w:pPr>
        <w:spacing w:after="120"/>
        <w:ind w:left="2268" w:right="1134" w:hanging="1134"/>
        <w:jc w:val="both"/>
        <w:rPr>
          <w:rFonts w:eastAsia="Calibri"/>
          <w:lang w:val="fr-FR" w:eastAsia="en-US"/>
        </w:rPr>
      </w:pPr>
      <w:r>
        <w:rPr>
          <w:rFonts w:eastAsia="Calibri"/>
          <w:lang w:val="fr-FR" w:eastAsia="en-US"/>
        </w:rPr>
        <w:t>6.2.4.1</w:t>
      </w:r>
      <w:r>
        <w:rPr>
          <w:rFonts w:eastAsia="Calibri"/>
          <w:lang w:val="fr-FR" w:eastAsia="en-US"/>
        </w:rPr>
        <w:tab/>
        <w:t>Dans le tableau, sous « Pour la conception et la fabrication des fermetures » :</w:t>
      </w:r>
    </w:p>
    <w:p w14:paraId="33DBA3C2" w14:textId="77777777" w:rsidR="00AB524C" w:rsidRDefault="00AB524C" w:rsidP="00AB524C">
      <w:pPr>
        <w:numPr>
          <w:ilvl w:val="0"/>
          <w:numId w:val="15"/>
        </w:numPr>
        <w:tabs>
          <w:tab w:val="clear" w:pos="1494"/>
          <w:tab w:val="num" w:pos="2438"/>
        </w:tabs>
        <w:kinsoku/>
        <w:overflowPunct/>
        <w:autoSpaceDE/>
        <w:adjustRightInd/>
        <w:snapToGrid/>
        <w:spacing w:before="120" w:after="120"/>
        <w:ind w:left="2438" w:right="1134" w:hanging="170"/>
        <w:jc w:val="both"/>
        <w:rPr>
          <w:rFonts w:eastAsia="Calibri"/>
          <w:lang w:val="fr-FR" w:eastAsia="en-US"/>
        </w:rPr>
      </w:pPr>
      <w:r>
        <w:rPr>
          <w:rFonts w:eastAsia="Calibri"/>
          <w:lang w:val="fr-FR" w:eastAsia="en-US"/>
        </w:rPr>
        <w:t>Ajouter la nouvelle rubrique suivante à la fin du tableau :</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AB524C" w14:paraId="7A6AC6C2" w14:textId="77777777" w:rsidTr="00AB524C">
        <w:tc>
          <w:tcPr>
            <w:tcW w:w="1894" w:type="dxa"/>
            <w:tcBorders>
              <w:top w:val="single" w:sz="4" w:space="0" w:color="auto"/>
              <w:left w:val="single" w:sz="4" w:space="0" w:color="auto"/>
              <w:bottom w:val="single" w:sz="4" w:space="0" w:color="auto"/>
              <w:right w:val="single" w:sz="4" w:space="0" w:color="auto"/>
            </w:tcBorders>
            <w:vAlign w:val="center"/>
            <w:hideMark/>
          </w:tcPr>
          <w:p w14:paraId="0C260D24" w14:textId="45D35085" w:rsidR="00AB524C" w:rsidRDefault="00AB524C">
            <w:pPr>
              <w:widowControl w:val="0"/>
              <w:spacing w:before="60" w:after="60"/>
              <w:rPr>
                <w:rFonts w:eastAsia="Calibri"/>
                <w:lang w:val="fr-FR" w:eastAsia="en-US"/>
              </w:rPr>
            </w:pPr>
            <w:r>
              <w:rPr>
                <w:rFonts w:eastAsia="Calibri"/>
                <w:lang w:val="fr-FR" w:eastAsia="en-US"/>
              </w:rPr>
              <w:t xml:space="preserve">EN </w:t>
            </w:r>
            <w:proofErr w:type="gramStart"/>
            <w:r>
              <w:rPr>
                <w:rFonts w:eastAsia="Calibri"/>
                <w:lang w:val="fr-FR" w:eastAsia="en-US"/>
              </w:rPr>
              <w:t>13799:</w:t>
            </w:r>
            <w:proofErr w:type="gramEnd"/>
            <w:r>
              <w:rPr>
                <w:rFonts w:eastAsia="Calibri"/>
                <w:lang w:val="fr-FR" w:eastAsia="en-US"/>
              </w:rPr>
              <w:t>2022</w:t>
            </w:r>
          </w:p>
        </w:tc>
        <w:tc>
          <w:tcPr>
            <w:tcW w:w="3870" w:type="dxa"/>
            <w:tcBorders>
              <w:top w:val="single" w:sz="4" w:space="0" w:color="auto"/>
              <w:left w:val="single" w:sz="4" w:space="0" w:color="auto"/>
              <w:bottom w:val="single" w:sz="4" w:space="0" w:color="auto"/>
              <w:right w:val="single" w:sz="4" w:space="0" w:color="auto"/>
            </w:tcBorders>
            <w:hideMark/>
          </w:tcPr>
          <w:p w14:paraId="2AD2D261" w14:textId="77777777" w:rsidR="00AB524C" w:rsidRDefault="00AB524C">
            <w:pPr>
              <w:widowControl w:val="0"/>
              <w:spacing w:before="60" w:after="120"/>
              <w:rPr>
                <w:rFonts w:eastAsia="Calibri"/>
                <w:lang w:val="fr-FR" w:eastAsia="en-US"/>
              </w:rPr>
            </w:pPr>
            <w:r>
              <w:rPr>
                <w:rFonts w:eastAsia="Calibri"/>
                <w:lang w:val="fr-FR" w:eastAsia="en-US"/>
              </w:rPr>
              <w:t>Équipements pour GPL et leurs accessoires − Jauges de niveau pour les réservoirs de gaz de pétrole liquéfié (GPL)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4DDA4D5" w14:textId="77777777" w:rsidR="00AB524C" w:rsidRDefault="00AB524C">
            <w:pPr>
              <w:widowControl w:val="0"/>
              <w:spacing w:before="60" w:after="60"/>
              <w:rPr>
                <w:rFonts w:eastAsia="Calibri"/>
                <w:lang w:val="fr-FR" w:eastAsia="en-US"/>
              </w:rPr>
            </w:pPr>
            <w:r>
              <w:rPr>
                <w:rFonts w:eastAsia="Calibri"/>
                <w:lang w:val="fr-FR" w:eastAsia="en-US"/>
              </w:rPr>
              <w:t>6.2.3.1 et 6.2.3.3</w:t>
            </w:r>
          </w:p>
        </w:tc>
        <w:tc>
          <w:tcPr>
            <w:tcW w:w="968" w:type="dxa"/>
            <w:tcBorders>
              <w:top w:val="single" w:sz="4" w:space="0" w:color="auto"/>
              <w:left w:val="single" w:sz="4" w:space="0" w:color="auto"/>
              <w:bottom w:val="single" w:sz="4" w:space="0" w:color="auto"/>
              <w:right w:val="single" w:sz="4" w:space="0" w:color="auto"/>
            </w:tcBorders>
            <w:vAlign w:val="center"/>
            <w:hideMark/>
          </w:tcPr>
          <w:p w14:paraId="76097829" w14:textId="77777777" w:rsidR="00AB524C" w:rsidRDefault="00AB524C">
            <w:pPr>
              <w:widowControl w:val="0"/>
              <w:spacing w:before="60" w:after="60"/>
              <w:rPr>
                <w:rFonts w:eastAsia="Calibri"/>
                <w:lang w:val="fr-FR" w:eastAsia="en-US"/>
              </w:rPr>
            </w:pPr>
            <w:r>
              <w:rPr>
                <w:rFonts w:eastAsia="Calibri"/>
                <w:lang w:val="fr-FR" w:eastAsia="en-US"/>
              </w:rPr>
              <w:t>Jusqu’à nouvel ordre</w:t>
            </w:r>
          </w:p>
        </w:tc>
        <w:tc>
          <w:tcPr>
            <w:tcW w:w="483" w:type="dxa"/>
            <w:tcBorders>
              <w:top w:val="single" w:sz="4" w:space="0" w:color="auto"/>
              <w:left w:val="single" w:sz="4" w:space="0" w:color="auto"/>
              <w:bottom w:val="single" w:sz="4" w:space="0" w:color="auto"/>
              <w:right w:val="single" w:sz="4" w:space="0" w:color="auto"/>
            </w:tcBorders>
            <w:vAlign w:val="center"/>
          </w:tcPr>
          <w:p w14:paraId="6453B59A" w14:textId="77777777" w:rsidR="00AB524C" w:rsidRDefault="00AB524C">
            <w:pPr>
              <w:widowControl w:val="0"/>
              <w:spacing w:before="60" w:after="60"/>
              <w:rPr>
                <w:rFonts w:eastAsia="Calibri"/>
                <w:lang w:val="fr-FR" w:eastAsia="en-US"/>
              </w:rPr>
            </w:pPr>
          </w:p>
        </w:tc>
      </w:tr>
    </w:tbl>
    <w:p w14:paraId="6D57FD4E"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639D8ADA" w14:textId="77777777" w:rsidR="00AB524C" w:rsidRDefault="00AB524C" w:rsidP="00AB524C">
      <w:pPr>
        <w:keepNext/>
        <w:keepLines/>
        <w:tabs>
          <w:tab w:val="right" w:pos="851"/>
        </w:tabs>
        <w:spacing w:before="240" w:after="120" w:line="240" w:lineRule="exact"/>
        <w:ind w:left="1134" w:right="1134" w:hanging="1134"/>
        <w:outlineLvl w:val="3"/>
        <w:rPr>
          <w:b/>
          <w:lang w:val="fr-FR" w:eastAsia="fr-FR"/>
        </w:rPr>
      </w:pPr>
      <w:r>
        <w:rPr>
          <w:b/>
          <w:lang w:val="fr-FR" w:eastAsia="fr-FR"/>
        </w:rPr>
        <w:tab/>
      </w:r>
      <w:r>
        <w:rPr>
          <w:b/>
          <w:lang w:val="fr-FR" w:eastAsia="fr-FR"/>
        </w:rPr>
        <w:tab/>
        <w:t>Chapitre 6.8</w:t>
      </w:r>
    </w:p>
    <w:p w14:paraId="2DE4AE3B" w14:textId="77777777" w:rsidR="00AB524C" w:rsidRDefault="00AB524C" w:rsidP="00AB524C">
      <w:pPr>
        <w:spacing w:after="120"/>
        <w:ind w:left="2268" w:right="1134" w:hanging="1134"/>
        <w:jc w:val="both"/>
        <w:rPr>
          <w:lang w:val="fr-FR"/>
        </w:rPr>
      </w:pPr>
      <w:r>
        <w:rPr>
          <w:iCs/>
          <w:lang w:val="fr-FR"/>
        </w:rPr>
        <w:t>6.8.2.1.17</w:t>
      </w:r>
      <w:r>
        <w:rPr>
          <w:iCs/>
          <w:lang w:val="fr-FR"/>
        </w:rPr>
        <w:tab/>
        <w:t>À la fin de la définition de « </w:t>
      </w:r>
      <w:proofErr w:type="spellStart"/>
      <w:r>
        <w:rPr>
          <w:rFonts w:ascii="TimesNewRomanPSMT" w:hAnsi="TimesNewRomanPSMT" w:cs="TimesNewRomanPSMT"/>
        </w:rPr>
        <w:t>P</w:t>
      </w:r>
      <w:r>
        <w:rPr>
          <w:rFonts w:ascii="TimesNewRomanPSMT" w:hAnsi="TimesNewRomanPSMT" w:cs="TimesNewRomanPSMT"/>
          <w:sz w:val="13"/>
          <w:szCs w:val="13"/>
        </w:rPr>
        <w:t>cal</w:t>
      </w:r>
      <w:proofErr w:type="spellEnd"/>
      <w:r>
        <w:rPr>
          <w:iCs/>
          <w:lang w:val="fr-FR"/>
        </w:rPr>
        <w:t> », ajouter « ou dans le tableau du 4.3.3.1.1 ».</w:t>
      </w:r>
    </w:p>
    <w:p w14:paraId="38FCC987"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54CC0D71" w14:textId="77777777" w:rsidR="00AB524C" w:rsidRDefault="00AB524C" w:rsidP="00AB524C">
      <w:pPr>
        <w:spacing w:after="120"/>
        <w:ind w:left="1134" w:right="1134"/>
        <w:jc w:val="both"/>
        <w:rPr>
          <w:rFonts w:eastAsia="Calibri" w:cs="Arial"/>
          <w:bCs/>
          <w:lang w:val="fr-FR" w:eastAsia="en-US"/>
        </w:rPr>
      </w:pPr>
      <w:r>
        <w:rPr>
          <w:rFonts w:eastAsia="Calibri"/>
          <w:lang w:val="fr-FR" w:eastAsia="en-US"/>
        </w:rPr>
        <w:t>6.8.2.6.1</w:t>
      </w:r>
      <w:r>
        <w:rPr>
          <w:rFonts w:eastAsia="Calibri"/>
          <w:lang w:val="fr-FR" w:eastAsia="en-US"/>
        </w:rPr>
        <w:tab/>
        <w:t>Dans le tableau, sous « Pour la conception et la construction des citernes » :</w:t>
      </w:r>
    </w:p>
    <w:p w14:paraId="332C9A3E" w14:textId="77777777" w:rsidR="00AB524C" w:rsidRDefault="00AB524C" w:rsidP="00AB524C">
      <w:pPr>
        <w:spacing w:before="120" w:after="120"/>
        <w:ind w:left="2268" w:right="1134"/>
        <w:jc w:val="both"/>
        <w:rPr>
          <w:rFonts w:eastAsia="Calibri" w:cs="Arial"/>
          <w:lang w:val="fr-FR" w:eastAsia="en-US"/>
        </w:rPr>
      </w:pPr>
      <w:r>
        <w:rPr>
          <w:rFonts w:eastAsia="Calibri"/>
          <w:lang w:val="fr-FR" w:eastAsia="en-US"/>
        </w:rPr>
        <w:t xml:space="preserve">[Dans la ligne pour « EN </w:t>
      </w:r>
      <w:proofErr w:type="gramStart"/>
      <w:r>
        <w:rPr>
          <w:rFonts w:eastAsia="Calibri"/>
          <w:lang w:val="fr-FR" w:eastAsia="en-US"/>
        </w:rPr>
        <w:t>14025:</w:t>
      </w:r>
      <w:proofErr w:type="gramEnd"/>
      <w:r>
        <w:rPr>
          <w:rFonts w:eastAsia="Calibri"/>
          <w:lang w:val="fr-FR" w:eastAsia="en-US"/>
        </w:rPr>
        <w:t>2018 + AC:2020 », dans la colonne 4), remplacer « Jusqu’à nouvel ordre » par « Entre le 1</w:t>
      </w:r>
      <w:r>
        <w:rPr>
          <w:rFonts w:eastAsia="Calibri"/>
          <w:vertAlign w:val="superscript"/>
          <w:lang w:val="fr-FR" w:eastAsia="en-US"/>
        </w:rPr>
        <w:t>er</w:t>
      </w:r>
      <w:r>
        <w:rPr>
          <w:rFonts w:eastAsia="Calibri"/>
          <w:lang w:val="fr-FR" w:eastAsia="en-US"/>
        </w:rPr>
        <w:t xml:space="preserve"> janvier 2021 et le 31 décembre 2026 ». Après cette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AB524C" w14:paraId="0992B91F" w14:textId="77777777" w:rsidTr="00AB524C">
        <w:trPr>
          <w:cantSplit/>
        </w:trPr>
        <w:tc>
          <w:tcPr>
            <w:tcW w:w="2002" w:type="dxa"/>
            <w:tcBorders>
              <w:top w:val="single" w:sz="4" w:space="0" w:color="auto"/>
              <w:left w:val="single" w:sz="4" w:space="0" w:color="auto"/>
              <w:bottom w:val="single" w:sz="4" w:space="0" w:color="auto"/>
              <w:right w:val="single" w:sz="4" w:space="0" w:color="auto"/>
            </w:tcBorders>
            <w:vAlign w:val="center"/>
            <w:hideMark/>
          </w:tcPr>
          <w:p w14:paraId="51260F78" w14:textId="77777777" w:rsidR="00AB524C" w:rsidRDefault="00AB524C">
            <w:pPr>
              <w:widowControl w:val="0"/>
              <w:tabs>
                <w:tab w:val="left" w:pos="720"/>
              </w:tabs>
              <w:spacing w:before="60" w:after="60" w:line="220" w:lineRule="atLeast"/>
              <w:ind w:left="57" w:right="57"/>
              <w:rPr>
                <w:rFonts w:eastAsia="Calibri" w:cs="Arial"/>
                <w:lang w:val="fr-FR" w:eastAsia="en-US"/>
              </w:rPr>
            </w:pPr>
            <w:r>
              <w:rPr>
                <w:rFonts w:eastAsia="Calibri"/>
                <w:lang w:val="fr-FR" w:eastAsia="en-US"/>
              </w:rPr>
              <w:t xml:space="preserve">EN </w:t>
            </w:r>
            <w:proofErr w:type="gramStart"/>
            <w:r>
              <w:rPr>
                <w:rFonts w:eastAsia="Calibri"/>
                <w:lang w:val="fr-FR" w:eastAsia="en-US"/>
              </w:rPr>
              <w:t>14025:[</w:t>
            </w:r>
            <w:proofErr w:type="gramEnd"/>
            <w:r>
              <w:rPr>
                <w:rFonts w:eastAsia="Calibri"/>
                <w:lang w:val="fr-FR" w:eastAsia="en-US"/>
              </w:rPr>
              <w:t>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C2C4B5B" w14:textId="77777777" w:rsidR="00AB524C" w:rsidRDefault="00AB524C">
            <w:pPr>
              <w:widowControl w:val="0"/>
              <w:tabs>
                <w:tab w:val="left" w:pos="599"/>
              </w:tabs>
              <w:spacing w:before="60" w:after="60" w:line="220" w:lineRule="atLeast"/>
              <w:ind w:left="57" w:right="57"/>
              <w:rPr>
                <w:rFonts w:eastAsia="Calibri"/>
                <w:bCs/>
                <w:color w:val="000000"/>
                <w:lang w:val="fr-FR" w:eastAsia="en-US"/>
              </w:rPr>
            </w:pPr>
            <w:r>
              <w:rPr>
                <w:rFonts w:eastAsia="Calibri"/>
                <w:lang w:val="fr-FR" w:eastAsia="en-US"/>
              </w:rPr>
              <w:t>Citernes destinées au transport de matières dangereuses − citernes métalliques sous pression − conception et fabrication</w:t>
            </w:r>
          </w:p>
          <w:p w14:paraId="0A53B6F5" w14:textId="77777777" w:rsidR="00AB524C" w:rsidRDefault="00AB524C">
            <w:pPr>
              <w:widowControl w:val="0"/>
              <w:tabs>
                <w:tab w:val="left" w:pos="446"/>
              </w:tabs>
              <w:spacing w:before="60" w:after="60" w:line="220" w:lineRule="atLeast"/>
              <w:ind w:left="57" w:right="57"/>
              <w:rPr>
                <w:rFonts w:eastAsia="Calibri" w:cs="Arial"/>
                <w:bCs/>
                <w:i/>
                <w:lang w:val="fr-FR" w:eastAsia="en-US"/>
              </w:rPr>
            </w:pPr>
            <w:r>
              <w:rPr>
                <w:rFonts w:eastAsia="Calibri"/>
                <w:b/>
                <w:bCs/>
                <w:i/>
                <w:iCs/>
                <w:lang w:val="fr-FR" w:eastAsia="en-US"/>
              </w:rPr>
              <w:t>NOTA :</w:t>
            </w:r>
            <w:r>
              <w:rPr>
                <w:rFonts w:eastAsia="Calibri"/>
                <w:lang w:val="fr-FR" w:eastAsia="en-US"/>
              </w:rPr>
              <w:tab/>
            </w:r>
            <w:r>
              <w:rPr>
                <w:rFonts w:eastAsia="Calibri"/>
                <w:i/>
                <w:iCs/>
                <w:lang w:val="fr-FR" w:eastAsia="en-US"/>
              </w:rPr>
              <w:t>Les matériaux des réservoirs doivent au moins être attestés par un certificat de type 3.1 délivré conformément à la norme EN 10204.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89E80C3" w14:textId="77777777" w:rsidR="00AB524C" w:rsidRDefault="00AB524C">
            <w:pPr>
              <w:widowControl w:val="0"/>
              <w:tabs>
                <w:tab w:val="left" w:pos="720"/>
              </w:tabs>
              <w:spacing w:before="60" w:after="60" w:line="220" w:lineRule="atLeast"/>
              <w:ind w:left="57" w:right="57"/>
              <w:rPr>
                <w:rFonts w:eastAsia="Calibri" w:cs="Arial"/>
                <w:lang w:val="fr-FR" w:eastAsia="en-US"/>
              </w:rPr>
            </w:pPr>
            <w:r>
              <w:rPr>
                <w:rFonts w:eastAsia="Calibri"/>
                <w:lang w:val="fr-FR" w:eastAsia="en-US"/>
              </w:rPr>
              <w:t>6.8.2.1 et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3BE95AE" w14:textId="77777777" w:rsidR="00AB524C" w:rsidRDefault="00AB524C">
            <w:pPr>
              <w:widowControl w:val="0"/>
              <w:tabs>
                <w:tab w:val="left" w:pos="720"/>
              </w:tabs>
              <w:spacing w:before="60" w:after="60" w:line="220" w:lineRule="atLeast"/>
              <w:ind w:left="57" w:right="57"/>
              <w:rPr>
                <w:rFonts w:eastAsia="Calibri" w:cs="Arial"/>
                <w:lang w:val="fr-FR" w:eastAsia="en-US"/>
              </w:rPr>
            </w:pPr>
            <w:r>
              <w:rPr>
                <w:rFonts w:eastAsia="Calibri"/>
                <w:lang w:val="fr-FR" w:eastAsia="en-US"/>
              </w:rPr>
              <w:t>Jusqu’à nouvel ordre</w:t>
            </w:r>
          </w:p>
        </w:tc>
        <w:tc>
          <w:tcPr>
            <w:tcW w:w="718" w:type="dxa"/>
            <w:tcBorders>
              <w:top w:val="single" w:sz="4" w:space="0" w:color="auto"/>
              <w:left w:val="single" w:sz="4" w:space="0" w:color="auto"/>
              <w:bottom w:val="single" w:sz="4" w:space="0" w:color="auto"/>
              <w:right w:val="single" w:sz="4" w:space="0" w:color="auto"/>
            </w:tcBorders>
            <w:vAlign w:val="center"/>
          </w:tcPr>
          <w:p w14:paraId="4180E9B6" w14:textId="77777777" w:rsidR="00AB524C" w:rsidRDefault="00AB524C">
            <w:pPr>
              <w:widowControl w:val="0"/>
              <w:tabs>
                <w:tab w:val="left" w:pos="720"/>
              </w:tabs>
              <w:spacing w:before="60" w:after="60" w:line="220" w:lineRule="atLeast"/>
              <w:ind w:left="57" w:right="57"/>
              <w:rPr>
                <w:rFonts w:eastAsia="Calibri" w:cs="Arial"/>
                <w:lang w:val="fr-FR" w:eastAsia="en-US"/>
              </w:rPr>
            </w:pPr>
          </w:p>
        </w:tc>
      </w:tr>
    </w:tbl>
    <w:p w14:paraId="5CD4911C"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ab/>
        <w:t>]</w:t>
      </w:r>
    </w:p>
    <w:p w14:paraId="61CFB783"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lastRenderedPageBreak/>
        <w:t>(Document de référence : ECE/TRANS/WP.15/AC.1/166, Annexe, tel que repris dans le document informel INF.7)</w:t>
      </w:r>
    </w:p>
    <w:p w14:paraId="78BFFC58" w14:textId="77777777" w:rsidR="00AB524C" w:rsidRDefault="00AB524C" w:rsidP="00AB524C">
      <w:pPr>
        <w:tabs>
          <w:tab w:val="left" w:pos="1701"/>
          <w:tab w:val="left" w:pos="2268"/>
          <w:tab w:val="left" w:pos="2835"/>
        </w:tabs>
        <w:spacing w:before="120" w:after="120"/>
        <w:ind w:left="1134" w:right="1134"/>
        <w:jc w:val="both"/>
        <w:rPr>
          <w:lang w:val="fr-FR"/>
        </w:rPr>
      </w:pPr>
      <w:r>
        <w:rPr>
          <w:lang w:val="fr-FR"/>
        </w:rPr>
        <w:tab/>
        <w:t>Dans le tableau, sous « Pour les équipements » :</w:t>
      </w:r>
    </w:p>
    <w:p w14:paraId="7840C16A" w14:textId="77777777" w:rsidR="00AB524C" w:rsidRDefault="00AB524C" w:rsidP="00AB524C">
      <w:pPr>
        <w:spacing w:before="120" w:after="120"/>
        <w:ind w:left="2268" w:right="1134"/>
        <w:jc w:val="both"/>
        <w:rPr>
          <w:lang w:val="fr-FR"/>
        </w:rPr>
      </w:pPr>
      <w:r>
        <w:rPr>
          <w:lang w:val="fr-FR"/>
        </w:rPr>
        <w:t xml:space="preserve">[Dans la ligne pour « EN </w:t>
      </w:r>
      <w:proofErr w:type="gramStart"/>
      <w:r>
        <w:rPr>
          <w:lang w:val="fr-FR"/>
        </w:rPr>
        <w:t>14432:</w:t>
      </w:r>
      <w:proofErr w:type="gramEnd"/>
      <w:r>
        <w:rPr>
          <w:lang w:val="fr-FR"/>
        </w:rPr>
        <w:t>2014 », dans la colonne 4), remplacer « Jusqu’à nouvel ordre » par « Entre le 1</w:t>
      </w:r>
      <w:r>
        <w:rPr>
          <w:vertAlign w:val="superscript"/>
          <w:lang w:val="fr-FR"/>
        </w:rPr>
        <w:t>er</w:t>
      </w:r>
      <w:r>
        <w:rPr>
          <w:lang w:val="fr-FR"/>
        </w:rPr>
        <w:t xml:space="preserve"> janvier 2019 et le 31 décembre 2026 ». </w:t>
      </w:r>
      <w:r>
        <w:rPr>
          <w:rFonts w:eastAsia="Calibri"/>
          <w:lang w:val="fr-FR" w:eastAsia="en-US"/>
        </w:rPr>
        <w:t>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AB524C" w14:paraId="1D157CB2" w14:textId="77777777" w:rsidTr="00AB524C">
        <w:trPr>
          <w:cantSplit/>
        </w:trPr>
        <w:tc>
          <w:tcPr>
            <w:tcW w:w="1357" w:type="dxa"/>
            <w:tcBorders>
              <w:top w:val="single" w:sz="4" w:space="0" w:color="auto"/>
              <w:left w:val="single" w:sz="4" w:space="0" w:color="auto"/>
              <w:bottom w:val="single" w:sz="4" w:space="0" w:color="auto"/>
              <w:right w:val="single" w:sz="4" w:space="0" w:color="auto"/>
            </w:tcBorders>
            <w:hideMark/>
          </w:tcPr>
          <w:p w14:paraId="6748ECAD" w14:textId="77777777" w:rsidR="00AB524C" w:rsidRDefault="00AB524C">
            <w:pPr>
              <w:widowControl w:val="0"/>
              <w:spacing w:before="40" w:after="40"/>
              <w:ind w:left="57" w:right="57"/>
              <w:rPr>
                <w:lang w:val="fr-FR"/>
              </w:rPr>
            </w:pPr>
            <w:r>
              <w:rPr>
                <w:bCs/>
              </w:rPr>
              <w:t xml:space="preserve">EN </w:t>
            </w:r>
            <w:proofErr w:type="gramStart"/>
            <w:r>
              <w:rPr>
                <w:bCs/>
              </w:rPr>
              <w:t>14432:[</w:t>
            </w:r>
            <w:proofErr w:type="gramEnd"/>
            <w:r>
              <w:rPr>
                <w:bCs/>
              </w:rPr>
              <w:t>2023]</w:t>
            </w:r>
          </w:p>
        </w:tc>
        <w:tc>
          <w:tcPr>
            <w:tcW w:w="4253" w:type="dxa"/>
            <w:tcBorders>
              <w:top w:val="single" w:sz="4" w:space="0" w:color="auto"/>
              <w:left w:val="single" w:sz="4" w:space="0" w:color="auto"/>
              <w:bottom w:val="single" w:sz="4" w:space="0" w:color="auto"/>
              <w:right w:val="single" w:sz="4" w:space="0" w:color="auto"/>
            </w:tcBorders>
            <w:hideMark/>
          </w:tcPr>
          <w:p w14:paraId="73AC9BB6" w14:textId="77777777" w:rsidR="00AB524C" w:rsidRDefault="00AB524C">
            <w:pPr>
              <w:suppressAutoHyphens w:val="0"/>
              <w:kinsoku/>
              <w:overflowPunct/>
              <w:autoSpaceDE/>
              <w:adjustRightInd/>
              <w:snapToGrid/>
              <w:spacing w:before="20" w:after="20" w:line="240" w:lineRule="auto"/>
              <w:rPr>
                <w:lang w:val="fr-FR" w:eastAsia="fr-FR"/>
              </w:rPr>
            </w:pPr>
            <w:r>
              <w:rPr>
                <w:lang w:val="fr-FR" w:eastAsia="fr-FR"/>
              </w:rPr>
              <w:t>Citernes de transport de matières dangereuses - Équipements de la citerne pour le transport de produits chimiques liquides et de gaz liquéfiés - Vannes de mise en pression de la citerne ou de déchargement du produit</w:t>
            </w:r>
          </w:p>
          <w:p w14:paraId="3FDE806A" w14:textId="77777777" w:rsidR="00AB524C" w:rsidRDefault="00AB524C">
            <w:pPr>
              <w:widowControl w:val="0"/>
              <w:spacing w:before="40" w:after="40"/>
              <w:ind w:left="57" w:right="57"/>
              <w:rPr>
                <w:lang w:val="fr-FR"/>
              </w:rPr>
            </w:pPr>
            <w:r>
              <w:rPr>
                <w:b/>
                <w:i/>
                <w:szCs w:val="18"/>
                <w:lang w:val="fr-FR" w:eastAsia="en-US"/>
              </w:rPr>
              <w:t>NOTA :</w:t>
            </w:r>
            <w:r>
              <w:rPr>
                <w:i/>
                <w:szCs w:val="18"/>
                <w:lang w:val="fr-FR" w:eastAsia="en-US"/>
              </w:rPr>
              <w:tab/>
              <w:t>Cette norme peut également être appliquée aux citernes à vidange par gravité.</w:t>
            </w:r>
            <w:r>
              <w:rPr>
                <w:szCs w:val="18"/>
                <w:lang w:val="fr-FR" w:eastAsia="en-US"/>
              </w:rPr>
              <w:t> </w:t>
            </w:r>
          </w:p>
        </w:tc>
        <w:tc>
          <w:tcPr>
            <w:tcW w:w="1176" w:type="dxa"/>
            <w:tcBorders>
              <w:top w:val="single" w:sz="4" w:space="0" w:color="auto"/>
              <w:left w:val="single" w:sz="4" w:space="0" w:color="auto"/>
              <w:bottom w:val="single" w:sz="4" w:space="0" w:color="auto"/>
              <w:right w:val="single" w:sz="4" w:space="0" w:color="auto"/>
            </w:tcBorders>
            <w:hideMark/>
          </w:tcPr>
          <w:p w14:paraId="55F1408B" w14:textId="77777777" w:rsidR="00AB524C" w:rsidRDefault="00AB524C">
            <w:pPr>
              <w:widowControl w:val="0"/>
              <w:spacing w:before="40" w:after="40"/>
              <w:ind w:left="57" w:right="57"/>
              <w:rPr>
                <w:lang w:val="fr-FR"/>
              </w:rPr>
            </w:pPr>
            <w:r>
              <w:rPr>
                <w:rFonts w:cs="Arial"/>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2345ECC4" w14:textId="77777777" w:rsidR="00AB524C" w:rsidRDefault="00AB524C">
            <w:pPr>
              <w:widowControl w:val="0"/>
              <w:spacing w:before="40" w:after="40"/>
              <w:ind w:left="57" w:right="57"/>
              <w:rPr>
                <w:lang w:val="fr-FR"/>
              </w:rPr>
            </w:pPr>
            <w:r>
              <w:rPr>
                <w:rFonts w:cs="Arial"/>
                <w:bCs/>
              </w:rPr>
              <w:t>Jusqu’à nouvel ordre</w:t>
            </w:r>
          </w:p>
        </w:tc>
        <w:tc>
          <w:tcPr>
            <w:tcW w:w="452" w:type="dxa"/>
            <w:tcBorders>
              <w:top w:val="single" w:sz="4" w:space="0" w:color="auto"/>
              <w:left w:val="single" w:sz="4" w:space="0" w:color="auto"/>
              <w:bottom w:val="single" w:sz="4" w:space="0" w:color="auto"/>
              <w:right w:val="single" w:sz="4" w:space="0" w:color="auto"/>
            </w:tcBorders>
          </w:tcPr>
          <w:p w14:paraId="4C98CDA1" w14:textId="77777777" w:rsidR="00AB524C" w:rsidRDefault="00AB524C">
            <w:pPr>
              <w:widowControl w:val="0"/>
              <w:spacing w:before="40" w:after="40"/>
              <w:ind w:left="57" w:right="57"/>
              <w:rPr>
                <w:lang w:val="fr-FR"/>
              </w:rPr>
            </w:pPr>
          </w:p>
        </w:tc>
      </w:tr>
    </w:tbl>
    <w:p w14:paraId="5C5D7F05"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ab/>
        <w:t>]</w:t>
      </w:r>
    </w:p>
    <w:p w14:paraId="09DED22A"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44314596" w14:textId="77777777" w:rsidR="00AB524C" w:rsidRDefault="00AB524C" w:rsidP="00AB524C">
      <w:pPr>
        <w:spacing w:before="120" w:after="120"/>
        <w:ind w:left="2268" w:right="1134"/>
        <w:jc w:val="both"/>
        <w:rPr>
          <w:lang w:val="fr-FR"/>
        </w:rPr>
      </w:pPr>
      <w:r>
        <w:rPr>
          <w:lang w:val="fr-FR"/>
        </w:rPr>
        <w:t xml:space="preserve">[Dans la ligne pour « EN </w:t>
      </w:r>
      <w:proofErr w:type="gramStart"/>
      <w:r>
        <w:rPr>
          <w:lang w:val="fr-FR"/>
        </w:rPr>
        <w:t>14433:</w:t>
      </w:r>
      <w:proofErr w:type="gramEnd"/>
      <w:r>
        <w:rPr>
          <w:lang w:val="fr-FR"/>
        </w:rPr>
        <w:t>2014 », dans la colonne (4), remplacer « Jusqu’à nouvel ordre » par « Entre le 1</w:t>
      </w:r>
      <w:r>
        <w:rPr>
          <w:vertAlign w:val="superscript"/>
          <w:lang w:val="fr-FR"/>
        </w:rPr>
        <w:t>er</w:t>
      </w:r>
      <w:r>
        <w:rPr>
          <w:lang w:val="fr-FR"/>
        </w:rPr>
        <w:t xml:space="preserve"> janvier 2019 et le 31 décembre 2026 ». Après cette ligne,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AB524C" w14:paraId="50DACA22" w14:textId="77777777" w:rsidTr="00AB524C">
        <w:trPr>
          <w:cantSplit/>
        </w:trPr>
        <w:tc>
          <w:tcPr>
            <w:tcW w:w="1357" w:type="dxa"/>
            <w:tcBorders>
              <w:top w:val="single" w:sz="4" w:space="0" w:color="auto"/>
              <w:left w:val="single" w:sz="4" w:space="0" w:color="auto"/>
              <w:bottom w:val="single" w:sz="4" w:space="0" w:color="auto"/>
              <w:right w:val="single" w:sz="4" w:space="0" w:color="auto"/>
            </w:tcBorders>
            <w:hideMark/>
          </w:tcPr>
          <w:p w14:paraId="31476B67" w14:textId="77777777" w:rsidR="00AB524C" w:rsidRDefault="00AB524C">
            <w:pPr>
              <w:widowControl w:val="0"/>
              <w:spacing w:before="40" w:after="40"/>
              <w:ind w:left="57" w:right="57"/>
              <w:rPr>
                <w:lang w:val="fr-FR"/>
              </w:rPr>
            </w:pPr>
            <w:r>
              <w:rPr>
                <w:bCs/>
              </w:rPr>
              <w:t xml:space="preserve">EN </w:t>
            </w:r>
            <w:proofErr w:type="gramStart"/>
            <w:r>
              <w:rPr>
                <w:bCs/>
              </w:rPr>
              <w:t>14433:[</w:t>
            </w:r>
            <w:proofErr w:type="gramEnd"/>
            <w:r>
              <w:rPr>
                <w:bCs/>
              </w:rPr>
              <w:t>2023]</w:t>
            </w:r>
          </w:p>
        </w:tc>
        <w:tc>
          <w:tcPr>
            <w:tcW w:w="4253" w:type="dxa"/>
            <w:tcBorders>
              <w:top w:val="single" w:sz="4" w:space="0" w:color="auto"/>
              <w:left w:val="single" w:sz="4" w:space="0" w:color="auto"/>
              <w:bottom w:val="single" w:sz="4" w:space="0" w:color="auto"/>
              <w:right w:val="single" w:sz="4" w:space="0" w:color="auto"/>
            </w:tcBorders>
            <w:hideMark/>
          </w:tcPr>
          <w:p w14:paraId="1BF01514" w14:textId="77777777" w:rsidR="00AB524C" w:rsidRDefault="00AB524C">
            <w:pPr>
              <w:spacing w:before="20" w:after="20"/>
              <w:rPr>
                <w:lang w:eastAsia="fr-FR"/>
              </w:rPr>
            </w:pPr>
            <w:r>
              <w:rPr>
                <w:lang w:eastAsia="fr-FR"/>
              </w:rPr>
              <w:t>Citernes de transport de matières dangereuses – Équipements de la citerne pour le transport de produits chimiques liquides et de gaz liquéfiés – Clapets de fond</w:t>
            </w:r>
          </w:p>
          <w:p w14:paraId="64655EC1" w14:textId="77777777" w:rsidR="00AB524C" w:rsidRDefault="00AB524C">
            <w:pPr>
              <w:widowControl w:val="0"/>
              <w:spacing w:before="40" w:after="40"/>
              <w:ind w:left="57" w:right="57"/>
              <w:rPr>
                <w:lang w:val="fr-FR"/>
              </w:rPr>
            </w:pPr>
            <w:r>
              <w:rPr>
                <w:b/>
                <w:i/>
                <w:szCs w:val="18"/>
              </w:rPr>
              <w:t>NOTA :</w:t>
            </w:r>
            <w:r>
              <w:rPr>
                <w:i/>
                <w:szCs w:val="18"/>
              </w:rPr>
              <w:tab/>
              <w:t>Cette norme peut également être appliquée aux citernes à vidange par gravité.</w:t>
            </w:r>
            <w:r>
              <w:rPr>
                <w:szCs w:val="18"/>
              </w:rPr>
              <w:t> </w:t>
            </w:r>
          </w:p>
        </w:tc>
        <w:tc>
          <w:tcPr>
            <w:tcW w:w="1176" w:type="dxa"/>
            <w:tcBorders>
              <w:top w:val="single" w:sz="4" w:space="0" w:color="auto"/>
              <w:left w:val="single" w:sz="4" w:space="0" w:color="auto"/>
              <w:bottom w:val="single" w:sz="4" w:space="0" w:color="auto"/>
              <w:right w:val="single" w:sz="4" w:space="0" w:color="auto"/>
            </w:tcBorders>
            <w:hideMark/>
          </w:tcPr>
          <w:p w14:paraId="1FF0FEB0" w14:textId="77777777" w:rsidR="00AB524C" w:rsidRDefault="00AB524C">
            <w:pPr>
              <w:widowControl w:val="0"/>
              <w:spacing w:before="40" w:after="40"/>
              <w:ind w:left="57" w:right="57"/>
              <w:rPr>
                <w:lang w:val="fr-FR"/>
              </w:rPr>
            </w:pPr>
            <w:r>
              <w:rPr>
                <w:rFonts w:cs="Arial"/>
              </w:rPr>
              <w:t>6.8.2.2.1, 6.8.2.2.2 et 6.8.2.3.1</w:t>
            </w:r>
          </w:p>
        </w:tc>
        <w:tc>
          <w:tcPr>
            <w:tcW w:w="1267" w:type="dxa"/>
            <w:tcBorders>
              <w:top w:val="single" w:sz="4" w:space="0" w:color="auto"/>
              <w:left w:val="single" w:sz="4" w:space="0" w:color="auto"/>
              <w:bottom w:val="single" w:sz="4" w:space="0" w:color="auto"/>
              <w:right w:val="single" w:sz="4" w:space="0" w:color="auto"/>
            </w:tcBorders>
            <w:hideMark/>
          </w:tcPr>
          <w:p w14:paraId="7B6760FA" w14:textId="77777777" w:rsidR="00AB524C" w:rsidRDefault="00AB524C">
            <w:pPr>
              <w:widowControl w:val="0"/>
              <w:spacing w:before="40" w:after="40"/>
              <w:ind w:left="57" w:right="57"/>
              <w:rPr>
                <w:lang w:val="fr-FR"/>
              </w:rPr>
            </w:pPr>
            <w:r>
              <w:rPr>
                <w:rFonts w:cs="Arial"/>
                <w:bCs/>
              </w:rPr>
              <w:t>Jusqu’à nouvel ordre</w:t>
            </w:r>
          </w:p>
        </w:tc>
        <w:tc>
          <w:tcPr>
            <w:tcW w:w="452" w:type="dxa"/>
            <w:tcBorders>
              <w:top w:val="single" w:sz="4" w:space="0" w:color="auto"/>
              <w:left w:val="single" w:sz="4" w:space="0" w:color="auto"/>
              <w:bottom w:val="single" w:sz="4" w:space="0" w:color="auto"/>
              <w:right w:val="single" w:sz="4" w:space="0" w:color="auto"/>
            </w:tcBorders>
          </w:tcPr>
          <w:p w14:paraId="48005C1E" w14:textId="77777777" w:rsidR="00AB524C" w:rsidRDefault="00AB524C">
            <w:pPr>
              <w:widowControl w:val="0"/>
              <w:spacing w:before="40" w:after="40"/>
              <w:ind w:left="57" w:right="57"/>
              <w:rPr>
                <w:lang w:val="fr-FR"/>
              </w:rPr>
            </w:pPr>
          </w:p>
        </w:tc>
      </w:tr>
    </w:tbl>
    <w:p w14:paraId="74894F05" w14:textId="77777777" w:rsidR="00AB524C" w:rsidRDefault="00AB524C" w:rsidP="00AB524C">
      <w:pPr>
        <w:tabs>
          <w:tab w:val="left" w:pos="1701"/>
          <w:tab w:val="left" w:pos="2268"/>
          <w:tab w:val="left" w:pos="2835"/>
        </w:tabs>
        <w:spacing w:before="120" w:after="120"/>
        <w:ind w:left="2268" w:right="1134" w:hanging="1134"/>
        <w:jc w:val="both"/>
        <w:rPr>
          <w:lang w:val="fr-FR"/>
        </w:rPr>
      </w:pPr>
      <w:r>
        <w:rPr>
          <w:lang w:val="fr-FR"/>
        </w:rPr>
        <w:tab/>
        <w:t>]</w:t>
      </w:r>
    </w:p>
    <w:p w14:paraId="52A95665"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456449F7" w14:textId="77777777" w:rsidR="00AB524C" w:rsidRDefault="00AB524C" w:rsidP="00AB524C">
      <w:pPr>
        <w:spacing w:before="120" w:after="120"/>
        <w:ind w:left="2268" w:right="1134"/>
        <w:jc w:val="both"/>
        <w:rPr>
          <w:rFonts w:eastAsia="Calibri"/>
          <w:lang w:val="fr-FR" w:eastAsia="en-US"/>
        </w:rPr>
      </w:pPr>
      <w:r>
        <w:rPr>
          <w:rFonts w:eastAsia="Calibri"/>
          <w:lang w:val="fr-FR" w:eastAsia="en-US"/>
        </w:rPr>
        <w:t>Ajouter la nouvelle rubrique suivante à la fin du tableau :</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2"/>
        <w:gridCol w:w="4382"/>
        <w:gridCol w:w="1290"/>
        <w:gridCol w:w="968"/>
        <w:gridCol w:w="483"/>
      </w:tblGrid>
      <w:tr w:rsidR="00AB524C" w14:paraId="3585DF59" w14:textId="77777777" w:rsidTr="00AB524C">
        <w:tc>
          <w:tcPr>
            <w:tcW w:w="1382" w:type="dxa"/>
            <w:tcBorders>
              <w:top w:val="single" w:sz="4" w:space="0" w:color="auto"/>
              <w:left w:val="single" w:sz="4" w:space="0" w:color="auto"/>
              <w:bottom w:val="single" w:sz="4" w:space="0" w:color="auto"/>
              <w:right w:val="single" w:sz="4" w:space="0" w:color="auto"/>
            </w:tcBorders>
            <w:vAlign w:val="center"/>
            <w:hideMark/>
          </w:tcPr>
          <w:p w14:paraId="33766A70" w14:textId="58DEC59E" w:rsidR="00AB524C" w:rsidRDefault="00AB524C">
            <w:pPr>
              <w:widowControl w:val="0"/>
              <w:spacing w:before="60" w:after="60"/>
              <w:ind w:left="57" w:right="57"/>
              <w:rPr>
                <w:rFonts w:eastAsia="Calibri"/>
                <w:strike/>
                <w:lang w:val="fr-FR" w:eastAsia="en-US"/>
              </w:rPr>
            </w:pPr>
            <w:r>
              <w:rPr>
                <w:rFonts w:eastAsia="Calibri"/>
                <w:lang w:val="fr-FR" w:eastAsia="en-US"/>
              </w:rPr>
              <w:t xml:space="preserve">EN </w:t>
            </w:r>
            <w:proofErr w:type="gramStart"/>
            <w:r>
              <w:rPr>
                <w:rFonts w:eastAsia="Calibri"/>
                <w:lang w:val="fr-FR" w:eastAsia="en-US"/>
              </w:rPr>
              <w:t>13799:</w:t>
            </w:r>
            <w:proofErr w:type="gramEnd"/>
            <w:r>
              <w:rPr>
                <w:rFonts w:eastAsia="Calibri"/>
                <w:lang w:val="fr-FR" w:eastAsia="en-US"/>
              </w:rPr>
              <w:t>2022</w:t>
            </w:r>
          </w:p>
        </w:tc>
        <w:tc>
          <w:tcPr>
            <w:tcW w:w="4382" w:type="dxa"/>
            <w:tcBorders>
              <w:top w:val="single" w:sz="4" w:space="0" w:color="auto"/>
              <w:left w:val="single" w:sz="4" w:space="0" w:color="auto"/>
              <w:bottom w:val="single" w:sz="4" w:space="0" w:color="auto"/>
              <w:right w:val="single" w:sz="4" w:space="0" w:color="auto"/>
            </w:tcBorders>
            <w:hideMark/>
          </w:tcPr>
          <w:p w14:paraId="60DE1F21" w14:textId="77777777" w:rsidR="00AB524C" w:rsidRDefault="00AB524C">
            <w:pPr>
              <w:keepLines/>
              <w:widowControl w:val="0"/>
              <w:spacing w:before="60" w:after="60"/>
              <w:ind w:left="57" w:right="57"/>
              <w:rPr>
                <w:rFonts w:eastAsia="Calibri"/>
                <w:strike/>
                <w:lang w:val="fr-FR" w:eastAsia="en-US"/>
              </w:rPr>
            </w:pPr>
            <w:r>
              <w:rPr>
                <w:rFonts w:eastAsia="Calibri"/>
                <w:lang w:val="fr-FR" w:eastAsia="en-US"/>
              </w:rPr>
              <w:t>Équipements pour GPL et leurs accessoires − Jauges de niveau pour les réservoirs de gaz de pétrole liquéfié (GPL)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45D2A07" w14:textId="77777777" w:rsidR="00AB524C" w:rsidRDefault="00AB524C">
            <w:pPr>
              <w:widowControl w:val="0"/>
              <w:spacing w:before="60" w:after="60"/>
              <w:ind w:left="57" w:right="57"/>
              <w:rPr>
                <w:rFonts w:eastAsia="Calibri"/>
                <w:lang w:val="fr-FR" w:eastAsia="en-US"/>
              </w:rPr>
            </w:pPr>
            <w:r>
              <w:rPr>
                <w:rFonts w:eastAsia="Calibri"/>
                <w:lang w:val="fr-FR" w:eastAsia="en-US"/>
              </w:rPr>
              <w:t>6.8.2.2.1 et 6.8.2.2.11</w:t>
            </w:r>
          </w:p>
        </w:tc>
        <w:tc>
          <w:tcPr>
            <w:tcW w:w="968" w:type="dxa"/>
            <w:tcBorders>
              <w:top w:val="single" w:sz="4" w:space="0" w:color="auto"/>
              <w:left w:val="single" w:sz="4" w:space="0" w:color="auto"/>
              <w:bottom w:val="single" w:sz="4" w:space="0" w:color="auto"/>
              <w:right w:val="single" w:sz="4" w:space="0" w:color="auto"/>
            </w:tcBorders>
            <w:vAlign w:val="center"/>
            <w:hideMark/>
          </w:tcPr>
          <w:p w14:paraId="45221DBE" w14:textId="77777777" w:rsidR="00AB524C" w:rsidRDefault="00AB524C">
            <w:pPr>
              <w:widowControl w:val="0"/>
              <w:spacing w:before="60" w:after="60"/>
              <w:ind w:left="57" w:right="57"/>
              <w:rPr>
                <w:rFonts w:eastAsia="Calibri"/>
                <w:lang w:val="fr-FR" w:eastAsia="en-US"/>
              </w:rPr>
            </w:pPr>
            <w:r>
              <w:rPr>
                <w:rFonts w:eastAsia="Calibri"/>
                <w:lang w:val="fr-FR" w:eastAsia="en-US"/>
              </w:rPr>
              <w:t>Jusqu’à nouvel ordre</w:t>
            </w:r>
          </w:p>
        </w:tc>
        <w:tc>
          <w:tcPr>
            <w:tcW w:w="483" w:type="dxa"/>
            <w:tcBorders>
              <w:top w:val="single" w:sz="4" w:space="0" w:color="auto"/>
              <w:left w:val="single" w:sz="4" w:space="0" w:color="auto"/>
              <w:bottom w:val="single" w:sz="4" w:space="0" w:color="auto"/>
              <w:right w:val="single" w:sz="4" w:space="0" w:color="auto"/>
            </w:tcBorders>
            <w:vAlign w:val="center"/>
          </w:tcPr>
          <w:p w14:paraId="48DBDBA3" w14:textId="77777777" w:rsidR="00AB524C" w:rsidRDefault="00AB524C">
            <w:pPr>
              <w:widowControl w:val="0"/>
              <w:spacing w:before="60" w:after="60"/>
              <w:ind w:left="57" w:right="57"/>
              <w:rPr>
                <w:rFonts w:eastAsia="Calibri"/>
                <w:strike/>
                <w:lang w:val="fr-FR" w:eastAsia="en-US"/>
              </w:rPr>
            </w:pPr>
          </w:p>
        </w:tc>
      </w:tr>
    </w:tbl>
    <w:p w14:paraId="6BD618B8"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1F863318" w14:textId="77777777" w:rsidR="00AB524C" w:rsidRDefault="00AB524C" w:rsidP="00AB524C">
      <w:pPr>
        <w:spacing w:before="120" w:after="120"/>
        <w:ind w:left="3402" w:right="1134" w:hanging="2268"/>
        <w:jc w:val="both"/>
        <w:rPr>
          <w:rFonts w:eastAsia="Calibri"/>
          <w:lang w:val="fr-FR" w:eastAsia="en-US"/>
        </w:rPr>
      </w:pPr>
      <w:r>
        <w:rPr>
          <w:rFonts w:eastAsia="Calibri"/>
          <w:lang w:val="fr-FR" w:eastAsia="en-US"/>
        </w:rPr>
        <w:t>6.8.4 d), TT11</w:t>
      </w:r>
      <w:r>
        <w:rPr>
          <w:rFonts w:eastAsia="Calibri"/>
          <w:lang w:val="fr-FR" w:eastAsia="en-US"/>
        </w:rPr>
        <w:tab/>
        <w:t xml:space="preserve">Dans le premier paragraphe sous le tableau, remplacer « EN </w:t>
      </w:r>
      <w:proofErr w:type="gramStart"/>
      <w:r>
        <w:rPr>
          <w:rFonts w:eastAsia="Calibri"/>
          <w:lang w:val="fr-FR" w:eastAsia="en-US"/>
        </w:rPr>
        <w:t>14025:</w:t>
      </w:r>
      <w:proofErr w:type="gramEnd"/>
      <w:r>
        <w:rPr>
          <w:rFonts w:eastAsia="Calibri"/>
          <w:lang w:val="fr-FR" w:eastAsia="en-US"/>
        </w:rPr>
        <w:t>2018 » par « EN 14025:[2023] ».</w:t>
      </w:r>
    </w:p>
    <w:p w14:paraId="7A62E3C0" w14:textId="77777777" w:rsidR="00AB524C" w:rsidRDefault="00AB524C" w:rsidP="00AB524C">
      <w:pPr>
        <w:keepNext/>
        <w:spacing w:before="120" w:after="120"/>
        <w:ind w:left="1134" w:right="1134"/>
        <w:jc w:val="both"/>
        <w:rPr>
          <w:rFonts w:eastAsia="Calibri"/>
          <w:i/>
          <w:iCs/>
          <w:lang w:val="fr-FR" w:eastAsia="en-US"/>
        </w:rPr>
      </w:pPr>
      <w:r>
        <w:rPr>
          <w:rFonts w:eastAsia="Calibri"/>
          <w:i/>
          <w:iCs/>
          <w:lang w:val="fr-FR" w:eastAsia="en-US"/>
        </w:rPr>
        <w:t>(Document de référence : ECE/TRANS/WP.15/AC.1/166, Annexe, tel que repris dans le document informel INF.7)</w:t>
      </w:r>
    </w:p>
    <w:p w14:paraId="3EC83A41" w14:textId="77777777" w:rsidR="00AB524C" w:rsidRDefault="00AB524C" w:rsidP="00AB524C">
      <w:pPr>
        <w:pStyle w:val="H23G"/>
        <w:rPr>
          <w:lang w:val="fr-FR"/>
        </w:rPr>
      </w:pPr>
      <w:r>
        <w:rPr>
          <w:lang w:val="fr-FR"/>
        </w:rPr>
        <w:tab/>
      </w:r>
      <w:r>
        <w:rPr>
          <w:lang w:val="fr-FR"/>
        </w:rPr>
        <w:tab/>
        <w:t>Chapitre 9.1</w:t>
      </w:r>
    </w:p>
    <w:p w14:paraId="226FB30C" w14:textId="77777777" w:rsidR="00AB524C" w:rsidRDefault="00AB524C" w:rsidP="00AB524C">
      <w:pPr>
        <w:pStyle w:val="SingleTxtG"/>
        <w:ind w:left="2268" w:hanging="1134"/>
        <w:rPr>
          <w:lang w:val="fr-FR"/>
        </w:rPr>
      </w:pPr>
      <w:r>
        <w:rPr>
          <w:lang w:val="fr-FR"/>
        </w:rPr>
        <w:t>9.1.3.3</w:t>
      </w:r>
      <w:r>
        <w:rPr>
          <w:lang w:val="fr-FR"/>
        </w:rPr>
        <w:tab/>
      </w:r>
      <w:r>
        <w:rPr>
          <w:lang w:val="fr-FR"/>
        </w:rPr>
        <w:tab/>
        <w:t>À la fin du premier paragraphe, ajouter ce qui suit :</w:t>
      </w:r>
    </w:p>
    <w:p w14:paraId="32348843" w14:textId="77777777" w:rsidR="00AB524C" w:rsidRDefault="00AB524C" w:rsidP="00AB524C">
      <w:pPr>
        <w:pStyle w:val="SingleTxtG"/>
        <w:rPr>
          <w:bCs/>
          <w:lang w:val="fr-FR"/>
        </w:rPr>
      </w:pPr>
      <w:r>
        <w:rPr>
          <w:lang w:val="fr-FR"/>
        </w:rPr>
        <w:t xml:space="preserve">« Il peut comporter un élément de sûreté supplémentaire comme un hologramme, une </w:t>
      </w:r>
      <w:r>
        <w:rPr>
          <w:rFonts w:ascii="TimesNewRomanPSMT" w:hAnsi="TimesNewRomanPSMT" w:cs="TimesNewRomanPSMT"/>
          <w:lang w:val="fr-FR"/>
        </w:rPr>
        <w:t>impression UV, un motif guilloché</w:t>
      </w:r>
      <w:r>
        <w:rPr>
          <w:lang w:val="fr-FR"/>
        </w:rPr>
        <w:t xml:space="preserve"> ou un code-barre.</w:t>
      </w:r>
    </w:p>
    <w:p w14:paraId="245C2EF5" w14:textId="77777777" w:rsidR="00AB524C" w:rsidRDefault="00AB524C" w:rsidP="00AB524C">
      <w:pPr>
        <w:pStyle w:val="SingleTxtG"/>
        <w:rPr>
          <w:bCs/>
          <w:lang w:val="fr-FR"/>
        </w:rPr>
      </w:pPr>
      <w:r>
        <w:rPr>
          <w:lang w:val="fr-FR"/>
        </w:rPr>
        <w:t>Les Parties contractantes qui ont doté leur certificat d’agrément d’éléments de sûreté supplémentaires doivent fournir au secrétariat de la CEE-ONU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doit rendre cette information accessible au public sur son site internet. ».</w:t>
      </w:r>
    </w:p>
    <w:p w14:paraId="7F8244D1" w14:textId="77777777" w:rsidR="00AB524C" w:rsidRDefault="00AB524C" w:rsidP="00AB524C">
      <w:pPr>
        <w:pStyle w:val="SingleTxtG"/>
        <w:rPr>
          <w:lang w:val="fr-FR"/>
        </w:rPr>
      </w:pPr>
      <w:r>
        <w:rPr>
          <w:i/>
          <w:iCs/>
          <w:lang w:val="fr-FR"/>
        </w:rPr>
        <w:lastRenderedPageBreak/>
        <w:t>(Documents de référence :</w:t>
      </w:r>
      <w:r>
        <w:rPr>
          <w:lang w:val="fr-FR"/>
        </w:rPr>
        <w:t xml:space="preserve"> </w:t>
      </w:r>
      <w:r>
        <w:rPr>
          <w:i/>
          <w:iCs/>
          <w:lang w:val="fr-FR"/>
        </w:rPr>
        <w:t>ECE/TRANS/WP.15/2022/7, proposition 2 tel que modifié par le document informel INF.10) (Référence pour la traduction du deuxième paragraphe : ADR 2021, 8.2.2.8.6)</w:t>
      </w:r>
    </w:p>
    <w:p w14:paraId="439701A2" w14:textId="77777777" w:rsidR="00AB524C" w:rsidRDefault="00AB524C" w:rsidP="00AB524C">
      <w:pPr>
        <w:pStyle w:val="H23G"/>
        <w:rPr>
          <w:lang w:val="fr-FR"/>
        </w:rPr>
      </w:pPr>
      <w:r>
        <w:rPr>
          <w:lang w:val="fr-FR"/>
        </w:rPr>
        <w:tab/>
      </w:r>
      <w:r>
        <w:rPr>
          <w:lang w:val="fr-FR"/>
        </w:rPr>
        <w:tab/>
        <w:t>Chapitre 9.2</w:t>
      </w:r>
    </w:p>
    <w:p w14:paraId="1326797F" w14:textId="77777777" w:rsidR="00AB524C" w:rsidRDefault="00AB524C" w:rsidP="00AB524C">
      <w:pPr>
        <w:pStyle w:val="SingleTxtG"/>
        <w:ind w:left="2268" w:hanging="1134"/>
        <w:rPr>
          <w:lang w:val="fr-FR"/>
        </w:rPr>
      </w:pPr>
      <w:r>
        <w:rPr>
          <w:lang w:val="fr-FR"/>
        </w:rPr>
        <w:t>9.2.2.2.2</w:t>
      </w:r>
      <w:r>
        <w:rPr>
          <w:lang w:val="fr-FR"/>
        </w:rPr>
        <w:tab/>
        <w:t xml:space="preserve">Au troisième paragraphe, remplacer « ISO 19642-8, ISO 19642-9 ou ISO </w:t>
      </w:r>
      <w:proofErr w:type="gramStart"/>
      <w:r>
        <w:rPr>
          <w:lang w:val="fr-FR"/>
        </w:rPr>
        <w:t>19642:</w:t>
      </w:r>
      <w:proofErr w:type="gramEnd"/>
      <w:r>
        <w:rPr>
          <w:lang w:val="fr-FR"/>
        </w:rPr>
        <w:t>10:2019 » par « ISO 19642-8:2019, ISO 19642-9:2019 ou ISO 19642-10:2019 ».</w:t>
      </w:r>
    </w:p>
    <w:p w14:paraId="460FC837" w14:textId="77777777" w:rsidR="00AB524C" w:rsidRDefault="00AB524C" w:rsidP="00AB524C">
      <w:pPr>
        <w:pStyle w:val="SingleTxtG"/>
        <w:rPr>
          <w:lang w:val="fr-FR"/>
        </w:rPr>
      </w:pPr>
      <w:r>
        <w:rPr>
          <w:i/>
          <w:iCs/>
          <w:lang w:val="fr-FR"/>
        </w:rPr>
        <w:t>(Document de référence :</w:t>
      </w:r>
      <w:r>
        <w:rPr>
          <w:lang w:val="fr-FR"/>
        </w:rPr>
        <w:t xml:space="preserve"> </w:t>
      </w:r>
      <w:r>
        <w:rPr>
          <w:i/>
          <w:iCs/>
          <w:lang w:val="fr-FR"/>
        </w:rPr>
        <w:t>ECE/TRANS/WP.15/2022/8)</w:t>
      </w:r>
    </w:p>
    <w:p w14:paraId="6680BFF8" w14:textId="77777777" w:rsidR="00AB524C" w:rsidRDefault="00AB524C" w:rsidP="00AB524C">
      <w:pPr>
        <w:spacing w:before="240"/>
        <w:jc w:val="center"/>
        <w:rPr>
          <w:u w:val="single"/>
          <w:lang w:eastAsia="en-US"/>
        </w:rPr>
      </w:pPr>
      <w:r>
        <w:rPr>
          <w:u w:val="single"/>
          <w:lang w:eastAsia="en-US"/>
        </w:rPr>
        <w:tab/>
      </w:r>
      <w:r>
        <w:rPr>
          <w:u w:val="single"/>
          <w:lang w:eastAsia="en-US"/>
        </w:rPr>
        <w:tab/>
      </w:r>
      <w:r>
        <w:rPr>
          <w:u w:val="single"/>
          <w:lang w:eastAsia="en-US"/>
        </w:rPr>
        <w:tab/>
      </w:r>
    </w:p>
    <w:p w14:paraId="5344DFC6" w14:textId="77777777" w:rsidR="00C1626B" w:rsidRPr="009B0B2A" w:rsidRDefault="00C1626B" w:rsidP="00A41784"/>
    <w:sectPr w:rsidR="00C1626B" w:rsidRPr="009B0B2A" w:rsidSect="009B0B2A">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A5C9" w14:textId="77777777" w:rsidR="007449EC" w:rsidRDefault="007449EC" w:rsidP="00F95C08">
      <w:pPr>
        <w:spacing w:line="240" w:lineRule="auto"/>
      </w:pPr>
    </w:p>
  </w:endnote>
  <w:endnote w:type="continuationSeparator" w:id="0">
    <w:p w14:paraId="5EE51132" w14:textId="77777777" w:rsidR="007449EC" w:rsidRPr="00AC3823" w:rsidRDefault="007449EC" w:rsidP="00AC3823">
      <w:pPr>
        <w:pStyle w:val="Footer"/>
      </w:pPr>
    </w:p>
  </w:endnote>
  <w:endnote w:type="continuationNotice" w:id="1">
    <w:p w14:paraId="46B15479" w14:textId="77777777" w:rsidR="007449EC" w:rsidRDefault="007449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69D0" w14:textId="77777777" w:rsidR="009B0B2A" w:rsidRPr="009B0B2A" w:rsidRDefault="009B0B2A" w:rsidP="009B0B2A">
    <w:pPr>
      <w:pStyle w:val="Footer"/>
      <w:tabs>
        <w:tab w:val="right" w:pos="9638"/>
      </w:tabs>
      <w:rPr>
        <w:sz w:val="18"/>
      </w:rPr>
    </w:pPr>
    <w:r w:rsidRPr="009B0B2A">
      <w:rPr>
        <w:b/>
        <w:sz w:val="18"/>
      </w:rPr>
      <w:fldChar w:fldCharType="begin"/>
    </w:r>
    <w:r w:rsidRPr="009B0B2A">
      <w:rPr>
        <w:b/>
        <w:sz w:val="18"/>
      </w:rPr>
      <w:instrText xml:space="preserve"> PAGE  \* MERGEFORMAT </w:instrText>
    </w:r>
    <w:r w:rsidRPr="009B0B2A">
      <w:rPr>
        <w:b/>
        <w:sz w:val="18"/>
      </w:rPr>
      <w:fldChar w:fldCharType="separate"/>
    </w:r>
    <w:r w:rsidRPr="009B0B2A">
      <w:rPr>
        <w:b/>
        <w:noProof/>
        <w:sz w:val="18"/>
      </w:rPr>
      <w:t>2</w:t>
    </w:r>
    <w:r w:rsidRPr="009B0B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1D95" w14:textId="77777777" w:rsidR="009B0B2A" w:rsidRPr="009B0B2A" w:rsidRDefault="009B0B2A" w:rsidP="009B0B2A">
    <w:pPr>
      <w:pStyle w:val="Footer"/>
      <w:tabs>
        <w:tab w:val="right" w:pos="9638"/>
      </w:tabs>
      <w:rPr>
        <w:b/>
        <w:sz w:val="18"/>
      </w:rPr>
    </w:pPr>
    <w:r>
      <w:tab/>
    </w:r>
    <w:r w:rsidRPr="009B0B2A">
      <w:rPr>
        <w:b/>
        <w:sz w:val="18"/>
      </w:rPr>
      <w:fldChar w:fldCharType="begin"/>
    </w:r>
    <w:r w:rsidRPr="009B0B2A">
      <w:rPr>
        <w:b/>
        <w:sz w:val="18"/>
      </w:rPr>
      <w:instrText xml:space="preserve"> PAGE  \* MERGEFORMAT </w:instrText>
    </w:r>
    <w:r w:rsidRPr="009B0B2A">
      <w:rPr>
        <w:b/>
        <w:sz w:val="18"/>
      </w:rPr>
      <w:fldChar w:fldCharType="separate"/>
    </w:r>
    <w:r w:rsidRPr="009B0B2A">
      <w:rPr>
        <w:b/>
        <w:noProof/>
        <w:sz w:val="18"/>
      </w:rPr>
      <w:t>3</w:t>
    </w:r>
    <w:r w:rsidRPr="009B0B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626B" w14:textId="77777777" w:rsidR="000D3EE9" w:rsidRPr="009B0B2A"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7CDF48E2" wp14:editId="1CFC0868">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A139" w14:textId="77777777" w:rsidR="007449EC" w:rsidRPr="00AC3823" w:rsidRDefault="007449EC" w:rsidP="00AC3823">
      <w:pPr>
        <w:pStyle w:val="Footer"/>
        <w:tabs>
          <w:tab w:val="right" w:pos="2155"/>
        </w:tabs>
        <w:spacing w:after="80" w:line="240" w:lineRule="atLeast"/>
        <w:ind w:left="680"/>
        <w:rPr>
          <w:u w:val="single"/>
        </w:rPr>
      </w:pPr>
      <w:r>
        <w:rPr>
          <w:u w:val="single"/>
        </w:rPr>
        <w:tab/>
      </w:r>
    </w:p>
  </w:footnote>
  <w:footnote w:type="continuationSeparator" w:id="0">
    <w:p w14:paraId="6175D414" w14:textId="77777777" w:rsidR="007449EC" w:rsidRPr="00AC3823" w:rsidRDefault="007449EC" w:rsidP="00AC3823">
      <w:pPr>
        <w:pStyle w:val="Footer"/>
        <w:tabs>
          <w:tab w:val="right" w:pos="2155"/>
        </w:tabs>
        <w:spacing w:after="80" w:line="240" w:lineRule="atLeast"/>
        <w:ind w:left="680"/>
        <w:rPr>
          <w:u w:val="single"/>
        </w:rPr>
      </w:pPr>
      <w:r>
        <w:rPr>
          <w:u w:val="single"/>
        </w:rPr>
        <w:tab/>
      </w:r>
    </w:p>
  </w:footnote>
  <w:footnote w:type="continuationNotice" w:id="1">
    <w:p w14:paraId="7AF5F09F" w14:textId="77777777" w:rsidR="007449EC" w:rsidRPr="00AC3823" w:rsidRDefault="007449E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6FB7" w14:textId="09C041C8" w:rsidR="009B0B2A" w:rsidRPr="009B0B2A" w:rsidRDefault="00607487">
    <w:pPr>
      <w:pStyle w:val="Header"/>
    </w:pPr>
    <w:r>
      <w:fldChar w:fldCharType="begin"/>
    </w:r>
    <w:r>
      <w:instrText xml:space="preserve"> TITLE  \* MERGEFORMAT </w:instrText>
    </w:r>
    <w:r>
      <w:fldChar w:fldCharType="separate"/>
    </w:r>
    <w:r>
      <w:t>ECE/TRANS/WP.15/260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0680" w14:textId="664C8C0C" w:rsidR="009B0B2A" w:rsidRPr="009B0B2A" w:rsidRDefault="00607487" w:rsidP="009B0B2A">
    <w:pPr>
      <w:pStyle w:val="Header"/>
      <w:jc w:val="right"/>
    </w:pPr>
    <w:r>
      <w:fldChar w:fldCharType="begin"/>
    </w:r>
    <w:r>
      <w:instrText xml:space="preserve"> TITLE  \* MERGEFORMAT </w:instrText>
    </w:r>
    <w:r>
      <w:fldChar w:fldCharType="separate"/>
    </w:r>
    <w:r>
      <w:t>ECE/TRANS/WP.15/260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A97F7A"/>
    <w:multiLevelType w:val="hybridMultilevel"/>
    <w:tmpl w:val="48728F18"/>
    <w:lvl w:ilvl="0" w:tplc="036A5D3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89D32B9"/>
    <w:multiLevelType w:val="hybridMultilevel"/>
    <w:tmpl w:val="5AF27592"/>
    <w:lvl w:ilvl="0" w:tplc="7FCE86FE">
      <w:start w:val="1"/>
      <w:numFmt w:val="upperLetter"/>
      <w:lvlText w:val="%1."/>
      <w:lvlJc w:val="left"/>
      <w:pPr>
        <w:ind w:left="1504" w:hanging="36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2291A18"/>
    <w:multiLevelType w:val="hybridMultilevel"/>
    <w:tmpl w:val="CD0024D4"/>
    <w:lvl w:ilvl="0" w:tplc="DBDE80C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C0118DC"/>
    <w:multiLevelType w:val="hybridMultilevel"/>
    <w:tmpl w:val="BF40A942"/>
    <w:lvl w:ilvl="0" w:tplc="838E5F4E">
      <w:start w:val="1"/>
      <w:numFmt w:val="upperLetter"/>
      <w:lvlText w:val="%1."/>
      <w:lvlJc w:val="left"/>
      <w:pPr>
        <w:ind w:left="1504" w:hanging="36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num w:numId="1">
    <w:abstractNumId w:val="16"/>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9B0B2A"/>
    <w:rsid w:val="0001207F"/>
    <w:rsid w:val="00017F94"/>
    <w:rsid w:val="00023842"/>
    <w:rsid w:val="0003153E"/>
    <w:rsid w:val="000334F9"/>
    <w:rsid w:val="00036254"/>
    <w:rsid w:val="00036F28"/>
    <w:rsid w:val="0004639C"/>
    <w:rsid w:val="0005485C"/>
    <w:rsid w:val="00076227"/>
    <w:rsid w:val="0007796D"/>
    <w:rsid w:val="000942EE"/>
    <w:rsid w:val="000A52BF"/>
    <w:rsid w:val="000B7790"/>
    <w:rsid w:val="000D3EE9"/>
    <w:rsid w:val="000D62F3"/>
    <w:rsid w:val="00111201"/>
    <w:rsid w:val="00111F2F"/>
    <w:rsid w:val="001433FD"/>
    <w:rsid w:val="0014365E"/>
    <w:rsid w:val="0014599D"/>
    <w:rsid w:val="001541D3"/>
    <w:rsid w:val="00156B77"/>
    <w:rsid w:val="00176178"/>
    <w:rsid w:val="00177140"/>
    <w:rsid w:val="001B3021"/>
    <w:rsid w:val="001C1EBA"/>
    <w:rsid w:val="001D1FEC"/>
    <w:rsid w:val="001D400F"/>
    <w:rsid w:val="001F525A"/>
    <w:rsid w:val="00223272"/>
    <w:rsid w:val="002270E4"/>
    <w:rsid w:val="00232DC7"/>
    <w:rsid w:val="00232E23"/>
    <w:rsid w:val="00240333"/>
    <w:rsid w:val="00241740"/>
    <w:rsid w:val="0024779E"/>
    <w:rsid w:val="0024783E"/>
    <w:rsid w:val="002832AC"/>
    <w:rsid w:val="002D7C93"/>
    <w:rsid w:val="002F2F07"/>
    <w:rsid w:val="003061D5"/>
    <w:rsid w:val="00310B88"/>
    <w:rsid w:val="0037241C"/>
    <w:rsid w:val="003819FF"/>
    <w:rsid w:val="003C4C0C"/>
    <w:rsid w:val="003D54C0"/>
    <w:rsid w:val="00441C3B"/>
    <w:rsid w:val="00446B0A"/>
    <w:rsid w:val="00446FE5"/>
    <w:rsid w:val="00452396"/>
    <w:rsid w:val="00471288"/>
    <w:rsid w:val="0049687C"/>
    <w:rsid w:val="004D1EDB"/>
    <w:rsid w:val="004E468C"/>
    <w:rsid w:val="004E770F"/>
    <w:rsid w:val="00501F0A"/>
    <w:rsid w:val="00514F5E"/>
    <w:rsid w:val="005227EA"/>
    <w:rsid w:val="005316B0"/>
    <w:rsid w:val="005377FC"/>
    <w:rsid w:val="005505B7"/>
    <w:rsid w:val="00573BE5"/>
    <w:rsid w:val="00586ED3"/>
    <w:rsid w:val="00596A93"/>
    <w:rsid w:val="00596AA9"/>
    <w:rsid w:val="005B4D0F"/>
    <w:rsid w:val="005C2AD1"/>
    <w:rsid w:val="0060578D"/>
    <w:rsid w:val="00607487"/>
    <w:rsid w:val="00616971"/>
    <w:rsid w:val="006217A3"/>
    <w:rsid w:val="00630E4B"/>
    <w:rsid w:val="006316C6"/>
    <w:rsid w:val="0064147E"/>
    <w:rsid w:val="006914E7"/>
    <w:rsid w:val="00702AA8"/>
    <w:rsid w:val="00703D0F"/>
    <w:rsid w:val="00706363"/>
    <w:rsid w:val="007158BB"/>
    <w:rsid w:val="0071601D"/>
    <w:rsid w:val="007449EC"/>
    <w:rsid w:val="0075410D"/>
    <w:rsid w:val="007A62E6"/>
    <w:rsid w:val="007B3C5A"/>
    <w:rsid w:val="0080323E"/>
    <w:rsid w:val="0080684C"/>
    <w:rsid w:val="008204DA"/>
    <w:rsid w:val="008207DE"/>
    <w:rsid w:val="008322DA"/>
    <w:rsid w:val="00841C4C"/>
    <w:rsid w:val="008535AD"/>
    <w:rsid w:val="00871C75"/>
    <w:rsid w:val="008767E8"/>
    <w:rsid w:val="008776DC"/>
    <w:rsid w:val="00883605"/>
    <w:rsid w:val="008A4FE3"/>
    <w:rsid w:val="008C3A30"/>
    <w:rsid w:val="008E6043"/>
    <w:rsid w:val="00945720"/>
    <w:rsid w:val="00961E7B"/>
    <w:rsid w:val="009705C8"/>
    <w:rsid w:val="0099458F"/>
    <w:rsid w:val="009B0B2A"/>
    <w:rsid w:val="009C1CF4"/>
    <w:rsid w:val="009C3A81"/>
    <w:rsid w:val="009C4303"/>
    <w:rsid w:val="009D5F9E"/>
    <w:rsid w:val="009F02C9"/>
    <w:rsid w:val="00A30353"/>
    <w:rsid w:val="00A41784"/>
    <w:rsid w:val="00A62D91"/>
    <w:rsid w:val="00A65C81"/>
    <w:rsid w:val="00A90D54"/>
    <w:rsid w:val="00AA113A"/>
    <w:rsid w:val="00AB524C"/>
    <w:rsid w:val="00AC3823"/>
    <w:rsid w:val="00AD2AE1"/>
    <w:rsid w:val="00AE323C"/>
    <w:rsid w:val="00AF774C"/>
    <w:rsid w:val="00B00181"/>
    <w:rsid w:val="00B00B0D"/>
    <w:rsid w:val="00B03479"/>
    <w:rsid w:val="00B40927"/>
    <w:rsid w:val="00B50E25"/>
    <w:rsid w:val="00B64918"/>
    <w:rsid w:val="00B765F7"/>
    <w:rsid w:val="00B97F83"/>
    <w:rsid w:val="00BA0CA9"/>
    <w:rsid w:val="00BA2063"/>
    <w:rsid w:val="00BA64EB"/>
    <w:rsid w:val="00BB05B3"/>
    <w:rsid w:val="00BD43CA"/>
    <w:rsid w:val="00BF474A"/>
    <w:rsid w:val="00C02897"/>
    <w:rsid w:val="00C1626B"/>
    <w:rsid w:val="00C33BAA"/>
    <w:rsid w:val="00C66A47"/>
    <w:rsid w:val="00C7616F"/>
    <w:rsid w:val="00C7694B"/>
    <w:rsid w:val="00CB16B5"/>
    <w:rsid w:val="00CD4053"/>
    <w:rsid w:val="00CD5CDA"/>
    <w:rsid w:val="00CE0608"/>
    <w:rsid w:val="00CE303D"/>
    <w:rsid w:val="00CE6F1F"/>
    <w:rsid w:val="00CF3C5C"/>
    <w:rsid w:val="00CF722D"/>
    <w:rsid w:val="00D3439C"/>
    <w:rsid w:val="00D44CF3"/>
    <w:rsid w:val="00D46C8C"/>
    <w:rsid w:val="00D66076"/>
    <w:rsid w:val="00DB1831"/>
    <w:rsid w:val="00DD3BFD"/>
    <w:rsid w:val="00DE239D"/>
    <w:rsid w:val="00DF431C"/>
    <w:rsid w:val="00DF6678"/>
    <w:rsid w:val="00E428C8"/>
    <w:rsid w:val="00E9259F"/>
    <w:rsid w:val="00E94C52"/>
    <w:rsid w:val="00EA0F27"/>
    <w:rsid w:val="00EA198E"/>
    <w:rsid w:val="00EB51F3"/>
    <w:rsid w:val="00ED56DD"/>
    <w:rsid w:val="00EE7503"/>
    <w:rsid w:val="00EE763C"/>
    <w:rsid w:val="00EF2E22"/>
    <w:rsid w:val="00F0592C"/>
    <w:rsid w:val="00F06ED4"/>
    <w:rsid w:val="00F25E7E"/>
    <w:rsid w:val="00F43289"/>
    <w:rsid w:val="00F46C86"/>
    <w:rsid w:val="00F660DF"/>
    <w:rsid w:val="00F95C08"/>
    <w:rsid w:val="00FB18C6"/>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2C77"/>
  <w15:docId w15:val="{45313A70-1305-48D5-8F4E-87EE8C6C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CommentText">
    <w:name w:val="annotation text"/>
    <w:basedOn w:val="Normal"/>
    <w:link w:val="CommentTextChar"/>
    <w:uiPriority w:val="99"/>
    <w:semiHidden/>
    <w:unhideWhenUsed/>
    <w:rsid w:val="00AB524C"/>
    <w:pPr>
      <w:spacing w:line="240" w:lineRule="auto"/>
    </w:pPr>
  </w:style>
  <w:style w:type="character" w:customStyle="1" w:styleId="CommentTextChar">
    <w:name w:val="Comment Text Char"/>
    <w:basedOn w:val="DefaultParagraphFont"/>
    <w:link w:val="CommentText"/>
    <w:uiPriority w:val="99"/>
    <w:semiHidden/>
    <w:rsid w:val="00AB524C"/>
  </w:style>
  <w:style w:type="character" w:customStyle="1" w:styleId="H23GChar">
    <w:name w:val="_ H_2/3_G Char"/>
    <w:link w:val="H23G"/>
    <w:locked/>
    <w:rsid w:val="00AB524C"/>
    <w:rPr>
      <w:b/>
    </w:rPr>
  </w:style>
  <w:style w:type="paragraph" w:customStyle="1" w:styleId="ParaNoG">
    <w:name w:val="_ParaNo._G"/>
    <w:basedOn w:val="SingleTxtG"/>
    <w:rsid w:val="00AB524C"/>
    <w:pPr>
      <w:numPr>
        <w:numId w:val="15"/>
      </w:numPr>
      <w:tabs>
        <w:tab w:val="clear" w:pos="1494"/>
        <w:tab w:val="num" w:pos="360"/>
      </w:tabs>
      <w:kinsoku/>
      <w:overflowPunct/>
      <w:autoSpaceDE/>
      <w:autoSpaceDN/>
      <w:adjustRightInd/>
      <w:snapToGrid/>
    </w:pPr>
    <w:rPr>
      <w:lang w:val="en-GB" w:eastAsia="en-US"/>
    </w:rPr>
  </w:style>
  <w:style w:type="character" w:styleId="CommentReference">
    <w:name w:val="annotation reference"/>
    <w:basedOn w:val="DefaultParagraphFont"/>
    <w:uiPriority w:val="99"/>
    <w:semiHidden/>
    <w:unhideWhenUsed/>
    <w:rsid w:val="00AB524C"/>
    <w:rPr>
      <w:sz w:val="16"/>
      <w:szCs w:val="16"/>
    </w:rPr>
  </w:style>
  <w:style w:type="paragraph" w:styleId="Revision">
    <w:name w:val="Revision"/>
    <w:hidden/>
    <w:uiPriority w:val="99"/>
    <w:semiHidden/>
    <w:rsid w:val="00AB524C"/>
    <w:pPr>
      <w:spacing w:after="0" w:line="240" w:lineRule="auto"/>
    </w:pPr>
  </w:style>
  <w:style w:type="paragraph" w:styleId="ListParagraph">
    <w:name w:val="List Paragraph"/>
    <w:basedOn w:val="Normal"/>
    <w:uiPriority w:val="34"/>
    <w:semiHidden/>
    <w:qFormat/>
    <w:rsid w:val="00BB05B3"/>
    <w:pPr>
      <w:ind w:left="720"/>
      <w:contextualSpacing/>
    </w:pPr>
  </w:style>
  <w:style w:type="character" w:styleId="UnresolvedMention">
    <w:name w:val="Unresolved Mention"/>
    <w:basedOn w:val="DefaultParagraphFont"/>
    <w:uiPriority w:val="99"/>
    <w:semiHidden/>
    <w:unhideWhenUsed/>
    <w:rsid w:val="003D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302">
      <w:bodyDiv w:val="1"/>
      <w:marLeft w:val="0"/>
      <w:marRight w:val="0"/>
      <w:marTop w:val="0"/>
      <w:marBottom w:val="0"/>
      <w:divBdr>
        <w:top w:val="none" w:sz="0" w:space="0" w:color="auto"/>
        <w:left w:val="none" w:sz="0" w:space="0" w:color="auto"/>
        <w:bottom w:val="none" w:sz="0" w:space="0" w:color="auto"/>
        <w:right w:val="none" w:sz="0" w:space="0" w:color="auto"/>
      </w:divBdr>
    </w:div>
    <w:div w:id="932516686">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info/Transport/Dangerous-Goods/events/36468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nece.org/guidelines-telematics-application-standards-construction-and-approval-vehicles-calculation-risk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transport/dangerous-goods/country-information-competent-authorities-notifications" TargetMode="External"/><Relationship Id="rId5" Type="http://schemas.openxmlformats.org/officeDocument/2006/relationships/styles" Target="styles.xml"/><Relationship Id="rId15" Type="http://schemas.openxmlformats.org/officeDocument/2006/relationships/hyperlink" Target="https://learnitc.unece.org/"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ce.org/info/Transport/pub/257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C2B95-0B72-433E-91BF-AA026077ABAF}">
  <ds:schemaRefs>
    <ds:schemaRef ds:uri="http://purl.org/dc/elements/1.1/"/>
    <ds:schemaRef ds:uri="http://schemas.microsoft.com/office/2006/metadata/properties"/>
    <ds:schemaRef ds:uri="4b4a1c0d-4a69-4996-a84a-fc699b9f49de"/>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FE06C347-F7E5-4A91-B572-61D01C00A7DC}">
  <ds:schemaRefs>
    <ds:schemaRef ds:uri="http://schemas.microsoft.com/sharepoint/v3/contenttype/forms"/>
  </ds:schemaRefs>
</ds:datastoreItem>
</file>

<file path=customXml/itemProps3.xml><?xml version="1.0" encoding="utf-8"?>
<ds:datastoreItem xmlns:ds="http://schemas.openxmlformats.org/officeDocument/2006/customXml" ds:itemID="{655B06C9-2A52-4234-BCAB-762360C8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31</TotalTime>
  <Pages>14</Pages>
  <Words>5283</Words>
  <Characters>30119</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ECE/TRANS/WP.15/260</dc:title>
  <dc:subject>FINAL</dc:subject>
  <dc:creator>Sabrina Mansion</dc:creator>
  <cp:keywords/>
  <dc:description/>
  <cp:lastModifiedBy>Laurence Berthet</cp:lastModifiedBy>
  <cp:revision>18</cp:revision>
  <cp:lastPrinted>2022-11-25T10:02:00Z</cp:lastPrinted>
  <dcterms:created xsi:type="dcterms:W3CDTF">2022-11-22T10:11:00Z</dcterms:created>
  <dcterms:modified xsi:type="dcterms:W3CDTF">2022-11-25T10:02:00Z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