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47B5B" w14:textId="77777777" w:rsidTr="00B20551">
        <w:trPr>
          <w:cantSplit/>
          <w:trHeight w:hRule="exact" w:val="851"/>
        </w:trPr>
        <w:tc>
          <w:tcPr>
            <w:tcW w:w="1276" w:type="dxa"/>
            <w:tcBorders>
              <w:bottom w:val="single" w:sz="4" w:space="0" w:color="auto"/>
            </w:tcBorders>
            <w:vAlign w:val="bottom"/>
          </w:tcPr>
          <w:p w14:paraId="4C04126A" w14:textId="77777777" w:rsidR="009E6CB7" w:rsidRDefault="009E6CB7" w:rsidP="00B20551">
            <w:pPr>
              <w:spacing w:after="80"/>
            </w:pPr>
          </w:p>
        </w:tc>
        <w:tc>
          <w:tcPr>
            <w:tcW w:w="2268" w:type="dxa"/>
            <w:tcBorders>
              <w:bottom w:val="single" w:sz="4" w:space="0" w:color="auto"/>
            </w:tcBorders>
            <w:vAlign w:val="bottom"/>
          </w:tcPr>
          <w:p w14:paraId="53435B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0DB20D" w14:textId="0A93AE77" w:rsidR="009E6CB7" w:rsidRPr="00D47EEA" w:rsidRDefault="000E1980" w:rsidP="000E1980">
            <w:pPr>
              <w:jc w:val="right"/>
            </w:pPr>
            <w:r w:rsidRPr="000E1980">
              <w:rPr>
                <w:sz w:val="40"/>
              </w:rPr>
              <w:t>ECE</w:t>
            </w:r>
            <w:r>
              <w:t>/TRANS/WP.15/260</w:t>
            </w:r>
          </w:p>
        </w:tc>
      </w:tr>
      <w:tr w:rsidR="009E6CB7" w14:paraId="1752E1E1" w14:textId="77777777" w:rsidTr="00B20551">
        <w:trPr>
          <w:cantSplit/>
          <w:trHeight w:hRule="exact" w:val="2835"/>
        </w:trPr>
        <w:tc>
          <w:tcPr>
            <w:tcW w:w="1276" w:type="dxa"/>
            <w:tcBorders>
              <w:top w:val="single" w:sz="4" w:space="0" w:color="auto"/>
              <w:bottom w:val="single" w:sz="12" w:space="0" w:color="auto"/>
            </w:tcBorders>
          </w:tcPr>
          <w:p w14:paraId="41AD3BB5" w14:textId="77777777" w:rsidR="009E6CB7" w:rsidRDefault="00686A48" w:rsidP="00B20551">
            <w:pPr>
              <w:spacing w:before="120"/>
            </w:pPr>
            <w:r>
              <w:rPr>
                <w:noProof/>
                <w:lang w:val="fr-CH" w:eastAsia="fr-CH"/>
              </w:rPr>
              <w:drawing>
                <wp:inline distT="0" distB="0" distL="0" distR="0" wp14:anchorId="3F87A632" wp14:editId="51FF92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D86CF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1430F6B" w14:textId="77777777" w:rsidR="009E6CB7" w:rsidRDefault="000E1980" w:rsidP="000E1980">
            <w:pPr>
              <w:spacing w:before="240" w:line="240" w:lineRule="exact"/>
            </w:pPr>
            <w:r>
              <w:t>Distr.: General</w:t>
            </w:r>
          </w:p>
          <w:p w14:paraId="0FD3DE3B" w14:textId="5F017AC9" w:rsidR="000E1980" w:rsidRDefault="007E796F" w:rsidP="000E1980">
            <w:pPr>
              <w:spacing w:line="240" w:lineRule="exact"/>
            </w:pPr>
            <w:r>
              <w:t>2</w:t>
            </w:r>
            <w:r w:rsidR="000E1980">
              <w:t>5 November 2022</w:t>
            </w:r>
          </w:p>
          <w:p w14:paraId="1EEF0A1F" w14:textId="61ADAC56" w:rsidR="000E1980" w:rsidRDefault="000E1980" w:rsidP="000E1980">
            <w:pPr>
              <w:spacing w:line="240" w:lineRule="exact"/>
            </w:pPr>
            <w:r>
              <w:t>English</w:t>
            </w:r>
          </w:p>
          <w:p w14:paraId="62D81963" w14:textId="02FCD134" w:rsidR="000E1980" w:rsidRDefault="000E1980" w:rsidP="000E1980">
            <w:pPr>
              <w:spacing w:line="240" w:lineRule="exact"/>
            </w:pPr>
            <w:r>
              <w:t>Original: English and French</w:t>
            </w:r>
          </w:p>
        </w:tc>
      </w:tr>
    </w:tbl>
    <w:p w14:paraId="0F00CC8A" w14:textId="77777777" w:rsidR="00375187" w:rsidRPr="00375187" w:rsidRDefault="00375187" w:rsidP="00375187">
      <w:pPr>
        <w:spacing w:before="120"/>
        <w:rPr>
          <w:b/>
          <w:sz w:val="28"/>
          <w:szCs w:val="28"/>
          <w:lang w:eastAsia="en-US"/>
        </w:rPr>
      </w:pPr>
      <w:r w:rsidRPr="00375187">
        <w:rPr>
          <w:b/>
          <w:sz w:val="28"/>
          <w:szCs w:val="28"/>
          <w:lang w:eastAsia="en-US"/>
        </w:rPr>
        <w:t>Economic Commission for Europe</w:t>
      </w:r>
    </w:p>
    <w:p w14:paraId="2CB385A1" w14:textId="77777777" w:rsidR="00375187" w:rsidRPr="00375187" w:rsidRDefault="00375187" w:rsidP="00375187">
      <w:pPr>
        <w:spacing w:before="120"/>
        <w:rPr>
          <w:sz w:val="28"/>
          <w:szCs w:val="28"/>
          <w:lang w:eastAsia="en-US"/>
        </w:rPr>
      </w:pPr>
      <w:r w:rsidRPr="00375187">
        <w:rPr>
          <w:sz w:val="28"/>
          <w:szCs w:val="28"/>
          <w:lang w:eastAsia="en-US"/>
        </w:rPr>
        <w:t>Inland Transport Committee</w:t>
      </w:r>
    </w:p>
    <w:p w14:paraId="7E1A2D81" w14:textId="77777777" w:rsidR="00375187" w:rsidRPr="00375187" w:rsidRDefault="00375187" w:rsidP="00375187">
      <w:pPr>
        <w:spacing w:before="120"/>
        <w:rPr>
          <w:b/>
          <w:sz w:val="24"/>
          <w:szCs w:val="24"/>
          <w:lang w:eastAsia="en-US"/>
        </w:rPr>
      </w:pPr>
      <w:r w:rsidRPr="00375187">
        <w:rPr>
          <w:b/>
          <w:sz w:val="24"/>
          <w:szCs w:val="24"/>
          <w:lang w:eastAsia="en-US"/>
        </w:rPr>
        <w:t>Working Party on the Transport of Dangerous Goods</w:t>
      </w:r>
    </w:p>
    <w:p w14:paraId="4D509AA9" w14:textId="7A8941B9" w:rsidR="00375187" w:rsidRPr="00375187" w:rsidRDefault="00375187" w:rsidP="00375187">
      <w:pPr>
        <w:spacing w:before="120"/>
        <w:rPr>
          <w:rFonts w:eastAsia="SimSun"/>
          <w:b/>
          <w:lang w:eastAsia="en-US"/>
        </w:rPr>
      </w:pPr>
      <w:r w:rsidRPr="00375187">
        <w:rPr>
          <w:b/>
          <w:bCs/>
          <w:lang w:eastAsia="en-US"/>
        </w:rPr>
        <w:t>11</w:t>
      </w:r>
      <w:r>
        <w:rPr>
          <w:b/>
          <w:bCs/>
          <w:lang w:eastAsia="en-US"/>
        </w:rPr>
        <w:t>2</w:t>
      </w:r>
      <w:r w:rsidRPr="00375187">
        <w:rPr>
          <w:b/>
          <w:bCs/>
          <w:lang w:eastAsia="en-US"/>
        </w:rPr>
        <w:t>th session</w:t>
      </w:r>
    </w:p>
    <w:p w14:paraId="284A1558" w14:textId="2A918D45" w:rsidR="00375187" w:rsidRPr="00375187" w:rsidRDefault="00375187" w:rsidP="00375187">
      <w:pPr>
        <w:spacing w:line="240" w:lineRule="auto"/>
        <w:rPr>
          <w:rFonts w:eastAsia="SimSun"/>
          <w:b/>
          <w:lang w:eastAsia="en-US"/>
        </w:rPr>
      </w:pPr>
      <w:r w:rsidRPr="00375187">
        <w:rPr>
          <w:lang w:eastAsia="en-US"/>
        </w:rPr>
        <w:t xml:space="preserve">Geneva, </w:t>
      </w:r>
      <w:r>
        <w:rPr>
          <w:lang w:eastAsia="en-US"/>
        </w:rPr>
        <w:t>8</w:t>
      </w:r>
      <w:r w:rsidRPr="00375187">
        <w:rPr>
          <w:lang w:eastAsia="en-US"/>
        </w:rPr>
        <w:t>–1</w:t>
      </w:r>
      <w:r>
        <w:rPr>
          <w:lang w:eastAsia="en-US"/>
        </w:rPr>
        <w:t>1</w:t>
      </w:r>
      <w:r w:rsidRPr="00375187">
        <w:rPr>
          <w:lang w:eastAsia="en-US"/>
        </w:rPr>
        <w:t xml:space="preserve"> </w:t>
      </w:r>
      <w:r>
        <w:rPr>
          <w:lang w:eastAsia="en-US"/>
        </w:rPr>
        <w:t>November</w:t>
      </w:r>
      <w:r w:rsidRPr="00375187">
        <w:rPr>
          <w:lang w:eastAsia="en-US"/>
        </w:rPr>
        <w:t xml:space="preserve"> 2022</w:t>
      </w:r>
    </w:p>
    <w:p w14:paraId="3D21A38A" w14:textId="38A9C9C1" w:rsidR="00375187" w:rsidRPr="00375187" w:rsidRDefault="00375187" w:rsidP="00375187">
      <w:pPr>
        <w:keepNext/>
        <w:keepLines/>
        <w:tabs>
          <w:tab w:val="right" w:pos="851"/>
        </w:tabs>
        <w:spacing w:before="360" w:after="240" w:line="300" w:lineRule="exact"/>
        <w:ind w:left="1134" w:right="1134" w:hanging="1134"/>
        <w:rPr>
          <w:b/>
          <w:sz w:val="28"/>
          <w:lang w:eastAsia="en-US"/>
        </w:rPr>
      </w:pPr>
      <w:r w:rsidRPr="00375187">
        <w:rPr>
          <w:b/>
          <w:sz w:val="28"/>
          <w:lang w:eastAsia="en-US"/>
        </w:rPr>
        <w:tab/>
      </w:r>
      <w:r w:rsidRPr="00375187">
        <w:rPr>
          <w:b/>
          <w:sz w:val="28"/>
          <w:lang w:eastAsia="en-US"/>
        </w:rPr>
        <w:tab/>
      </w:r>
      <w:bookmarkStart w:id="0" w:name="_Toc26263904"/>
      <w:r w:rsidRPr="00375187">
        <w:rPr>
          <w:b/>
          <w:sz w:val="28"/>
          <w:lang w:eastAsia="en-US"/>
        </w:rPr>
        <w:t>Report of the Working Party on its 11</w:t>
      </w:r>
      <w:r>
        <w:rPr>
          <w:b/>
          <w:sz w:val="28"/>
          <w:lang w:eastAsia="en-US"/>
        </w:rPr>
        <w:t>2</w:t>
      </w:r>
      <w:r w:rsidRPr="00375187">
        <w:rPr>
          <w:b/>
          <w:sz w:val="28"/>
          <w:lang w:eastAsia="en-US"/>
        </w:rPr>
        <w:t>th session</w:t>
      </w:r>
      <w:bookmarkStart w:id="1" w:name="_Toc499903628"/>
      <w:bookmarkEnd w:id="0"/>
      <w:bookmarkEnd w:id="1"/>
    </w:p>
    <w:p w14:paraId="4E8BC56A" w14:textId="5C09CB3F" w:rsidR="00375187" w:rsidRPr="00375187" w:rsidRDefault="00375187" w:rsidP="00375187">
      <w:pPr>
        <w:keepNext/>
        <w:keepLines/>
        <w:tabs>
          <w:tab w:val="right" w:pos="851"/>
        </w:tabs>
        <w:spacing w:before="240" w:after="120" w:line="240" w:lineRule="exact"/>
        <w:ind w:left="1134" w:right="1134" w:hanging="1134"/>
        <w:rPr>
          <w:lang w:eastAsia="en-US"/>
        </w:rPr>
      </w:pPr>
      <w:r w:rsidRPr="00375187">
        <w:rPr>
          <w:lang w:eastAsia="en-US"/>
        </w:rPr>
        <w:tab/>
      </w:r>
      <w:r w:rsidRPr="00375187">
        <w:rPr>
          <w:lang w:eastAsia="en-US"/>
        </w:rPr>
        <w:tab/>
        <w:t xml:space="preserve">Held in Geneva from </w:t>
      </w:r>
      <w:r>
        <w:rPr>
          <w:lang w:eastAsia="en-US"/>
        </w:rPr>
        <w:t>8</w:t>
      </w:r>
      <w:r w:rsidRPr="00375187">
        <w:rPr>
          <w:lang w:eastAsia="en-US"/>
        </w:rPr>
        <w:t xml:space="preserve"> to 1</w:t>
      </w:r>
      <w:r>
        <w:rPr>
          <w:lang w:eastAsia="en-US"/>
        </w:rPr>
        <w:t>1</w:t>
      </w:r>
      <w:r w:rsidRPr="00375187">
        <w:rPr>
          <w:lang w:eastAsia="en-US"/>
        </w:rPr>
        <w:t xml:space="preserve"> </w:t>
      </w:r>
      <w:r>
        <w:rPr>
          <w:lang w:eastAsia="en-US"/>
        </w:rPr>
        <w:t>November</w:t>
      </w:r>
      <w:r w:rsidRPr="00375187">
        <w:rPr>
          <w:lang w:eastAsia="en-US"/>
        </w:rPr>
        <w:t xml:space="preserve"> 2022</w:t>
      </w:r>
    </w:p>
    <w:p w14:paraId="63215D01" w14:textId="77777777" w:rsidR="00375187" w:rsidRPr="00375187" w:rsidRDefault="00375187" w:rsidP="00375187">
      <w:pPr>
        <w:spacing w:after="120"/>
        <w:rPr>
          <w:sz w:val="28"/>
          <w:lang w:eastAsia="en-US"/>
        </w:rPr>
      </w:pPr>
      <w:r w:rsidRPr="00375187">
        <w:rPr>
          <w:sz w:val="28"/>
          <w:lang w:eastAsia="en-US"/>
        </w:rPr>
        <w:t>Contents</w:t>
      </w:r>
    </w:p>
    <w:p w14:paraId="483A52BB" w14:textId="77777777" w:rsidR="004815E0" w:rsidRDefault="004815E0" w:rsidP="004815E0">
      <w:pPr>
        <w:tabs>
          <w:tab w:val="right" w:pos="8929"/>
          <w:tab w:val="right" w:pos="9638"/>
        </w:tabs>
        <w:spacing w:after="120"/>
        <w:ind w:left="283"/>
      </w:pPr>
      <w:r>
        <w:rPr>
          <w:i/>
          <w:sz w:val="18"/>
        </w:rPr>
        <w:tab/>
        <w:t>Paragraphs</w:t>
      </w:r>
      <w:r>
        <w:rPr>
          <w:i/>
          <w:sz w:val="18"/>
        </w:rPr>
        <w:tab/>
        <w:t>Page</w:t>
      </w:r>
    </w:p>
    <w:p w14:paraId="00849A7E" w14:textId="6577EAE5"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tab/>
      </w:r>
      <w:r w:rsidRPr="003F5190">
        <w:t>I.</w:t>
      </w:r>
      <w:r w:rsidRPr="003F5190">
        <w:tab/>
        <w:t>Organizational matters and attendance</w:t>
      </w:r>
      <w:r w:rsidRPr="003F5190">
        <w:rPr>
          <w:webHidden/>
        </w:rPr>
        <w:tab/>
      </w:r>
      <w:r w:rsidRPr="003F5190">
        <w:rPr>
          <w:webHidden/>
        </w:rPr>
        <w:tab/>
      </w:r>
      <w:r w:rsidR="00132505">
        <w:rPr>
          <w:webHidden/>
        </w:rPr>
        <w:t>1</w:t>
      </w:r>
      <w:r w:rsidR="004324D7">
        <w:rPr>
          <w:webHidden/>
        </w:rPr>
        <w:t>-8</w:t>
      </w:r>
      <w:r w:rsidR="00132505">
        <w:rPr>
          <w:webHidden/>
        </w:rPr>
        <w:tab/>
        <w:t>3</w:t>
      </w:r>
    </w:p>
    <w:p w14:paraId="7A277CFB" w14:textId="6E006763"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r>
      <w:r w:rsidRPr="003F5190">
        <w:tab/>
        <w:t>A.</w:t>
      </w:r>
      <w:r w:rsidRPr="003F5190">
        <w:tab/>
        <w:t>Organizational matters</w:t>
      </w:r>
      <w:r w:rsidRPr="003F5190">
        <w:rPr>
          <w:webHidden/>
        </w:rPr>
        <w:tab/>
      </w:r>
      <w:r w:rsidRPr="003F5190">
        <w:rPr>
          <w:webHidden/>
        </w:rPr>
        <w:tab/>
      </w:r>
      <w:r w:rsidR="00A068AA">
        <w:rPr>
          <w:webHidden/>
        </w:rPr>
        <w:t>2-3</w:t>
      </w:r>
      <w:r w:rsidR="00A068AA">
        <w:rPr>
          <w:webHidden/>
        </w:rPr>
        <w:tab/>
        <w:t>3</w:t>
      </w:r>
    </w:p>
    <w:p w14:paraId="57F2A5A4" w14:textId="0F07A91E"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r>
      <w:r w:rsidRPr="003F5190">
        <w:tab/>
        <w:t>B.</w:t>
      </w:r>
      <w:r w:rsidRPr="003F5190">
        <w:tab/>
        <w:t>Attendance</w:t>
      </w:r>
      <w:r w:rsidRPr="003F5190">
        <w:rPr>
          <w:webHidden/>
        </w:rPr>
        <w:tab/>
      </w:r>
      <w:r w:rsidRPr="003F5190">
        <w:rPr>
          <w:webHidden/>
        </w:rPr>
        <w:tab/>
      </w:r>
      <w:r w:rsidR="00A068AA">
        <w:rPr>
          <w:webHidden/>
        </w:rPr>
        <w:t>4-8</w:t>
      </w:r>
      <w:r w:rsidR="00A068AA">
        <w:rPr>
          <w:webHidden/>
        </w:rPr>
        <w:tab/>
        <w:t>3</w:t>
      </w:r>
    </w:p>
    <w:p w14:paraId="12C95EB8" w14:textId="5DA483B2"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t>II.</w:t>
      </w:r>
      <w:r w:rsidRPr="003F5190">
        <w:tab/>
        <w:t>Adoption of the agenda (agenda item 1)</w:t>
      </w:r>
      <w:r w:rsidRPr="003F5190">
        <w:rPr>
          <w:webHidden/>
        </w:rPr>
        <w:tab/>
      </w:r>
      <w:r w:rsidR="007057F9">
        <w:rPr>
          <w:webHidden/>
        </w:rPr>
        <w:tab/>
      </w:r>
      <w:r w:rsidR="00A068AA">
        <w:rPr>
          <w:webHidden/>
        </w:rPr>
        <w:t>9</w:t>
      </w:r>
      <w:r w:rsidR="00A068AA">
        <w:rPr>
          <w:webHidden/>
        </w:rPr>
        <w:tab/>
        <w:t>3</w:t>
      </w:r>
    </w:p>
    <w:p w14:paraId="52438006" w14:textId="74E8227B" w:rsidR="004815E0" w:rsidRPr="007057F9" w:rsidRDefault="004815E0" w:rsidP="004815E0">
      <w:pPr>
        <w:tabs>
          <w:tab w:val="right" w:pos="850"/>
          <w:tab w:val="left" w:pos="1134"/>
          <w:tab w:val="left" w:pos="1559"/>
          <w:tab w:val="left" w:pos="1984"/>
          <w:tab w:val="left" w:leader="dot" w:pos="7654"/>
          <w:tab w:val="right" w:pos="8929"/>
          <w:tab w:val="right" w:pos="9638"/>
        </w:tabs>
        <w:spacing w:after="120"/>
      </w:pPr>
      <w:r w:rsidRPr="007057F9">
        <w:tab/>
        <w:t>III.</w:t>
      </w:r>
      <w:r w:rsidRPr="007057F9">
        <w:tab/>
      </w:r>
      <w:r w:rsidR="007057F9" w:rsidRPr="007057F9">
        <w:rPr>
          <w:lang w:eastAsia="en-US"/>
        </w:rPr>
        <w:t>Eighty-fourth session of the Inland Transport Committee (ITC) (agenda item 2)</w:t>
      </w:r>
      <w:r w:rsidRPr="007057F9">
        <w:rPr>
          <w:webHidden/>
        </w:rPr>
        <w:tab/>
      </w:r>
      <w:r w:rsidRPr="007057F9">
        <w:rPr>
          <w:webHidden/>
        </w:rPr>
        <w:tab/>
      </w:r>
      <w:r w:rsidR="00A068AA">
        <w:rPr>
          <w:webHidden/>
        </w:rPr>
        <w:t>10</w:t>
      </w:r>
      <w:r w:rsidR="001B2DB1">
        <w:rPr>
          <w:webHidden/>
        </w:rPr>
        <w:tab/>
        <w:t>4</w:t>
      </w:r>
    </w:p>
    <w:p w14:paraId="02935574" w14:textId="52BDE2F1"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t>IV.</w:t>
      </w:r>
      <w:r w:rsidRPr="003F5190">
        <w:tab/>
      </w:r>
      <w:r w:rsidR="007057F9" w:rsidRPr="007057F9">
        <w:rPr>
          <w:bCs/>
          <w:lang w:eastAsia="en-US"/>
        </w:rPr>
        <w:t xml:space="preserve">Status of the Agreement concerning the International Carriage of Dangerous Goods </w:t>
      </w:r>
      <w:r w:rsidR="006A1733">
        <w:rPr>
          <w:bCs/>
          <w:lang w:eastAsia="en-US"/>
        </w:rPr>
        <w:br/>
      </w:r>
      <w:r w:rsidR="006A1733">
        <w:rPr>
          <w:bCs/>
          <w:lang w:eastAsia="en-US"/>
        </w:rPr>
        <w:tab/>
      </w:r>
      <w:r w:rsidR="006A1733">
        <w:rPr>
          <w:bCs/>
          <w:lang w:eastAsia="en-US"/>
        </w:rPr>
        <w:tab/>
      </w:r>
      <w:r w:rsidR="007057F9" w:rsidRPr="007057F9">
        <w:rPr>
          <w:bCs/>
          <w:lang w:eastAsia="en-US"/>
        </w:rPr>
        <w:t>by Road (ADR) and related issues (agenda item 3)</w:t>
      </w:r>
      <w:r w:rsidRPr="003F5190">
        <w:rPr>
          <w:webHidden/>
        </w:rPr>
        <w:tab/>
      </w:r>
      <w:r w:rsidRPr="003F5190">
        <w:rPr>
          <w:webHidden/>
        </w:rPr>
        <w:tab/>
      </w:r>
      <w:r w:rsidR="001B2DB1">
        <w:rPr>
          <w:webHidden/>
        </w:rPr>
        <w:t>11-18</w:t>
      </w:r>
      <w:r w:rsidR="001B2DB1">
        <w:rPr>
          <w:webHidden/>
        </w:rPr>
        <w:tab/>
        <w:t>4</w:t>
      </w:r>
    </w:p>
    <w:p w14:paraId="6941EC80" w14:textId="36BE1B24"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r>
      <w:r w:rsidRPr="003F5190">
        <w:tab/>
        <w:t>A.</w:t>
      </w:r>
      <w:r w:rsidRPr="003F5190">
        <w:tab/>
        <w:t>Status of the Agreement</w:t>
      </w:r>
      <w:r w:rsidRPr="003F5190">
        <w:rPr>
          <w:webHidden/>
        </w:rPr>
        <w:tab/>
      </w:r>
      <w:r w:rsidRPr="003F5190">
        <w:rPr>
          <w:webHidden/>
        </w:rPr>
        <w:tab/>
      </w:r>
      <w:r w:rsidR="001B2DB1">
        <w:rPr>
          <w:webHidden/>
        </w:rPr>
        <w:t>11-17</w:t>
      </w:r>
      <w:r w:rsidR="001B2DB1">
        <w:rPr>
          <w:webHidden/>
        </w:rPr>
        <w:tab/>
        <w:t>4</w:t>
      </w:r>
    </w:p>
    <w:p w14:paraId="211ACE89" w14:textId="0ABCAA22" w:rsidR="004815E0" w:rsidRPr="003F5190" w:rsidRDefault="004815E0" w:rsidP="004815E0">
      <w:pPr>
        <w:tabs>
          <w:tab w:val="right" w:pos="850"/>
          <w:tab w:val="left" w:pos="1134"/>
          <w:tab w:val="left" w:pos="1559"/>
          <w:tab w:val="left" w:pos="1984"/>
          <w:tab w:val="left" w:leader="dot" w:pos="7654"/>
          <w:tab w:val="right" w:pos="8929"/>
          <w:tab w:val="right" w:pos="9638"/>
        </w:tabs>
        <w:spacing w:after="120"/>
      </w:pPr>
      <w:r w:rsidRPr="003F5190">
        <w:tab/>
      </w:r>
      <w:r w:rsidRPr="003F5190">
        <w:tab/>
        <w:t>B.</w:t>
      </w:r>
      <w:r w:rsidRPr="003F5190">
        <w:tab/>
        <w:t>Protocol of amendment of 1993</w:t>
      </w:r>
      <w:r w:rsidRPr="003F5190">
        <w:rPr>
          <w:webHidden/>
        </w:rPr>
        <w:tab/>
      </w:r>
      <w:r w:rsidRPr="003F5190">
        <w:rPr>
          <w:webHidden/>
        </w:rPr>
        <w:tab/>
      </w:r>
      <w:r w:rsidR="001B2DB1">
        <w:rPr>
          <w:webHidden/>
        </w:rPr>
        <w:t>18</w:t>
      </w:r>
      <w:r w:rsidR="001B2DB1">
        <w:rPr>
          <w:webHidden/>
        </w:rPr>
        <w:tab/>
        <w:t>4</w:t>
      </w:r>
    </w:p>
    <w:p w14:paraId="1C7214B2" w14:textId="513E4C1C" w:rsidR="004815E0" w:rsidRDefault="004815E0" w:rsidP="004815E0">
      <w:pPr>
        <w:tabs>
          <w:tab w:val="right" w:pos="850"/>
          <w:tab w:val="left" w:pos="1134"/>
          <w:tab w:val="left" w:pos="1559"/>
          <w:tab w:val="left" w:pos="1984"/>
          <w:tab w:val="left" w:leader="dot" w:pos="7654"/>
          <w:tab w:val="right" w:pos="8929"/>
          <w:tab w:val="right" w:pos="9638"/>
        </w:tabs>
        <w:spacing w:after="120"/>
        <w:rPr>
          <w:webHidden/>
        </w:rPr>
      </w:pPr>
      <w:r w:rsidRPr="003F5190">
        <w:tab/>
        <w:t>V.</w:t>
      </w:r>
      <w:r w:rsidRPr="003F5190">
        <w:tab/>
        <w:t>Work of the RID/ADR/ADN Joint Meeting (agenda item 4)</w:t>
      </w:r>
      <w:r w:rsidRPr="003F5190">
        <w:rPr>
          <w:webHidden/>
        </w:rPr>
        <w:tab/>
      </w:r>
      <w:r w:rsidRPr="003F5190">
        <w:rPr>
          <w:webHidden/>
        </w:rPr>
        <w:tab/>
      </w:r>
      <w:r w:rsidR="009A5488">
        <w:rPr>
          <w:webHidden/>
        </w:rPr>
        <w:t>19</w:t>
      </w:r>
      <w:r w:rsidR="009A5488">
        <w:rPr>
          <w:webHidden/>
        </w:rPr>
        <w:tab/>
        <w:t>5</w:t>
      </w:r>
    </w:p>
    <w:p w14:paraId="39E049C2" w14:textId="15AA7F93" w:rsidR="00B64E91" w:rsidRDefault="00B64E91" w:rsidP="004815E0">
      <w:pPr>
        <w:tabs>
          <w:tab w:val="right" w:pos="850"/>
          <w:tab w:val="left" w:pos="1134"/>
          <w:tab w:val="left" w:pos="1559"/>
          <w:tab w:val="left" w:pos="1984"/>
          <w:tab w:val="left" w:leader="dot" w:pos="7654"/>
          <w:tab w:val="right" w:pos="8929"/>
          <w:tab w:val="right" w:pos="9638"/>
        </w:tabs>
        <w:spacing w:after="120"/>
        <w:rPr>
          <w:webHidden/>
        </w:rPr>
      </w:pPr>
      <w:r>
        <w:rPr>
          <w:webHidden/>
        </w:rPr>
        <w:tab/>
        <w:t>VI.</w:t>
      </w:r>
      <w:r>
        <w:rPr>
          <w:webHidden/>
        </w:rPr>
        <w:tab/>
      </w:r>
      <w:r>
        <w:t>Proposals for amendments to Annexes A and B of ADR (agenda item 5</w:t>
      </w:r>
      <w:r w:rsidR="006E74E0">
        <w:t>)</w:t>
      </w:r>
      <w:r>
        <w:t xml:space="preserve"> </w:t>
      </w:r>
      <w:r w:rsidRPr="003F5190">
        <w:rPr>
          <w:webHidden/>
        </w:rPr>
        <w:tab/>
      </w:r>
      <w:r>
        <w:rPr>
          <w:webHidden/>
        </w:rPr>
        <w:tab/>
      </w:r>
      <w:r w:rsidR="009A5488">
        <w:rPr>
          <w:webHidden/>
        </w:rPr>
        <w:t>20-39</w:t>
      </w:r>
      <w:r w:rsidR="009A5488">
        <w:rPr>
          <w:webHidden/>
        </w:rPr>
        <w:tab/>
        <w:t>5</w:t>
      </w:r>
    </w:p>
    <w:p w14:paraId="6CF2C156" w14:textId="7056BC5A" w:rsidR="00A44BAB" w:rsidRDefault="00A44BAB" w:rsidP="00A44BAB">
      <w:pPr>
        <w:tabs>
          <w:tab w:val="right" w:pos="850"/>
          <w:tab w:val="left" w:pos="1134"/>
          <w:tab w:val="left" w:pos="1559"/>
          <w:tab w:val="left" w:pos="1984"/>
          <w:tab w:val="left" w:leader="dot" w:pos="7654"/>
          <w:tab w:val="right" w:pos="8929"/>
          <w:tab w:val="right" w:pos="9638"/>
        </w:tabs>
        <w:spacing w:after="120"/>
        <w:ind w:left="1140"/>
      </w:pPr>
      <w:r>
        <w:t>A.</w:t>
      </w:r>
      <w:r>
        <w:tab/>
        <w:t>Construction and approval of vehicles</w:t>
      </w:r>
      <w:r>
        <w:tab/>
      </w:r>
      <w:r>
        <w:tab/>
      </w:r>
      <w:r w:rsidR="009A5488">
        <w:t>20-30</w:t>
      </w:r>
      <w:r w:rsidR="009A5488">
        <w:tab/>
        <w:t>5</w:t>
      </w:r>
    </w:p>
    <w:p w14:paraId="7DA5CF8A" w14:textId="1F22B011" w:rsidR="005507E0" w:rsidRDefault="00173584" w:rsidP="00173584">
      <w:pPr>
        <w:tabs>
          <w:tab w:val="right" w:pos="850"/>
          <w:tab w:val="left" w:pos="1134"/>
          <w:tab w:val="left" w:pos="1559"/>
          <w:tab w:val="left" w:pos="1984"/>
          <w:tab w:val="left" w:leader="dot" w:pos="7654"/>
          <w:tab w:val="right" w:pos="8929"/>
          <w:tab w:val="right" w:pos="9638"/>
        </w:tabs>
        <w:spacing w:before="120" w:after="120"/>
        <w:ind w:left="1503"/>
      </w:pPr>
      <w:r>
        <w:tab/>
      </w:r>
      <w:r w:rsidR="00160920">
        <w:t>1.</w:t>
      </w:r>
      <w:r>
        <w:tab/>
      </w:r>
      <w:r w:rsidR="00A44BAB">
        <w:t>Publication dates of standards in 9.2.2.2.2</w:t>
      </w:r>
      <w:r w:rsidR="00A44BAB">
        <w:tab/>
      </w:r>
      <w:r w:rsidR="00A44BAB">
        <w:tab/>
      </w:r>
      <w:r w:rsidR="009A5488">
        <w:t>20</w:t>
      </w:r>
      <w:r w:rsidR="009A5488">
        <w:tab/>
        <w:t>5</w:t>
      </w:r>
    </w:p>
    <w:p w14:paraId="5D4A4759" w14:textId="712F592A" w:rsidR="00183795" w:rsidRDefault="00173584" w:rsidP="005423BB">
      <w:pPr>
        <w:tabs>
          <w:tab w:val="right" w:pos="850"/>
          <w:tab w:val="left" w:pos="1134"/>
          <w:tab w:val="left" w:pos="1559"/>
          <w:tab w:val="left" w:pos="1984"/>
          <w:tab w:val="left" w:leader="dot" w:pos="7654"/>
          <w:tab w:val="right" w:pos="8929"/>
          <w:tab w:val="right" w:pos="9638"/>
        </w:tabs>
        <w:spacing w:before="120" w:after="120"/>
        <w:ind w:left="1503"/>
      </w:pPr>
      <w:r>
        <w:tab/>
      </w:r>
      <w:r w:rsidR="00160920">
        <w:t>2.</w:t>
      </w:r>
      <w:r>
        <w:tab/>
      </w:r>
      <w:r w:rsidR="00CD73C6">
        <w:t>Report of the informal working group on electrified vehicles</w:t>
      </w:r>
      <w:r w:rsidR="00CD73C6">
        <w:tab/>
      </w:r>
      <w:r w:rsidR="00CD73C6">
        <w:tab/>
      </w:r>
      <w:r w:rsidR="009A5488">
        <w:t>21-26</w:t>
      </w:r>
      <w:r w:rsidR="009A5488">
        <w:tab/>
        <w:t>5</w:t>
      </w:r>
    </w:p>
    <w:p w14:paraId="113B1E05" w14:textId="3621BC1C" w:rsidR="00CD73C6" w:rsidRDefault="00173584" w:rsidP="00173584">
      <w:pPr>
        <w:tabs>
          <w:tab w:val="right" w:pos="850"/>
          <w:tab w:val="left" w:pos="1134"/>
          <w:tab w:val="left" w:pos="1559"/>
          <w:tab w:val="left" w:pos="1984"/>
          <w:tab w:val="left" w:leader="dot" w:pos="7654"/>
          <w:tab w:val="right" w:pos="8929"/>
          <w:tab w:val="right" w:pos="9638"/>
        </w:tabs>
        <w:spacing w:after="120"/>
        <w:ind w:left="1503"/>
      </w:pPr>
      <w:r>
        <w:tab/>
      </w:r>
      <w:r w:rsidR="00160920">
        <w:t>3.</w:t>
      </w:r>
      <w:r>
        <w:tab/>
      </w:r>
      <w:r w:rsidR="00CD73C6">
        <w:t>UN Regulation No. 105</w:t>
      </w:r>
      <w:r w:rsidR="00CD73C6">
        <w:tab/>
      </w:r>
      <w:r w:rsidR="00CD73C6">
        <w:tab/>
      </w:r>
      <w:r w:rsidR="009A5488">
        <w:t>27-28</w:t>
      </w:r>
      <w:r w:rsidR="009A5488">
        <w:tab/>
        <w:t>5</w:t>
      </w:r>
    </w:p>
    <w:p w14:paraId="14438066" w14:textId="0FE904DF" w:rsidR="00CD73C6" w:rsidRDefault="00173584" w:rsidP="00173584">
      <w:pPr>
        <w:tabs>
          <w:tab w:val="right" w:pos="850"/>
          <w:tab w:val="left" w:pos="1134"/>
          <w:tab w:val="left" w:pos="1559"/>
          <w:tab w:val="left" w:pos="1984"/>
          <w:tab w:val="left" w:leader="dot" w:pos="7654"/>
          <w:tab w:val="right" w:pos="8929"/>
          <w:tab w:val="right" w:pos="9638"/>
        </w:tabs>
        <w:spacing w:after="120"/>
        <w:ind w:left="1503"/>
      </w:pPr>
      <w:r>
        <w:tab/>
      </w:r>
      <w:r w:rsidR="00160920">
        <w:t>4.</w:t>
      </w:r>
      <w:r>
        <w:tab/>
      </w:r>
      <w:r w:rsidR="00132D02">
        <w:t>Guidelines for determination of the first date of registration</w:t>
      </w:r>
      <w:r w:rsidR="00132D02">
        <w:br/>
      </w:r>
      <w:r w:rsidR="00132D02">
        <w:tab/>
      </w:r>
      <w:r>
        <w:tab/>
      </w:r>
      <w:r w:rsidR="00132D02">
        <w:t>of road vehicles</w:t>
      </w:r>
      <w:r w:rsidR="00132D02">
        <w:tab/>
      </w:r>
      <w:r w:rsidR="00132D02">
        <w:tab/>
      </w:r>
      <w:r w:rsidR="009A5488">
        <w:t>29-30</w:t>
      </w:r>
      <w:r w:rsidR="009A5488">
        <w:tab/>
        <w:t>6</w:t>
      </w:r>
    </w:p>
    <w:p w14:paraId="6C5333CA" w14:textId="1E8F00C2" w:rsidR="00132D02" w:rsidRPr="003F5190" w:rsidRDefault="00132D02" w:rsidP="00132D02">
      <w:pPr>
        <w:tabs>
          <w:tab w:val="right" w:pos="850"/>
          <w:tab w:val="left" w:pos="1134"/>
          <w:tab w:val="left" w:pos="1559"/>
          <w:tab w:val="left" w:pos="1984"/>
          <w:tab w:val="left" w:leader="dot" w:pos="7654"/>
          <w:tab w:val="right" w:pos="8929"/>
          <w:tab w:val="right" w:pos="9638"/>
        </w:tabs>
        <w:spacing w:before="120" w:after="120"/>
      </w:pPr>
      <w:r>
        <w:tab/>
      </w:r>
      <w:r>
        <w:tab/>
        <w:t>B.</w:t>
      </w:r>
      <w:r>
        <w:tab/>
      </w:r>
      <w:r w:rsidR="003E4DD5">
        <w:t>Miscellaneous proposals</w:t>
      </w:r>
      <w:r w:rsidR="003E4DD5">
        <w:tab/>
      </w:r>
      <w:r w:rsidR="008749E6">
        <w:tab/>
      </w:r>
      <w:r w:rsidR="009A5488">
        <w:t>31-39</w:t>
      </w:r>
      <w:r w:rsidR="009A5488">
        <w:tab/>
        <w:t>6</w:t>
      </w:r>
    </w:p>
    <w:p w14:paraId="18F4BD36" w14:textId="48B4B291" w:rsidR="004815E0" w:rsidRDefault="008749E6" w:rsidP="00D54A97">
      <w:pPr>
        <w:tabs>
          <w:tab w:val="right" w:pos="850"/>
          <w:tab w:val="left" w:pos="1134"/>
          <w:tab w:val="left" w:pos="1560"/>
          <w:tab w:val="left" w:pos="1984"/>
          <w:tab w:val="left" w:leader="dot" w:pos="7654"/>
          <w:tab w:val="right" w:pos="8929"/>
          <w:tab w:val="right" w:pos="9638"/>
        </w:tabs>
        <w:spacing w:before="120" w:after="120"/>
        <w:ind w:left="1503"/>
      </w:pPr>
      <w:r>
        <w:t>1.</w:t>
      </w:r>
      <w:r>
        <w:tab/>
        <w:t>Tunnel exemptions for dangerous goods with transport</w:t>
      </w:r>
      <w:r>
        <w:br/>
      </w:r>
      <w:r>
        <w:tab/>
      </w:r>
      <w:r>
        <w:tab/>
        <w:t>category 4</w:t>
      </w:r>
      <w:r w:rsidR="00EC6626">
        <w:tab/>
      </w:r>
      <w:r w:rsidR="009A5488">
        <w:tab/>
        <w:t>31-33</w:t>
      </w:r>
      <w:r w:rsidR="009A5488">
        <w:tab/>
        <w:t>6</w:t>
      </w:r>
    </w:p>
    <w:p w14:paraId="03642D1F" w14:textId="58F0DB89" w:rsidR="00762067" w:rsidRDefault="00EC6626" w:rsidP="00391CAD">
      <w:pPr>
        <w:tabs>
          <w:tab w:val="right" w:pos="850"/>
          <w:tab w:val="left" w:pos="1134"/>
          <w:tab w:val="left" w:pos="1560"/>
          <w:tab w:val="left" w:pos="1984"/>
          <w:tab w:val="left" w:leader="dot" w:pos="7654"/>
          <w:tab w:val="right" w:pos="8929"/>
          <w:tab w:val="right" w:pos="9638"/>
        </w:tabs>
        <w:spacing w:before="120" w:after="120"/>
        <w:ind w:left="1503"/>
      </w:pPr>
      <w:r>
        <w:t>2.</w:t>
      </w:r>
      <w:r>
        <w:tab/>
      </w:r>
      <w:r w:rsidR="00762067">
        <w:t>Section 9.1.3</w:t>
      </w:r>
      <w:r w:rsidR="00960E8E">
        <w:t xml:space="preserve"> </w:t>
      </w:r>
      <w:r w:rsidR="00762067">
        <w:t>- Certificate of approval of vehicles</w:t>
      </w:r>
      <w:r>
        <w:tab/>
      </w:r>
      <w:r w:rsidR="009A5488">
        <w:tab/>
      </w:r>
      <w:r w:rsidR="009014E2">
        <w:t>34</w:t>
      </w:r>
      <w:r w:rsidR="009014E2">
        <w:tab/>
        <w:t>6</w:t>
      </w:r>
    </w:p>
    <w:p w14:paraId="653A00BE" w14:textId="6DE0823A" w:rsidR="00762067" w:rsidRDefault="00762067" w:rsidP="00391CAD">
      <w:pPr>
        <w:tabs>
          <w:tab w:val="right" w:pos="850"/>
          <w:tab w:val="left" w:pos="1134"/>
          <w:tab w:val="left" w:pos="1560"/>
          <w:tab w:val="left" w:pos="1984"/>
          <w:tab w:val="left" w:leader="dot" w:pos="7654"/>
          <w:tab w:val="right" w:pos="8929"/>
          <w:tab w:val="right" w:pos="9638"/>
        </w:tabs>
        <w:spacing w:before="120" w:after="120"/>
        <w:ind w:left="1503"/>
      </w:pPr>
      <w:r>
        <w:t>3.</w:t>
      </w:r>
      <w:r>
        <w:tab/>
        <w:t>New provisions for</w:t>
      </w:r>
      <w:r w:rsidR="0029362A">
        <w:t xml:space="preserve"> fibre-reinforced plastics tanks </w:t>
      </w:r>
      <w:r w:rsidR="00C13E2E" w:rsidRPr="00695029">
        <w:rPr>
          <w:b/>
          <w:bCs/>
          <w:lang w:eastAsia="en-US"/>
        </w:rPr>
        <w:t>–</w:t>
      </w:r>
      <w:r w:rsidR="0029362A">
        <w:br/>
      </w:r>
      <w:r w:rsidR="0029362A">
        <w:tab/>
      </w:r>
      <w:r w:rsidR="0029362A">
        <w:tab/>
        <w:t>consequential amendments</w:t>
      </w:r>
      <w:r w:rsidR="00E85C11">
        <w:tab/>
      </w:r>
      <w:r w:rsidR="00E85C11">
        <w:tab/>
      </w:r>
      <w:r w:rsidR="009014E2">
        <w:t>35-39</w:t>
      </w:r>
      <w:r w:rsidR="009014E2">
        <w:tab/>
        <w:t>6</w:t>
      </w:r>
    </w:p>
    <w:p w14:paraId="12A59B53" w14:textId="47C41986" w:rsidR="0029362A" w:rsidRDefault="00132361" w:rsidP="00C13E2E">
      <w:pPr>
        <w:tabs>
          <w:tab w:val="right" w:pos="850"/>
          <w:tab w:val="left" w:pos="1134"/>
          <w:tab w:val="left" w:pos="1559"/>
          <w:tab w:val="left" w:pos="1984"/>
          <w:tab w:val="left" w:leader="dot" w:pos="7654"/>
          <w:tab w:val="right" w:pos="8929"/>
          <w:tab w:val="right" w:pos="9638"/>
        </w:tabs>
        <w:spacing w:after="120"/>
      </w:pPr>
      <w:r>
        <w:lastRenderedPageBreak/>
        <w:tab/>
      </w:r>
      <w:r w:rsidR="0029362A">
        <w:t>VII.</w:t>
      </w:r>
      <w:r w:rsidR="0029362A">
        <w:tab/>
      </w:r>
      <w:r w:rsidR="006E4514">
        <w:t>Interpretation of ADR (agenda item 6)</w:t>
      </w:r>
      <w:r w:rsidR="002C4E3A">
        <w:tab/>
      </w:r>
      <w:r w:rsidR="009014E2">
        <w:tab/>
        <w:t>40-43</w:t>
      </w:r>
      <w:r w:rsidR="00BA585A">
        <w:tab/>
        <w:t>7</w:t>
      </w:r>
    </w:p>
    <w:p w14:paraId="38A4C20D" w14:textId="5417DD95" w:rsidR="006E4514" w:rsidRDefault="002D1AFD" w:rsidP="0081070B">
      <w:pPr>
        <w:tabs>
          <w:tab w:val="right" w:pos="850"/>
          <w:tab w:val="left" w:pos="1134"/>
          <w:tab w:val="left" w:pos="1560"/>
          <w:tab w:val="left" w:pos="1984"/>
          <w:tab w:val="left" w:leader="dot" w:pos="7654"/>
          <w:tab w:val="right" w:pos="8929"/>
          <w:tab w:val="right" w:pos="9638"/>
        </w:tabs>
        <w:spacing w:before="120" w:after="120"/>
      </w:pPr>
      <w:r>
        <w:tab/>
      </w:r>
      <w:r>
        <w:tab/>
      </w:r>
      <w:r w:rsidR="00DE2BD6">
        <w:t>A.</w:t>
      </w:r>
      <w:r w:rsidR="00132361">
        <w:tab/>
      </w:r>
      <w:r w:rsidR="003732CB">
        <w:t>Calculation of the net explosive mas</w:t>
      </w:r>
      <w:r w:rsidR="002C4E3A">
        <w:tab/>
      </w:r>
      <w:r w:rsidR="00BA585A">
        <w:tab/>
        <w:t>40-41</w:t>
      </w:r>
      <w:r w:rsidR="00BA585A">
        <w:tab/>
        <w:t>7</w:t>
      </w:r>
    </w:p>
    <w:p w14:paraId="4577A40E" w14:textId="7660D61C" w:rsidR="003732CB" w:rsidRDefault="002D1AFD" w:rsidP="0081070B">
      <w:pPr>
        <w:tabs>
          <w:tab w:val="right" w:pos="850"/>
          <w:tab w:val="left" w:pos="1134"/>
          <w:tab w:val="left" w:pos="1560"/>
          <w:tab w:val="left" w:pos="1984"/>
          <w:tab w:val="left" w:leader="dot" w:pos="7654"/>
          <w:tab w:val="right" w:pos="8929"/>
          <w:tab w:val="right" w:pos="9638"/>
        </w:tabs>
        <w:spacing w:before="120" w:after="120"/>
      </w:pPr>
      <w:r>
        <w:tab/>
      </w:r>
      <w:r>
        <w:tab/>
      </w:r>
      <w:r w:rsidR="00DE2BD6">
        <w:t>B.</w:t>
      </w:r>
      <w:r w:rsidR="00DE2BD6">
        <w:tab/>
      </w:r>
      <w:r w:rsidR="003732CB">
        <w:t>Scope of ADR</w:t>
      </w:r>
      <w:r w:rsidR="002C4E3A">
        <w:tab/>
      </w:r>
      <w:r w:rsidR="00BA585A">
        <w:tab/>
        <w:t>42-43</w:t>
      </w:r>
      <w:r w:rsidR="00BA585A">
        <w:tab/>
        <w:t>7</w:t>
      </w:r>
    </w:p>
    <w:p w14:paraId="51D9353E" w14:textId="700AA21E" w:rsidR="004815E0" w:rsidRDefault="00132361" w:rsidP="00AC01CC">
      <w:pPr>
        <w:tabs>
          <w:tab w:val="right" w:pos="850"/>
          <w:tab w:val="left" w:pos="1134"/>
          <w:tab w:val="left" w:pos="1559"/>
          <w:tab w:val="left" w:pos="1984"/>
          <w:tab w:val="left" w:leader="dot" w:pos="7654"/>
          <w:tab w:val="right" w:pos="8929"/>
          <w:tab w:val="right" w:pos="9638"/>
        </w:tabs>
        <w:spacing w:after="120"/>
      </w:pPr>
      <w:r>
        <w:tab/>
      </w:r>
      <w:r w:rsidR="004151BE">
        <w:t>VIII.</w:t>
      </w:r>
      <w:r w:rsidR="004151BE">
        <w:tab/>
        <w:t>Programme of work (agenda item 7)</w:t>
      </w:r>
      <w:r w:rsidR="002C4E3A">
        <w:tab/>
      </w:r>
      <w:r w:rsidR="00BA585A">
        <w:tab/>
        <w:t>44</w:t>
      </w:r>
      <w:r w:rsidR="00BA585A">
        <w:tab/>
        <w:t>7</w:t>
      </w:r>
    </w:p>
    <w:p w14:paraId="477C3F58" w14:textId="1DD49F8C" w:rsidR="00935E78" w:rsidRDefault="00132361" w:rsidP="00AC01CC">
      <w:pPr>
        <w:tabs>
          <w:tab w:val="right" w:pos="850"/>
          <w:tab w:val="left" w:pos="1134"/>
          <w:tab w:val="left" w:pos="1559"/>
          <w:tab w:val="left" w:pos="1984"/>
          <w:tab w:val="left" w:leader="dot" w:pos="7654"/>
          <w:tab w:val="right" w:pos="8929"/>
          <w:tab w:val="right" w:pos="9638"/>
        </w:tabs>
        <w:spacing w:after="120"/>
      </w:pPr>
      <w:r>
        <w:tab/>
      </w:r>
      <w:r w:rsidR="00935E78">
        <w:t>IX.</w:t>
      </w:r>
      <w:r w:rsidR="00935E78">
        <w:tab/>
        <w:t>Any other business (agenda item 8)</w:t>
      </w:r>
      <w:r w:rsidR="002C4E3A">
        <w:tab/>
      </w:r>
      <w:r w:rsidR="00BA585A">
        <w:tab/>
        <w:t>45-60</w:t>
      </w:r>
      <w:r w:rsidR="00BA585A">
        <w:tab/>
        <w:t>8</w:t>
      </w:r>
    </w:p>
    <w:p w14:paraId="6699285D" w14:textId="1AF17BE2" w:rsidR="00935E78" w:rsidRDefault="007E1864" w:rsidP="00AF26BB">
      <w:pPr>
        <w:tabs>
          <w:tab w:val="right" w:pos="850"/>
          <w:tab w:val="left" w:pos="1134"/>
          <w:tab w:val="left" w:pos="1559"/>
          <w:tab w:val="left" w:pos="1984"/>
          <w:tab w:val="left" w:leader="dot" w:pos="7654"/>
          <w:tab w:val="right" w:pos="8929"/>
          <w:tab w:val="right" w:pos="9638"/>
        </w:tabs>
        <w:spacing w:after="120"/>
        <w:ind w:firstLine="1134"/>
      </w:pPr>
      <w:r>
        <w:t>A.</w:t>
      </w:r>
      <w:r>
        <w:tab/>
      </w:r>
      <w:r w:rsidR="00935E78">
        <w:t>Circular economy and sustainable use of natural resources</w:t>
      </w:r>
      <w:r w:rsidR="00AB0586">
        <w:tab/>
      </w:r>
      <w:r w:rsidR="00BA585A">
        <w:tab/>
        <w:t>45-51</w:t>
      </w:r>
      <w:r w:rsidR="00BA585A">
        <w:tab/>
        <w:t>8</w:t>
      </w:r>
    </w:p>
    <w:p w14:paraId="3A0F2D40" w14:textId="51C76F6E" w:rsidR="00AD115C" w:rsidRDefault="007E1864" w:rsidP="00AF26BB">
      <w:pPr>
        <w:tabs>
          <w:tab w:val="right" w:pos="850"/>
          <w:tab w:val="left" w:pos="1134"/>
          <w:tab w:val="left" w:pos="1559"/>
          <w:tab w:val="left" w:pos="1984"/>
          <w:tab w:val="left" w:leader="dot" w:pos="7654"/>
          <w:tab w:val="right" w:pos="8929"/>
          <w:tab w:val="right" w:pos="9638"/>
        </w:tabs>
        <w:spacing w:after="120"/>
        <w:ind w:firstLine="1134"/>
      </w:pPr>
      <w:r>
        <w:t>B.</w:t>
      </w:r>
      <w:r>
        <w:tab/>
      </w:r>
      <w:proofErr w:type="spellStart"/>
      <w:r w:rsidR="00AD115C">
        <w:t>EuroMed</w:t>
      </w:r>
      <w:proofErr w:type="spellEnd"/>
      <w:r w:rsidR="00AD115C">
        <w:t xml:space="preserve"> TSP</w:t>
      </w:r>
      <w:r w:rsidR="00AF26BB">
        <w:tab/>
      </w:r>
      <w:r w:rsidR="00AF26BB">
        <w:tab/>
      </w:r>
      <w:r w:rsidR="00BA585A">
        <w:t>52-55</w:t>
      </w:r>
      <w:r w:rsidR="00BA585A">
        <w:tab/>
        <w:t>9</w:t>
      </w:r>
    </w:p>
    <w:p w14:paraId="030C0512" w14:textId="21BE3B86" w:rsidR="00AD115C" w:rsidRDefault="007E1864" w:rsidP="00054115">
      <w:pPr>
        <w:tabs>
          <w:tab w:val="right" w:pos="850"/>
          <w:tab w:val="left" w:pos="1134"/>
          <w:tab w:val="left" w:pos="1559"/>
          <w:tab w:val="left" w:pos="1984"/>
          <w:tab w:val="left" w:leader="dot" w:pos="7654"/>
          <w:tab w:val="right" w:pos="8929"/>
          <w:tab w:val="right" w:pos="9638"/>
        </w:tabs>
        <w:spacing w:after="120"/>
        <w:ind w:firstLine="1134"/>
      </w:pPr>
      <w:r>
        <w:t>C.</w:t>
      </w:r>
      <w:r>
        <w:tab/>
      </w:r>
      <w:r w:rsidR="00AD115C">
        <w:t>Translations of ADR</w:t>
      </w:r>
      <w:r w:rsidR="00AD115C">
        <w:tab/>
      </w:r>
      <w:r w:rsidR="00BA585A">
        <w:tab/>
        <w:t>56</w:t>
      </w:r>
      <w:r w:rsidR="00BA585A">
        <w:tab/>
        <w:t>9</w:t>
      </w:r>
    </w:p>
    <w:p w14:paraId="4F40A616" w14:textId="3B239A17" w:rsidR="00AD115C" w:rsidRDefault="007E1864" w:rsidP="00054115">
      <w:pPr>
        <w:tabs>
          <w:tab w:val="right" w:pos="850"/>
          <w:tab w:val="left" w:pos="1134"/>
          <w:tab w:val="left" w:pos="1559"/>
          <w:tab w:val="left" w:pos="1984"/>
          <w:tab w:val="left" w:leader="dot" w:pos="7654"/>
          <w:tab w:val="right" w:pos="8929"/>
          <w:tab w:val="right" w:pos="9638"/>
        </w:tabs>
        <w:spacing w:after="120"/>
        <w:ind w:firstLine="1134"/>
      </w:pPr>
      <w:r>
        <w:t>D.</w:t>
      </w:r>
      <w:r>
        <w:tab/>
      </w:r>
      <w:r w:rsidR="00AD115C">
        <w:t>ADR Road Map</w:t>
      </w:r>
      <w:r w:rsidR="00054115">
        <w:tab/>
      </w:r>
      <w:r w:rsidR="00BA585A">
        <w:tab/>
      </w:r>
      <w:r w:rsidR="001E1404">
        <w:t>57</w:t>
      </w:r>
      <w:r w:rsidR="001E1404">
        <w:tab/>
        <w:t>9</w:t>
      </w:r>
    </w:p>
    <w:p w14:paraId="5F77B67C" w14:textId="7DBBA41F" w:rsidR="00AD115C" w:rsidRDefault="007E1864" w:rsidP="006466F3">
      <w:pPr>
        <w:tabs>
          <w:tab w:val="right" w:pos="850"/>
          <w:tab w:val="left" w:pos="1134"/>
          <w:tab w:val="left" w:pos="1559"/>
          <w:tab w:val="left" w:pos="1984"/>
          <w:tab w:val="left" w:leader="dot" w:pos="7654"/>
          <w:tab w:val="right" w:pos="8929"/>
          <w:tab w:val="right" w:pos="9638"/>
        </w:tabs>
        <w:spacing w:after="120"/>
        <w:ind w:firstLine="1134"/>
      </w:pPr>
      <w:r>
        <w:t>E.</w:t>
      </w:r>
      <w:r>
        <w:tab/>
      </w:r>
      <w:r w:rsidR="00AD115C">
        <w:t>Learn ITC e-learning platform</w:t>
      </w:r>
      <w:r w:rsidR="006466F3">
        <w:tab/>
      </w:r>
      <w:r w:rsidR="001E1404">
        <w:tab/>
        <w:t>58-59</w:t>
      </w:r>
      <w:r w:rsidR="001E1404">
        <w:tab/>
        <w:t>9</w:t>
      </w:r>
    </w:p>
    <w:p w14:paraId="52DCB977" w14:textId="4CD86195" w:rsidR="00AD115C" w:rsidRDefault="007E1864" w:rsidP="00877187">
      <w:pPr>
        <w:tabs>
          <w:tab w:val="right" w:pos="850"/>
          <w:tab w:val="left" w:pos="1134"/>
          <w:tab w:val="left" w:pos="1559"/>
          <w:tab w:val="left" w:pos="1984"/>
          <w:tab w:val="left" w:leader="dot" w:pos="7654"/>
          <w:tab w:val="right" w:pos="8929"/>
          <w:tab w:val="right" w:pos="9638"/>
        </w:tabs>
        <w:spacing w:after="120"/>
        <w:ind w:firstLine="1134"/>
      </w:pPr>
      <w:r>
        <w:t>F.</w:t>
      </w:r>
      <w:r>
        <w:tab/>
      </w:r>
      <w:r w:rsidR="00AD115C">
        <w:t>Tribute</w:t>
      </w:r>
      <w:r w:rsidR="00877187">
        <w:tab/>
      </w:r>
      <w:r w:rsidR="001E1404">
        <w:tab/>
        <w:t>60</w:t>
      </w:r>
      <w:r w:rsidR="001E1404">
        <w:tab/>
        <w:t>9</w:t>
      </w:r>
    </w:p>
    <w:p w14:paraId="6F406800" w14:textId="0EE8A1DD" w:rsidR="007E1864" w:rsidRDefault="00EF1144" w:rsidP="00B0490E">
      <w:pPr>
        <w:tabs>
          <w:tab w:val="right" w:pos="850"/>
          <w:tab w:val="left" w:pos="1134"/>
          <w:tab w:val="left" w:pos="1559"/>
          <w:tab w:val="left" w:pos="1984"/>
          <w:tab w:val="left" w:leader="dot" w:pos="7654"/>
          <w:tab w:val="right" w:pos="8929"/>
          <w:tab w:val="right" w:pos="9638"/>
        </w:tabs>
        <w:spacing w:after="120"/>
      </w:pPr>
      <w:r>
        <w:tab/>
      </w:r>
      <w:r w:rsidR="00382CEA">
        <w:t>X.</w:t>
      </w:r>
      <w:r w:rsidR="00382CEA">
        <w:tab/>
        <w:t>Election of officers for 2023 (agenda item 9)</w:t>
      </w:r>
      <w:r w:rsidR="00B0490E">
        <w:tab/>
      </w:r>
      <w:r w:rsidR="001E1404">
        <w:tab/>
        <w:t>61</w:t>
      </w:r>
      <w:r w:rsidR="00756377">
        <w:tab/>
        <w:t>10</w:t>
      </w:r>
    </w:p>
    <w:p w14:paraId="6825096F" w14:textId="164C8B03" w:rsidR="00FC3B54" w:rsidRDefault="00EF1144" w:rsidP="00B0490E">
      <w:pPr>
        <w:tabs>
          <w:tab w:val="right" w:pos="850"/>
          <w:tab w:val="left" w:pos="1134"/>
          <w:tab w:val="left" w:pos="1559"/>
          <w:tab w:val="left" w:pos="1984"/>
          <w:tab w:val="left" w:leader="dot" w:pos="7654"/>
          <w:tab w:val="right" w:pos="8929"/>
          <w:tab w:val="right" w:pos="9638"/>
        </w:tabs>
        <w:spacing w:after="120"/>
      </w:pPr>
      <w:r>
        <w:tab/>
      </w:r>
      <w:r w:rsidR="00FC3B54">
        <w:t>XI.</w:t>
      </w:r>
      <w:r w:rsidR="00FC3B54">
        <w:tab/>
        <w:t>Adoption of the report (agenda item 10)</w:t>
      </w:r>
      <w:r w:rsidR="00B0490E">
        <w:tab/>
      </w:r>
      <w:r w:rsidR="00756377">
        <w:tab/>
        <w:t>62-64</w:t>
      </w:r>
      <w:r w:rsidR="00756377">
        <w:tab/>
        <w:t>10</w:t>
      </w:r>
    </w:p>
    <w:p w14:paraId="6A14B2F5" w14:textId="77777777" w:rsidR="004815E0" w:rsidRDefault="004815E0">
      <w:pPr>
        <w:suppressAutoHyphens w:val="0"/>
        <w:spacing w:line="240" w:lineRule="auto"/>
      </w:pPr>
    </w:p>
    <w:p w14:paraId="3A6B7D49" w14:textId="77777777" w:rsidR="004815E0" w:rsidRDefault="004815E0">
      <w:pPr>
        <w:suppressAutoHyphens w:val="0"/>
        <w:spacing w:line="240" w:lineRule="auto"/>
      </w:pPr>
    </w:p>
    <w:p w14:paraId="73CE6B9B" w14:textId="7B740F4A" w:rsidR="004815E0" w:rsidRDefault="00EF1144">
      <w:pPr>
        <w:suppressAutoHyphens w:val="0"/>
        <w:spacing w:line="240" w:lineRule="auto"/>
      </w:pPr>
      <w:r>
        <w:t>Annex</w:t>
      </w:r>
    </w:p>
    <w:p w14:paraId="3CAF90E6" w14:textId="77777777" w:rsidR="00DD5638" w:rsidRDefault="00DD5638">
      <w:pPr>
        <w:suppressAutoHyphens w:val="0"/>
        <w:spacing w:line="240" w:lineRule="auto"/>
      </w:pPr>
    </w:p>
    <w:p w14:paraId="34CAEDBE" w14:textId="3A4DA8CC" w:rsidR="00DD5638" w:rsidRDefault="00DD5638" w:rsidP="003149F7">
      <w:pPr>
        <w:tabs>
          <w:tab w:val="right" w:pos="850"/>
          <w:tab w:val="left" w:pos="1134"/>
          <w:tab w:val="left" w:pos="1559"/>
          <w:tab w:val="left" w:pos="1984"/>
          <w:tab w:val="left" w:leader="dot" w:pos="7654"/>
          <w:tab w:val="right" w:pos="8929"/>
          <w:tab w:val="right" w:pos="9638"/>
        </w:tabs>
        <w:spacing w:after="120"/>
        <w:ind w:firstLine="1134"/>
      </w:pPr>
      <w:r>
        <w:t>Draft amendments to annexes A and B of ADR for entry into force</w:t>
      </w:r>
      <w:r>
        <w:br/>
      </w:r>
      <w:r>
        <w:tab/>
      </w:r>
      <w:r>
        <w:tab/>
        <w:t>on</w:t>
      </w:r>
      <w:r w:rsidR="00F8657B">
        <w:t xml:space="preserve"> 1 January 2025</w:t>
      </w:r>
      <w:r w:rsidR="00F8657B">
        <w:tab/>
      </w:r>
      <w:r w:rsidR="00756377">
        <w:tab/>
      </w:r>
      <w:r w:rsidR="00756377">
        <w:tab/>
        <w:t>11</w:t>
      </w:r>
    </w:p>
    <w:p w14:paraId="7BEB8B4E" w14:textId="77777777" w:rsidR="004815E0" w:rsidRDefault="004815E0">
      <w:pPr>
        <w:suppressAutoHyphens w:val="0"/>
        <w:spacing w:line="240" w:lineRule="auto"/>
      </w:pPr>
    </w:p>
    <w:p w14:paraId="045B2C5D" w14:textId="77777777" w:rsidR="004815E0" w:rsidRDefault="004815E0">
      <w:pPr>
        <w:suppressAutoHyphens w:val="0"/>
        <w:spacing w:line="240" w:lineRule="auto"/>
      </w:pPr>
    </w:p>
    <w:p w14:paraId="764CC76A" w14:textId="77777777" w:rsidR="004815E0" w:rsidRDefault="004815E0">
      <w:pPr>
        <w:suppressAutoHyphens w:val="0"/>
        <w:spacing w:line="240" w:lineRule="auto"/>
      </w:pPr>
    </w:p>
    <w:p w14:paraId="543889D9" w14:textId="38C19A64" w:rsidR="00375187" w:rsidRDefault="00375187">
      <w:pPr>
        <w:suppressAutoHyphens w:val="0"/>
        <w:spacing w:line="240" w:lineRule="auto"/>
      </w:pPr>
      <w:r>
        <w:br w:type="page"/>
      </w:r>
    </w:p>
    <w:p w14:paraId="553FD252" w14:textId="77777777"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lastRenderedPageBreak/>
        <w:tab/>
        <w:t>I.</w:t>
      </w:r>
      <w:r w:rsidRPr="00616E74">
        <w:rPr>
          <w:b/>
          <w:sz w:val="28"/>
          <w:lang w:eastAsia="en-US"/>
        </w:rPr>
        <w:tab/>
        <w:t>Organizational matters and attendance</w:t>
      </w:r>
    </w:p>
    <w:p w14:paraId="0C7466BD"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w:t>
      </w:r>
      <w:r w:rsidRPr="00616E74">
        <w:rPr>
          <w:rFonts w:eastAsia="SimSun"/>
          <w:lang w:eastAsia="zh-CN"/>
        </w:rPr>
        <w:tab/>
        <w:t>The Working Party on the Transport of Dangerous Goods held its 112th session from 8 to 11 November 2022, with Ms. A. Roumier (France) as Chair and Mr. A. Simoni (Italy) as Vice-Chair.</w:t>
      </w:r>
    </w:p>
    <w:p w14:paraId="6896170E" w14:textId="77777777" w:rsidR="00616E74" w:rsidRPr="00616E74" w:rsidRDefault="00616E74" w:rsidP="00616E74">
      <w:pPr>
        <w:keepNext/>
        <w:keepLines/>
        <w:tabs>
          <w:tab w:val="right" w:pos="851"/>
        </w:tabs>
        <w:spacing w:before="360" w:after="240" w:line="270" w:lineRule="exact"/>
        <w:ind w:left="1134" w:right="1134" w:hanging="1134"/>
        <w:outlineLvl w:val="2"/>
        <w:rPr>
          <w:rFonts w:eastAsia="Calibri"/>
          <w:b/>
          <w:sz w:val="24"/>
          <w:lang w:eastAsia="en-US"/>
        </w:rPr>
      </w:pPr>
      <w:r w:rsidRPr="00616E74">
        <w:rPr>
          <w:b/>
          <w:sz w:val="24"/>
          <w:lang w:eastAsia="en-US"/>
        </w:rPr>
        <w:tab/>
        <w:t>A.</w:t>
      </w:r>
      <w:r w:rsidRPr="00616E74">
        <w:rPr>
          <w:b/>
          <w:sz w:val="24"/>
          <w:lang w:eastAsia="en-US"/>
        </w:rPr>
        <w:tab/>
        <w:t>Organizational matters:</w:t>
      </w:r>
    </w:p>
    <w:p w14:paraId="60FF6F57"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i/>
          <w:iCs/>
          <w:lang w:eastAsia="zh-CN"/>
        </w:rPr>
        <w:t>Informal document</w:t>
      </w:r>
      <w:r w:rsidRPr="00616E74">
        <w:rPr>
          <w:rFonts w:eastAsia="SimSun"/>
          <w:lang w:eastAsia="zh-CN"/>
        </w:rPr>
        <w:t>:</w:t>
      </w:r>
      <w:r w:rsidRPr="00616E74">
        <w:rPr>
          <w:rFonts w:eastAsia="SimSun"/>
          <w:lang w:eastAsia="zh-CN"/>
        </w:rPr>
        <w:tab/>
        <w:t>INF.5/Rev.1 (secretariat)</w:t>
      </w:r>
    </w:p>
    <w:p w14:paraId="425F5517"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2.</w:t>
      </w:r>
      <w:r w:rsidRPr="00616E74">
        <w:rPr>
          <w:rFonts w:eastAsia="SimSun"/>
          <w:lang w:eastAsia="zh-CN"/>
        </w:rPr>
        <w:tab/>
        <w:t>The session was held in a hybrid format, with the possibility of participating online or in person, following the format described in informal document INF.5/Rev.1.</w:t>
      </w:r>
    </w:p>
    <w:p w14:paraId="5E503031"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3.</w:t>
      </w:r>
      <w:r w:rsidRPr="00616E74">
        <w:rPr>
          <w:rFonts w:eastAsia="SimSun"/>
          <w:lang w:eastAsia="zh-CN"/>
        </w:rPr>
        <w:tab/>
        <w:t>The Working Group noted that, from 2023 onwards, all meetings would be held in person and that remote simultaneous interpretation (RSI) platforms, if requested, would be subject to a fee and could only be made available subject to the availability of extrabudgetary funding.</w:t>
      </w:r>
    </w:p>
    <w:p w14:paraId="4555A3AA" w14:textId="77777777" w:rsidR="00616E74" w:rsidRPr="00616E74" w:rsidRDefault="00616E74" w:rsidP="00616E74">
      <w:pPr>
        <w:keepNext/>
        <w:keepLines/>
        <w:tabs>
          <w:tab w:val="right" w:pos="851"/>
        </w:tabs>
        <w:spacing w:before="360" w:after="240" w:line="270" w:lineRule="exact"/>
        <w:ind w:left="1134" w:right="1134" w:hanging="1134"/>
        <w:outlineLvl w:val="2"/>
        <w:rPr>
          <w:rFonts w:eastAsia="Calibri"/>
          <w:b/>
          <w:sz w:val="24"/>
          <w:lang w:eastAsia="en-US"/>
        </w:rPr>
      </w:pPr>
      <w:r w:rsidRPr="00616E74">
        <w:rPr>
          <w:b/>
          <w:sz w:val="24"/>
          <w:lang w:eastAsia="en-US"/>
        </w:rPr>
        <w:tab/>
        <w:t>B.</w:t>
      </w:r>
      <w:r w:rsidRPr="00616E74">
        <w:rPr>
          <w:b/>
          <w:sz w:val="24"/>
          <w:lang w:eastAsia="en-US"/>
        </w:rPr>
        <w:tab/>
        <w:t>Attendance</w:t>
      </w:r>
    </w:p>
    <w:p w14:paraId="01747EC3"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4.</w:t>
      </w:r>
      <w:r w:rsidRPr="00616E74">
        <w:rPr>
          <w:rFonts w:eastAsia="SimSun"/>
          <w:lang w:eastAsia="zh-CN"/>
        </w:rPr>
        <w:tab/>
        <w:t>Representatives from the following countries took part in the session: Austria, Belarus, Belgium, Bulgaria, Czechia, Denmark, Finland, France, Georgia, Germany, Hungary, Italy, Latvia, Luxembourg, Malta, the Netherlands, Poland, Romania, Russian Federation, Slovakia, Slovenia, Spain, Sweden, Switzerland, Türkiye and the United Kingdom.</w:t>
      </w:r>
    </w:p>
    <w:p w14:paraId="6D2FB5AF" w14:textId="11345BFC"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5.</w:t>
      </w:r>
      <w:r w:rsidRPr="00616E74">
        <w:rPr>
          <w:rFonts w:eastAsia="SimSun"/>
          <w:lang w:eastAsia="zh-CN"/>
        </w:rPr>
        <w:tab/>
        <w:t>Representatives from Australia, Jordan and Nigeria also took part in the session as provided for in paragraph 11 of the terms of reference of the Economic Commission for Europe. The representative of Nigeria took part in the session as full member in respect of questions relating to the Agreement concerning the International Carriage of Dangerous Goods by Road (ADR), in accordance with rule 1 (b) of the rules of procedure of the Working Party.</w:t>
      </w:r>
    </w:p>
    <w:p w14:paraId="5A59F947"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6.</w:t>
      </w:r>
      <w:r w:rsidRPr="00616E74">
        <w:rPr>
          <w:rFonts w:eastAsia="SimSun"/>
          <w:lang w:eastAsia="zh-CN"/>
        </w:rPr>
        <w:tab/>
        <w:t>The European Union was represented.</w:t>
      </w:r>
    </w:p>
    <w:p w14:paraId="48BD042A"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7.</w:t>
      </w:r>
      <w:r w:rsidRPr="00616E74">
        <w:rPr>
          <w:rFonts w:eastAsia="SimSun"/>
          <w:lang w:eastAsia="zh-CN"/>
        </w:rPr>
        <w:tab/>
        <w:t>The following intergovernmental organization was represented: Intergovernmental Organisation for International Carriage by Rail (OTIF).</w:t>
      </w:r>
    </w:p>
    <w:p w14:paraId="1655A444" w14:textId="20B99DED"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8.</w:t>
      </w:r>
      <w:r w:rsidRPr="00616E74">
        <w:rPr>
          <w:rFonts w:eastAsia="SimSun"/>
          <w:lang w:eastAsia="zh-CN"/>
        </w:rPr>
        <w:tab/>
        <w:t>The following non-governmental organizations were represented: European Chemical Industry Council (</w:t>
      </w:r>
      <w:proofErr w:type="spellStart"/>
      <w:r w:rsidRPr="00616E74">
        <w:rPr>
          <w:rFonts w:eastAsia="SimSun"/>
          <w:lang w:eastAsia="zh-CN"/>
        </w:rPr>
        <w:t>Cefic</w:t>
      </w:r>
      <w:proofErr w:type="spellEnd"/>
      <w:r w:rsidRPr="00616E74">
        <w:rPr>
          <w:rFonts w:eastAsia="SimSun"/>
          <w:lang w:eastAsia="zh-CN"/>
        </w:rPr>
        <w:t xml:space="preserve">); European Confederation of Fuel Distributors (ECFD); European Federation of Waste Management and Environmental Services (FEAD); International Organization of Motor Vehicle Manufacturers (OICA); International Dangerous Goods and Containers Association (IDGCA); and International Road Transport Union (IRU). The </w:t>
      </w:r>
      <w:proofErr w:type="spellStart"/>
      <w:r w:rsidRPr="00616E74">
        <w:rPr>
          <w:rFonts w:eastAsia="SimSun"/>
          <w:lang w:eastAsia="zh-CN"/>
        </w:rPr>
        <w:t>EuroMed</w:t>
      </w:r>
      <w:proofErr w:type="spellEnd"/>
      <w:r w:rsidRPr="00616E74">
        <w:rPr>
          <w:rFonts w:eastAsia="SimSun"/>
          <w:lang w:eastAsia="zh-CN"/>
        </w:rPr>
        <w:t xml:space="preserve"> Transport Support Project (TSP) was also represented.</w:t>
      </w:r>
    </w:p>
    <w:p w14:paraId="6E8B727B" w14:textId="77777777"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tab/>
        <w:t>II.</w:t>
      </w:r>
      <w:r w:rsidRPr="00616E74">
        <w:rPr>
          <w:b/>
          <w:sz w:val="28"/>
          <w:lang w:eastAsia="en-US"/>
        </w:rPr>
        <w:tab/>
        <w:t>Adoption of the agenda (agenda item 1)</w:t>
      </w:r>
      <w:bookmarkStart w:id="2" w:name="_Hlk6316889"/>
      <w:bookmarkStart w:id="3" w:name="_Toc499903630"/>
      <w:bookmarkEnd w:id="2"/>
      <w:bookmarkEnd w:id="3"/>
    </w:p>
    <w:p w14:paraId="76B3D835" w14:textId="2F2BC18C" w:rsidR="00616E74" w:rsidRPr="00616E74" w:rsidRDefault="00616E74" w:rsidP="00D1512B">
      <w:pPr>
        <w:tabs>
          <w:tab w:val="left" w:pos="1701"/>
          <w:tab w:val="left" w:pos="3402"/>
        </w:tabs>
        <w:spacing w:after="120"/>
        <w:ind w:left="1134" w:right="1134"/>
        <w:jc w:val="both"/>
        <w:rPr>
          <w:rFonts w:eastAsia="SimSun"/>
          <w:lang w:eastAsia="zh-CN"/>
        </w:rPr>
      </w:pPr>
      <w:r w:rsidRPr="00616E74">
        <w:rPr>
          <w:rFonts w:eastAsia="SimSun"/>
          <w:i/>
          <w:iCs/>
          <w:lang w:eastAsia="zh-CN"/>
        </w:rPr>
        <w:t>Documents</w:t>
      </w:r>
      <w:r w:rsidRPr="00616E74">
        <w:rPr>
          <w:rFonts w:eastAsia="SimSun"/>
          <w:lang w:eastAsia="zh-CN"/>
        </w:rPr>
        <w:t>:</w:t>
      </w:r>
      <w:r w:rsidRPr="00616E74">
        <w:rPr>
          <w:rFonts w:eastAsia="SimSun"/>
          <w:lang w:eastAsia="zh-CN"/>
        </w:rPr>
        <w:tab/>
        <w:t xml:space="preserve">ECE/TRANS/WP.15/259 and </w:t>
      </w:r>
      <w:proofErr w:type="gramStart"/>
      <w:r w:rsidRPr="00616E74">
        <w:rPr>
          <w:rFonts w:eastAsia="SimSun"/>
          <w:lang w:eastAsia="zh-CN"/>
        </w:rPr>
        <w:t>Add</w:t>
      </w:r>
      <w:proofErr w:type="gramEnd"/>
      <w:r w:rsidRPr="00616E74">
        <w:rPr>
          <w:rFonts w:eastAsia="SimSun"/>
          <w:lang w:eastAsia="zh-CN"/>
        </w:rPr>
        <w:t>.1 (secretariat)</w:t>
      </w:r>
    </w:p>
    <w:p w14:paraId="6C7A6F73" w14:textId="77777777" w:rsidR="00616E74" w:rsidRPr="00616E74" w:rsidRDefault="00616E74" w:rsidP="00D1512B">
      <w:pPr>
        <w:tabs>
          <w:tab w:val="left" w:pos="1701"/>
          <w:tab w:val="left" w:pos="3402"/>
        </w:tabs>
        <w:spacing w:after="120"/>
        <w:ind w:left="1134" w:right="1134"/>
        <w:jc w:val="both"/>
        <w:rPr>
          <w:rFonts w:eastAsia="SimSun"/>
          <w:lang w:eastAsia="zh-CN"/>
        </w:rPr>
      </w:pPr>
      <w:r w:rsidRPr="00616E74">
        <w:rPr>
          <w:rFonts w:eastAsia="SimSun"/>
          <w:i/>
          <w:iCs/>
          <w:lang w:eastAsia="zh-CN"/>
        </w:rPr>
        <w:t>Informal documents</w:t>
      </w:r>
      <w:r w:rsidRPr="00616E74">
        <w:rPr>
          <w:rFonts w:eastAsia="SimSun"/>
          <w:lang w:eastAsia="zh-CN"/>
        </w:rPr>
        <w:t>:</w:t>
      </w:r>
      <w:r w:rsidRPr="00616E74">
        <w:rPr>
          <w:rFonts w:eastAsia="SimSun"/>
          <w:lang w:eastAsia="zh-CN"/>
        </w:rPr>
        <w:tab/>
        <w:t>INF.1, INF.2 and INF.5/Rev.1 (secretariat)</w:t>
      </w:r>
    </w:p>
    <w:p w14:paraId="301274E8" w14:textId="0BEC5C9A"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9.</w:t>
      </w:r>
      <w:r w:rsidRPr="00616E74">
        <w:rPr>
          <w:rFonts w:eastAsia="SimSun"/>
          <w:lang w:eastAsia="zh-CN"/>
        </w:rPr>
        <w:tab/>
        <w:t xml:space="preserve">The Working Party adopted the provisional agenda prepared by the secretariat, as amended by informal document INF.2 to take account of informal documents INF.1 to INF.11. </w:t>
      </w:r>
    </w:p>
    <w:p w14:paraId="2292634F" w14:textId="77777777" w:rsidR="0060422F" w:rsidRDefault="0060422F">
      <w:pPr>
        <w:suppressAutoHyphens w:val="0"/>
        <w:spacing w:line="240" w:lineRule="auto"/>
        <w:rPr>
          <w:b/>
          <w:sz w:val="28"/>
          <w:lang w:eastAsia="en-US"/>
        </w:rPr>
      </w:pPr>
      <w:r>
        <w:rPr>
          <w:b/>
          <w:sz w:val="28"/>
          <w:lang w:eastAsia="en-US"/>
        </w:rPr>
        <w:br w:type="page"/>
      </w:r>
    </w:p>
    <w:p w14:paraId="4F1BB1EF" w14:textId="3AA3376F"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lastRenderedPageBreak/>
        <w:tab/>
        <w:t>III.</w:t>
      </w:r>
      <w:r w:rsidRPr="00616E74">
        <w:rPr>
          <w:b/>
          <w:sz w:val="28"/>
          <w:lang w:eastAsia="en-US"/>
        </w:rPr>
        <w:tab/>
        <w:t>Eighty-fourth session of the Inland Transport Committee (ITC) (agenda item 2)</w:t>
      </w:r>
    </w:p>
    <w:p w14:paraId="74860CDD" w14:textId="37363E17" w:rsidR="00616E74" w:rsidRPr="00616E74" w:rsidRDefault="00616E74" w:rsidP="004706EB">
      <w:pPr>
        <w:spacing w:after="120"/>
        <w:ind w:left="3402" w:right="1134" w:hanging="2268"/>
        <w:jc w:val="both"/>
        <w:rPr>
          <w:rFonts w:eastAsia="SimSun"/>
          <w:lang w:eastAsia="zh-CN"/>
        </w:rPr>
      </w:pPr>
      <w:r w:rsidRPr="00616E74">
        <w:rPr>
          <w:rFonts w:eastAsia="SimSun"/>
          <w:i/>
          <w:iCs/>
          <w:lang w:eastAsia="zh-CN"/>
        </w:rPr>
        <w:t>Document</w:t>
      </w:r>
      <w:r w:rsidRPr="00616E74">
        <w:rPr>
          <w:rFonts w:eastAsia="SimSun"/>
          <w:lang w:eastAsia="zh-CN"/>
        </w:rPr>
        <w:t>:</w:t>
      </w:r>
      <w:r w:rsidRPr="00616E74">
        <w:rPr>
          <w:rFonts w:eastAsia="SimSun"/>
          <w:lang w:eastAsia="zh-CN"/>
        </w:rPr>
        <w:tab/>
      </w:r>
      <w:r w:rsidRPr="00616E74">
        <w:rPr>
          <w:rFonts w:eastAsia="SimSun"/>
          <w:u w:val="single"/>
          <w:lang w:eastAsia="zh-CN"/>
        </w:rPr>
        <w:tab/>
      </w:r>
      <w:r w:rsidRPr="00616E74">
        <w:rPr>
          <w:rFonts w:eastAsia="SimSun"/>
          <w:lang w:eastAsia="zh-CN"/>
        </w:rPr>
        <w:t>ECE/TRANS/316, -/Add.1 and -/Add.2 (Report of the Inland Transport Committee on its eighty-fourth session)</w:t>
      </w:r>
    </w:p>
    <w:p w14:paraId="55A881D4"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10.</w:t>
      </w:r>
      <w:r w:rsidRPr="00616E74">
        <w:rPr>
          <w:rFonts w:eastAsia="SimSun"/>
          <w:lang w:eastAsia="zh-CN"/>
        </w:rPr>
        <w:tab/>
        <w:t xml:space="preserve">The Working Group noted that the ITC report on its eighty-fourth session was available in English, French and Russian. </w:t>
      </w:r>
    </w:p>
    <w:p w14:paraId="3C89927C" w14:textId="77777777"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tab/>
        <w:t>IV.</w:t>
      </w:r>
      <w:r w:rsidRPr="00616E74">
        <w:rPr>
          <w:b/>
          <w:sz w:val="28"/>
          <w:lang w:eastAsia="en-US"/>
        </w:rPr>
        <w:tab/>
        <w:t>Status of the Agreement concerning the International Carriage of Dangerous Goods by Road (ADR) and related issues (agenda item 3)</w:t>
      </w:r>
    </w:p>
    <w:p w14:paraId="04C56B2E" w14:textId="05A928B6" w:rsidR="00616E74" w:rsidRPr="00616E74" w:rsidRDefault="00616E74" w:rsidP="00616E74">
      <w:pPr>
        <w:keepNext/>
        <w:keepLines/>
        <w:tabs>
          <w:tab w:val="right" w:pos="851"/>
        </w:tabs>
        <w:spacing w:before="360" w:after="240" w:line="270" w:lineRule="exact"/>
        <w:ind w:left="1134" w:right="1134" w:hanging="1134"/>
        <w:outlineLvl w:val="2"/>
        <w:rPr>
          <w:rFonts w:eastAsia="Calibri"/>
          <w:b/>
          <w:sz w:val="24"/>
          <w:lang w:eastAsia="en-US"/>
        </w:rPr>
      </w:pPr>
      <w:r w:rsidRPr="00616E74">
        <w:rPr>
          <w:b/>
          <w:sz w:val="24"/>
          <w:lang w:eastAsia="en-US"/>
        </w:rPr>
        <w:tab/>
        <w:t>A.</w:t>
      </w:r>
      <w:r w:rsidRPr="00616E74">
        <w:rPr>
          <w:b/>
          <w:sz w:val="24"/>
          <w:lang w:eastAsia="en-US"/>
        </w:rPr>
        <w:tab/>
        <w:t>Status of the Agreement</w:t>
      </w:r>
    </w:p>
    <w:p w14:paraId="24AD65CE"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11.</w:t>
      </w:r>
      <w:r w:rsidRPr="00616E74">
        <w:rPr>
          <w:rFonts w:eastAsia="SimSun"/>
          <w:lang w:eastAsia="zh-CN"/>
        </w:rPr>
        <w:tab/>
        <w:t>The Working Party welcomed the accession of Uganda to ADR (depositary notification C.N. 278.2022. TREATIES-XI.B.14), which brought the number of contracting parties to 54.</w:t>
      </w:r>
    </w:p>
    <w:p w14:paraId="2B275C1D"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12.</w:t>
      </w:r>
      <w:r w:rsidRPr="00616E74">
        <w:rPr>
          <w:rFonts w:eastAsia="SimSun"/>
          <w:lang w:eastAsia="zh-CN"/>
        </w:rPr>
        <w:tab/>
        <w:t>The Working Party noted that the new accession brought the quorum for taking decisions on ADR to 18 contracting parties.</w:t>
      </w:r>
    </w:p>
    <w:p w14:paraId="20059AEE"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13.</w:t>
      </w:r>
      <w:r w:rsidRPr="00616E74">
        <w:rPr>
          <w:rFonts w:eastAsia="SimSun"/>
          <w:lang w:eastAsia="zh-CN"/>
        </w:rPr>
        <w:tab/>
        <w:t xml:space="preserve">The Chair recalled that participation in the Working Party sessions was an excellent way to meet counterparts, share feedback and discuss implementation issues and that all countries that were contracting parties to ADR had equal opportunities to shape its development by submitting proposals for amendments and thus have a say in future changes to the regulations. </w:t>
      </w:r>
    </w:p>
    <w:p w14:paraId="12156080" w14:textId="7777777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14.</w:t>
      </w:r>
      <w:r w:rsidRPr="00616E74">
        <w:rPr>
          <w:rFonts w:eastAsia="SimSun"/>
          <w:lang w:eastAsia="zh-CN"/>
        </w:rPr>
        <w:tab/>
        <w:t>The Working Party recommended that all countries that were contracting parties to ADR, all countries wishing to accede to ADR and all countries applying or intending to apply the provisions of the annexes to ADR as national regulations participate in its meetings.</w:t>
      </w:r>
    </w:p>
    <w:p w14:paraId="5923BF47" w14:textId="21107EBB"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15.</w:t>
      </w:r>
      <w:r w:rsidRPr="00616E74">
        <w:rPr>
          <w:rFonts w:eastAsia="SimSun"/>
          <w:lang w:eastAsia="zh-CN"/>
        </w:rPr>
        <w:tab/>
        <w:t xml:space="preserve">The secretariat noted that, in section 1.8.4 of ADR, contracting parties were asked to communicate to ECE the addresses of the authorities and bodies designated by them which were competent </w:t>
      </w:r>
      <w:r w:rsidR="00E96732" w:rsidRPr="00616E74">
        <w:rPr>
          <w:rFonts w:eastAsia="SimSun"/>
          <w:lang w:eastAsia="zh-CN"/>
        </w:rPr>
        <w:t xml:space="preserve">to implement ADR </w:t>
      </w:r>
      <w:r w:rsidRPr="00616E74">
        <w:rPr>
          <w:rFonts w:eastAsia="SimSun"/>
          <w:lang w:eastAsia="zh-CN"/>
        </w:rPr>
        <w:t xml:space="preserve">in accordance with national law. The contracting parties were invited to check the contact details of competent authorities notified to the secretariat published at: </w:t>
      </w:r>
      <w:hyperlink r:id="rId12" w:history="1">
        <w:r w:rsidRPr="00616E74">
          <w:rPr>
            <w:rFonts w:eastAsia="SimSun"/>
            <w:color w:val="0000FF"/>
          </w:rPr>
          <w:t>https://unece.org/transport/dangerous-goods/country-information-competent-authorities-notifications</w:t>
        </w:r>
      </w:hyperlink>
      <w:r w:rsidRPr="00616E74">
        <w:rPr>
          <w:rFonts w:eastAsia="SimSun"/>
          <w:lang w:eastAsia="zh-CN"/>
        </w:rPr>
        <w:t>.</w:t>
      </w:r>
    </w:p>
    <w:p w14:paraId="4B6DEA26" w14:textId="2F0B9BF7"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16.</w:t>
      </w:r>
      <w:r w:rsidRPr="00616E74">
        <w:rPr>
          <w:rFonts w:eastAsia="SimSun"/>
          <w:lang w:eastAsia="zh-CN"/>
        </w:rPr>
        <w:tab/>
        <w:t xml:space="preserve">The secretariat also recalled that the competent authorities should transmit other information relevant to the implementation of ADR and to promoting dialogue and communication among competent authorities. That concerned, for example, the translation of written instructions and models of training certificates for ADR drivers. The secretariat noted that a table summarizing the main information to be communicated to the secretariat could be found in the annex to the Road Map for the accession and implementation of ADR (see also paragraph </w:t>
      </w:r>
      <w:r w:rsidR="00AB3877" w:rsidRPr="00AB3877">
        <w:rPr>
          <w:rFonts w:eastAsia="SimSun"/>
          <w:lang w:eastAsia="zh-CN"/>
        </w:rPr>
        <w:t>57</w:t>
      </w:r>
      <w:r w:rsidRPr="00616E74">
        <w:rPr>
          <w:rFonts w:eastAsia="SimSun"/>
          <w:lang w:eastAsia="zh-CN"/>
        </w:rPr>
        <w:t>).</w:t>
      </w:r>
    </w:p>
    <w:p w14:paraId="52BC8819" w14:textId="39231AD5"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17.</w:t>
      </w:r>
      <w:r w:rsidRPr="00616E74">
        <w:rPr>
          <w:rFonts w:eastAsia="SimSun"/>
          <w:lang w:eastAsia="zh-CN"/>
        </w:rPr>
        <w:tab/>
        <w:t>The Working Party noted that the amendments adopted in the preceding two years (ECE/TRANS/WP.15/256 and Corr.1 and ECE/TRANS/WP.15/256/Add.1) had been proposed to the contracting parties by the Government of France and had been deemed to be accepted for entry into force on 1 January 2023 (depositary notification C.N. 171.2022.TREATIES-XI.B.14 of 6 July 2022 and C.N.350.2022.TREATIES-XI-B.14 of 13 October 2022).</w:t>
      </w:r>
    </w:p>
    <w:p w14:paraId="25BE0E2F" w14:textId="77777777" w:rsidR="00616E74" w:rsidRPr="00616E74" w:rsidRDefault="00616E74" w:rsidP="00616E74">
      <w:pPr>
        <w:keepNext/>
        <w:keepLines/>
        <w:tabs>
          <w:tab w:val="right" w:pos="851"/>
        </w:tabs>
        <w:spacing w:before="360" w:after="240" w:line="270" w:lineRule="exact"/>
        <w:ind w:left="1134" w:right="1134" w:hanging="1134"/>
        <w:outlineLvl w:val="2"/>
        <w:rPr>
          <w:rFonts w:eastAsia="Calibri"/>
          <w:b/>
          <w:sz w:val="24"/>
          <w:lang w:eastAsia="en-US"/>
        </w:rPr>
      </w:pPr>
      <w:r w:rsidRPr="00616E74">
        <w:rPr>
          <w:b/>
          <w:sz w:val="24"/>
          <w:lang w:eastAsia="en-US"/>
        </w:rPr>
        <w:tab/>
        <w:t>B.</w:t>
      </w:r>
      <w:r w:rsidRPr="00616E74">
        <w:rPr>
          <w:b/>
          <w:sz w:val="24"/>
          <w:lang w:eastAsia="en-US"/>
        </w:rPr>
        <w:tab/>
        <w:t>Protocol of amendment of 1993</w:t>
      </w:r>
    </w:p>
    <w:p w14:paraId="0732F885" w14:textId="07DC22C3"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18.</w:t>
      </w:r>
      <w:r w:rsidRPr="00616E74">
        <w:rPr>
          <w:rFonts w:eastAsia="SimSun"/>
          <w:lang w:eastAsia="zh-CN"/>
        </w:rPr>
        <w:tab/>
        <w:t xml:space="preserve">The Working Party urged the countries that had not yet deposited the required legal instruments for the Protocol to enter into force (Armenia, Azerbaijan, Belarus, Bosnia and Herzegovina, Croatia, Iceland, Kazakhstan, Montenegro, Morocco, North Macedonia, </w:t>
      </w:r>
      <w:r w:rsidRPr="00616E74">
        <w:rPr>
          <w:rFonts w:eastAsia="SimSun"/>
          <w:lang w:eastAsia="zh-CN"/>
        </w:rPr>
        <w:lastRenderedPageBreak/>
        <w:t xml:space="preserve">Nigeria, San Marino, </w:t>
      </w:r>
      <w:proofErr w:type="gramStart"/>
      <w:r w:rsidRPr="00616E74">
        <w:rPr>
          <w:rFonts w:eastAsia="SimSun"/>
          <w:lang w:eastAsia="zh-CN"/>
        </w:rPr>
        <w:t>Tajikistan</w:t>
      </w:r>
      <w:proofErr w:type="gramEnd"/>
      <w:r w:rsidRPr="00616E74">
        <w:rPr>
          <w:rFonts w:eastAsia="SimSun"/>
          <w:lang w:eastAsia="zh-CN"/>
        </w:rPr>
        <w:t xml:space="preserve"> and Uganda) to take the necessary measures to ratify or accede to it so that it could come into effect.</w:t>
      </w:r>
    </w:p>
    <w:p w14:paraId="4974B8D1" w14:textId="77777777"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tab/>
        <w:t>V.</w:t>
      </w:r>
      <w:r w:rsidRPr="00616E74">
        <w:rPr>
          <w:b/>
          <w:sz w:val="28"/>
          <w:lang w:eastAsia="en-US"/>
        </w:rPr>
        <w:tab/>
        <w:t>Work of the RID/ADR/ADN Joint Meeting (agenda item 4)</w:t>
      </w:r>
    </w:p>
    <w:p w14:paraId="1DE3141A" w14:textId="77777777" w:rsidR="00616E74" w:rsidRPr="00616E74" w:rsidRDefault="00616E74" w:rsidP="00EA0D1A">
      <w:pPr>
        <w:tabs>
          <w:tab w:val="left" w:pos="1701"/>
          <w:tab w:val="left" w:pos="3402"/>
        </w:tabs>
        <w:spacing w:after="120"/>
        <w:ind w:left="1134" w:right="1134"/>
        <w:jc w:val="both"/>
        <w:rPr>
          <w:rFonts w:eastAsia="SimSun"/>
          <w:lang w:eastAsia="zh-CN"/>
        </w:rPr>
      </w:pPr>
      <w:r w:rsidRPr="00616E74">
        <w:rPr>
          <w:rFonts w:eastAsia="SimSun"/>
          <w:i/>
          <w:iCs/>
          <w:lang w:eastAsia="zh-CN"/>
        </w:rPr>
        <w:t>Informal document</w:t>
      </w:r>
      <w:r w:rsidRPr="00616E74">
        <w:rPr>
          <w:rFonts w:eastAsia="SimSun"/>
          <w:lang w:eastAsia="zh-CN"/>
        </w:rPr>
        <w:t>:</w:t>
      </w:r>
      <w:r w:rsidRPr="00616E74">
        <w:rPr>
          <w:rFonts w:eastAsia="SimSun"/>
          <w:lang w:eastAsia="zh-CN"/>
        </w:rPr>
        <w:tab/>
        <w:t>INF.7 (secretariat)</w:t>
      </w:r>
    </w:p>
    <w:p w14:paraId="2B86EBAF" w14:textId="027AC1EE" w:rsidR="00616E74" w:rsidRPr="00616E74" w:rsidRDefault="00616E74" w:rsidP="00616E74">
      <w:pPr>
        <w:tabs>
          <w:tab w:val="left" w:pos="1701"/>
          <w:tab w:val="left" w:pos="2268"/>
        </w:tabs>
        <w:spacing w:after="120"/>
        <w:ind w:left="1134" w:right="1134"/>
        <w:jc w:val="both"/>
        <w:rPr>
          <w:rFonts w:eastAsia="SimSun"/>
          <w:lang w:eastAsia="zh-CN"/>
        </w:rPr>
      </w:pPr>
      <w:r w:rsidRPr="00616E74">
        <w:rPr>
          <w:rFonts w:eastAsia="SimSun"/>
          <w:lang w:eastAsia="zh-CN"/>
        </w:rPr>
        <w:t>19.</w:t>
      </w:r>
      <w:r w:rsidRPr="00616E74">
        <w:rPr>
          <w:rFonts w:eastAsia="SimSun"/>
          <w:lang w:eastAsia="zh-CN"/>
        </w:rPr>
        <w:tab/>
        <w:t>The amendments were adopted for entry into force on 1 January 2025, with the removal of the square brackets around the date of the standard EN 13799:2022, which had been published (see annex).</w:t>
      </w:r>
    </w:p>
    <w:p w14:paraId="350F8FEA" w14:textId="77777777" w:rsidR="00695029" w:rsidRPr="00695029" w:rsidRDefault="00695029" w:rsidP="00695029">
      <w:pPr>
        <w:keepNext/>
        <w:keepLines/>
        <w:tabs>
          <w:tab w:val="right" w:pos="851"/>
        </w:tabs>
        <w:spacing w:before="360" w:after="240" w:line="300" w:lineRule="exact"/>
        <w:ind w:left="1134" w:right="1134" w:hanging="1134"/>
        <w:outlineLvl w:val="1"/>
        <w:rPr>
          <w:b/>
          <w:sz w:val="28"/>
          <w:lang w:val="en-US" w:eastAsia="en-US"/>
        </w:rPr>
      </w:pPr>
      <w:r w:rsidRPr="00695029">
        <w:rPr>
          <w:b/>
          <w:sz w:val="28"/>
          <w:lang w:eastAsia="en-US"/>
        </w:rPr>
        <w:tab/>
        <w:t>VI.</w:t>
      </w:r>
      <w:r w:rsidRPr="00695029">
        <w:rPr>
          <w:b/>
          <w:sz w:val="28"/>
          <w:lang w:eastAsia="en-US"/>
        </w:rPr>
        <w:tab/>
        <w:t>Proposals for amendments to Annexes A and B of ADR (agenda item 5)</w:t>
      </w:r>
    </w:p>
    <w:p w14:paraId="314AFA99" w14:textId="77777777" w:rsidR="00823CFB" w:rsidRPr="00823CFB" w:rsidRDefault="00823CFB" w:rsidP="00823CFB">
      <w:pPr>
        <w:keepNext/>
        <w:keepLines/>
        <w:tabs>
          <w:tab w:val="right" w:pos="851"/>
        </w:tabs>
        <w:spacing w:before="360" w:after="240" w:line="270" w:lineRule="exact"/>
        <w:ind w:left="1134" w:right="1134" w:hanging="1134"/>
        <w:rPr>
          <w:rFonts w:eastAsia="Calibri"/>
          <w:b/>
          <w:sz w:val="24"/>
          <w:szCs w:val="24"/>
          <w:lang w:val="en-US" w:eastAsia="en-US"/>
        </w:rPr>
      </w:pPr>
      <w:r w:rsidRPr="00823CFB">
        <w:rPr>
          <w:b/>
          <w:bCs/>
          <w:sz w:val="24"/>
          <w:szCs w:val="24"/>
          <w:lang w:eastAsia="en-US"/>
        </w:rPr>
        <w:tab/>
        <w:t>A.</w:t>
      </w:r>
      <w:r w:rsidRPr="00823CFB">
        <w:rPr>
          <w:sz w:val="24"/>
          <w:szCs w:val="24"/>
          <w:lang w:eastAsia="en-US"/>
        </w:rPr>
        <w:tab/>
        <w:t>C</w:t>
      </w:r>
      <w:r w:rsidRPr="00823CFB">
        <w:rPr>
          <w:b/>
          <w:bCs/>
          <w:sz w:val="24"/>
          <w:szCs w:val="24"/>
          <w:lang w:eastAsia="en-US"/>
        </w:rPr>
        <w:t>onstruction and approval of vehicles</w:t>
      </w:r>
    </w:p>
    <w:p w14:paraId="247C95FA" w14:textId="77777777" w:rsidR="00823CFB" w:rsidRPr="00823CFB" w:rsidRDefault="00823CFB" w:rsidP="00823CFB">
      <w:pPr>
        <w:keepNext/>
        <w:keepLines/>
        <w:tabs>
          <w:tab w:val="right" w:pos="851"/>
        </w:tabs>
        <w:spacing w:before="240" w:after="120" w:line="240" w:lineRule="exact"/>
        <w:ind w:left="1134" w:right="1134" w:hanging="1134"/>
        <w:outlineLvl w:val="3"/>
        <w:rPr>
          <w:b/>
          <w:lang w:val="en-US" w:eastAsia="en-US"/>
        </w:rPr>
      </w:pPr>
      <w:r w:rsidRPr="00823CFB">
        <w:rPr>
          <w:b/>
          <w:bCs/>
          <w:lang w:eastAsia="en-US"/>
        </w:rPr>
        <w:tab/>
        <w:t>1.</w:t>
      </w:r>
      <w:r w:rsidRPr="00823CFB">
        <w:rPr>
          <w:b/>
          <w:lang w:eastAsia="en-US"/>
        </w:rPr>
        <w:tab/>
      </w:r>
      <w:r w:rsidRPr="00823CFB">
        <w:rPr>
          <w:b/>
          <w:bCs/>
          <w:lang w:eastAsia="en-US"/>
        </w:rPr>
        <w:t>Publication dates of standards in 9.2.2.2.2</w:t>
      </w:r>
    </w:p>
    <w:p w14:paraId="5A925BDB" w14:textId="77777777" w:rsidR="00823CFB" w:rsidRPr="00823CFB" w:rsidRDefault="00823CFB" w:rsidP="00823CFB">
      <w:pPr>
        <w:spacing w:after="120"/>
        <w:ind w:left="3402" w:right="1134" w:hanging="2268"/>
        <w:jc w:val="both"/>
        <w:rPr>
          <w:lang w:eastAsia="en-US"/>
        </w:rPr>
      </w:pPr>
      <w:r w:rsidRPr="00823CFB">
        <w:rPr>
          <w:i/>
          <w:iCs/>
          <w:lang w:eastAsia="en-US"/>
        </w:rPr>
        <w:t>Document</w:t>
      </w:r>
      <w:r w:rsidRPr="00823CFB">
        <w:rPr>
          <w:lang w:eastAsia="en-US"/>
        </w:rPr>
        <w:t>:</w:t>
      </w:r>
      <w:r w:rsidRPr="00823CFB">
        <w:rPr>
          <w:lang w:eastAsia="en-US"/>
        </w:rPr>
        <w:tab/>
        <w:t>ECE/TRANS/WP.15/2022/8 (secretariat)</w:t>
      </w:r>
    </w:p>
    <w:p w14:paraId="3BDAB7B3" w14:textId="3C9CED48" w:rsidR="00823CFB" w:rsidRPr="00823CFB" w:rsidRDefault="001B07DD" w:rsidP="00823CFB">
      <w:pPr>
        <w:tabs>
          <w:tab w:val="left" w:pos="1701"/>
          <w:tab w:val="left" w:pos="2268"/>
        </w:tabs>
        <w:spacing w:after="120"/>
        <w:ind w:left="1134" w:right="1134"/>
        <w:jc w:val="both"/>
        <w:rPr>
          <w:rFonts w:eastAsia="SimSun"/>
          <w:lang w:val="en-US" w:eastAsia="zh-CN"/>
        </w:rPr>
      </w:pPr>
      <w:r>
        <w:rPr>
          <w:rFonts w:eastAsia="SimSun"/>
          <w:lang w:eastAsia="zh-CN"/>
        </w:rPr>
        <w:t>20</w:t>
      </w:r>
      <w:r w:rsidR="00823CFB" w:rsidRPr="00823CFB">
        <w:rPr>
          <w:rFonts w:eastAsia="SimSun"/>
          <w:lang w:eastAsia="zh-CN"/>
        </w:rPr>
        <w:t>.</w:t>
      </w:r>
      <w:r w:rsidR="00823CFB" w:rsidRPr="00823CFB">
        <w:rPr>
          <w:rFonts w:eastAsia="SimSun"/>
          <w:lang w:eastAsia="zh-CN"/>
        </w:rPr>
        <w:tab/>
        <w:t>The proposed amendment to 9.2.2.2.2 was adopted (see annex).</w:t>
      </w:r>
    </w:p>
    <w:p w14:paraId="50C63162" w14:textId="77777777" w:rsidR="00823CFB" w:rsidRPr="00823CFB" w:rsidRDefault="00823CFB" w:rsidP="00823CFB">
      <w:pPr>
        <w:keepNext/>
        <w:keepLines/>
        <w:tabs>
          <w:tab w:val="right" w:pos="851"/>
        </w:tabs>
        <w:spacing w:before="240" w:after="120" w:line="240" w:lineRule="exact"/>
        <w:ind w:left="1134" w:right="1134" w:hanging="1134"/>
        <w:outlineLvl w:val="3"/>
        <w:rPr>
          <w:b/>
          <w:lang w:val="en-US" w:eastAsia="en-US"/>
        </w:rPr>
      </w:pPr>
      <w:r w:rsidRPr="00823CFB">
        <w:rPr>
          <w:b/>
          <w:bCs/>
          <w:lang w:eastAsia="en-US"/>
        </w:rPr>
        <w:tab/>
        <w:t>2.</w:t>
      </w:r>
      <w:r w:rsidRPr="00823CFB">
        <w:rPr>
          <w:b/>
          <w:lang w:eastAsia="en-US"/>
        </w:rPr>
        <w:tab/>
      </w:r>
      <w:r w:rsidRPr="00823CFB">
        <w:rPr>
          <w:b/>
          <w:bCs/>
          <w:lang w:eastAsia="en-US"/>
        </w:rPr>
        <w:t>Report of the informal working group on electrified vehicles</w:t>
      </w:r>
    </w:p>
    <w:p w14:paraId="5E6150E5" w14:textId="77777777" w:rsidR="00823CFB" w:rsidRPr="00823CFB" w:rsidRDefault="00823CFB" w:rsidP="00823CFB">
      <w:pPr>
        <w:spacing w:after="120"/>
        <w:ind w:left="3402" w:right="1134" w:hanging="2268"/>
        <w:rPr>
          <w:lang w:val="en-US" w:eastAsia="en-US"/>
        </w:rPr>
      </w:pPr>
      <w:r w:rsidRPr="00823CFB">
        <w:rPr>
          <w:i/>
          <w:iCs/>
          <w:lang w:eastAsia="en-US"/>
        </w:rPr>
        <w:t>Informal document:</w:t>
      </w:r>
      <w:r w:rsidRPr="00823CFB">
        <w:rPr>
          <w:lang w:eastAsia="en-US"/>
        </w:rPr>
        <w:tab/>
        <w:t>INF.6 (Netherlands, on behalf of the informal working group on electrified vehicles)</w:t>
      </w:r>
    </w:p>
    <w:p w14:paraId="5669484B" w14:textId="6B47C8D5" w:rsidR="00823CFB" w:rsidRPr="00823CFB" w:rsidRDefault="001B07DD" w:rsidP="00823CFB">
      <w:pPr>
        <w:tabs>
          <w:tab w:val="left" w:pos="1701"/>
          <w:tab w:val="left" w:pos="2268"/>
        </w:tabs>
        <w:spacing w:after="120"/>
        <w:ind w:left="1134" w:right="1134"/>
        <w:jc w:val="both"/>
        <w:rPr>
          <w:rFonts w:eastAsia="Calibri"/>
          <w:lang w:val="en-US" w:eastAsia="zh-CN"/>
        </w:rPr>
      </w:pPr>
      <w:r>
        <w:rPr>
          <w:rFonts w:eastAsia="SimSun"/>
          <w:lang w:eastAsia="zh-CN"/>
        </w:rPr>
        <w:t>21</w:t>
      </w:r>
      <w:r w:rsidR="00823CFB" w:rsidRPr="00823CFB">
        <w:rPr>
          <w:rFonts w:eastAsia="SimSun"/>
          <w:lang w:eastAsia="zh-CN"/>
        </w:rPr>
        <w:t>.</w:t>
      </w:r>
      <w:r w:rsidR="00823CFB" w:rsidRPr="00823CFB">
        <w:rPr>
          <w:rFonts w:eastAsia="SimSun"/>
          <w:lang w:eastAsia="zh-CN"/>
        </w:rPr>
        <w:tab/>
        <w:t xml:space="preserve">The representative of the Netherlands, as Chair of the informal working group on electrified vehicles, presented a report on the progress of its work. </w:t>
      </w:r>
    </w:p>
    <w:p w14:paraId="20073CB1" w14:textId="3BF07FE0" w:rsidR="00823CFB" w:rsidRPr="00823CFB" w:rsidRDefault="001B07DD" w:rsidP="00823CFB">
      <w:pPr>
        <w:spacing w:after="120"/>
        <w:ind w:left="1134" w:right="1134"/>
        <w:jc w:val="both"/>
        <w:rPr>
          <w:rFonts w:eastAsia="Calibri"/>
          <w:lang w:val="en-US" w:eastAsia="en-US"/>
        </w:rPr>
      </w:pPr>
      <w:r>
        <w:rPr>
          <w:lang w:eastAsia="en-US"/>
        </w:rPr>
        <w:t>22</w:t>
      </w:r>
      <w:r w:rsidR="00823CFB" w:rsidRPr="00823CFB">
        <w:rPr>
          <w:lang w:eastAsia="en-US"/>
        </w:rPr>
        <w:t>.</w:t>
      </w:r>
      <w:r w:rsidR="00823CFB" w:rsidRPr="00823CFB">
        <w:rPr>
          <w:lang w:eastAsia="en-US"/>
        </w:rPr>
        <w:tab/>
        <w:t>The Working Party confirmed the approach proposed by the informal working group, namely:</w:t>
      </w:r>
    </w:p>
    <w:p w14:paraId="50B004CD" w14:textId="77777777" w:rsidR="00823CFB" w:rsidRPr="00823CFB" w:rsidRDefault="00823CFB" w:rsidP="00823CFB">
      <w:pPr>
        <w:numPr>
          <w:ilvl w:val="0"/>
          <w:numId w:val="21"/>
        </w:numPr>
        <w:kinsoku w:val="0"/>
        <w:overflowPunct w:val="0"/>
        <w:autoSpaceDE w:val="0"/>
        <w:autoSpaceDN w:val="0"/>
        <w:adjustRightInd w:val="0"/>
        <w:snapToGrid w:val="0"/>
        <w:spacing w:after="120"/>
        <w:ind w:right="1134"/>
        <w:jc w:val="both"/>
        <w:rPr>
          <w:rFonts w:eastAsia="Calibri"/>
          <w:lang w:val="en-US" w:eastAsia="en-US"/>
        </w:rPr>
      </w:pPr>
      <w:r w:rsidRPr="00823CFB">
        <w:rPr>
          <w:lang w:eastAsia="en-US"/>
        </w:rPr>
        <w:t>Include in ADR generic safety objectives for the use of battery electric vehicles as FL vehicles and for the use of hydrogen fuelled vehicles to transport dangerous goods;</w:t>
      </w:r>
    </w:p>
    <w:p w14:paraId="0BB516A6" w14:textId="77777777" w:rsidR="00823CFB" w:rsidRPr="00823CFB" w:rsidRDefault="00823CFB" w:rsidP="00823CFB">
      <w:pPr>
        <w:numPr>
          <w:ilvl w:val="0"/>
          <w:numId w:val="21"/>
        </w:numPr>
        <w:kinsoku w:val="0"/>
        <w:overflowPunct w:val="0"/>
        <w:autoSpaceDE w:val="0"/>
        <w:autoSpaceDN w:val="0"/>
        <w:adjustRightInd w:val="0"/>
        <w:snapToGrid w:val="0"/>
        <w:spacing w:after="120"/>
        <w:ind w:right="1134"/>
        <w:jc w:val="both"/>
        <w:rPr>
          <w:rFonts w:eastAsia="Calibri"/>
          <w:lang w:val="en-US" w:eastAsia="en-US"/>
        </w:rPr>
      </w:pPr>
      <w:r w:rsidRPr="00823CFB">
        <w:rPr>
          <w:lang w:eastAsia="en-US"/>
        </w:rPr>
        <w:t>Invite the World Forum for Harmonization of Vehicle Regulations (WP.29) to amend UN Regulations No. 100 and No. 134 to complete the requirements for the design of those vehicles to ensure that they can be used for those purposes.</w:t>
      </w:r>
    </w:p>
    <w:p w14:paraId="3D32A08B" w14:textId="4AAD458D" w:rsidR="00823CFB" w:rsidRPr="00823CFB" w:rsidRDefault="001B07DD" w:rsidP="00823CFB">
      <w:pPr>
        <w:tabs>
          <w:tab w:val="left" w:pos="1701"/>
          <w:tab w:val="left" w:pos="2268"/>
        </w:tabs>
        <w:spacing w:after="120"/>
        <w:ind w:left="1134" w:right="1134"/>
        <w:jc w:val="both"/>
        <w:rPr>
          <w:rFonts w:eastAsia="Calibri"/>
          <w:lang w:val="en-US" w:eastAsia="zh-CN"/>
        </w:rPr>
      </w:pPr>
      <w:r>
        <w:rPr>
          <w:rFonts w:eastAsia="SimSun"/>
          <w:lang w:eastAsia="zh-CN"/>
        </w:rPr>
        <w:t>23</w:t>
      </w:r>
      <w:r w:rsidR="00823CFB" w:rsidRPr="00823CFB">
        <w:rPr>
          <w:rFonts w:eastAsia="SimSun"/>
          <w:lang w:eastAsia="zh-CN"/>
        </w:rPr>
        <w:t>.</w:t>
      </w:r>
      <w:r w:rsidR="00823CFB" w:rsidRPr="00823CFB">
        <w:rPr>
          <w:rFonts w:eastAsia="SimSun"/>
          <w:lang w:eastAsia="zh-CN"/>
        </w:rPr>
        <w:tab/>
        <w:t xml:space="preserve">The representative of </w:t>
      </w:r>
      <w:proofErr w:type="spellStart"/>
      <w:r w:rsidR="00823CFB" w:rsidRPr="00823CFB">
        <w:rPr>
          <w:rFonts w:eastAsia="SimSun"/>
          <w:lang w:eastAsia="zh-CN"/>
        </w:rPr>
        <w:t>Cefic</w:t>
      </w:r>
      <w:proofErr w:type="spellEnd"/>
      <w:r w:rsidR="00823CFB" w:rsidRPr="00823CFB">
        <w:rPr>
          <w:rFonts w:eastAsia="SimSun"/>
          <w:lang w:eastAsia="zh-CN"/>
        </w:rPr>
        <w:t xml:space="preserve"> presented the ongoing work of the user subgroup and the most concerning scenarios</w:t>
      </w:r>
      <w:r w:rsidR="00823CFB" w:rsidRPr="00823CFB" w:rsidDel="00B66FA5">
        <w:rPr>
          <w:rFonts w:eastAsia="SimSun"/>
          <w:lang w:eastAsia="zh-CN"/>
        </w:rPr>
        <w:t xml:space="preserve"> </w:t>
      </w:r>
      <w:r w:rsidR="00823CFB" w:rsidRPr="00823CFB">
        <w:rPr>
          <w:rFonts w:eastAsia="SimSun"/>
          <w:lang w:eastAsia="zh-CN"/>
        </w:rPr>
        <w:t xml:space="preserve">related to the use of battery electric vehicles and hydrogen fuelled vehicles by fillers, unloaders, </w:t>
      </w:r>
      <w:proofErr w:type="gramStart"/>
      <w:r w:rsidR="00823CFB" w:rsidRPr="00823CFB">
        <w:rPr>
          <w:rFonts w:eastAsia="SimSun"/>
          <w:lang w:val="en-US" w:eastAsia="zh-CN"/>
        </w:rPr>
        <w:t>carriers</w:t>
      </w:r>
      <w:proofErr w:type="gramEnd"/>
      <w:r w:rsidR="00823CFB" w:rsidRPr="00823CFB">
        <w:rPr>
          <w:rFonts w:eastAsia="SimSun"/>
          <w:lang w:val="en-US" w:eastAsia="zh-CN"/>
        </w:rPr>
        <w:t xml:space="preserve"> and consignors</w:t>
      </w:r>
      <w:r w:rsidR="00823CFB" w:rsidRPr="00823CFB">
        <w:rPr>
          <w:rFonts w:eastAsia="SimSun"/>
          <w:lang w:eastAsia="zh-CN"/>
        </w:rPr>
        <w:t>.</w:t>
      </w:r>
    </w:p>
    <w:p w14:paraId="5A45BDDA" w14:textId="7452192C" w:rsidR="00823CFB" w:rsidRPr="00823CFB" w:rsidRDefault="001B07DD" w:rsidP="00823CFB">
      <w:pPr>
        <w:tabs>
          <w:tab w:val="left" w:pos="1701"/>
          <w:tab w:val="left" w:pos="2268"/>
        </w:tabs>
        <w:spacing w:after="120"/>
        <w:ind w:left="1134" w:right="1134"/>
        <w:jc w:val="both"/>
        <w:rPr>
          <w:rFonts w:eastAsia="Calibri"/>
          <w:lang w:val="en-US" w:eastAsia="zh-CN"/>
        </w:rPr>
      </w:pPr>
      <w:r>
        <w:rPr>
          <w:rFonts w:eastAsia="SimSun"/>
          <w:lang w:eastAsia="zh-CN"/>
        </w:rPr>
        <w:t>24</w:t>
      </w:r>
      <w:r w:rsidR="00823CFB" w:rsidRPr="00823CFB">
        <w:rPr>
          <w:rFonts w:eastAsia="SimSun"/>
          <w:lang w:eastAsia="zh-CN"/>
        </w:rPr>
        <w:t>.</w:t>
      </w:r>
      <w:r w:rsidR="00823CFB" w:rsidRPr="00823CFB">
        <w:rPr>
          <w:rFonts w:eastAsia="SimSun"/>
          <w:lang w:eastAsia="zh-CN"/>
        </w:rPr>
        <w:tab/>
        <w:t>The Working Party encouraged the informal working group and its subgroups to continue their work.</w:t>
      </w:r>
    </w:p>
    <w:p w14:paraId="4091275E" w14:textId="0C9C9CDB" w:rsidR="00823CFB" w:rsidRPr="00823CFB" w:rsidRDefault="001B07DD" w:rsidP="00823CFB">
      <w:pPr>
        <w:tabs>
          <w:tab w:val="left" w:pos="1701"/>
          <w:tab w:val="left" w:pos="2268"/>
        </w:tabs>
        <w:spacing w:after="120"/>
        <w:ind w:left="1134" w:right="1134"/>
        <w:jc w:val="both"/>
        <w:rPr>
          <w:rFonts w:eastAsia="Calibri"/>
          <w:lang w:val="en-US" w:eastAsia="zh-CN"/>
        </w:rPr>
      </w:pPr>
      <w:r>
        <w:rPr>
          <w:rFonts w:eastAsia="SimSun"/>
          <w:lang w:eastAsia="zh-CN"/>
        </w:rPr>
        <w:t>25</w:t>
      </w:r>
      <w:r w:rsidR="00823CFB" w:rsidRPr="00823CFB">
        <w:rPr>
          <w:rFonts w:eastAsia="SimSun"/>
          <w:lang w:eastAsia="zh-CN"/>
        </w:rPr>
        <w:t>.</w:t>
      </w:r>
      <w:r w:rsidR="00823CFB" w:rsidRPr="00823CFB">
        <w:rPr>
          <w:rFonts w:eastAsia="SimSun"/>
          <w:lang w:eastAsia="zh-CN"/>
        </w:rPr>
        <w:tab/>
        <w:t xml:space="preserve">The Working Party noted that work was under way in WP.29 towards the issuance of regulations for the use of highly automated vehicles and autonomous vehicles by 2025. The Working Party might have to take a position </w:t>
      </w:r>
      <w:proofErr w:type="gramStart"/>
      <w:r w:rsidR="00823CFB" w:rsidRPr="00823CFB">
        <w:rPr>
          <w:rFonts w:eastAsia="SimSun"/>
          <w:lang w:eastAsia="zh-CN"/>
        </w:rPr>
        <w:t>in the near future</w:t>
      </w:r>
      <w:proofErr w:type="gramEnd"/>
      <w:r w:rsidR="00823CFB" w:rsidRPr="00823CFB">
        <w:rPr>
          <w:rFonts w:eastAsia="SimSun"/>
          <w:lang w:eastAsia="zh-CN"/>
        </w:rPr>
        <w:t xml:space="preserve"> on the use of those vehicles for the transport of dangerous goods.</w:t>
      </w:r>
    </w:p>
    <w:p w14:paraId="1BA00C74" w14:textId="2791AB45" w:rsidR="00823CFB" w:rsidRPr="00823CFB" w:rsidRDefault="001B07DD" w:rsidP="00823CFB">
      <w:pPr>
        <w:tabs>
          <w:tab w:val="left" w:pos="1701"/>
          <w:tab w:val="left" w:pos="2268"/>
        </w:tabs>
        <w:spacing w:after="120"/>
        <w:ind w:left="1134" w:right="1134"/>
        <w:jc w:val="both"/>
        <w:rPr>
          <w:rFonts w:eastAsia="Calibri"/>
          <w:lang w:val="en-US" w:eastAsia="zh-CN"/>
        </w:rPr>
      </w:pPr>
      <w:r>
        <w:rPr>
          <w:rFonts w:eastAsia="SimSun"/>
          <w:lang w:eastAsia="zh-CN"/>
        </w:rPr>
        <w:t>26</w:t>
      </w:r>
      <w:r w:rsidR="00823CFB" w:rsidRPr="00823CFB">
        <w:rPr>
          <w:rFonts w:eastAsia="SimSun"/>
          <w:lang w:eastAsia="zh-CN"/>
        </w:rPr>
        <w:t>.</w:t>
      </w:r>
      <w:r w:rsidR="00823CFB" w:rsidRPr="00823CFB">
        <w:rPr>
          <w:rFonts w:eastAsia="SimSun"/>
          <w:lang w:eastAsia="zh-CN"/>
        </w:rPr>
        <w:tab/>
        <w:t>The Working Party noted that, within the European Union, new vehicles should be equipped with electronic stability control and that it might be interesting to introduce similar requirements in ADR to extend that obligation to all countries contracting parties to ADR.</w:t>
      </w:r>
    </w:p>
    <w:p w14:paraId="660A86AB" w14:textId="77777777" w:rsidR="00823CFB" w:rsidRPr="00823CFB" w:rsidRDefault="00823CFB" w:rsidP="00823CFB">
      <w:pPr>
        <w:keepNext/>
        <w:keepLines/>
        <w:tabs>
          <w:tab w:val="right" w:pos="851"/>
        </w:tabs>
        <w:spacing w:before="240" w:after="120" w:line="240" w:lineRule="exact"/>
        <w:ind w:left="1134" w:right="1134" w:hanging="1134"/>
        <w:outlineLvl w:val="3"/>
        <w:rPr>
          <w:b/>
          <w:lang w:val="en-US" w:eastAsia="en-US"/>
        </w:rPr>
      </w:pPr>
      <w:r w:rsidRPr="00823CFB">
        <w:rPr>
          <w:b/>
          <w:bCs/>
          <w:lang w:eastAsia="en-US"/>
        </w:rPr>
        <w:tab/>
        <w:t>3.</w:t>
      </w:r>
      <w:r w:rsidRPr="00823CFB">
        <w:rPr>
          <w:b/>
          <w:lang w:eastAsia="en-US"/>
        </w:rPr>
        <w:tab/>
      </w:r>
      <w:r w:rsidRPr="00823CFB">
        <w:rPr>
          <w:b/>
          <w:bCs/>
          <w:lang w:eastAsia="en-US"/>
        </w:rPr>
        <w:t>UN Regulation No. 105</w:t>
      </w:r>
    </w:p>
    <w:p w14:paraId="3CDD47BB" w14:textId="4932EA12" w:rsidR="00823CFB" w:rsidRPr="00823CFB" w:rsidRDefault="001B07DD" w:rsidP="00823CFB">
      <w:pPr>
        <w:spacing w:after="120"/>
        <w:ind w:left="1134" w:right="1134"/>
        <w:jc w:val="both"/>
        <w:rPr>
          <w:lang w:val="en-US" w:eastAsia="en-US"/>
        </w:rPr>
      </w:pPr>
      <w:r>
        <w:rPr>
          <w:lang w:eastAsia="en-US"/>
        </w:rPr>
        <w:t>27</w:t>
      </w:r>
      <w:r w:rsidR="00823CFB" w:rsidRPr="00823CFB">
        <w:rPr>
          <w:lang w:eastAsia="en-US"/>
        </w:rPr>
        <w:t>.</w:t>
      </w:r>
      <w:r w:rsidR="00823CFB" w:rsidRPr="00823CFB">
        <w:rPr>
          <w:lang w:eastAsia="en-US"/>
        </w:rPr>
        <w:tab/>
        <w:t>OICA had submitted to the Working Party on General Safety Provisions (GRSG) of WP.29 a proposal to align the provisions of Regulation No. 105 with those of the new 2023 edition of ADR (see ECE/TRANS/WP.29/GRSG/2022/29). GRSG agreed to the proposal as corrected by informal document No. GRSG-124–18.</w:t>
      </w:r>
    </w:p>
    <w:p w14:paraId="1015A335" w14:textId="1FE8FDD0" w:rsidR="00823CFB" w:rsidRPr="00823CFB" w:rsidRDefault="001B07DD" w:rsidP="00823CFB">
      <w:pPr>
        <w:spacing w:after="120"/>
        <w:ind w:left="1134" w:right="1134"/>
        <w:jc w:val="both"/>
        <w:rPr>
          <w:lang w:val="en-US" w:eastAsia="en-US"/>
        </w:rPr>
      </w:pPr>
      <w:r>
        <w:rPr>
          <w:lang w:eastAsia="en-US"/>
        </w:rPr>
        <w:lastRenderedPageBreak/>
        <w:t>28</w:t>
      </w:r>
      <w:r w:rsidR="00823CFB" w:rsidRPr="00823CFB">
        <w:rPr>
          <w:lang w:eastAsia="en-US"/>
        </w:rPr>
        <w:t>.</w:t>
      </w:r>
      <w:r w:rsidR="00823CFB" w:rsidRPr="00823CFB">
        <w:rPr>
          <w:lang w:eastAsia="en-US"/>
        </w:rPr>
        <w:tab/>
        <w:t>The Working Party noted that the proposal would be presented to the March 2023 session of WP.29 for adoption.</w:t>
      </w:r>
    </w:p>
    <w:p w14:paraId="2922ECAA" w14:textId="77777777" w:rsidR="00823CFB" w:rsidRPr="00823CFB" w:rsidRDefault="00823CFB" w:rsidP="00823CFB">
      <w:pPr>
        <w:keepNext/>
        <w:keepLines/>
        <w:tabs>
          <w:tab w:val="right" w:pos="851"/>
        </w:tabs>
        <w:spacing w:before="240" w:after="120" w:line="240" w:lineRule="exact"/>
        <w:ind w:left="1134" w:right="1134" w:hanging="1134"/>
        <w:outlineLvl w:val="3"/>
        <w:rPr>
          <w:b/>
          <w:lang w:val="en-US" w:eastAsia="en-US"/>
        </w:rPr>
      </w:pPr>
      <w:r w:rsidRPr="00823CFB">
        <w:rPr>
          <w:b/>
          <w:bCs/>
          <w:lang w:eastAsia="en-US"/>
        </w:rPr>
        <w:tab/>
        <w:t>4.</w:t>
      </w:r>
      <w:r w:rsidRPr="00823CFB">
        <w:rPr>
          <w:b/>
          <w:lang w:eastAsia="en-US"/>
        </w:rPr>
        <w:tab/>
      </w:r>
      <w:r w:rsidRPr="00823CFB">
        <w:rPr>
          <w:b/>
          <w:bCs/>
          <w:lang w:eastAsia="en-US"/>
        </w:rPr>
        <w:t>Guidelines for determination of the first date of registration of road vehicles</w:t>
      </w:r>
    </w:p>
    <w:p w14:paraId="3BDE0961" w14:textId="5FC36835" w:rsidR="00823CFB" w:rsidRPr="00823CFB" w:rsidRDefault="001B07DD" w:rsidP="00823CFB">
      <w:pPr>
        <w:spacing w:after="120"/>
        <w:ind w:left="1134" w:right="1134"/>
        <w:jc w:val="both"/>
        <w:rPr>
          <w:lang w:val="en-US" w:eastAsia="en-US"/>
        </w:rPr>
      </w:pPr>
      <w:r>
        <w:rPr>
          <w:lang w:eastAsia="en-US"/>
        </w:rPr>
        <w:t>29</w:t>
      </w:r>
      <w:r w:rsidR="00823CFB" w:rsidRPr="00823CFB">
        <w:rPr>
          <w:lang w:eastAsia="en-US"/>
        </w:rPr>
        <w:t>.</w:t>
      </w:r>
      <w:r w:rsidR="00823CFB" w:rsidRPr="00823CFB">
        <w:rPr>
          <w:lang w:eastAsia="en-US"/>
        </w:rPr>
        <w:tab/>
        <w:t xml:space="preserve">At its 110th session, the Working Party on the Transport of Dangerous Goods (WP.15) had adopted (ECE/TRANS/WP.15/255, para. 69 and annex IV) guidelines for the determination of the first date of registration of road vehicles (or date of entry into service if registration is not mandatory) for the carriage of dangerous goods in accordance with the requirements of Chapter 9.2. </w:t>
      </w:r>
    </w:p>
    <w:p w14:paraId="501A9CFD" w14:textId="6B0AAEB8" w:rsidR="00823CFB" w:rsidRPr="00823CFB" w:rsidRDefault="001B07DD" w:rsidP="00823CFB">
      <w:pPr>
        <w:spacing w:after="120"/>
        <w:ind w:left="1134" w:right="1134"/>
        <w:jc w:val="both"/>
        <w:rPr>
          <w:lang w:val="en-US" w:eastAsia="en-US"/>
        </w:rPr>
      </w:pPr>
      <w:r>
        <w:rPr>
          <w:lang w:eastAsia="en-US"/>
        </w:rPr>
        <w:t>30</w:t>
      </w:r>
      <w:r w:rsidR="00823CFB" w:rsidRPr="00823CFB">
        <w:rPr>
          <w:lang w:eastAsia="en-US"/>
        </w:rPr>
        <w:t>.</w:t>
      </w:r>
      <w:r w:rsidR="00823CFB" w:rsidRPr="00823CFB">
        <w:rPr>
          <w:lang w:eastAsia="en-US"/>
        </w:rPr>
        <w:tab/>
        <w:t xml:space="preserve">The Working </w:t>
      </w:r>
      <w:r w:rsidR="00AD514D">
        <w:rPr>
          <w:lang w:eastAsia="en-US"/>
        </w:rPr>
        <w:t>Party</w:t>
      </w:r>
      <w:r w:rsidR="00AD514D" w:rsidRPr="00823CFB">
        <w:rPr>
          <w:lang w:eastAsia="en-US"/>
        </w:rPr>
        <w:t xml:space="preserve"> </w:t>
      </w:r>
      <w:r w:rsidR="00823CFB" w:rsidRPr="00823CFB">
        <w:rPr>
          <w:lang w:eastAsia="en-US"/>
        </w:rPr>
        <w:t>noted that the guidelines had been published on the dedicated page of the ECE website (</w:t>
      </w:r>
      <w:hyperlink r:id="rId13" w:history="1">
        <w:r w:rsidR="00823CFB" w:rsidRPr="00823CFB">
          <w:rPr>
            <w:color w:val="0000FF"/>
            <w:lang w:eastAsia="en-US"/>
          </w:rPr>
          <w:t>https://unece.org/guidelines-telematics-application-standards-construction-and-approval-vehicles-calculation-risks</w:t>
        </w:r>
      </w:hyperlink>
      <w:r w:rsidR="00823CFB" w:rsidRPr="00823CFB">
        <w:rPr>
          <w:lang w:eastAsia="en-US"/>
        </w:rPr>
        <w:t xml:space="preserve">) with a correction in the English version to the reference to “date of entry into service if registration </w:t>
      </w:r>
      <w:r w:rsidR="00823CFB" w:rsidRPr="00823CFB">
        <w:rPr>
          <w:u w:val="single"/>
          <w:lang w:eastAsia="en-US"/>
        </w:rPr>
        <w:t>is</w:t>
      </w:r>
      <w:r w:rsidR="00823CFB" w:rsidRPr="00823CFB">
        <w:rPr>
          <w:lang w:eastAsia="en-US"/>
        </w:rPr>
        <w:t xml:space="preserve"> mandatory”, replacing it with “date of entry into service if registration </w:t>
      </w:r>
      <w:r w:rsidR="00823CFB" w:rsidRPr="00823CFB">
        <w:rPr>
          <w:u w:val="single"/>
          <w:lang w:eastAsia="en-US"/>
        </w:rPr>
        <w:t>is not</w:t>
      </w:r>
      <w:r w:rsidR="00823CFB" w:rsidRPr="00823CFB">
        <w:rPr>
          <w:lang w:eastAsia="en-US"/>
        </w:rPr>
        <w:t xml:space="preserve"> mandatory”.</w:t>
      </w:r>
    </w:p>
    <w:p w14:paraId="160D2DD0" w14:textId="77777777" w:rsidR="00695029" w:rsidRPr="00695029" w:rsidRDefault="00695029" w:rsidP="00695029">
      <w:pPr>
        <w:keepNext/>
        <w:keepLines/>
        <w:tabs>
          <w:tab w:val="right" w:pos="851"/>
        </w:tabs>
        <w:spacing w:before="360" w:after="240" w:line="270" w:lineRule="exact"/>
        <w:ind w:left="1134" w:right="1134" w:hanging="1134"/>
        <w:outlineLvl w:val="2"/>
        <w:rPr>
          <w:rFonts w:eastAsia="Calibri"/>
          <w:b/>
          <w:sz w:val="24"/>
          <w:lang w:val="en-US" w:eastAsia="en-US"/>
        </w:rPr>
      </w:pPr>
      <w:r w:rsidRPr="00695029">
        <w:rPr>
          <w:b/>
          <w:sz w:val="24"/>
          <w:lang w:eastAsia="en-US"/>
        </w:rPr>
        <w:tab/>
        <w:t>B.</w:t>
      </w:r>
      <w:r w:rsidRPr="00695029">
        <w:rPr>
          <w:b/>
          <w:sz w:val="24"/>
          <w:lang w:eastAsia="en-US"/>
        </w:rPr>
        <w:tab/>
        <w:t>Miscellaneous proposals</w:t>
      </w:r>
    </w:p>
    <w:p w14:paraId="12A332CC" w14:textId="77777777" w:rsidR="00695029" w:rsidRPr="00695029" w:rsidRDefault="00695029" w:rsidP="00695029">
      <w:pPr>
        <w:keepNext/>
        <w:keepLines/>
        <w:tabs>
          <w:tab w:val="right" w:pos="851"/>
        </w:tabs>
        <w:spacing w:before="240" w:after="120" w:line="240" w:lineRule="exact"/>
        <w:ind w:left="1134" w:right="1134" w:hanging="1134"/>
        <w:outlineLvl w:val="3"/>
        <w:rPr>
          <w:b/>
          <w:lang w:val="en-US" w:eastAsia="en-US"/>
        </w:rPr>
      </w:pPr>
      <w:r w:rsidRPr="00695029">
        <w:rPr>
          <w:b/>
          <w:bCs/>
          <w:lang w:eastAsia="en-US"/>
        </w:rPr>
        <w:tab/>
        <w:t>1.</w:t>
      </w:r>
      <w:r w:rsidRPr="00695029">
        <w:rPr>
          <w:b/>
          <w:lang w:eastAsia="en-US"/>
        </w:rPr>
        <w:tab/>
      </w:r>
      <w:r w:rsidRPr="00695029">
        <w:rPr>
          <w:b/>
          <w:bCs/>
          <w:lang w:eastAsia="en-US"/>
        </w:rPr>
        <w:t>Tunnel exemptions for dangerous goods with transport category 4</w:t>
      </w:r>
    </w:p>
    <w:p w14:paraId="19E0725C" w14:textId="77777777" w:rsidR="00695029" w:rsidRPr="00695029" w:rsidRDefault="00695029" w:rsidP="00695029">
      <w:pPr>
        <w:tabs>
          <w:tab w:val="left" w:pos="1701"/>
          <w:tab w:val="left" w:pos="2268"/>
        </w:tabs>
        <w:spacing w:after="120"/>
        <w:ind w:left="1134" w:right="1134"/>
        <w:jc w:val="both"/>
        <w:rPr>
          <w:rFonts w:eastAsia="SimSun"/>
          <w:lang w:val="fr-CH" w:eastAsia="zh-CN"/>
        </w:rPr>
      </w:pPr>
      <w:proofErr w:type="gramStart"/>
      <w:r w:rsidRPr="00695029">
        <w:rPr>
          <w:rFonts w:eastAsia="SimSun"/>
          <w:i/>
          <w:iCs/>
          <w:lang w:val="fr-CH" w:eastAsia="zh-CN"/>
        </w:rPr>
        <w:t>Document:</w:t>
      </w:r>
      <w:proofErr w:type="gramEnd"/>
      <w:r w:rsidRPr="00695029">
        <w:rPr>
          <w:rFonts w:eastAsia="SimSun"/>
          <w:lang w:val="fr-CH" w:eastAsia="zh-CN"/>
        </w:rPr>
        <w:tab/>
        <w:t>ECE/TRANS/WP.15/2022/6 (Türkiye)</w:t>
      </w:r>
    </w:p>
    <w:p w14:paraId="528FFA61" w14:textId="13F7B144"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31</w:t>
      </w:r>
      <w:r w:rsidR="00695029" w:rsidRPr="00695029">
        <w:rPr>
          <w:rFonts w:eastAsia="SimSun"/>
          <w:lang w:eastAsia="zh-CN"/>
        </w:rPr>
        <w:t>.</w:t>
      </w:r>
      <w:r w:rsidR="00695029" w:rsidRPr="00695029">
        <w:rPr>
          <w:rFonts w:eastAsia="SimSun"/>
          <w:lang w:eastAsia="zh-CN"/>
        </w:rPr>
        <w:tab/>
        <w:t>The proposal of Türkiye did not receive support.</w:t>
      </w:r>
    </w:p>
    <w:p w14:paraId="78853599" w14:textId="20582C9C"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32</w:t>
      </w:r>
      <w:r w:rsidR="00695029" w:rsidRPr="00695029">
        <w:rPr>
          <w:rFonts w:eastAsia="SimSun"/>
          <w:lang w:eastAsia="zh-CN"/>
        </w:rPr>
        <w:t>.</w:t>
      </w:r>
      <w:r w:rsidR="00695029" w:rsidRPr="00695029">
        <w:rPr>
          <w:rFonts w:eastAsia="SimSun"/>
          <w:lang w:eastAsia="zh-CN"/>
        </w:rPr>
        <w:tab/>
        <w:t xml:space="preserve">The Working Party confirmed that the tunnel restriction code “(E)” for the entries listed was justified </w:t>
      </w:r>
      <w:proofErr w:type="gramStart"/>
      <w:r w:rsidR="00695029" w:rsidRPr="00695029">
        <w:rPr>
          <w:rFonts w:eastAsia="SimSun"/>
          <w:lang w:eastAsia="zh-CN"/>
        </w:rPr>
        <w:t>on the basis of</w:t>
      </w:r>
      <w:proofErr w:type="gramEnd"/>
      <w:r w:rsidR="00695029" w:rsidRPr="00695029">
        <w:rPr>
          <w:rFonts w:eastAsia="SimSun"/>
          <w:lang w:eastAsia="zh-CN"/>
        </w:rPr>
        <w:t xml:space="preserve"> the hazards associated with the tunnel transport of those goods outside of the exemption regime under 1.1.3.6. </w:t>
      </w:r>
    </w:p>
    <w:p w14:paraId="29663109" w14:textId="71B42B45"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33</w:t>
      </w:r>
      <w:r w:rsidR="00695029" w:rsidRPr="00695029">
        <w:rPr>
          <w:rFonts w:eastAsia="SimSun"/>
          <w:lang w:eastAsia="zh-CN"/>
        </w:rPr>
        <w:t>.</w:t>
      </w:r>
      <w:r w:rsidR="00695029" w:rsidRPr="00695029">
        <w:rPr>
          <w:rFonts w:eastAsia="SimSun"/>
          <w:lang w:eastAsia="zh-CN"/>
        </w:rPr>
        <w:tab/>
        <w:t>The Working Party noted that the wording of 1.9.5.3.6 and 8.6.3.3 might need to be amended to clarify that tunnel restrictions remained applicable to the carriage of goods with the entries listed in 1.1.3.6.2 outside of the exemption regime under 1.1.3.6.</w:t>
      </w:r>
    </w:p>
    <w:p w14:paraId="5073E2E3" w14:textId="77777777" w:rsidR="00695029" w:rsidRPr="00695029" w:rsidRDefault="00695029" w:rsidP="00695029">
      <w:pPr>
        <w:keepNext/>
        <w:keepLines/>
        <w:tabs>
          <w:tab w:val="right" w:pos="851"/>
        </w:tabs>
        <w:spacing w:before="240" w:after="120" w:line="240" w:lineRule="exact"/>
        <w:ind w:left="1134" w:right="1134" w:hanging="1134"/>
        <w:outlineLvl w:val="3"/>
        <w:rPr>
          <w:b/>
          <w:lang w:val="en-US" w:eastAsia="en-US"/>
        </w:rPr>
      </w:pPr>
      <w:r w:rsidRPr="00695029">
        <w:rPr>
          <w:b/>
          <w:bCs/>
          <w:lang w:eastAsia="en-US"/>
        </w:rPr>
        <w:tab/>
        <w:t>2.</w:t>
      </w:r>
      <w:r w:rsidRPr="00695029">
        <w:rPr>
          <w:b/>
          <w:lang w:eastAsia="en-US"/>
        </w:rPr>
        <w:tab/>
      </w:r>
      <w:r w:rsidRPr="00695029">
        <w:rPr>
          <w:b/>
          <w:bCs/>
          <w:lang w:eastAsia="en-US"/>
        </w:rPr>
        <w:t>Section 9.1.3 – Certificate of approval of vehicles</w:t>
      </w:r>
    </w:p>
    <w:p w14:paraId="08D3F649" w14:textId="77777777" w:rsidR="00695029" w:rsidRPr="00695029" w:rsidRDefault="00695029" w:rsidP="00695029">
      <w:pPr>
        <w:tabs>
          <w:tab w:val="left" w:pos="1701"/>
          <w:tab w:val="left" w:pos="2268"/>
        </w:tabs>
        <w:spacing w:after="120"/>
        <w:ind w:left="1134" w:right="1134"/>
        <w:jc w:val="both"/>
        <w:rPr>
          <w:rFonts w:eastAsia="SimSun"/>
          <w:lang w:val="en-US" w:eastAsia="zh-CN"/>
        </w:rPr>
      </w:pPr>
      <w:r w:rsidRPr="00695029">
        <w:rPr>
          <w:rFonts w:eastAsia="SimSun"/>
          <w:i/>
          <w:iCs/>
          <w:lang w:eastAsia="zh-CN"/>
        </w:rPr>
        <w:t>Document:</w:t>
      </w:r>
      <w:r w:rsidRPr="00695029">
        <w:rPr>
          <w:rFonts w:eastAsia="SimSun"/>
          <w:lang w:eastAsia="zh-CN"/>
        </w:rPr>
        <w:tab/>
        <w:t>ECE/TRANS/WP.15/2022/7 (Poland)</w:t>
      </w:r>
    </w:p>
    <w:p w14:paraId="469BFD80" w14:textId="77777777" w:rsidR="00695029" w:rsidRPr="00695029" w:rsidRDefault="00695029" w:rsidP="00695029">
      <w:pPr>
        <w:tabs>
          <w:tab w:val="left" w:pos="1701"/>
          <w:tab w:val="left" w:pos="2268"/>
        </w:tabs>
        <w:spacing w:after="120"/>
        <w:ind w:left="1134" w:right="1134"/>
        <w:jc w:val="both"/>
        <w:rPr>
          <w:rFonts w:eastAsia="SimSun"/>
          <w:i/>
          <w:iCs/>
          <w:lang w:val="en-US" w:eastAsia="zh-CN"/>
        </w:rPr>
      </w:pPr>
      <w:r w:rsidRPr="00695029">
        <w:rPr>
          <w:rFonts w:eastAsia="SimSun"/>
          <w:i/>
          <w:iCs/>
          <w:lang w:eastAsia="zh-CN"/>
        </w:rPr>
        <w:t>Informal document:</w:t>
      </w:r>
      <w:r w:rsidRPr="00695029">
        <w:rPr>
          <w:rFonts w:eastAsia="SimSun"/>
          <w:lang w:eastAsia="zh-CN"/>
        </w:rPr>
        <w:tab/>
        <w:t>INF.10 (Netherlands)</w:t>
      </w:r>
    </w:p>
    <w:p w14:paraId="6958ED11" w14:textId="7AE98861" w:rsidR="00695029" w:rsidRPr="00695029" w:rsidRDefault="001B07DD" w:rsidP="00695029">
      <w:pPr>
        <w:tabs>
          <w:tab w:val="left" w:pos="1701"/>
          <w:tab w:val="left" w:pos="2268"/>
        </w:tabs>
        <w:spacing w:after="120"/>
        <w:ind w:left="1134" w:right="1134"/>
        <w:jc w:val="both"/>
        <w:rPr>
          <w:rFonts w:eastAsia="SimSun"/>
          <w:i/>
          <w:iCs/>
          <w:lang w:val="en-US" w:eastAsia="zh-CN"/>
        </w:rPr>
      </w:pPr>
      <w:r>
        <w:rPr>
          <w:rFonts w:eastAsia="SimSun"/>
          <w:lang w:eastAsia="zh-CN"/>
        </w:rPr>
        <w:t>34</w:t>
      </w:r>
      <w:r w:rsidR="00695029" w:rsidRPr="00695029">
        <w:rPr>
          <w:rFonts w:eastAsia="SimSun"/>
          <w:lang w:eastAsia="zh-CN"/>
        </w:rPr>
        <w:t>.</w:t>
      </w:r>
      <w:r w:rsidR="00695029" w:rsidRPr="00695029">
        <w:rPr>
          <w:rFonts w:eastAsia="SimSun"/>
          <w:lang w:eastAsia="zh-CN"/>
        </w:rPr>
        <w:tab/>
        <w:t>The Working Party adopted the alternative proposal contained in informal document INF.10, amended to include digital security devices (see annex).</w:t>
      </w:r>
    </w:p>
    <w:p w14:paraId="138B8FA7" w14:textId="77777777" w:rsidR="00695029" w:rsidRPr="00695029" w:rsidRDefault="00695029" w:rsidP="00695029">
      <w:pPr>
        <w:keepNext/>
        <w:keepLines/>
        <w:tabs>
          <w:tab w:val="right" w:pos="851"/>
        </w:tabs>
        <w:spacing w:before="240" w:after="120" w:line="240" w:lineRule="exact"/>
        <w:ind w:left="1134" w:right="1134" w:hanging="1134"/>
        <w:outlineLvl w:val="3"/>
        <w:rPr>
          <w:b/>
          <w:lang w:val="en-US" w:eastAsia="en-US"/>
        </w:rPr>
      </w:pPr>
      <w:r w:rsidRPr="00695029">
        <w:rPr>
          <w:b/>
          <w:bCs/>
          <w:lang w:eastAsia="en-US"/>
        </w:rPr>
        <w:tab/>
        <w:t>3.</w:t>
      </w:r>
      <w:r w:rsidRPr="00695029">
        <w:rPr>
          <w:b/>
          <w:lang w:eastAsia="en-US"/>
        </w:rPr>
        <w:tab/>
      </w:r>
      <w:r w:rsidRPr="00695029">
        <w:rPr>
          <w:b/>
          <w:bCs/>
          <w:lang w:eastAsia="en-US"/>
        </w:rPr>
        <w:t>New provisions for fibre-reinforced plastics tanks – consequential amendments</w:t>
      </w:r>
    </w:p>
    <w:p w14:paraId="6C12B16A" w14:textId="77777777" w:rsidR="00695029" w:rsidRPr="00695029" w:rsidRDefault="00695029" w:rsidP="00695029">
      <w:pPr>
        <w:tabs>
          <w:tab w:val="left" w:pos="1701"/>
          <w:tab w:val="left" w:pos="2268"/>
        </w:tabs>
        <w:spacing w:after="120"/>
        <w:ind w:left="1134" w:right="1134"/>
        <w:jc w:val="both"/>
        <w:rPr>
          <w:rFonts w:eastAsia="SimSun"/>
          <w:i/>
          <w:iCs/>
          <w:lang w:val="fr-CH" w:eastAsia="zh-CN"/>
        </w:rPr>
      </w:pPr>
      <w:proofErr w:type="gramStart"/>
      <w:r w:rsidRPr="00695029">
        <w:rPr>
          <w:rFonts w:eastAsia="SimSun"/>
          <w:i/>
          <w:iCs/>
          <w:lang w:val="fr-CH" w:eastAsia="zh-CN"/>
        </w:rPr>
        <w:t>Document:</w:t>
      </w:r>
      <w:proofErr w:type="gramEnd"/>
      <w:r w:rsidRPr="00695029">
        <w:rPr>
          <w:rFonts w:eastAsia="SimSun"/>
          <w:lang w:val="fr-CH" w:eastAsia="zh-CN"/>
        </w:rPr>
        <w:tab/>
        <w:t>ECE/TRANS/WP.15/2022/10 (</w:t>
      </w:r>
      <w:proofErr w:type="spellStart"/>
      <w:r w:rsidRPr="00695029">
        <w:rPr>
          <w:rFonts w:eastAsia="SimSun"/>
          <w:lang w:val="fr-CH" w:eastAsia="zh-CN"/>
        </w:rPr>
        <w:t>secretariat</w:t>
      </w:r>
      <w:proofErr w:type="spellEnd"/>
      <w:r w:rsidRPr="00695029">
        <w:rPr>
          <w:rFonts w:eastAsia="SimSun"/>
          <w:lang w:val="fr-CH" w:eastAsia="zh-CN"/>
        </w:rPr>
        <w:t>)</w:t>
      </w:r>
    </w:p>
    <w:p w14:paraId="242D0EBE" w14:textId="77777777" w:rsidR="00695029" w:rsidRPr="00695029" w:rsidRDefault="00695029" w:rsidP="00695029">
      <w:pPr>
        <w:tabs>
          <w:tab w:val="left" w:pos="2977"/>
        </w:tabs>
        <w:spacing w:after="120"/>
        <w:ind w:left="1134" w:right="1134"/>
        <w:jc w:val="both"/>
        <w:rPr>
          <w:rFonts w:eastAsia="SimSun"/>
          <w:lang w:val="en-US" w:eastAsia="zh-CN"/>
        </w:rPr>
      </w:pPr>
      <w:r w:rsidRPr="00695029">
        <w:rPr>
          <w:rFonts w:eastAsia="SimSun"/>
          <w:i/>
          <w:iCs/>
          <w:lang w:eastAsia="zh-CN"/>
        </w:rPr>
        <w:t>Informal documents:</w:t>
      </w:r>
      <w:r w:rsidRPr="00695029">
        <w:rPr>
          <w:rFonts w:eastAsia="SimSun"/>
          <w:lang w:eastAsia="zh-CN"/>
        </w:rPr>
        <w:tab/>
        <w:t>INF.3 (secretariat), INF.9 (Poland)</w:t>
      </w:r>
    </w:p>
    <w:p w14:paraId="6F9B63C4" w14:textId="14D4EABB"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35</w:t>
      </w:r>
      <w:r w:rsidR="00695029" w:rsidRPr="00695029">
        <w:rPr>
          <w:rFonts w:eastAsia="SimSun"/>
          <w:lang w:eastAsia="zh-CN"/>
        </w:rPr>
        <w:t>.</w:t>
      </w:r>
      <w:r w:rsidR="00695029" w:rsidRPr="00695029">
        <w:rPr>
          <w:rFonts w:eastAsia="SimSun"/>
          <w:lang w:eastAsia="zh-CN"/>
        </w:rPr>
        <w:tab/>
        <w:t>The Working Party adopted proposal 1 to amend the title of Chapter 4.4 with an editorial change (see annex).</w:t>
      </w:r>
    </w:p>
    <w:p w14:paraId="374F40C1" w14:textId="473DB9FC"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36</w:t>
      </w:r>
      <w:r w:rsidR="00695029" w:rsidRPr="00695029">
        <w:rPr>
          <w:rFonts w:eastAsia="SimSun"/>
          <w:lang w:eastAsia="zh-CN"/>
        </w:rPr>
        <w:t>.</w:t>
      </w:r>
      <w:r w:rsidR="00695029" w:rsidRPr="00695029">
        <w:rPr>
          <w:rFonts w:eastAsia="SimSun"/>
          <w:lang w:eastAsia="zh-CN"/>
        </w:rPr>
        <w:tab/>
        <w:t xml:space="preserve">The Chair confirmed that the date of 1 July 2033 in transitional measure 1.6.4.59, in force from 1 January 2023, was the date that had been adopted by the Joint Meeting </w:t>
      </w:r>
      <w:proofErr w:type="gramStart"/>
      <w:r w:rsidR="00695029" w:rsidRPr="00695029">
        <w:rPr>
          <w:rFonts w:eastAsia="SimSun"/>
          <w:lang w:eastAsia="zh-CN"/>
        </w:rPr>
        <w:t>on the basis of</w:t>
      </w:r>
      <w:proofErr w:type="gramEnd"/>
      <w:r w:rsidR="00695029" w:rsidRPr="00695029">
        <w:rPr>
          <w:rFonts w:eastAsia="SimSun"/>
          <w:lang w:eastAsia="zh-CN"/>
        </w:rPr>
        <w:t xml:space="preserve"> a proposal by the Working Group on Tanks in order to allow the use and construction of tank-containers built in accordance with the requirements of Chapter 6.9 applicable until 31 December 2022.</w:t>
      </w:r>
    </w:p>
    <w:p w14:paraId="7673EAFA" w14:textId="2614DF47" w:rsidR="00695029" w:rsidRPr="00695029" w:rsidRDefault="001B07DD" w:rsidP="00695029">
      <w:pPr>
        <w:tabs>
          <w:tab w:val="left" w:pos="1701"/>
          <w:tab w:val="left" w:pos="2268"/>
        </w:tabs>
        <w:spacing w:after="120"/>
        <w:ind w:left="1134" w:right="1134"/>
        <w:jc w:val="both"/>
        <w:rPr>
          <w:rFonts w:ascii="TimesNewRomanPSMT" w:eastAsia="SimSun" w:hAnsi="TimesNewRomanPSMT" w:cs="TimesNewRomanPSMT"/>
          <w:lang w:val="en-US" w:eastAsia="zh-CN"/>
        </w:rPr>
      </w:pPr>
      <w:r>
        <w:rPr>
          <w:rFonts w:eastAsia="SimSun"/>
          <w:lang w:eastAsia="zh-CN"/>
        </w:rPr>
        <w:t>37</w:t>
      </w:r>
      <w:r w:rsidR="00695029" w:rsidRPr="00695029">
        <w:rPr>
          <w:rFonts w:eastAsia="SimSun"/>
          <w:lang w:eastAsia="zh-CN"/>
        </w:rPr>
        <w:t>.</w:t>
      </w:r>
      <w:r w:rsidR="00695029" w:rsidRPr="00695029">
        <w:rPr>
          <w:rFonts w:eastAsia="SimSun"/>
          <w:lang w:eastAsia="zh-CN"/>
        </w:rPr>
        <w:tab/>
        <w:t xml:space="preserve">The Working Party confirmed that the provisions of Chapter 4.4 in force until 31 December 2022 remained applicable to fibre-reinforced plastics tank-containers used in accordance with transitional measure 1.6.4.59. That interpretation would be published on the relevant page of the ECE website. </w:t>
      </w:r>
    </w:p>
    <w:p w14:paraId="580A61DE" w14:textId="19ACF8CD"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t>38</w:t>
      </w:r>
      <w:r w:rsidR="00695029" w:rsidRPr="00695029">
        <w:rPr>
          <w:rFonts w:eastAsia="SimSun"/>
          <w:lang w:eastAsia="zh-CN"/>
        </w:rPr>
        <w:t>.</w:t>
      </w:r>
      <w:r w:rsidR="00695029" w:rsidRPr="00695029">
        <w:rPr>
          <w:rFonts w:eastAsia="SimSun"/>
          <w:lang w:eastAsia="zh-CN"/>
        </w:rPr>
        <w:tab/>
        <w:t>On that basis, the Working Party adopted the proposed amendment to 1.6.4.59 as set out in informal document INF.9, except in respect of the deadline for application, which would remain 1 July 2033 (see annex).</w:t>
      </w:r>
    </w:p>
    <w:p w14:paraId="215974F7" w14:textId="51EA99FD" w:rsidR="00695029" w:rsidRPr="00695029" w:rsidRDefault="001B07DD" w:rsidP="00695029">
      <w:pPr>
        <w:tabs>
          <w:tab w:val="left" w:pos="1701"/>
          <w:tab w:val="left" w:pos="2268"/>
        </w:tabs>
        <w:spacing w:after="120"/>
        <w:ind w:left="1134" w:right="1134"/>
        <w:jc w:val="both"/>
        <w:rPr>
          <w:rFonts w:eastAsia="SimSun"/>
          <w:lang w:val="en-US" w:eastAsia="zh-CN"/>
        </w:rPr>
      </w:pPr>
      <w:r>
        <w:rPr>
          <w:rFonts w:eastAsia="SimSun"/>
          <w:lang w:eastAsia="zh-CN"/>
        </w:rPr>
        <w:lastRenderedPageBreak/>
        <w:t>39</w:t>
      </w:r>
      <w:r w:rsidR="00695029" w:rsidRPr="00695029">
        <w:rPr>
          <w:rFonts w:eastAsia="SimSun"/>
          <w:lang w:eastAsia="zh-CN"/>
        </w:rPr>
        <w:t>.</w:t>
      </w:r>
      <w:r w:rsidR="00695029" w:rsidRPr="00695029">
        <w:rPr>
          <w:rFonts w:eastAsia="SimSun"/>
          <w:lang w:eastAsia="zh-CN"/>
        </w:rPr>
        <w:tab/>
        <w:t xml:space="preserve">The Working Party also adopted the consequential amendment to the explanatory note to column (10) of Table A proposed in informal document INF.3 (see annex). </w:t>
      </w:r>
    </w:p>
    <w:p w14:paraId="5FFF9512" w14:textId="77777777" w:rsidR="00AD1340" w:rsidRPr="00AD1340" w:rsidRDefault="00AD1340" w:rsidP="00AD1340">
      <w:pPr>
        <w:keepNext/>
        <w:keepLines/>
        <w:tabs>
          <w:tab w:val="right" w:pos="851"/>
        </w:tabs>
        <w:spacing w:before="360" w:after="240" w:line="300" w:lineRule="exact"/>
        <w:ind w:left="1134" w:right="1134" w:hanging="1134"/>
        <w:outlineLvl w:val="1"/>
        <w:rPr>
          <w:b/>
          <w:sz w:val="28"/>
          <w:lang w:val="en-US" w:eastAsia="en-US"/>
        </w:rPr>
      </w:pPr>
      <w:r w:rsidRPr="00AD1340">
        <w:rPr>
          <w:b/>
          <w:sz w:val="28"/>
          <w:lang w:eastAsia="en-US"/>
        </w:rPr>
        <w:tab/>
        <w:t>VII.</w:t>
      </w:r>
      <w:r w:rsidRPr="00AD1340">
        <w:rPr>
          <w:b/>
          <w:sz w:val="28"/>
          <w:lang w:eastAsia="en-US"/>
        </w:rPr>
        <w:tab/>
        <w:t>Interpretation of ADR (agenda item 6)</w:t>
      </w:r>
    </w:p>
    <w:p w14:paraId="6B06CF51" w14:textId="77777777" w:rsidR="00AD1340" w:rsidRPr="00AD1340" w:rsidRDefault="00AD1340" w:rsidP="00AD1340">
      <w:pPr>
        <w:keepNext/>
        <w:keepLines/>
        <w:tabs>
          <w:tab w:val="right" w:pos="851"/>
        </w:tabs>
        <w:spacing w:before="360" w:after="240" w:line="270" w:lineRule="exact"/>
        <w:ind w:left="1134" w:right="1134" w:hanging="1134"/>
        <w:outlineLvl w:val="2"/>
        <w:rPr>
          <w:rFonts w:eastAsia="Calibri"/>
          <w:b/>
          <w:sz w:val="24"/>
          <w:lang w:val="en-US" w:eastAsia="en-US"/>
        </w:rPr>
      </w:pPr>
      <w:r w:rsidRPr="00AD1340">
        <w:rPr>
          <w:b/>
          <w:sz w:val="24"/>
          <w:lang w:eastAsia="en-US"/>
        </w:rPr>
        <w:tab/>
        <w:t>A.</w:t>
      </w:r>
      <w:r w:rsidRPr="00AD1340">
        <w:rPr>
          <w:b/>
          <w:sz w:val="24"/>
          <w:lang w:eastAsia="en-US"/>
        </w:rPr>
        <w:tab/>
        <w:t>Calculation of the net explosive mass</w:t>
      </w:r>
    </w:p>
    <w:p w14:paraId="7F4C5952" w14:textId="30226291" w:rsidR="00AD1340" w:rsidRPr="00AD1340" w:rsidRDefault="00AD1340" w:rsidP="00AD1340">
      <w:pPr>
        <w:tabs>
          <w:tab w:val="left" w:pos="1701"/>
          <w:tab w:val="left" w:pos="2268"/>
        </w:tabs>
        <w:spacing w:after="120"/>
        <w:ind w:left="1134" w:right="1134"/>
        <w:jc w:val="both"/>
        <w:rPr>
          <w:rFonts w:eastAsia="SimSun"/>
          <w:lang w:val="fr-CH" w:eastAsia="zh-CN"/>
        </w:rPr>
      </w:pPr>
      <w:proofErr w:type="gramStart"/>
      <w:r w:rsidRPr="00AD1340">
        <w:rPr>
          <w:rFonts w:eastAsia="SimSun"/>
          <w:i/>
          <w:iCs/>
          <w:lang w:val="fr-CH" w:eastAsia="zh-CN"/>
        </w:rPr>
        <w:t>Document</w:t>
      </w:r>
      <w:r w:rsidRPr="00AD1340">
        <w:rPr>
          <w:rFonts w:eastAsia="SimSun"/>
          <w:lang w:val="fr-CH" w:eastAsia="zh-CN"/>
        </w:rPr>
        <w:t>:</w:t>
      </w:r>
      <w:proofErr w:type="gramEnd"/>
      <w:r w:rsidRPr="00AD1340">
        <w:rPr>
          <w:rFonts w:eastAsia="SimSun"/>
          <w:lang w:val="fr-CH" w:eastAsia="zh-CN"/>
        </w:rPr>
        <w:tab/>
        <w:t>ECE/TRANS/WP.15/2022/9 (</w:t>
      </w:r>
      <w:proofErr w:type="spellStart"/>
      <w:r w:rsidRPr="00AD1340">
        <w:rPr>
          <w:rFonts w:eastAsia="SimSun"/>
          <w:lang w:val="fr-CH" w:eastAsia="zh-CN"/>
        </w:rPr>
        <w:t>secretariat</w:t>
      </w:r>
      <w:proofErr w:type="spellEnd"/>
      <w:r w:rsidRPr="00AD1340">
        <w:rPr>
          <w:rFonts w:eastAsia="SimSun"/>
          <w:lang w:val="fr-CH" w:eastAsia="zh-CN"/>
        </w:rPr>
        <w:t>)</w:t>
      </w:r>
    </w:p>
    <w:p w14:paraId="2F0BAB95" w14:textId="322C1E7B" w:rsidR="00AD1340" w:rsidRPr="00AD1340" w:rsidRDefault="001B07DD" w:rsidP="00AD1340">
      <w:pPr>
        <w:tabs>
          <w:tab w:val="left" w:pos="1701"/>
          <w:tab w:val="left" w:pos="2268"/>
        </w:tabs>
        <w:spacing w:after="120"/>
        <w:ind w:left="1134" w:right="1134"/>
        <w:jc w:val="both"/>
        <w:rPr>
          <w:rFonts w:eastAsia="Calibri"/>
          <w:lang w:val="en-US" w:eastAsia="zh-CN"/>
        </w:rPr>
      </w:pPr>
      <w:r>
        <w:rPr>
          <w:rFonts w:eastAsia="SimSun"/>
          <w:lang w:eastAsia="zh-CN"/>
        </w:rPr>
        <w:t>40</w:t>
      </w:r>
      <w:r w:rsidR="00AD1340" w:rsidRPr="00AD1340">
        <w:rPr>
          <w:rFonts w:eastAsia="SimSun"/>
          <w:lang w:eastAsia="zh-CN"/>
        </w:rPr>
        <w:t>.</w:t>
      </w:r>
      <w:r w:rsidR="00AD1340" w:rsidRPr="00AD1340">
        <w:rPr>
          <w:rFonts w:eastAsia="SimSun"/>
          <w:lang w:eastAsia="zh-CN"/>
        </w:rPr>
        <w:tab/>
        <w:t xml:space="preserve">The Working Party took note of the conclusions of the Explosives Working Group, which had met during the sixtieth session of the Sub-Committee of Experts on the Transport of Dangerous Goods (Geneva, 27 June–6 July 2022). The Working Party also noted that Sweden would present a proposal at the Sub-Committee’s sixty-first session (Geneva, 28 November–6 December 2022) for an amendment to the definition of “pyrotechnic substance” in the Model Regulations to clarify that pyrotechnic substances were explosive substances (document ST/SG/AC.10/C.3/2022/47). </w:t>
      </w:r>
    </w:p>
    <w:p w14:paraId="6DC2324A" w14:textId="619A2B4D" w:rsidR="00AD1340" w:rsidRPr="00AD1340" w:rsidRDefault="001B07DD" w:rsidP="00AD1340">
      <w:pPr>
        <w:tabs>
          <w:tab w:val="left" w:pos="1701"/>
          <w:tab w:val="left" w:pos="2268"/>
        </w:tabs>
        <w:spacing w:after="120"/>
        <w:ind w:left="1134" w:right="1134"/>
        <w:jc w:val="both"/>
        <w:rPr>
          <w:rFonts w:eastAsia="SimSun"/>
          <w:lang w:val="en-US" w:eastAsia="zh-CN"/>
        </w:rPr>
      </w:pPr>
      <w:r>
        <w:rPr>
          <w:rFonts w:eastAsia="SimSun"/>
          <w:lang w:eastAsia="zh-CN"/>
        </w:rPr>
        <w:t>41</w:t>
      </w:r>
      <w:r w:rsidR="00AD1340" w:rsidRPr="00AD1340">
        <w:rPr>
          <w:rFonts w:eastAsia="SimSun"/>
          <w:lang w:eastAsia="zh-CN"/>
        </w:rPr>
        <w:t>.</w:t>
      </w:r>
      <w:r w:rsidR="00AD1340" w:rsidRPr="00AD1340">
        <w:rPr>
          <w:rFonts w:eastAsia="SimSun"/>
          <w:lang w:eastAsia="zh-CN"/>
        </w:rPr>
        <w:tab/>
        <w:t xml:space="preserve">In the light of the Explosive Working Group’s conclusions, the Working Party confirmed that the quantities of pyrotechnic substances should be </w:t>
      </w:r>
      <w:proofErr w:type="gramStart"/>
      <w:r w:rsidR="00AD1340" w:rsidRPr="00AD1340">
        <w:rPr>
          <w:rFonts w:eastAsia="SimSun"/>
          <w:lang w:eastAsia="zh-CN"/>
        </w:rPr>
        <w:t>taken into account</w:t>
      </w:r>
      <w:proofErr w:type="gramEnd"/>
      <w:r w:rsidR="00AD1340" w:rsidRPr="00AD1340">
        <w:rPr>
          <w:rFonts w:eastAsia="SimSun"/>
          <w:lang w:eastAsia="zh-CN"/>
        </w:rPr>
        <w:t xml:space="preserve"> in the calculation of the net mass of explosive substance in 7.5.5.2, as well as in the other provisions of ADR that made use of the concept, in particular in 1.1.3.6 and the provisions relating to traffic restrictions in tunnels. That interpretation would be published on the dedicated page of the ECE website.</w:t>
      </w:r>
    </w:p>
    <w:p w14:paraId="4E1045CE" w14:textId="77777777" w:rsidR="00AD1340" w:rsidRPr="00AD1340" w:rsidRDefault="00AD1340" w:rsidP="00AD1340">
      <w:pPr>
        <w:keepNext/>
        <w:keepLines/>
        <w:tabs>
          <w:tab w:val="right" w:pos="851"/>
        </w:tabs>
        <w:spacing w:before="360" w:after="240" w:line="270" w:lineRule="exact"/>
        <w:ind w:left="1134" w:right="1134" w:hanging="1134"/>
        <w:outlineLvl w:val="2"/>
        <w:rPr>
          <w:rFonts w:eastAsia="Calibri"/>
          <w:b/>
          <w:sz w:val="24"/>
          <w:lang w:val="en-US" w:eastAsia="en-US"/>
        </w:rPr>
      </w:pPr>
      <w:r w:rsidRPr="00AD1340">
        <w:rPr>
          <w:b/>
          <w:sz w:val="24"/>
          <w:lang w:eastAsia="en-US"/>
        </w:rPr>
        <w:tab/>
        <w:t>B.</w:t>
      </w:r>
      <w:r w:rsidRPr="00AD1340">
        <w:rPr>
          <w:b/>
          <w:sz w:val="24"/>
          <w:lang w:eastAsia="en-US"/>
        </w:rPr>
        <w:tab/>
        <w:t>Scope of ADR</w:t>
      </w:r>
    </w:p>
    <w:p w14:paraId="6152D2AA" w14:textId="77777777" w:rsidR="00AD1340" w:rsidRPr="00AD1340" w:rsidRDefault="00AD1340" w:rsidP="00AD1340">
      <w:pPr>
        <w:tabs>
          <w:tab w:val="left" w:pos="1701"/>
          <w:tab w:val="left" w:pos="2268"/>
        </w:tabs>
        <w:spacing w:after="120"/>
        <w:ind w:left="1134" w:right="1134"/>
        <w:jc w:val="both"/>
        <w:rPr>
          <w:rFonts w:eastAsia="SimSun"/>
          <w:lang w:val="en-US" w:eastAsia="zh-CN"/>
        </w:rPr>
      </w:pPr>
      <w:r w:rsidRPr="00AD1340">
        <w:rPr>
          <w:rFonts w:eastAsia="SimSun"/>
          <w:i/>
          <w:iCs/>
          <w:lang w:eastAsia="zh-CN"/>
        </w:rPr>
        <w:t>Informal document:</w:t>
      </w:r>
      <w:r w:rsidRPr="00AD1340">
        <w:rPr>
          <w:rFonts w:eastAsia="SimSun"/>
          <w:lang w:eastAsia="zh-CN"/>
        </w:rPr>
        <w:tab/>
        <w:t>INF.4 (secretariat)</w:t>
      </w:r>
    </w:p>
    <w:p w14:paraId="4168B400" w14:textId="470B0334" w:rsidR="00AD1340" w:rsidRPr="00AD1340" w:rsidRDefault="001B07DD" w:rsidP="00AD1340">
      <w:pPr>
        <w:tabs>
          <w:tab w:val="left" w:pos="1701"/>
          <w:tab w:val="left" w:pos="2268"/>
        </w:tabs>
        <w:spacing w:after="120"/>
        <w:ind w:left="1134" w:right="1134"/>
        <w:jc w:val="both"/>
        <w:rPr>
          <w:rFonts w:eastAsia="SimSun"/>
          <w:lang w:val="en-US" w:eastAsia="zh-CN"/>
        </w:rPr>
      </w:pPr>
      <w:r>
        <w:rPr>
          <w:rFonts w:eastAsia="SimSun"/>
          <w:lang w:eastAsia="zh-CN"/>
        </w:rPr>
        <w:t>42</w:t>
      </w:r>
      <w:r w:rsidR="00AD1340" w:rsidRPr="00AD1340">
        <w:rPr>
          <w:rFonts w:eastAsia="SimSun"/>
          <w:lang w:eastAsia="zh-CN"/>
        </w:rPr>
        <w:t>.</w:t>
      </w:r>
      <w:r w:rsidR="00AD1340" w:rsidRPr="00AD1340">
        <w:rPr>
          <w:rFonts w:eastAsia="SimSun"/>
          <w:lang w:eastAsia="zh-CN"/>
        </w:rPr>
        <w:tab/>
        <w:t xml:space="preserve">The document prepared by the secretariat tried to provide some initial responses concerning the applicability of the ADR agreement and its annexes to two- and three-wheeled vehicles. The Working Party agreed that the matter still needed to be discussed further, in particular regarding other types of motorized two- and three-wheeled vehicles, such as electric bicycles, the status of means of transport falling outside the scope of ADR and the possibility of modifying the scope of ADR before the Protocol of amendment of 1993 entered into force, particularly in the light of article 18 of the Vienna Convention on the Law of Treaties (1968). </w:t>
      </w:r>
    </w:p>
    <w:p w14:paraId="68CE4195" w14:textId="04D28A45" w:rsidR="00AD1340" w:rsidRPr="00AD1340" w:rsidRDefault="001B07DD" w:rsidP="00AD1340">
      <w:pPr>
        <w:tabs>
          <w:tab w:val="left" w:pos="1701"/>
          <w:tab w:val="left" w:pos="2268"/>
        </w:tabs>
        <w:spacing w:after="120"/>
        <w:ind w:left="1134" w:right="1134"/>
        <w:jc w:val="both"/>
        <w:rPr>
          <w:rFonts w:eastAsia="SimSun"/>
          <w:lang w:val="en-US" w:eastAsia="zh-CN"/>
        </w:rPr>
      </w:pPr>
      <w:r>
        <w:rPr>
          <w:rFonts w:eastAsia="SimSun"/>
          <w:lang w:eastAsia="zh-CN"/>
        </w:rPr>
        <w:t>43</w:t>
      </w:r>
      <w:r w:rsidR="00AD1340" w:rsidRPr="00AD1340">
        <w:rPr>
          <w:rFonts w:eastAsia="SimSun"/>
          <w:lang w:eastAsia="zh-CN"/>
        </w:rPr>
        <w:t>.</w:t>
      </w:r>
      <w:r w:rsidR="00AD1340" w:rsidRPr="00AD1340">
        <w:rPr>
          <w:rFonts w:eastAsia="SimSun"/>
          <w:lang w:eastAsia="zh-CN"/>
        </w:rPr>
        <w:tab/>
        <w:t xml:space="preserve">The Working Party agreed that it would be premature to present the document to the Joint Meeting and wished to resume the discussion at its next session. It requested the secretariat to prepare an official document incorporating the information given in informal document INF.4, </w:t>
      </w:r>
      <w:proofErr w:type="gramStart"/>
      <w:r w:rsidR="00AD1340" w:rsidRPr="00AD1340">
        <w:rPr>
          <w:rFonts w:eastAsia="SimSun"/>
          <w:lang w:eastAsia="zh-CN"/>
        </w:rPr>
        <w:t>taking into account</w:t>
      </w:r>
      <w:proofErr w:type="gramEnd"/>
      <w:r w:rsidR="00AD1340" w:rsidRPr="00AD1340">
        <w:rPr>
          <w:rFonts w:eastAsia="SimSun"/>
          <w:lang w:eastAsia="zh-CN"/>
        </w:rPr>
        <w:t xml:space="preserve"> the comments received during the session or </w:t>
      </w:r>
      <w:proofErr w:type="spellStart"/>
      <w:r w:rsidR="00AD1340" w:rsidRPr="00AD1340">
        <w:rPr>
          <w:rFonts w:eastAsia="SimSun"/>
          <w:lang w:eastAsia="zh-CN"/>
        </w:rPr>
        <w:t>intersessionally</w:t>
      </w:r>
      <w:proofErr w:type="spellEnd"/>
      <w:r w:rsidR="00AD1340" w:rsidRPr="00AD1340">
        <w:rPr>
          <w:rFonts w:eastAsia="SimSun"/>
          <w:lang w:eastAsia="zh-CN"/>
        </w:rPr>
        <w:t xml:space="preserve"> and after the consultation with the office of legal affairs of the United Nations.</w:t>
      </w:r>
    </w:p>
    <w:p w14:paraId="02FA1017" w14:textId="77777777" w:rsidR="007C066C" w:rsidRPr="007C066C" w:rsidRDefault="007C066C" w:rsidP="007C066C">
      <w:pPr>
        <w:keepNext/>
        <w:keepLines/>
        <w:tabs>
          <w:tab w:val="right" w:pos="851"/>
        </w:tabs>
        <w:spacing w:before="360" w:after="240" w:line="300" w:lineRule="exact"/>
        <w:ind w:left="1134" w:right="1134" w:hanging="1134"/>
        <w:rPr>
          <w:b/>
          <w:sz w:val="28"/>
          <w:szCs w:val="28"/>
          <w:lang w:val="en-US" w:eastAsia="en-US"/>
        </w:rPr>
      </w:pPr>
      <w:r w:rsidRPr="007C066C">
        <w:rPr>
          <w:b/>
          <w:bCs/>
          <w:sz w:val="28"/>
          <w:szCs w:val="28"/>
          <w:lang w:eastAsia="en-US"/>
        </w:rPr>
        <w:tab/>
        <w:t>VIII.</w:t>
      </w:r>
      <w:r w:rsidRPr="007C066C">
        <w:rPr>
          <w:sz w:val="28"/>
          <w:szCs w:val="28"/>
          <w:lang w:eastAsia="en-US"/>
        </w:rPr>
        <w:tab/>
      </w:r>
      <w:r w:rsidRPr="007C066C">
        <w:rPr>
          <w:b/>
          <w:bCs/>
          <w:sz w:val="28"/>
          <w:szCs w:val="28"/>
          <w:lang w:eastAsia="en-US"/>
        </w:rPr>
        <w:t>Programme of work (agenda item 7)</w:t>
      </w:r>
    </w:p>
    <w:p w14:paraId="4E47FBFA" w14:textId="1C0F3948" w:rsidR="007C066C" w:rsidRPr="007C066C" w:rsidRDefault="001B07DD" w:rsidP="007C066C">
      <w:pPr>
        <w:spacing w:after="120"/>
        <w:ind w:left="1134" w:right="1134"/>
        <w:jc w:val="both"/>
        <w:rPr>
          <w:lang w:val="en-US" w:eastAsia="en-US"/>
        </w:rPr>
      </w:pPr>
      <w:r>
        <w:rPr>
          <w:lang w:eastAsia="en-US"/>
        </w:rPr>
        <w:t>44</w:t>
      </w:r>
      <w:r w:rsidR="007C066C" w:rsidRPr="007C066C">
        <w:rPr>
          <w:lang w:eastAsia="en-US"/>
        </w:rPr>
        <w:t>.</w:t>
      </w:r>
      <w:r w:rsidR="007C066C" w:rsidRPr="007C066C">
        <w:rPr>
          <w:lang w:eastAsia="en-US"/>
        </w:rPr>
        <w:tab/>
        <w:t xml:space="preserve">The agenda items for the next session (provisionally scheduled for 15–19 May 2023) would be: </w:t>
      </w:r>
    </w:p>
    <w:p w14:paraId="3A9A7373"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Adoption of the agenda</w:t>
      </w:r>
    </w:p>
    <w:p w14:paraId="524BD426"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Eighty-fifth session of the Inland Transport Committee</w:t>
      </w:r>
    </w:p>
    <w:p w14:paraId="421699AF"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Status of the Agreement concerning the International Carriage of Dangerous Goods by Road (ADR) and related issues</w:t>
      </w:r>
    </w:p>
    <w:p w14:paraId="7812AD48"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Work of the RID/ADR/ADN Joint Meeting</w:t>
      </w:r>
    </w:p>
    <w:p w14:paraId="7F8E93C5"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Proposals for amendments to annexes A and B of ADR</w:t>
      </w:r>
    </w:p>
    <w:p w14:paraId="1BC7ED12"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Interpretation of ADR</w:t>
      </w:r>
    </w:p>
    <w:p w14:paraId="5FDE92CB" w14:textId="2883F4C9" w:rsidR="007C066C" w:rsidRPr="007C066C" w:rsidRDefault="007C066C" w:rsidP="007C066C">
      <w:pPr>
        <w:tabs>
          <w:tab w:val="num" w:pos="1701"/>
        </w:tabs>
        <w:spacing w:after="120"/>
        <w:ind w:left="1701" w:right="1134" w:hanging="170"/>
        <w:jc w:val="both"/>
        <w:rPr>
          <w:lang w:val="en-US" w:eastAsia="en-US"/>
        </w:rPr>
      </w:pPr>
      <w:r w:rsidRPr="007C066C">
        <w:rPr>
          <w:lang w:eastAsia="en-US"/>
        </w:rPr>
        <w:lastRenderedPageBreak/>
        <w:tab/>
        <w:t>Circular economy, sustainable use of natural resources and Sustainable Development Goals</w:t>
      </w:r>
    </w:p>
    <w:p w14:paraId="78B26BFB"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Programme of work</w:t>
      </w:r>
    </w:p>
    <w:p w14:paraId="6FE56E26" w14:textId="77777777" w:rsidR="007C066C" w:rsidRPr="007C066C" w:rsidRDefault="007C066C" w:rsidP="007C066C">
      <w:pPr>
        <w:tabs>
          <w:tab w:val="num" w:pos="1701"/>
        </w:tabs>
        <w:spacing w:after="120"/>
        <w:ind w:left="1701" w:right="1134" w:hanging="170"/>
        <w:jc w:val="both"/>
        <w:rPr>
          <w:lang w:val="en-US" w:eastAsia="en-US"/>
        </w:rPr>
      </w:pPr>
      <w:r w:rsidRPr="007C066C">
        <w:rPr>
          <w:lang w:eastAsia="en-US"/>
        </w:rPr>
        <w:tab/>
        <w:t>Any other business</w:t>
      </w:r>
    </w:p>
    <w:p w14:paraId="4FBF8C48" w14:textId="77777777" w:rsidR="007C066C" w:rsidRPr="007C066C" w:rsidRDefault="007C066C" w:rsidP="007C066C">
      <w:pPr>
        <w:tabs>
          <w:tab w:val="num" w:pos="1701"/>
        </w:tabs>
        <w:spacing w:after="120"/>
        <w:ind w:left="1701" w:right="1134" w:hanging="170"/>
        <w:jc w:val="both"/>
        <w:rPr>
          <w:lang w:eastAsia="en-US"/>
        </w:rPr>
      </w:pPr>
      <w:r w:rsidRPr="007C066C">
        <w:rPr>
          <w:lang w:eastAsia="en-US"/>
        </w:rPr>
        <w:tab/>
        <w:t>Adoption of the report</w:t>
      </w:r>
    </w:p>
    <w:p w14:paraId="720C61ED" w14:textId="77777777" w:rsidR="00616E74" w:rsidRPr="00616E74" w:rsidRDefault="00616E74" w:rsidP="00616E74">
      <w:pPr>
        <w:keepNext/>
        <w:keepLines/>
        <w:tabs>
          <w:tab w:val="right" w:pos="851"/>
        </w:tabs>
        <w:spacing w:before="360" w:after="240" w:line="300" w:lineRule="exact"/>
        <w:ind w:left="1134" w:right="1134" w:hanging="1134"/>
        <w:outlineLvl w:val="1"/>
        <w:rPr>
          <w:b/>
          <w:sz w:val="28"/>
          <w:lang w:eastAsia="en-US"/>
        </w:rPr>
      </w:pPr>
      <w:r w:rsidRPr="00616E74">
        <w:rPr>
          <w:b/>
          <w:sz w:val="28"/>
          <w:lang w:eastAsia="en-US"/>
        </w:rPr>
        <w:tab/>
        <w:t>IX.</w:t>
      </w:r>
      <w:r w:rsidRPr="00616E74">
        <w:rPr>
          <w:b/>
          <w:sz w:val="28"/>
          <w:lang w:eastAsia="en-US"/>
        </w:rPr>
        <w:tab/>
        <w:t>Any other business (agenda item 8)</w:t>
      </w:r>
    </w:p>
    <w:p w14:paraId="3F8ABE81" w14:textId="77777777" w:rsidR="000A49C8" w:rsidRPr="000A49C8" w:rsidRDefault="000A49C8" w:rsidP="000A49C8">
      <w:pPr>
        <w:keepNext/>
        <w:keepLines/>
        <w:tabs>
          <w:tab w:val="right" w:pos="851"/>
        </w:tabs>
        <w:spacing w:before="360" w:after="240" w:line="270" w:lineRule="exact"/>
        <w:ind w:left="1134" w:right="1134" w:hanging="1134"/>
        <w:outlineLvl w:val="2"/>
        <w:rPr>
          <w:rFonts w:eastAsia="Calibri"/>
          <w:b/>
          <w:sz w:val="24"/>
          <w:lang w:val="en-US" w:eastAsia="en-US"/>
        </w:rPr>
      </w:pPr>
      <w:r w:rsidRPr="000A49C8">
        <w:rPr>
          <w:b/>
          <w:sz w:val="24"/>
          <w:lang w:eastAsia="en-US"/>
        </w:rPr>
        <w:tab/>
        <w:t>A.</w:t>
      </w:r>
      <w:r w:rsidRPr="000A49C8">
        <w:rPr>
          <w:b/>
          <w:sz w:val="24"/>
          <w:lang w:eastAsia="en-US"/>
        </w:rPr>
        <w:tab/>
        <w:t>Circular economy and sustainable use of natural resources</w:t>
      </w:r>
    </w:p>
    <w:p w14:paraId="48BB4363" w14:textId="77777777" w:rsidR="000A49C8" w:rsidRPr="000A49C8" w:rsidRDefault="000A49C8" w:rsidP="000A49C8">
      <w:pPr>
        <w:tabs>
          <w:tab w:val="left" w:pos="1701"/>
          <w:tab w:val="left" w:pos="2268"/>
        </w:tabs>
        <w:spacing w:after="120"/>
        <w:ind w:left="1134" w:right="1134"/>
        <w:jc w:val="both"/>
        <w:rPr>
          <w:rFonts w:eastAsia="SimSun"/>
          <w:lang w:val="en-US" w:eastAsia="zh-CN"/>
        </w:rPr>
      </w:pPr>
      <w:r w:rsidRPr="000A49C8">
        <w:rPr>
          <w:rFonts w:eastAsia="SimSun"/>
          <w:i/>
          <w:iCs/>
          <w:lang w:val="en-US" w:eastAsia="zh-CN"/>
        </w:rPr>
        <w:t>Informal document:</w:t>
      </w:r>
      <w:r w:rsidRPr="000A49C8">
        <w:rPr>
          <w:rFonts w:eastAsia="SimSun"/>
          <w:lang w:val="en-US" w:eastAsia="zh-CN"/>
        </w:rPr>
        <w:tab/>
        <w:t>INF.8/Rev.1 (secretariat)</w:t>
      </w:r>
    </w:p>
    <w:p w14:paraId="531515B7" w14:textId="69529DE8"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45</w:t>
      </w:r>
      <w:r w:rsidR="000A49C8" w:rsidRPr="000A49C8">
        <w:rPr>
          <w:rFonts w:eastAsia="SimSun"/>
          <w:lang w:eastAsia="zh-CN"/>
        </w:rPr>
        <w:t>.</w:t>
      </w:r>
      <w:r w:rsidR="000A49C8" w:rsidRPr="000A49C8">
        <w:rPr>
          <w:rFonts w:eastAsia="SimSun"/>
          <w:lang w:eastAsia="zh-CN"/>
        </w:rPr>
        <w:tab/>
        <w:t>A round table discussion on the circular economy from the perspective of multimodal transport of dangerous goods was held during the Working Party’s 112th session. The round table was a response to discussions held during the Working Party’s 111th session and to the request from the Inland Transport Committee, in the context of its strategy to 2030, for an annual report on the work of the subsidiary bodies related to the circular economy and the Sustainable Development Goals.</w:t>
      </w:r>
    </w:p>
    <w:p w14:paraId="6AEEE4C5" w14:textId="2180B3C9"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46</w:t>
      </w:r>
      <w:r w:rsidR="000A49C8" w:rsidRPr="000A49C8">
        <w:rPr>
          <w:rFonts w:eastAsia="SimSun"/>
          <w:lang w:eastAsia="zh-CN"/>
        </w:rPr>
        <w:t>.</w:t>
      </w:r>
      <w:r w:rsidR="000A49C8" w:rsidRPr="000A49C8">
        <w:rPr>
          <w:rFonts w:eastAsia="SimSun"/>
          <w:lang w:eastAsia="zh-CN"/>
        </w:rPr>
        <w:tab/>
        <w:t>The programme and all the presentations made during the round table would be made available on the web page of the Working Party’s 112th session (</w:t>
      </w:r>
      <w:hyperlink r:id="rId14" w:history="1">
        <w:r w:rsidR="000A49C8" w:rsidRPr="000A49C8">
          <w:rPr>
            <w:rFonts w:eastAsia="SimSun"/>
            <w:color w:val="0000FF"/>
            <w:lang w:eastAsia="zh-CN"/>
          </w:rPr>
          <w:t>https://unece.org/info/Transport/Dangerous-Goods/events/364687</w:t>
        </w:r>
      </w:hyperlink>
      <w:r w:rsidR="000A49C8" w:rsidRPr="000A49C8">
        <w:rPr>
          <w:rFonts w:eastAsia="SimSun"/>
          <w:lang w:eastAsia="zh-CN"/>
        </w:rPr>
        <w:t xml:space="preserve">). </w:t>
      </w:r>
    </w:p>
    <w:p w14:paraId="69CB4ADB" w14:textId="13DDA7EE"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47</w:t>
      </w:r>
      <w:r w:rsidR="000A49C8" w:rsidRPr="000A49C8">
        <w:rPr>
          <w:rFonts w:eastAsia="SimSun"/>
          <w:lang w:eastAsia="zh-CN"/>
        </w:rPr>
        <w:t>.</w:t>
      </w:r>
      <w:r w:rsidR="000A49C8" w:rsidRPr="000A49C8">
        <w:rPr>
          <w:rFonts w:eastAsia="SimSun"/>
          <w:lang w:eastAsia="zh-CN"/>
        </w:rPr>
        <w:tab/>
        <w:t xml:space="preserve">The round table began with welcome addresses from the Executive Secretary of the Economic Commission for Europe, the Director of the Sustainable Transport </w:t>
      </w:r>
      <w:proofErr w:type="gramStart"/>
      <w:r w:rsidR="000A49C8" w:rsidRPr="000A49C8">
        <w:rPr>
          <w:rFonts w:eastAsia="SimSun"/>
          <w:lang w:eastAsia="zh-CN"/>
        </w:rPr>
        <w:t>Division</w:t>
      </w:r>
      <w:proofErr w:type="gramEnd"/>
      <w:r w:rsidR="000A49C8" w:rsidRPr="000A49C8">
        <w:rPr>
          <w:rFonts w:eastAsia="SimSun"/>
          <w:lang w:eastAsia="zh-CN"/>
        </w:rPr>
        <w:t xml:space="preserve"> and the Chief of the Dangerous Goods Section. The Executive Secretary highlighted the importance of the circular economy and sustainable use of natural resources in achieving the Sustainable Development Goals (SDGs) of Agenda 2030. The Director of the Sustainable Transportation Division recalled</w:t>
      </w:r>
      <w:proofErr w:type="gramStart"/>
      <w:r w:rsidR="000A49C8" w:rsidRPr="000A49C8">
        <w:rPr>
          <w:rFonts w:eastAsia="SimSun"/>
          <w:lang w:eastAsia="zh-CN"/>
        </w:rPr>
        <w:t>, in particular, that</w:t>
      </w:r>
      <w:proofErr w:type="gramEnd"/>
      <w:r w:rsidR="000A49C8" w:rsidRPr="000A49C8">
        <w:rPr>
          <w:rFonts w:eastAsia="SimSun"/>
          <w:lang w:eastAsia="zh-CN"/>
        </w:rPr>
        <w:t xml:space="preserve"> the Economic and Social Council had recently approved the revised terms of reference of the Inland Transport Committee. The new terms of reference had been drafted with a view to encouraging non-member countries of ECE to participate in the </w:t>
      </w:r>
      <w:r w:rsidR="00E94427">
        <w:rPr>
          <w:rFonts w:eastAsia="SimSun"/>
          <w:lang w:eastAsia="zh-CN"/>
        </w:rPr>
        <w:t>session</w:t>
      </w:r>
      <w:r w:rsidR="00E94427" w:rsidRPr="000A49C8">
        <w:rPr>
          <w:rFonts w:eastAsia="SimSun"/>
          <w:lang w:eastAsia="zh-CN"/>
        </w:rPr>
        <w:t xml:space="preserve">s </w:t>
      </w:r>
      <w:r w:rsidR="000A49C8" w:rsidRPr="000A49C8">
        <w:rPr>
          <w:rFonts w:eastAsia="SimSun"/>
          <w:lang w:eastAsia="zh-CN"/>
        </w:rPr>
        <w:t>of the Inland Transport Committee and its subsidiary bodies and enable them to accede to the United Nations legal instruments developed under the auspices of the Sustainable Transport Division. The Chief of the Dangerous Goods Section recalled the decisions taken by the Joint Meeting regarding the addition to its programme of work of a specific item on the circular economy and the SDGs and references to those topics in working documents.</w:t>
      </w:r>
    </w:p>
    <w:p w14:paraId="3703A5FA" w14:textId="36D68EBD"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48</w:t>
      </w:r>
      <w:r w:rsidR="000A49C8" w:rsidRPr="000A49C8">
        <w:rPr>
          <w:rFonts w:eastAsia="SimSun"/>
          <w:lang w:eastAsia="zh-CN"/>
        </w:rPr>
        <w:t>.</w:t>
      </w:r>
      <w:r w:rsidR="000A49C8" w:rsidRPr="000A49C8">
        <w:rPr>
          <w:rFonts w:eastAsia="SimSun"/>
          <w:lang w:eastAsia="zh-CN"/>
        </w:rPr>
        <w:tab/>
        <w:t>The panellists and the participants recognized that the work of United Nations bodies on the transport of dangerous goods was already having an impact, direct or indirect, on the development of the circular economy and the SDGs and that it was now important to better identify the links between those areas.</w:t>
      </w:r>
    </w:p>
    <w:p w14:paraId="2203294F" w14:textId="602EA979"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49</w:t>
      </w:r>
      <w:r w:rsidR="000A49C8" w:rsidRPr="000A49C8">
        <w:rPr>
          <w:rFonts w:eastAsia="SimSun"/>
          <w:lang w:eastAsia="zh-CN"/>
        </w:rPr>
        <w:t>.</w:t>
      </w:r>
      <w:r w:rsidR="000A49C8" w:rsidRPr="000A49C8">
        <w:rPr>
          <w:rFonts w:eastAsia="SimSun"/>
          <w:lang w:eastAsia="zh-CN"/>
        </w:rPr>
        <w:tab/>
        <w:t>The Working Party expressed its appreciation of the round table discussion. It stressed the importance of continuing to consider its work in the light of goals related to the circular economy and the sustainable use of natural resources, while reconciling those issues with expected safety objectives.</w:t>
      </w:r>
    </w:p>
    <w:p w14:paraId="6E548C18" w14:textId="7928655D" w:rsidR="000A49C8" w:rsidRPr="000A49C8" w:rsidRDefault="00544C17" w:rsidP="000A49C8">
      <w:pPr>
        <w:tabs>
          <w:tab w:val="left" w:pos="1701"/>
          <w:tab w:val="left" w:pos="2268"/>
        </w:tabs>
        <w:spacing w:after="120"/>
        <w:ind w:left="1134" w:right="1134"/>
        <w:jc w:val="both"/>
        <w:rPr>
          <w:rFonts w:eastAsia="Calibri"/>
          <w:lang w:val="en-US" w:eastAsia="zh-CN"/>
        </w:rPr>
      </w:pPr>
      <w:r>
        <w:rPr>
          <w:rFonts w:eastAsia="SimSun"/>
          <w:lang w:eastAsia="zh-CN"/>
        </w:rPr>
        <w:t>50</w:t>
      </w:r>
      <w:r w:rsidR="000A49C8" w:rsidRPr="000A49C8">
        <w:rPr>
          <w:rFonts w:eastAsia="SimSun"/>
          <w:lang w:eastAsia="zh-CN"/>
        </w:rPr>
        <w:t>.</w:t>
      </w:r>
      <w:r w:rsidR="000A49C8" w:rsidRPr="000A49C8">
        <w:rPr>
          <w:rFonts w:eastAsia="SimSun"/>
          <w:lang w:eastAsia="zh-CN"/>
        </w:rPr>
        <w:tab/>
        <w:t xml:space="preserve">The Working Party decided to dedicate a new agenda item to the issue of the Sustainable Development Goals and the circular economy </w:t>
      </w:r>
      <w:proofErr w:type="gramStart"/>
      <w:r w:rsidR="000A49C8" w:rsidRPr="000A49C8">
        <w:rPr>
          <w:rFonts w:eastAsia="SimSun"/>
          <w:lang w:eastAsia="zh-CN"/>
        </w:rPr>
        <w:t>so as to</w:t>
      </w:r>
      <w:proofErr w:type="gramEnd"/>
      <w:r w:rsidR="000A49C8" w:rsidRPr="000A49C8">
        <w:rPr>
          <w:rFonts w:eastAsia="SimSun"/>
          <w:lang w:eastAsia="zh-CN"/>
        </w:rPr>
        <w:t xml:space="preserve"> allow for regular discussion on follow-up actions. It also invited delegations, when submitting proposals, to note in the justification part any interlinkage there might be with those topics.</w:t>
      </w:r>
    </w:p>
    <w:p w14:paraId="3C8F711A" w14:textId="1DC59BE5" w:rsidR="000A49C8" w:rsidRPr="000A49C8" w:rsidRDefault="00544C17" w:rsidP="000A49C8">
      <w:pPr>
        <w:tabs>
          <w:tab w:val="left" w:pos="1701"/>
          <w:tab w:val="left" w:pos="2268"/>
        </w:tabs>
        <w:spacing w:after="120"/>
        <w:ind w:left="1134" w:right="1134"/>
        <w:jc w:val="both"/>
        <w:rPr>
          <w:rFonts w:eastAsia="Calibri"/>
          <w:lang w:val="en-US" w:eastAsia="zh-CN"/>
        </w:rPr>
      </w:pPr>
      <w:r>
        <w:rPr>
          <w:rFonts w:eastAsia="SimSun"/>
          <w:lang w:eastAsia="zh-CN"/>
        </w:rPr>
        <w:t>51</w:t>
      </w:r>
      <w:r w:rsidR="000A49C8" w:rsidRPr="000A49C8">
        <w:rPr>
          <w:rFonts w:eastAsia="SimSun"/>
          <w:lang w:eastAsia="zh-CN"/>
        </w:rPr>
        <w:t>.</w:t>
      </w:r>
      <w:r w:rsidR="000A49C8" w:rsidRPr="000A49C8">
        <w:rPr>
          <w:rFonts w:eastAsia="SimSun"/>
          <w:lang w:eastAsia="zh-CN"/>
        </w:rPr>
        <w:tab/>
        <w:t>The Working Party noted that, at its spring 2023 session, the Joint Meeting would further discuss the key Sustainable Development Goals applicable to its work; the Working Party would be informed of the outcome of those discussions at its 113th session.</w:t>
      </w:r>
    </w:p>
    <w:p w14:paraId="65F2BA00" w14:textId="4C47E0F1" w:rsidR="000A49C8" w:rsidRPr="000A49C8" w:rsidRDefault="000A49C8" w:rsidP="000A49C8">
      <w:pPr>
        <w:keepNext/>
        <w:keepLines/>
        <w:tabs>
          <w:tab w:val="right" w:pos="851"/>
        </w:tabs>
        <w:spacing w:before="360" w:after="240" w:line="270" w:lineRule="exact"/>
        <w:ind w:left="1134" w:right="1134" w:hanging="1134"/>
        <w:outlineLvl w:val="2"/>
        <w:rPr>
          <w:b/>
          <w:sz w:val="24"/>
          <w:lang w:val="en-US" w:eastAsia="en-US"/>
        </w:rPr>
      </w:pPr>
      <w:r w:rsidRPr="000A49C8">
        <w:rPr>
          <w:b/>
          <w:sz w:val="24"/>
          <w:lang w:eastAsia="en-US"/>
        </w:rPr>
        <w:lastRenderedPageBreak/>
        <w:tab/>
        <w:t>B.</w:t>
      </w:r>
      <w:r w:rsidRPr="000A49C8">
        <w:rPr>
          <w:b/>
          <w:sz w:val="24"/>
          <w:lang w:eastAsia="en-US"/>
        </w:rPr>
        <w:tab/>
      </w:r>
      <w:proofErr w:type="spellStart"/>
      <w:r w:rsidRPr="000A49C8">
        <w:rPr>
          <w:b/>
          <w:sz w:val="24"/>
          <w:lang w:eastAsia="en-US"/>
        </w:rPr>
        <w:t>EuroMed</w:t>
      </w:r>
      <w:proofErr w:type="spellEnd"/>
      <w:r w:rsidRPr="000A49C8">
        <w:rPr>
          <w:b/>
          <w:sz w:val="24"/>
          <w:lang w:eastAsia="en-US"/>
        </w:rPr>
        <w:t xml:space="preserve"> TSP</w:t>
      </w:r>
    </w:p>
    <w:p w14:paraId="2BD67DC0" w14:textId="77777777" w:rsidR="000A49C8" w:rsidRPr="000A49C8" w:rsidRDefault="000A49C8" w:rsidP="000A49C8">
      <w:pPr>
        <w:tabs>
          <w:tab w:val="left" w:pos="1701"/>
          <w:tab w:val="left" w:pos="2268"/>
        </w:tabs>
        <w:spacing w:after="120"/>
        <w:ind w:left="1134" w:right="1134"/>
        <w:jc w:val="both"/>
        <w:rPr>
          <w:rFonts w:eastAsia="SimSun"/>
          <w:lang w:val="en-US" w:eastAsia="zh-CN"/>
        </w:rPr>
      </w:pPr>
      <w:r w:rsidRPr="000A49C8">
        <w:rPr>
          <w:rFonts w:eastAsia="SimSun"/>
          <w:i/>
          <w:iCs/>
          <w:lang w:eastAsia="zh-CN"/>
        </w:rPr>
        <w:t>Informal document</w:t>
      </w:r>
      <w:r w:rsidRPr="000A49C8">
        <w:rPr>
          <w:rFonts w:eastAsia="SimSun"/>
          <w:lang w:eastAsia="zh-CN"/>
        </w:rPr>
        <w:t>:</w:t>
      </w:r>
      <w:r w:rsidRPr="000A49C8">
        <w:rPr>
          <w:rFonts w:eastAsia="SimSun"/>
          <w:lang w:eastAsia="zh-CN"/>
        </w:rPr>
        <w:tab/>
        <w:t>INF.11 (</w:t>
      </w:r>
      <w:proofErr w:type="spellStart"/>
      <w:r w:rsidRPr="000A49C8">
        <w:rPr>
          <w:rFonts w:eastAsia="SimSun"/>
          <w:lang w:eastAsia="zh-CN"/>
        </w:rPr>
        <w:t>EuroMed</w:t>
      </w:r>
      <w:proofErr w:type="spellEnd"/>
      <w:r w:rsidRPr="000A49C8">
        <w:rPr>
          <w:rFonts w:eastAsia="SimSun"/>
          <w:lang w:eastAsia="zh-CN"/>
        </w:rPr>
        <w:t>)</w:t>
      </w:r>
    </w:p>
    <w:p w14:paraId="5EA2E9DE" w14:textId="7FFB7919"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52</w:t>
      </w:r>
      <w:r w:rsidR="000A49C8" w:rsidRPr="000A49C8">
        <w:rPr>
          <w:rFonts w:eastAsia="SimSun"/>
          <w:lang w:eastAsia="zh-CN"/>
        </w:rPr>
        <w:t>.</w:t>
      </w:r>
      <w:r w:rsidR="000A49C8" w:rsidRPr="000A49C8">
        <w:rPr>
          <w:rFonts w:eastAsia="SimSun"/>
          <w:lang w:eastAsia="zh-CN"/>
        </w:rPr>
        <w:tab/>
        <w:t xml:space="preserve">A representative of the </w:t>
      </w:r>
      <w:proofErr w:type="spellStart"/>
      <w:r w:rsidR="000A49C8" w:rsidRPr="000A49C8">
        <w:rPr>
          <w:rFonts w:eastAsia="SimSun"/>
          <w:lang w:eastAsia="zh-CN"/>
        </w:rPr>
        <w:t>EuroMed</w:t>
      </w:r>
      <w:proofErr w:type="spellEnd"/>
      <w:r w:rsidR="000A49C8" w:rsidRPr="000A49C8">
        <w:rPr>
          <w:rFonts w:eastAsia="SimSun"/>
          <w:lang w:eastAsia="zh-CN"/>
        </w:rPr>
        <w:t xml:space="preserve"> TSP gave an overview of the activities of the </w:t>
      </w:r>
      <w:proofErr w:type="spellStart"/>
      <w:r w:rsidR="000A49C8" w:rsidRPr="000A49C8">
        <w:rPr>
          <w:rFonts w:eastAsia="SimSun"/>
          <w:lang w:eastAsia="zh-CN"/>
        </w:rPr>
        <w:t>EuroMed</w:t>
      </w:r>
      <w:proofErr w:type="spellEnd"/>
      <w:r w:rsidR="000A49C8" w:rsidRPr="000A49C8">
        <w:rPr>
          <w:rFonts w:eastAsia="SimSun"/>
          <w:lang w:eastAsia="zh-CN"/>
        </w:rPr>
        <w:t xml:space="preserve"> Road, Rail and Urban (RRU) Transport Project and the </w:t>
      </w:r>
      <w:proofErr w:type="spellStart"/>
      <w:r w:rsidR="000A49C8" w:rsidRPr="000A49C8">
        <w:rPr>
          <w:rFonts w:eastAsia="SimSun"/>
          <w:lang w:eastAsia="zh-CN"/>
        </w:rPr>
        <w:t>EuroMed</w:t>
      </w:r>
      <w:proofErr w:type="spellEnd"/>
      <w:r w:rsidR="000A49C8" w:rsidRPr="000A49C8">
        <w:rPr>
          <w:rFonts w:eastAsia="SimSun"/>
          <w:lang w:eastAsia="zh-CN"/>
        </w:rPr>
        <w:t xml:space="preserve"> TSP of the European Union since 2012 in respect of the road transport of dangerous goods and the promotion of ADR and aligned legislation for national transport in some Middle Eastern and North African Mediterranean and neighbouring countries. The Working Party noted with satisfaction the results achieved so far, while emphasizing that the project would end in 2023 and that much work remained to be done.</w:t>
      </w:r>
    </w:p>
    <w:p w14:paraId="2AF2CF8D" w14:textId="6B5724A4"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53</w:t>
      </w:r>
      <w:r w:rsidR="000A49C8" w:rsidRPr="000A49C8">
        <w:rPr>
          <w:rFonts w:eastAsia="SimSun"/>
          <w:lang w:eastAsia="zh-CN"/>
        </w:rPr>
        <w:t>.</w:t>
      </w:r>
      <w:r w:rsidR="000A49C8" w:rsidRPr="000A49C8">
        <w:rPr>
          <w:rFonts w:eastAsia="SimSun"/>
          <w:lang w:eastAsia="zh-CN"/>
        </w:rPr>
        <w:tab/>
        <w:t xml:space="preserve">The Working Party also noted that a new phase of the project could be initiated after 2023 and strongly encouraged the European Commission to follow up appropriately. </w:t>
      </w:r>
    </w:p>
    <w:p w14:paraId="40112F43" w14:textId="563F468B"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54</w:t>
      </w:r>
      <w:r w:rsidR="000A49C8" w:rsidRPr="000A49C8">
        <w:rPr>
          <w:rFonts w:eastAsia="SimSun"/>
          <w:lang w:eastAsia="zh-CN"/>
        </w:rPr>
        <w:t>.</w:t>
      </w:r>
      <w:r w:rsidR="000A49C8" w:rsidRPr="000A49C8">
        <w:rPr>
          <w:rFonts w:eastAsia="SimSun"/>
          <w:lang w:eastAsia="zh-CN"/>
        </w:rPr>
        <w:tab/>
        <w:t xml:space="preserve">The Working Party further noted that, following discussions at previous sessions regarding the translation of ADR into Arabic and considering the impossibility of finding a solution within the United Nations Secretariat for the time being, the </w:t>
      </w:r>
      <w:proofErr w:type="spellStart"/>
      <w:r w:rsidR="000A49C8" w:rsidRPr="000A49C8">
        <w:rPr>
          <w:rFonts w:eastAsia="SimSun"/>
          <w:lang w:eastAsia="zh-CN"/>
        </w:rPr>
        <w:t>EuroMed</w:t>
      </w:r>
      <w:proofErr w:type="spellEnd"/>
      <w:r w:rsidR="000A49C8" w:rsidRPr="000A49C8">
        <w:rPr>
          <w:rFonts w:eastAsia="SimSun"/>
          <w:lang w:eastAsia="zh-CN"/>
        </w:rPr>
        <w:t xml:space="preserve"> TSP had finally decided to take on the task. An Arabic version of ADR 2023 should be available by the end of November 2022. It would be made available to the ECE secretariat for publication and dissemination on the website. The Working Party welcomed the outcome. To ensure that the work involved would be of continued use, a permanent solution should be found for the translation of amendments every two years and the publication of the corresponding consolidated amended versions. The secretariat was invited to consult the services concerned to identify a sustainable solution.</w:t>
      </w:r>
    </w:p>
    <w:p w14:paraId="6E4EEB6A" w14:textId="54821E48" w:rsidR="000A49C8" w:rsidRPr="000A49C8" w:rsidRDefault="00544C17" w:rsidP="000A49C8">
      <w:pPr>
        <w:tabs>
          <w:tab w:val="left" w:pos="1701"/>
          <w:tab w:val="left" w:pos="2268"/>
        </w:tabs>
        <w:spacing w:after="120"/>
        <w:ind w:left="1134" w:right="1134"/>
        <w:jc w:val="both"/>
        <w:rPr>
          <w:rFonts w:eastAsia="SimSun"/>
          <w:lang w:val="en-US" w:eastAsia="zh-CN"/>
        </w:rPr>
      </w:pPr>
      <w:r>
        <w:rPr>
          <w:rFonts w:eastAsia="SimSun"/>
          <w:lang w:eastAsia="zh-CN"/>
        </w:rPr>
        <w:t>55</w:t>
      </w:r>
      <w:r w:rsidR="000A49C8" w:rsidRPr="000A49C8">
        <w:rPr>
          <w:rFonts w:eastAsia="SimSun"/>
          <w:lang w:eastAsia="zh-CN"/>
        </w:rPr>
        <w:t>.</w:t>
      </w:r>
      <w:r w:rsidR="000A49C8" w:rsidRPr="000A49C8">
        <w:rPr>
          <w:rFonts w:eastAsia="SimSun"/>
          <w:lang w:eastAsia="zh-CN"/>
        </w:rPr>
        <w:tab/>
        <w:t xml:space="preserve">The </w:t>
      </w:r>
      <w:proofErr w:type="spellStart"/>
      <w:r w:rsidR="000A49C8" w:rsidRPr="000A49C8">
        <w:rPr>
          <w:rFonts w:eastAsia="SimSun"/>
          <w:lang w:eastAsia="zh-CN"/>
        </w:rPr>
        <w:t>EuroMed</w:t>
      </w:r>
      <w:proofErr w:type="spellEnd"/>
      <w:r w:rsidR="000A49C8" w:rsidRPr="000A49C8">
        <w:rPr>
          <w:rFonts w:eastAsia="SimSun"/>
          <w:lang w:eastAsia="zh-CN"/>
        </w:rPr>
        <w:t xml:space="preserve"> TSP experts thanked the ECE secretariat and the Sustainable Transport Division for their continued support since the beginning of the project.</w:t>
      </w:r>
    </w:p>
    <w:p w14:paraId="13AADA21" w14:textId="77777777" w:rsidR="00616E74" w:rsidRPr="00616E74" w:rsidRDefault="00616E74" w:rsidP="00616E74">
      <w:pPr>
        <w:keepNext/>
        <w:keepLines/>
        <w:tabs>
          <w:tab w:val="right" w:pos="851"/>
        </w:tabs>
        <w:spacing w:before="360" w:after="240" w:line="270" w:lineRule="exact"/>
        <w:ind w:left="1134" w:right="1134" w:hanging="1134"/>
        <w:outlineLvl w:val="2"/>
        <w:rPr>
          <w:b/>
          <w:sz w:val="24"/>
          <w:lang w:eastAsia="en-US"/>
        </w:rPr>
      </w:pPr>
      <w:r w:rsidRPr="00616E74">
        <w:rPr>
          <w:b/>
          <w:sz w:val="24"/>
          <w:lang w:eastAsia="en-US"/>
        </w:rPr>
        <w:tab/>
        <w:t>C.</w:t>
      </w:r>
      <w:r w:rsidRPr="00616E74">
        <w:rPr>
          <w:b/>
          <w:sz w:val="24"/>
          <w:lang w:eastAsia="en-US"/>
        </w:rPr>
        <w:tab/>
        <w:t>Translations of ADR</w:t>
      </w:r>
    </w:p>
    <w:p w14:paraId="1C7EE15B" w14:textId="1ED09D8E" w:rsidR="00616E74" w:rsidRPr="00616E74" w:rsidRDefault="00544C17" w:rsidP="00616E74">
      <w:pPr>
        <w:tabs>
          <w:tab w:val="left" w:pos="1701"/>
          <w:tab w:val="left" w:pos="2268"/>
        </w:tabs>
        <w:spacing w:after="120"/>
        <w:ind w:left="1134" w:right="1134"/>
        <w:jc w:val="both"/>
        <w:rPr>
          <w:rFonts w:eastAsia="SimSun"/>
          <w:lang w:eastAsia="zh-CN"/>
        </w:rPr>
      </w:pPr>
      <w:r>
        <w:rPr>
          <w:rFonts w:eastAsia="SimSun"/>
          <w:lang w:eastAsia="zh-CN"/>
        </w:rPr>
        <w:t>56</w:t>
      </w:r>
      <w:r w:rsidR="00616E74" w:rsidRPr="00616E74">
        <w:rPr>
          <w:rFonts w:eastAsia="SimSun"/>
          <w:lang w:eastAsia="zh-CN"/>
        </w:rPr>
        <w:t>.</w:t>
      </w:r>
      <w:r w:rsidR="00616E74" w:rsidRPr="00616E74">
        <w:rPr>
          <w:rFonts w:eastAsia="SimSun"/>
          <w:lang w:eastAsia="zh-CN"/>
        </w:rPr>
        <w:tab/>
        <w:t>The Secretariat reminded delegations that, if they so wished, they could send a link to their national translation of the ADR so that it could be posted on the ECE website.</w:t>
      </w:r>
    </w:p>
    <w:p w14:paraId="4A9830D5" w14:textId="77777777" w:rsidR="00616E74" w:rsidRPr="00616E74" w:rsidRDefault="00616E74" w:rsidP="00616E74">
      <w:pPr>
        <w:keepNext/>
        <w:keepLines/>
        <w:tabs>
          <w:tab w:val="right" w:pos="851"/>
        </w:tabs>
        <w:spacing w:before="360" w:after="240" w:line="270" w:lineRule="exact"/>
        <w:ind w:left="1134" w:right="1134" w:hanging="1134"/>
        <w:outlineLvl w:val="2"/>
        <w:rPr>
          <w:b/>
          <w:sz w:val="24"/>
          <w:lang w:eastAsia="en-US"/>
        </w:rPr>
      </w:pPr>
      <w:r w:rsidRPr="00616E74">
        <w:rPr>
          <w:b/>
          <w:sz w:val="24"/>
          <w:lang w:eastAsia="en-US"/>
        </w:rPr>
        <w:tab/>
        <w:t>D.</w:t>
      </w:r>
      <w:r w:rsidRPr="00616E74">
        <w:rPr>
          <w:b/>
          <w:sz w:val="24"/>
          <w:lang w:eastAsia="en-US"/>
        </w:rPr>
        <w:tab/>
        <w:t>ADR Road Map</w:t>
      </w:r>
    </w:p>
    <w:p w14:paraId="2EF93C5E" w14:textId="349D2F5D" w:rsidR="00283BFA" w:rsidRDefault="00544C17" w:rsidP="00024DB6">
      <w:pPr>
        <w:tabs>
          <w:tab w:val="left" w:pos="1701"/>
          <w:tab w:val="left" w:pos="2268"/>
        </w:tabs>
        <w:spacing w:after="120"/>
        <w:ind w:left="1134" w:right="1134"/>
        <w:jc w:val="both"/>
        <w:rPr>
          <w:rFonts w:eastAsia="SimSun"/>
          <w:lang w:eastAsia="zh-CN"/>
        </w:rPr>
      </w:pPr>
      <w:r>
        <w:rPr>
          <w:rFonts w:eastAsia="SimSun"/>
          <w:lang w:eastAsia="zh-CN"/>
        </w:rPr>
        <w:t>57</w:t>
      </w:r>
      <w:r w:rsidR="00616E74" w:rsidRPr="00616E74">
        <w:rPr>
          <w:rFonts w:eastAsia="SimSun"/>
          <w:lang w:eastAsia="zh-CN"/>
        </w:rPr>
        <w:t>.</w:t>
      </w:r>
      <w:r w:rsidR="00616E74" w:rsidRPr="00616E74">
        <w:rPr>
          <w:rFonts w:eastAsia="SimSun"/>
          <w:lang w:eastAsia="zh-CN"/>
        </w:rPr>
        <w:tab/>
        <w:t>The Working Party noted with satisfaction that the electronic version of the ADR Road Map was available on the ECE website in English, French and Russian (</w:t>
      </w:r>
      <w:hyperlink r:id="rId15" w:history="1">
        <w:r w:rsidR="00024DB6" w:rsidRPr="004D38B9">
          <w:rPr>
            <w:rStyle w:val="Hyperlink"/>
            <w:rFonts w:eastAsia="SimSun"/>
            <w:lang w:eastAsia="zh-CN"/>
          </w:rPr>
          <w:t>https://unece.org/info/Transport/pub/2576</w:t>
        </w:r>
      </w:hyperlink>
      <w:r w:rsidR="00616E74" w:rsidRPr="00616E74">
        <w:rPr>
          <w:rFonts w:eastAsia="SimSun"/>
          <w:lang w:eastAsia="zh-CN"/>
        </w:rPr>
        <w:t>) and that the secretariat was finalizing a Spanish version.</w:t>
      </w:r>
    </w:p>
    <w:p w14:paraId="36FFE226" w14:textId="1545B9E5" w:rsidR="00283BFA" w:rsidRPr="00283BFA" w:rsidRDefault="00283BFA" w:rsidP="00283BFA">
      <w:pPr>
        <w:keepNext/>
        <w:keepLines/>
        <w:tabs>
          <w:tab w:val="right" w:pos="851"/>
        </w:tabs>
        <w:spacing w:before="360" w:after="240" w:line="270" w:lineRule="exact"/>
        <w:ind w:left="1134" w:right="1134" w:hanging="1134"/>
        <w:outlineLvl w:val="2"/>
        <w:rPr>
          <w:b/>
          <w:sz w:val="24"/>
          <w:lang w:eastAsia="en-US"/>
        </w:rPr>
      </w:pPr>
      <w:r w:rsidRPr="00283BFA">
        <w:rPr>
          <w:b/>
          <w:sz w:val="24"/>
          <w:lang w:eastAsia="en-US"/>
        </w:rPr>
        <w:tab/>
        <w:t>E.</w:t>
      </w:r>
      <w:r w:rsidRPr="00283BFA">
        <w:rPr>
          <w:b/>
          <w:sz w:val="24"/>
          <w:lang w:eastAsia="en-US"/>
        </w:rPr>
        <w:tab/>
      </w:r>
      <w:proofErr w:type="spellStart"/>
      <w:r w:rsidRPr="00283BFA">
        <w:rPr>
          <w:b/>
          <w:sz w:val="24"/>
          <w:lang w:eastAsia="en-US"/>
        </w:rPr>
        <w:t>LearnITC</w:t>
      </w:r>
      <w:proofErr w:type="spellEnd"/>
      <w:r w:rsidRPr="00283BFA">
        <w:rPr>
          <w:b/>
          <w:sz w:val="24"/>
          <w:lang w:eastAsia="en-US"/>
        </w:rPr>
        <w:t xml:space="preserve"> e-learning platform</w:t>
      </w:r>
    </w:p>
    <w:p w14:paraId="11938C79" w14:textId="5B7D1E8D" w:rsidR="00283BFA" w:rsidRPr="00283BFA" w:rsidRDefault="00544C17" w:rsidP="00283BFA">
      <w:pPr>
        <w:tabs>
          <w:tab w:val="left" w:pos="1701"/>
          <w:tab w:val="left" w:pos="2268"/>
        </w:tabs>
        <w:spacing w:after="120"/>
        <w:ind w:left="1134" w:right="1134"/>
        <w:jc w:val="both"/>
        <w:rPr>
          <w:rFonts w:eastAsia="SimSun"/>
          <w:lang w:val="en-US" w:eastAsia="zh-CN"/>
        </w:rPr>
      </w:pPr>
      <w:r>
        <w:rPr>
          <w:rFonts w:eastAsia="SimSun"/>
          <w:lang w:eastAsia="zh-CN"/>
        </w:rPr>
        <w:t>58</w:t>
      </w:r>
      <w:r w:rsidR="00283BFA" w:rsidRPr="00283BFA">
        <w:rPr>
          <w:rFonts w:eastAsia="SimSun"/>
          <w:lang w:eastAsia="zh-CN"/>
        </w:rPr>
        <w:t>.</w:t>
      </w:r>
      <w:r w:rsidR="00283BFA" w:rsidRPr="00283BFA">
        <w:rPr>
          <w:rFonts w:eastAsia="SimSun"/>
          <w:lang w:eastAsia="zh-CN"/>
        </w:rPr>
        <w:tab/>
        <w:t xml:space="preserve">A member of the secretariat presented </w:t>
      </w:r>
      <w:proofErr w:type="spellStart"/>
      <w:r w:rsidR="00283BFA" w:rsidRPr="00283BFA">
        <w:rPr>
          <w:rFonts w:eastAsia="SimSun"/>
          <w:lang w:eastAsia="zh-CN"/>
        </w:rPr>
        <w:t>LearnITC</w:t>
      </w:r>
      <w:proofErr w:type="spellEnd"/>
      <w:r w:rsidR="00283BFA" w:rsidRPr="00283BFA">
        <w:rPr>
          <w:rFonts w:eastAsia="SimSun"/>
          <w:lang w:eastAsia="zh-CN"/>
        </w:rPr>
        <w:t>, the inland transport and trade connectivity e-learning platform (</w:t>
      </w:r>
      <w:hyperlink r:id="rId16" w:history="1">
        <w:r w:rsidR="00283BFA" w:rsidRPr="00283BFA">
          <w:rPr>
            <w:rFonts w:eastAsia="SimSun"/>
            <w:color w:val="0000FF"/>
            <w:lang w:eastAsia="zh-CN"/>
          </w:rPr>
          <w:t>https://learnitc.unece.org/</w:t>
        </w:r>
      </w:hyperlink>
      <w:r w:rsidR="00283BFA" w:rsidRPr="00283BFA">
        <w:rPr>
          <w:rFonts w:eastAsia="SimSun"/>
          <w:lang w:eastAsia="zh-CN"/>
        </w:rPr>
        <w:t>).</w:t>
      </w:r>
    </w:p>
    <w:p w14:paraId="6480A811" w14:textId="6A09EA80" w:rsidR="00283BFA" w:rsidRPr="00283BFA" w:rsidRDefault="00544C17" w:rsidP="00283BFA">
      <w:pPr>
        <w:tabs>
          <w:tab w:val="left" w:pos="1701"/>
          <w:tab w:val="left" w:pos="2268"/>
        </w:tabs>
        <w:spacing w:after="120"/>
        <w:ind w:left="1134" w:right="1134"/>
        <w:jc w:val="both"/>
        <w:rPr>
          <w:rFonts w:eastAsia="SimSun"/>
          <w:lang w:val="en-US" w:eastAsia="zh-CN"/>
        </w:rPr>
      </w:pPr>
      <w:r>
        <w:rPr>
          <w:rFonts w:eastAsia="SimSun"/>
          <w:lang w:eastAsia="zh-CN"/>
        </w:rPr>
        <w:t>59</w:t>
      </w:r>
      <w:r w:rsidR="00283BFA" w:rsidRPr="00283BFA">
        <w:rPr>
          <w:rFonts w:eastAsia="SimSun"/>
          <w:lang w:eastAsia="zh-CN"/>
        </w:rPr>
        <w:t>.</w:t>
      </w:r>
      <w:r w:rsidR="00283BFA" w:rsidRPr="00283BFA">
        <w:rPr>
          <w:rFonts w:eastAsia="SimSun"/>
          <w:lang w:eastAsia="zh-CN"/>
        </w:rPr>
        <w:tab/>
        <w:t xml:space="preserve">The e-learning platform, which covered United Nations legal instruments, standards and other tools for inland transport and trade, was particularly aimed at representatives of institutional and sectoral actors who wished to implement sustainable transport and trade connectivity policies. </w:t>
      </w:r>
    </w:p>
    <w:p w14:paraId="36BC712A" w14:textId="77777777" w:rsidR="00283BFA" w:rsidRPr="00283BFA" w:rsidRDefault="00283BFA" w:rsidP="00283BFA">
      <w:pPr>
        <w:keepNext/>
        <w:keepLines/>
        <w:tabs>
          <w:tab w:val="right" w:pos="851"/>
        </w:tabs>
        <w:spacing w:before="360" w:after="240" w:line="270" w:lineRule="exact"/>
        <w:ind w:left="1134" w:right="1134" w:hanging="1134"/>
        <w:outlineLvl w:val="2"/>
        <w:rPr>
          <w:rFonts w:eastAsia="Calibri"/>
          <w:b/>
          <w:sz w:val="24"/>
          <w:lang w:val="en-US" w:eastAsia="en-US"/>
        </w:rPr>
      </w:pPr>
      <w:r w:rsidRPr="00283BFA">
        <w:rPr>
          <w:b/>
          <w:sz w:val="24"/>
          <w:lang w:eastAsia="en-US"/>
        </w:rPr>
        <w:tab/>
        <w:t>F.</w:t>
      </w:r>
      <w:r w:rsidRPr="00283BFA">
        <w:rPr>
          <w:b/>
          <w:sz w:val="24"/>
          <w:lang w:eastAsia="en-US"/>
        </w:rPr>
        <w:tab/>
        <w:t>Tribute</w:t>
      </w:r>
    </w:p>
    <w:p w14:paraId="764E1BB1" w14:textId="57A2E2E7" w:rsidR="00283BFA" w:rsidRDefault="00544C17" w:rsidP="00283BFA">
      <w:pPr>
        <w:tabs>
          <w:tab w:val="left" w:pos="1701"/>
          <w:tab w:val="left" w:pos="2268"/>
        </w:tabs>
        <w:spacing w:after="120"/>
        <w:ind w:left="1134" w:right="1134"/>
        <w:jc w:val="both"/>
        <w:rPr>
          <w:rFonts w:eastAsia="SimSun"/>
          <w:lang w:eastAsia="zh-CN"/>
        </w:rPr>
      </w:pPr>
      <w:r>
        <w:rPr>
          <w:rFonts w:eastAsia="SimSun"/>
          <w:lang w:eastAsia="zh-CN"/>
        </w:rPr>
        <w:t>60</w:t>
      </w:r>
      <w:r w:rsidR="00283BFA" w:rsidRPr="00283BFA">
        <w:rPr>
          <w:rFonts w:eastAsia="SimSun"/>
          <w:lang w:eastAsia="zh-CN"/>
        </w:rPr>
        <w:t>.</w:t>
      </w:r>
      <w:r w:rsidR="00283BFA" w:rsidRPr="00283BFA">
        <w:rPr>
          <w:rFonts w:eastAsia="SimSun"/>
          <w:lang w:eastAsia="zh-CN"/>
        </w:rPr>
        <w:tab/>
        <w:t xml:space="preserve">The Working Group learned that </w:t>
      </w:r>
      <w:r w:rsidR="00523EAA">
        <w:rPr>
          <w:rFonts w:eastAsia="SimSun"/>
          <w:lang w:eastAsia="zh-CN"/>
        </w:rPr>
        <w:t xml:space="preserve">Ms. </w:t>
      </w:r>
      <w:r w:rsidR="00283BFA" w:rsidRPr="00283BFA">
        <w:rPr>
          <w:rFonts w:eastAsia="SimSun"/>
          <w:lang w:eastAsia="zh-CN"/>
        </w:rPr>
        <w:t xml:space="preserve">Karine Pelletier of OICA would no longer be participating in its work and wished her well in her new assignment. It thanked her for her expertise and the significant contribution she had made to the work on vehicle construction, including through her participation in the informal working group on electrified vehicles. </w:t>
      </w:r>
    </w:p>
    <w:p w14:paraId="32B7EDAD" w14:textId="77777777" w:rsidR="00627890" w:rsidRPr="00627890" w:rsidRDefault="00627890" w:rsidP="00627890">
      <w:pPr>
        <w:keepNext/>
        <w:keepLines/>
        <w:tabs>
          <w:tab w:val="right" w:pos="851"/>
        </w:tabs>
        <w:spacing w:before="360" w:after="240" w:line="300" w:lineRule="exact"/>
        <w:ind w:left="1134" w:right="1134" w:hanging="1134"/>
        <w:outlineLvl w:val="1"/>
        <w:rPr>
          <w:b/>
          <w:sz w:val="28"/>
          <w:lang w:val="en-US" w:eastAsia="en-US"/>
        </w:rPr>
      </w:pPr>
      <w:r w:rsidRPr="00627890">
        <w:rPr>
          <w:b/>
          <w:sz w:val="28"/>
          <w:lang w:eastAsia="en-US"/>
        </w:rPr>
        <w:lastRenderedPageBreak/>
        <w:tab/>
        <w:t>X.</w:t>
      </w:r>
      <w:r w:rsidRPr="00627890">
        <w:rPr>
          <w:b/>
          <w:sz w:val="28"/>
          <w:lang w:eastAsia="en-US"/>
        </w:rPr>
        <w:tab/>
        <w:t>Election of officers for 2023 (agenda item 9)</w:t>
      </w:r>
    </w:p>
    <w:p w14:paraId="5525E41B" w14:textId="77777777" w:rsidR="00627890" w:rsidRPr="00627890" w:rsidRDefault="00627890" w:rsidP="00627890">
      <w:pPr>
        <w:tabs>
          <w:tab w:val="left" w:pos="1701"/>
          <w:tab w:val="left" w:pos="2268"/>
        </w:tabs>
        <w:spacing w:after="120"/>
        <w:ind w:left="1134" w:right="1134"/>
        <w:jc w:val="both"/>
        <w:rPr>
          <w:rFonts w:eastAsia="SimSun"/>
          <w:lang w:val="en-US" w:eastAsia="zh-CN"/>
        </w:rPr>
      </w:pPr>
      <w:r w:rsidRPr="00627890">
        <w:rPr>
          <w:rFonts w:eastAsia="SimSun"/>
          <w:lang w:eastAsia="zh-CN"/>
        </w:rPr>
        <w:t>61.</w:t>
      </w:r>
      <w:r w:rsidRPr="00627890">
        <w:rPr>
          <w:rFonts w:eastAsia="SimSun"/>
          <w:lang w:eastAsia="zh-CN"/>
        </w:rPr>
        <w:tab/>
        <w:t>On a proposal from the representative of Luxembourg, supported by the Netherlands, the Working Party elected Ms. Ariane Roumier (France) as Chair and Mr. Alfonso Simoni (Italy) as Vice-Chair for 2023.</w:t>
      </w:r>
    </w:p>
    <w:p w14:paraId="29ACCCFB" w14:textId="77777777" w:rsidR="00627890" w:rsidRPr="00627890" w:rsidRDefault="00627890" w:rsidP="00627890">
      <w:pPr>
        <w:keepNext/>
        <w:keepLines/>
        <w:tabs>
          <w:tab w:val="right" w:pos="851"/>
        </w:tabs>
        <w:spacing w:before="360" w:after="240" w:line="300" w:lineRule="exact"/>
        <w:ind w:left="1134" w:right="1134" w:hanging="1134"/>
        <w:outlineLvl w:val="1"/>
        <w:rPr>
          <w:b/>
          <w:sz w:val="28"/>
          <w:lang w:val="en-US" w:eastAsia="en-US"/>
        </w:rPr>
      </w:pPr>
      <w:r w:rsidRPr="00627890">
        <w:rPr>
          <w:b/>
          <w:sz w:val="28"/>
          <w:lang w:eastAsia="en-US"/>
        </w:rPr>
        <w:tab/>
        <w:t>XI.</w:t>
      </w:r>
      <w:r w:rsidRPr="00627890">
        <w:rPr>
          <w:b/>
          <w:sz w:val="28"/>
          <w:lang w:eastAsia="en-US"/>
        </w:rPr>
        <w:tab/>
        <w:t>Adoption of the report (agenda item 10)</w:t>
      </w:r>
    </w:p>
    <w:p w14:paraId="6540859C" w14:textId="645730A8" w:rsidR="00627890" w:rsidRPr="00627890" w:rsidRDefault="00627890" w:rsidP="00627890">
      <w:pPr>
        <w:tabs>
          <w:tab w:val="left" w:pos="1701"/>
          <w:tab w:val="left" w:pos="2268"/>
        </w:tabs>
        <w:spacing w:after="120"/>
        <w:ind w:left="1134" w:right="1134"/>
        <w:jc w:val="both"/>
        <w:rPr>
          <w:rFonts w:eastAsia="SimSun"/>
          <w:lang w:val="en-US" w:eastAsia="zh-CN"/>
        </w:rPr>
      </w:pPr>
      <w:r w:rsidRPr="00627890">
        <w:rPr>
          <w:rFonts w:eastAsia="SimSun"/>
          <w:lang w:eastAsia="zh-CN"/>
        </w:rPr>
        <w:t>62.</w:t>
      </w:r>
      <w:r w:rsidRPr="00627890">
        <w:rPr>
          <w:rFonts w:eastAsia="SimSun"/>
          <w:lang w:eastAsia="zh-CN"/>
        </w:rPr>
        <w:tab/>
        <w:t xml:space="preserve">The Working Party adopted the report on its 112th session and its annex </w:t>
      </w:r>
      <w:proofErr w:type="gramStart"/>
      <w:r w:rsidRPr="00627890">
        <w:rPr>
          <w:rFonts w:eastAsia="SimSun"/>
          <w:lang w:eastAsia="zh-CN"/>
        </w:rPr>
        <w:t>on the basis of</w:t>
      </w:r>
      <w:proofErr w:type="gramEnd"/>
      <w:r w:rsidRPr="00627890">
        <w:rPr>
          <w:rFonts w:eastAsia="SimSun"/>
          <w:lang w:eastAsia="zh-CN"/>
        </w:rPr>
        <w:t xml:space="preserve"> a draft prepared by the secretariat.</w:t>
      </w:r>
    </w:p>
    <w:p w14:paraId="775295FF" w14:textId="77777777" w:rsidR="00627890" w:rsidRPr="00627890" w:rsidRDefault="00627890" w:rsidP="00627890">
      <w:pPr>
        <w:tabs>
          <w:tab w:val="left" w:pos="1701"/>
          <w:tab w:val="left" w:pos="2268"/>
        </w:tabs>
        <w:spacing w:after="120"/>
        <w:ind w:left="1134" w:right="1134"/>
        <w:jc w:val="both"/>
        <w:rPr>
          <w:rFonts w:eastAsia="SimSun"/>
          <w:lang w:val="en-US" w:eastAsia="zh-CN"/>
        </w:rPr>
      </w:pPr>
      <w:r w:rsidRPr="00627890">
        <w:rPr>
          <w:rFonts w:eastAsia="SimSun"/>
          <w:lang w:eastAsia="zh-CN"/>
        </w:rPr>
        <w:t>63.</w:t>
      </w:r>
      <w:r w:rsidRPr="00627890">
        <w:rPr>
          <w:rFonts w:eastAsia="SimSun"/>
          <w:lang w:eastAsia="zh-CN"/>
        </w:rPr>
        <w:tab/>
        <w:t>In accordance with the special procedures on decision-making for formal meetings with remote participation adopted by the Executive Committee (ECE/EX/2020/L.12), the decisions adopted by the Working Party were published and notified to all the permanent missions in Geneva (https://unece.org/silence-procedure).</w:t>
      </w:r>
    </w:p>
    <w:p w14:paraId="36516028" w14:textId="0D7003D2" w:rsidR="00627890" w:rsidRPr="00627890" w:rsidRDefault="00627890" w:rsidP="00627890">
      <w:pPr>
        <w:tabs>
          <w:tab w:val="left" w:pos="1701"/>
          <w:tab w:val="left" w:pos="2268"/>
        </w:tabs>
        <w:spacing w:after="120"/>
        <w:ind w:left="1134" w:right="1134"/>
        <w:jc w:val="both"/>
        <w:rPr>
          <w:rFonts w:eastAsia="Calibri"/>
          <w:lang w:eastAsia="zh-CN"/>
        </w:rPr>
      </w:pPr>
      <w:r w:rsidRPr="00C87D6C">
        <w:rPr>
          <w:rFonts w:eastAsia="SimSun"/>
          <w:lang w:eastAsia="zh-CN"/>
        </w:rPr>
        <w:t>64.</w:t>
      </w:r>
      <w:r w:rsidRPr="00C87D6C">
        <w:rPr>
          <w:rFonts w:eastAsia="SimSun"/>
          <w:lang w:eastAsia="zh-CN"/>
        </w:rPr>
        <w:tab/>
        <w:t>After publication, no objections were received. The decisions are deemed adopted.</w:t>
      </w:r>
    </w:p>
    <w:p w14:paraId="31CA5CEA" w14:textId="6A63DE3F" w:rsidR="00627890" w:rsidRDefault="00627890">
      <w:pPr>
        <w:suppressAutoHyphens w:val="0"/>
        <w:spacing w:line="240" w:lineRule="auto"/>
        <w:rPr>
          <w:rFonts w:eastAsia="SimSun"/>
          <w:lang w:val="en-US" w:eastAsia="zh-CN"/>
        </w:rPr>
      </w:pPr>
      <w:r>
        <w:rPr>
          <w:rFonts w:eastAsia="SimSun"/>
          <w:lang w:val="en-US" w:eastAsia="zh-CN"/>
        </w:rPr>
        <w:br w:type="page"/>
      </w:r>
    </w:p>
    <w:p w14:paraId="649747BB" w14:textId="2EC50FFC" w:rsidR="00C47BD8" w:rsidRPr="000C0A83" w:rsidRDefault="00C47BD8" w:rsidP="00C47BD8">
      <w:pPr>
        <w:pStyle w:val="H1G"/>
        <w:rPr>
          <w:sz w:val="28"/>
          <w:szCs w:val="28"/>
          <w:rPrChange w:id="4" w:author="Laurence Berthet" w:date="2022-11-25T11:36:00Z">
            <w:rPr/>
          </w:rPrChange>
        </w:rPr>
      </w:pPr>
      <w:r w:rsidRPr="000C0A83">
        <w:rPr>
          <w:sz w:val="28"/>
          <w:szCs w:val="28"/>
          <w:rPrChange w:id="5" w:author="Laurence Berthet" w:date="2022-11-25T11:36:00Z">
            <w:rPr/>
          </w:rPrChange>
        </w:rPr>
        <w:lastRenderedPageBreak/>
        <w:t>Annex</w:t>
      </w:r>
    </w:p>
    <w:p w14:paraId="4F5600FF" w14:textId="2628010C" w:rsidR="00C47BD8" w:rsidRPr="00DF5ACD" w:rsidRDefault="00C47BD8" w:rsidP="00C47BD8">
      <w:pPr>
        <w:pStyle w:val="H1G"/>
      </w:pPr>
      <w:r>
        <w:tab/>
      </w:r>
      <w:r>
        <w:tab/>
      </w:r>
      <w:r w:rsidRPr="00DF5ACD">
        <w:t>Draft amendments to annexes A and B of ADR for entry into force on 1 January 2025</w:t>
      </w:r>
    </w:p>
    <w:p w14:paraId="317114AC" w14:textId="77777777" w:rsidR="00C47BD8" w:rsidRPr="00DF5ACD" w:rsidRDefault="00C47BD8" w:rsidP="00C47BD8">
      <w:pPr>
        <w:pStyle w:val="H23G"/>
      </w:pPr>
      <w:r w:rsidRPr="00DF5ACD">
        <w:tab/>
      </w:r>
      <w:r w:rsidRPr="00DF5ACD">
        <w:tab/>
        <w:t>Chapter 1.6</w:t>
      </w:r>
    </w:p>
    <w:p w14:paraId="5A32E2C0" w14:textId="77777777" w:rsidR="00C47BD8" w:rsidRPr="00DF5ACD" w:rsidRDefault="00C47BD8" w:rsidP="00C47BD8">
      <w:pPr>
        <w:pStyle w:val="SingleTxtG"/>
        <w:ind w:left="2268" w:hanging="1134"/>
      </w:pPr>
      <w:r w:rsidRPr="00DF5ACD">
        <w:t>1.6.4.59</w:t>
      </w:r>
      <w:r w:rsidRPr="00DF5ACD">
        <w:tab/>
        <w:t>Amend to read as follows:</w:t>
      </w:r>
    </w:p>
    <w:p w14:paraId="6D31B88A" w14:textId="77777777" w:rsidR="00C47BD8" w:rsidRPr="00DF5ACD" w:rsidRDefault="00C47BD8" w:rsidP="00C47BD8">
      <w:pPr>
        <w:pStyle w:val="SingleTxtG"/>
      </w:pPr>
      <w:r w:rsidRPr="00DF5ACD">
        <w:t>“1.6.4.59</w:t>
      </w:r>
      <w:r w:rsidRPr="00DF5ACD">
        <w:tab/>
        <w:t>Fibre-reinforced plastics tank-containers constructed before 1 July 2033 in accordance with the requirements of Chapter 6.9 in force up to 31 December 2022, may still be used, in accordance with the provisions of Chapter 4.4 in force up to 31 December 2022.”</w:t>
      </w:r>
    </w:p>
    <w:p w14:paraId="27816957" w14:textId="77777777" w:rsidR="00C47BD8" w:rsidRPr="00DF5ACD" w:rsidRDefault="00C47BD8" w:rsidP="00C47BD8">
      <w:pPr>
        <w:pStyle w:val="SingleTxtG"/>
        <w:rPr>
          <w:i/>
          <w:iCs/>
        </w:rPr>
      </w:pPr>
      <w:r w:rsidRPr="00DF5ACD">
        <w:rPr>
          <w:i/>
          <w:iCs/>
        </w:rPr>
        <w:t>(Reference document: ECE/TRANS/WP.15/2022/10, as amended by informal document INF.9)</w:t>
      </w:r>
    </w:p>
    <w:p w14:paraId="6FAA487A"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1.8</w:t>
      </w:r>
    </w:p>
    <w:p w14:paraId="72AB759D" w14:textId="77777777" w:rsidR="00E86998" w:rsidRPr="00B3466E" w:rsidRDefault="00E86998" w:rsidP="00E86998">
      <w:pPr>
        <w:spacing w:after="120"/>
        <w:ind w:left="2268" w:right="1134" w:hanging="1134"/>
        <w:jc w:val="both"/>
      </w:pPr>
      <w:r w:rsidRPr="00B3466E">
        <w:t>1.8.3.2</w:t>
      </w:r>
      <w:r w:rsidRPr="00B3466E">
        <w:tab/>
        <w:t>Renumber (a) and (b) as (b) and (c). In the renumbered (c), before “carriage”, insert “consignment,” (twice).</w:t>
      </w:r>
    </w:p>
    <w:p w14:paraId="36CC0DA2" w14:textId="77777777" w:rsidR="00E86998" w:rsidRPr="00B3466E" w:rsidRDefault="00E86998" w:rsidP="00E86998">
      <w:pPr>
        <w:spacing w:after="120"/>
        <w:ind w:left="2268" w:right="1134" w:hanging="1134"/>
        <w:jc w:val="both"/>
      </w:pPr>
      <w:r w:rsidRPr="00B3466E">
        <w:tab/>
        <w:t>Add a new (a) to read as follows:</w:t>
      </w:r>
    </w:p>
    <w:p w14:paraId="4D33D498" w14:textId="77777777" w:rsidR="00E86998" w:rsidRPr="00B3466E" w:rsidRDefault="00E86998" w:rsidP="00E86998">
      <w:pPr>
        <w:spacing w:after="120"/>
        <w:ind w:left="2268" w:right="1134" w:hanging="1134"/>
        <w:jc w:val="both"/>
      </w:pPr>
      <w:r w:rsidRPr="00B3466E">
        <w:t>“(a)</w:t>
      </w:r>
      <w:r w:rsidRPr="00B3466E">
        <w:tab/>
      </w:r>
      <w:r w:rsidRPr="00B3466E">
        <w:rPr>
          <w:lang w:val="en-US"/>
        </w:rPr>
        <w:t>(</w:t>
      </w:r>
      <w:r w:rsidRPr="00B3466E">
        <w:rPr>
          <w:i/>
          <w:iCs/>
        </w:rPr>
        <w:t>Reserved);</w:t>
      </w:r>
      <w:r w:rsidRPr="00B3466E">
        <w:t>”</w:t>
      </w:r>
    </w:p>
    <w:p w14:paraId="586FB5C4"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2AB2F4F7" w14:textId="77777777" w:rsidR="00C47BD8" w:rsidRPr="00DF5ACD" w:rsidRDefault="00C47BD8" w:rsidP="00C47BD8">
      <w:pPr>
        <w:pStyle w:val="H23G"/>
      </w:pPr>
      <w:r w:rsidRPr="00DF5ACD">
        <w:tab/>
      </w:r>
      <w:r w:rsidRPr="00DF5ACD">
        <w:tab/>
        <w:t>Chapter 3.2</w:t>
      </w:r>
    </w:p>
    <w:p w14:paraId="2E6C70B6" w14:textId="77777777" w:rsidR="00C47BD8" w:rsidRPr="00DF5ACD" w:rsidRDefault="00C47BD8" w:rsidP="00C47BD8">
      <w:pPr>
        <w:pStyle w:val="SingleTxtG"/>
        <w:ind w:left="2268" w:hanging="1134"/>
      </w:pPr>
      <w:r w:rsidRPr="00DF5ACD">
        <w:t>3.2.1</w:t>
      </w:r>
      <w:r w:rsidRPr="00DF5ACD">
        <w:tab/>
        <w:t>In the explanatory note for column (10) of Table A, replace “</w:t>
      </w:r>
      <w:r w:rsidRPr="00DF5ACD">
        <w:rPr>
          <w:rFonts w:eastAsia="SimSun"/>
          <w:lang w:eastAsia="zh-CN"/>
        </w:rPr>
        <w:t>For fibre-reinforced plastic portable tanks</w:t>
      </w:r>
      <w:r w:rsidRPr="00DF5ACD">
        <w:t>” by “For portable tanks with shells made of FRP materials”.</w:t>
      </w:r>
    </w:p>
    <w:p w14:paraId="112CCCD0" w14:textId="77777777" w:rsidR="00C47BD8" w:rsidRPr="00DF5ACD" w:rsidRDefault="00C47BD8" w:rsidP="00C47BD8">
      <w:pPr>
        <w:pStyle w:val="SingleTxtG"/>
        <w:rPr>
          <w:b/>
          <w:bCs/>
        </w:rPr>
      </w:pPr>
      <w:r w:rsidRPr="00DF5ACD">
        <w:rPr>
          <w:i/>
          <w:iCs/>
        </w:rPr>
        <w:t>(Reference document: informal document INF.3)</w:t>
      </w:r>
    </w:p>
    <w:p w14:paraId="01F1CC9E"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3.2, table A</w:t>
      </w:r>
    </w:p>
    <w:p w14:paraId="3443892A" w14:textId="77777777" w:rsidR="00E86998" w:rsidRPr="00B3466E" w:rsidRDefault="00E86998" w:rsidP="00E86998">
      <w:pPr>
        <w:spacing w:after="120"/>
        <w:ind w:left="2268" w:right="850" w:hanging="1134"/>
        <w:jc w:val="both"/>
      </w:pPr>
      <w:r w:rsidRPr="00B3466E">
        <w:t>For UN Nos. 3090, 3091, 3480, 3481, in column (6), add “677”.</w:t>
      </w:r>
    </w:p>
    <w:p w14:paraId="1DF1D9D8"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1181998E"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3.3</w:t>
      </w:r>
    </w:p>
    <w:p w14:paraId="33EC85CC" w14:textId="77777777" w:rsidR="00E86998" w:rsidRPr="00B3466E" w:rsidRDefault="00E86998" w:rsidP="00E86998">
      <w:pPr>
        <w:spacing w:after="120"/>
        <w:ind w:left="2268" w:right="850" w:hanging="1134"/>
        <w:jc w:val="both"/>
      </w:pPr>
      <w:r w:rsidRPr="00B3466E">
        <w:t>SP 376</w:t>
      </w:r>
      <w:r w:rsidRPr="00B3466E">
        <w:tab/>
        <w:t>In the fifth paragraph, delete the last sentence, which reads “In both cases the cells and batteries are assigned to transport category 0.”.</w:t>
      </w:r>
    </w:p>
    <w:p w14:paraId="13D5B934"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092ECE6B" w14:textId="77777777" w:rsidR="00E86998" w:rsidRPr="00B3466E" w:rsidRDefault="00E86998" w:rsidP="00E86998">
      <w:pPr>
        <w:spacing w:after="120"/>
        <w:ind w:left="2268" w:right="850" w:hanging="1134"/>
        <w:jc w:val="both"/>
      </w:pPr>
      <w:r w:rsidRPr="00B3466E">
        <w:t>Add the following new special provision:</w:t>
      </w:r>
    </w:p>
    <w:p w14:paraId="63B1A022" w14:textId="77777777" w:rsidR="00E86998" w:rsidRPr="00B3466E" w:rsidRDefault="00E86998" w:rsidP="00E86998">
      <w:pPr>
        <w:spacing w:after="120"/>
        <w:ind w:left="2268" w:right="850" w:hanging="1134"/>
        <w:jc w:val="both"/>
      </w:pPr>
      <w:r w:rsidRPr="00B3466E">
        <w:t>“SP 677</w:t>
      </w:r>
      <w:r w:rsidRPr="00B3466E">
        <w:tab/>
        <w:t xml:space="preserve">Cells and batteries which, in accordance with special provision 376, are identified as damaged or defective and liable to rapidly disassemble, dangerously react, produce a flame or a dangerous evolution of heat or a dangerous emission of toxic, </w:t>
      </w:r>
      <w:proofErr w:type="gramStart"/>
      <w:r w:rsidRPr="00B3466E">
        <w:t>corrosive</w:t>
      </w:r>
      <w:proofErr w:type="gramEnd"/>
      <w:r w:rsidRPr="00B3466E">
        <w:t xml:space="preserve"> or flammable gases or vapours under normal conditions of carriage, shall be assigned to transport category 0. In the transport document, the words "Carriage in accordance with special provision 376" shall be supplemented by the words "Transport category 0".”</w:t>
      </w:r>
    </w:p>
    <w:p w14:paraId="30591A36"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654F45A2"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lastRenderedPageBreak/>
        <w:tab/>
      </w:r>
      <w:r w:rsidRPr="00B3466E">
        <w:rPr>
          <w:b/>
        </w:rPr>
        <w:tab/>
        <w:t>Chapter 4.1</w:t>
      </w:r>
    </w:p>
    <w:p w14:paraId="2D2F44A6" w14:textId="77777777" w:rsidR="00E86998" w:rsidRPr="00B3466E" w:rsidRDefault="00E86998" w:rsidP="00E86998">
      <w:pPr>
        <w:spacing w:after="120"/>
        <w:ind w:left="2268" w:right="850" w:hanging="1134"/>
        <w:jc w:val="both"/>
      </w:pPr>
      <w:r w:rsidRPr="00B3466E">
        <w:t>4.1.6.15</w:t>
      </w:r>
      <w:r w:rsidRPr="00B3466E">
        <w:tab/>
        <w:t>In Table 4.1.6.15.1, for “4.1.6.2”, in the second column, replace “EN ISO 11114-2:2013” by “EN ISO 11114-2:2021”.</w:t>
      </w:r>
    </w:p>
    <w:p w14:paraId="09696442"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2B37E430"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4.3</w:t>
      </w:r>
    </w:p>
    <w:p w14:paraId="1A39BF5C" w14:textId="77777777" w:rsidR="00E86998" w:rsidRPr="00B3466E" w:rsidRDefault="00E86998" w:rsidP="00E86998">
      <w:pPr>
        <w:spacing w:after="120"/>
        <w:ind w:left="2268" w:right="1134" w:hanging="1134"/>
        <w:jc w:val="both"/>
      </w:pPr>
      <w:r w:rsidRPr="00B3466E">
        <w:t>4.3.2.1.7</w:t>
      </w:r>
      <w:r w:rsidRPr="00B3466E">
        <w:tab/>
        <w:t>At the end, add the following new note:</w:t>
      </w:r>
    </w:p>
    <w:p w14:paraId="346EEF8F" w14:textId="77777777" w:rsidR="00E86998" w:rsidRPr="00B3466E" w:rsidRDefault="00E86998" w:rsidP="00E86998">
      <w:pPr>
        <w:spacing w:after="120"/>
        <w:ind w:left="2268" w:right="1134" w:hanging="1134"/>
        <w:jc w:val="both"/>
        <w:rPr>
          <w:lang w:val="en-US"/>
        </w:rPr>
      </w:pPr>
      <w:r w:rsidRPr="00B3466E">
        <w:rPr>
          <w:lang w:val="en-US"/>
        </w:rPr>
        <w:t>“</w:t>
      </w:r>
      <w:r w:rsidRPr="00B3466E">
        <w:rPr>
          <w:b/>
          <w:bCs/>
          <w:i/>
          <w:iCs/>
          <w:lang w:val="en-US"/>
        </w:rPr>
        <w:t>NOTE:</w:t>
      </w:r>
      <w:r w:rsidRPr="00B3466E">
        <w:rPr>
          <w:b/>
          <w:bCs/>
          <w:i/>
          <w:iCs/>
          <w:lang w:val="en-US"/>
        </w:rPr>
        <w:tab/>
      </w:r>
      <w:r w:rsidRPr="00B3466E">
        <w:rPr>
          <w:i/>
          <w:iCs/>
          <w:lang w:val="en-US"/>
        </w:rPr>
        <w:t xml:space="preserve"> The tank record may alternatively be maintained in electronic form.”</w:t>
      </w:r>
    </w:p>
    <w:p w14:paraId="1EE91133"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7EBA011B" w14:textId="77777777" w:rsidR="00C47BD8" w:rsidRPr="00DF5ACD" w:rsidRDefault="00C47BD8" w:rsidP="00C47BD8">
      <w:pPr>
        <w:pStyle w:val="H23G"/>
      </w:pPr>
      <w:r w:rsidRPr="00DF5ACD">
        <w:tab/>
      </w:r>
      <w:r w:rsidRPr="00DF5ACD">
        <w:tab/>
        <w:t>Chapter 4.4</w:t>
      </w:r>
    </w:p>
    <w:p w14:paraId="40C955D4" w14:textId="77777777" w:rsidR="00C47BD8" w:rsidRPr="00DF5ACD" w:rsidRDefault="00C47BD8" w:rsidP="00C47BD8">
      <w:pPr>
        <w:pStyle w:val="SingleTxtG"/>
        <w:ind w:left="2268" w:hanging="1134"/>
      </w:pPr>
      <w:r w:rsidRPr="00DF5ACD">
        <w:t>4.4</w:t>
      </w:r>
      <w:r w:rsidRPr="00DF5ACD">
        <w:tab/>
        <w:t>Amend the title of Chapter 4.4 to read as follows: “USE OF FIBRE-REINFORCED PLASTICS (FRP) FIXED TANKS (TANK-VEHICLES) AND DEMOUNTABLE TANKS”.</w:t>
      </w:r>
    </w:p>
    <w:p w14:paraId="06EE8AF3" w14:textId="77777777" w:rsidR="00C47BD8" w:rsidRPr="00DF5ACD" w:rsidRDefault="00C47BD8" w:rsidP="00C47BD8">
      <w:pPr>
        <w:pStyle w:val="SingleTxtG"/>
      </w:pPr>
      <w:r w:rsidRPr="00DF5ACD">
        <w:rPr>
          <w:i/>
          <w:iCs/>
        </w:rPr>
        <w:t>(Reference document: ECE/TRANS/WP.15/2022/10 with editorial modification)</w:t>
      </w:r>
    </w:p>
    <w:p w14:paraId="3FFC9FAC"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6.2</w:t>
      </w:r>
    </w:p>
    <w:p w14:paraId="59864D25" w14:textId="77777777" w:rsidR="00E86998" w:rsidRPr="00B3466E" w:rsidRDefault="00E86998" w:rsidP="00E86998">
      <w:pPr>
        <w:spacing w:after="120"/>
        <w:ind w:left="2268" w:right="1134" w:hanging="1134"/>
        <w:jc w:val="both"/>
      </w:pPr>
      <w:r w:rsidRPr="00B3466E">
        <w:rPr>
          <w:rFonts w:cs="Arial"/>
        </w:rPr>
        <w:t>6.2.4.1</w:t>
      </w:r>
      <w:r w:rsidRPr="00B3466E">
        <w:tab/>
        <w:t>Amend the table “</w:t>
      </w:r>
      <w:r w:rsidRPr="00B3466E">
        <w:rPr>
          <w:i/>
          <w:iCs/>
        </w:rPr>
        <w:t>for design and construction of closures</w:t>
      </w:r>
      <w:r w:rsidRPr="00B3466E">
        <w:t>” as follows:</w:t>
      </w:r>
    </w:p>
    <w:p w14:paraId="104A5F1C" w14:textId="77777777" w:rsidR="00E86998" w:rsidRPr="00B3466E" w:rsidRDefault="00E86998" w:rsidP="00E86998">
      <w:pPr>
        <w:spacing w:after="120"/>
        <w:ind w:left="2694" w:right="1134" w:hanging="426"/>
        <w:jc w:val="both"/>
      </w:pPr>
      <w:r w:rsidRPr="00B3466E">
        <w:t>–</w:t>
      </w:r>
      <w:r w:rsidRPr="00B3466E">
        <w:tab/>
        <w:t>At the end, insert the following new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E86998" w:rsidRPr="00B3466E" w14:paraId="5502BEB7" w14:textId="77777777" w:rsidTr="001633A6">
        <w:tc>
          <w:tcPr>
            <w:tcW w:w="1665" w:type="dxa"/>
            <w:vAlign w:val="center"/>
          </w:tcPr>
          <w:p w14:paraId="102F6069" w14:textId="191C7D42" w:rsidR="00E86998" w:rsidRPr="00B3466E" w:rsidRDefault="00E86998" w:rsidP="001633A6">
            <w:pPr>
              <w:widowControl w:val="0"/>
              <w:spacing w:before="60" w:after="60"/>
            </w:pPr>
            <w:r w:rsidRPr="00B3466E">
              <w:rPr>
                <w:bCs/>
              </w:rPr>
              <w:t>EN 13799:2022</w:t>
            </w:r>
          </w:p>
        </w:tc>
        <w:tc>
          <w:tcPr>
            <w:tcW w:w="3402" w:type="dxa"/>
          </w:tcPr>
          <w:p w14:paraId="04924835" w14:textId="77777777" w:rsidR="00E86998" w:rsidRPr="00B3466E" w:rsidRDefault="00E86998" w:rsidP="001633A6">
            <w:pPr>
              <w:widowControl w:val="0"/>
              <w:spacing w:before="60" w:after="120"/>
            </w:pPr>
            <w:r w:rsidRPr="00B3466E">
              <w:rPr>
                <w:bCs/>
              </w:rPr>
              <w:t>LPG equipment and accessories – Contents gauges for Liquefied Petroleum Gas (LPG) pressure vessels</w:t>
            </w:r>
          </w:p>
        </w:tc>
        <w:tc>
          <w:tcPr>
            <w:tcW w:w="1134" w:type="dxa"/>
            <w:vAlign w:val="center"/>
          </w:tcPr>
          <w:p w14:paraId="7AE8C53C" w14:textId="77777777" w:rsidR="00E86998" w:rsidRPr="00B3466E" w:rsidRDefault="00E86998" w:rsidP="001633A6">
            <w:pPr>
              <w:widowControl w:val="0"/>
              <w:spacing w:before="60" w:after="60"/>
            </w:pPr>
            <w:r w:rsidRPr="00B3466E">
              <w:t>6.2.3.1 and 6.2.3.3</w:t>
            </w:r>
          </w:p>
        </w:tc>
        <w:tc>
          <w:tcPr>
            <w:tcW w:w="851" w:type="dxa"/>
            <w:vAlign w:val="center"/>
          </w:tcPr>
          <w:p w14:paraId="4EE3808A" w14:textId="77777777" w:rsidR="00E86998" w:rsidRPr="00B3466E" w:rsidRDefault="00E86998" w:rsidP="001633A6">
            <w:pPr>
              <w:widowControl w:val="0"/>
              <w:spacing w:before="60" w:after="60"/>
            </w:pPr>
            <w:r w:rsidRPr="00B3466E">
              <w:t>Until further notice</w:t>
            </w:r>
          </w:p>
        </w:tc>
        <w:tc>
          <w:tcPr>
            <w:tcW w:w="425" w:type="dxa"/>
            <w:vAlign w:val="center"/>
          </w:tcPr>
          <w:p w14:paraId="08C6FDC9" w14:textId="77777777" w:rsidR="00E86998" w:rsidRPr="00B3466E" w:rsidRDefault="00E86998" w:rsidP="001633A6">
            <w:pPr>
              <w:widowControl w:val="0"/>
              <w:spacing w:before="60" w:after="60"/>
            </w:pPr>
          </w:p>
        </w:tc>
      </w:tr>
    </w:tbl>
    <w:p w14:paraId="655B633F"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7DFB4FE2" w14:textId="77777777" w:rsidR="00E86998" w:rsidRPr="00B3466E" w:rsidRDefault="00E86998" w:rsidP="00E86998">
      <w:pPr>
        <w:keepNext/>
        <w:keepLines/>
        <w:tabs>
          <w:tab w:val="right" w:pos="851"/>
        </w:tabs>
        <w:spacing w:before="240" w:after="120" w:line="240" w:lineRule="exact"/>
        <w:ind w:left="1134" w:right="1134" w:hanging="1134"/>
        <w:rPr>
          <w:b/>
        </w:rPr>
      </w:pPr>
      <w:r w:rsidRPr="00B3466E">
        <w:rPr>
          <w:b/>
        </w:rPr>
        <w:tab/>
      </w:r>
      <w:r w:rsidRPr="00B3466E">
        <w:rPr>
          <w:b/>
        </w:rPr>
        <w:tab/>
        <w:t>Chapter 6.8</w:t>
      </w:r>
    </w:p>
    <w:p w14:paraId="2D3495CD" w14:textId="77777777" w:rsidR="00E86998" w:rsidRPr="00B3466E" w:rsidRDefault="00E86998" w:rsidP="00E86998">
      <w:pPr>
        <w:spacing w:after="120"/>
        <w:ind w:left="2268" w:right="1134" w:hanging="1134"/>
        <w:jc w:val="both"/>
      </w:pPr>
      <w:r w:rsidRPr="00B3466E">
        <w:t>6.8.2.1.17</w:t>
      </w:r>
      <w:r w:rsidRPr="00B3466E">
        <w:tab/>
        <w:t>At the end of the definition for “P</w:t>
      </w:r>
      <w:r w:rsidRPr="00B3466E">
        <w:rPr>
          <w:vertAlign w:val="subscript"/>
        </w:rPr>
        <w:t>C</w:t>
      </w:r>
      <w:r w:rsidRPr="00B3466E">
        <w:t>”, add “or in the table of 4.3.3.1.1”.</w:t>
      </w:r>
    </w:p>
    <w:p w14:paraId="5563A752"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6B16EA6D" w14:textId="77777777" w:rsidR="00E86998" w:rsidRPr="00B3466E" w:rsidRDefault="00E86998" w:rsidP="00E86998">
      <w:pPr>
        <w:spacing w:after="120"/>
        <w:ind w:left="1134" w:right="1134"/>
        <w:jc w:val="both"/>
        <w:rPr>
          <w:rFonts w:cs="Arial"/>
          <w:bCs/>
        </w:rPr>
      </w:pPr>
      <w:r w:rsidRPr="00B3466E">
        <w:rPr>
          <w:rFonts w:cs="Arial"/>
          <w:bCs/>
        </w:rPr>
        <w:t>6.8.2.6.1</w:t>
      </w:r>
      <w:r w:rsidRPr="00B3466E">
        <w:rPr>
          <w:rFonts w:cs="Arial"/>
          <w:bCs/>
        </w:rPr>
        <w:tab/>
      </w:r>
      <w:r w:rsidRPr="00B3466E">
        <w:rPr>
          <w:bCs/>
        </w:rPr>
        <w:t>In the table, under “</w:t>
      </w:r>
      <w:r w:rsidRPr="00B3466E">
        <w:rPr>
          <w:bCs/>
          <w:i/>
          <w:iCs/>
        </w:rPr>
        <w:t>For design and construction of tanks</w:t>
      </w:r>
      <w:r w:rsidRPr="00B3466E">
        <w:rPr>
          <w:bCs/>
        </w:rPr>
        <w:t>”</w:t>
      </w:r>
      <w:r w:rsidRPr="00B3466E">
        <w:rPr>
          <w:rFonts w:cs="Arial"/>
          <w:bCs/>
        </w:rPr>
        <w:t>:</w:t>
      </w:r>
    </w:p>
    <w:p w14:paraId="692C382E" w14:textId="77777777" w:rsidR="00E86998" w:rsidRPr="00B3466E" w:rsidRDefault="00E86998" w:rsidP="00E86998">
      <w:pPr>
        <w:spacing w:after="120"/>
        <w:ind w:left="2552" w:right="1134" w:hanging="428"/>
        <w:jc w:val="both"/>
        <w:rPr>
          <w:rFonts w:cs="Arial"/>
        </w:rPr>
      </w:pPr>
      <w:r w:rsidRPr="00B3466E">
        <w:t>–</w:t>
      </w:r>
      <w:r w:rsidRPr="00B3466E">
        <w:tab/>
        <w:t>In the row for EN </w:t>
      </w:r>
      <w:r w:rsidRPr="00B3466E">
        <w:rPr>
          <w:bCs/>
        </w:rPr>
        <w:t>14025:2018 + AC:2020</w:t>
      </w:r>
      <w:r w:rsidRPr="00B3466E">
        <w:t>, in column (4), replace “</w:t>
      </w:r>
      <w:r w:rsidRPr="00B3466E">
        <w:rPr>
          <w:bCs/>
        </w:rPr>
        <w:t>Until further notice” by “Between 1 January 2021 and 31 December 2026”.</w:t>
      </w:r>
      <w:r w:rsidRPr="00B3466E">
        <w:t xml:space="preserve"> Add a new row beneath this row as follows</w:t>
      </w:r>
      <w:r w:rsidRPr="00B3466E">
        <w:rPr>
          <w:rFonts w:cs="Arial"/>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E86998" w:rsidRPr="00B3466E" w14:paraId="26227BF9" w14:textId="77777777" w:rsidTr="001633A6">
        <w:tc>
          <w:tcPr>
            <w:tcW w:w="2002" w:type="dxa"/>
            <w:tcBorders>
              <w:top w:val="single" w:sz="4" w:space="0" w:color="auto"/>
              <w:left w:val="single" w:sz="4" w:space="0" w:color="auto"/>
              <w:bottom w:val="single" w:sz="4" w:space="0" w:color="auto"/>
              <w:right w:val="single" w:sz="4" w:space="0" w:color="auto"/>
            </w:tcBorders>
            <w:vAlign w:val="center"/>
            <w:hideMark/>
          </w:tcPr>
          <w:p w14:paraId="60741BCB" w14:textId="77777777" w:rsidR="00E86998" w:rsidRPr="00B3466E" w:rsidRDefault="00E86998" w:rsidP="001633A6">
            <w:pPr>
              <w:widowControl w:val="0"/>
              <w:tabs>
                <w:tab w:val="left" w:pos="720"/>
              </w:tabs>
              <w:rPr>
                <w:rFonts w:cs="Arial"/>
              </w:rPr>
            </w:pPr>
            <w:r w:rsidRPr="00B3466E">
              <w:t xml:space="preserve">EN </w:t>
            </w:r>
            <w:proofErr w:type="gramStart"/>
            <w:r w:rsidRPr="00B3466E">
              <w:rPr>
                <w:bCs/>
              </w:rPr>
              <w:t>14025:[</w:t>
            </w:r>
            <w:proofErr w:type="gramEnd"/>
            <w:r w:rsidRPr="00B3466E">
              <w:rPr>
                <w:bCs/>
              </w:rPr>
              <w:t>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15B27D7" w14:textId="77777777" w:rsidR="00E86998" w:rsidRPr="00B3466E" w:rsidRDefault="00E86998" w:rsidP="001633A6">
            <w:pPr>
              <w:widowControl w:val="0"/>
              <w:tabs>
                <w:tab w:val="left" w:pos="599"/>
              </w:tabs>
              <w:jc w:val="both"/>
              <w:rPr>
                <w:bCs/>
                <w:color w:val="000000"/>
              </w:rPr>
            </w:pPr>
            <w:r w:rsidRPr="00B3466E">
              <w:rPr>
                <w:bCs/>
              </w:rPr>
              <w:t>Tanks for the transport of dangerous goods – Metallic pressure tanks – Design and construction</w:t>
            </w:r>
          </w:p>
          <w:p w14:paraId="01144EEE" w14:textId="77777777" w:rsidR="00E86998" w:rsidRPr="00B3466E" w:rsidRDefault="00E86998" w:rsidP="001633A6">
            <w:pPr>
              <w:widowControl w:val="0"/>
              <w:tabs>
                <w:tab w:val="left" w:pos="446"/>
              </w:tabs>
              <w:jc w:val="both"/>
              <w:rPr>
                <w:rFonts w:cs="Arial"/>
                <w:bCs/>
                <w:i/>
              </w:rPr>
            </w:pPr>
            <w:r w:rsidRPr="00B3466E">
              <w:rPr>
                <w:rFonts w:cs="Arial"/>
                <w:b/>
                <w:bCs/>
                <w:i/>
              </w:rPr>
              <w:t>NOTE:</w:t>
            </w:r>
            <w:r w:rsidRPr="00B3466E">
              <w:rPr>
                <w:rFonts w:cs="Arial"/>
                <w:b/>
                <w:bCs/>
                <w:i/>
              </w:rPr>
              <w:tab/>
            </w:r>
            <w:r w:rsidRPr="00B3466E">
              <w:rPr>
                <w:i/>
              </w:rPr>
              <w:t>Materials of shells shall at least be attested by a type 3.1 certificate issued in accordance with standard EN 10204</w:t>
            </w:r>
            <w:r w:rsidRPr="00B3466E">
              <w:rPr>
                <w:rFonts w:ascii="TimesNewRomanPS-ItalicMT" w:hAnsi="TimesNewRomanPS-ItalicMT" w:cs="TimesNewRomanPS-ItalicMT"/>
                <w:i/>
                <w:sz w:val="18"/>
                <w:szCs w:val="18"/>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24C28D" w14:textId="77777777" w:rsidR="00E86998" w:rsidRPr="00B3466E" w:rsidRDefault="00E86998" w:rsidP="001633A6">
            <w:pPr>
              <w:widowControl w:val="0"/>
              <w:tabs>
                <w:tab w:val="left" w:pos="720"/>
              </w:tabs>
              <w:rPr>
                <w:rFonts w:cs="Arial"/>
              </w:rPr>
            </w:pPr>
            <w:r w:rsidRPr="00B3466E">
              <w:rPr>
                <w:rFonts w:cs="Arial"/>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44856A5" w14:textId="77777777" w:rsidR="00E86998" w:rsidRPr="00B3466E" w:rsidRDefault="00E86998" w:rsidP="001633A6">
            <w:pPr>
              <w:widowControl w:val="0"/>
              <w:tabs>
                <w:tab w:val="left" w:pos="720"/>
              </w:tabs>
              <w:jc w:val="center"/>
              <w:rPr>
                <w:rFonts w:cs="Arial"/>
              </w:rPr>
            </w:pPr>
            <w:r w:rsidRPr="00B3466E">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5630B87D" w14:textId="77777777" w:rsidR="00E86998" w:rsidRPr="00B3466E" w:rsidRDefault="00E86998" w:rsidP="001633A6">
            <w:pPr>
              <w:widowControl w:val="0"/>
              <w:tabs>
                <w:tab w:val="left" w:pos="720"/>
              </w:tabs>
              <w:rPr>
                <w:rFonts w:cs="Arial"/>
              </w:rPr>
            </w:pPr>
          </w:p>
        </w:tc>
      </w:tr>
    </w:tbl>
    <w:p w14:paraId="13FAD87A"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194F6BB5" w14:textId="77777777" w:rsidR="00E86998" w:rsidRPr="00B3466E" w:rsidRDefault="00E86998" w:rsidP="00E86998">
      <w:pPr>
        <w:spacing w:after="120"/>
        <w:ind w:left="2268" w:right="850" w:hanging="1134"/>
        <w:jc w:val="both"/>
      </w:pPr>
      <w:r w:rsidRPr="00B3466E">
        <w:tab/>
        <w:t>In the table, under “</w:t>
      </w:r>
      <w:r w:rsidRPr="00B3466E">
        <w:rPr>
          <w:i/>
        </w:rPr>
        <w:t>For equipment”</w:t>
      </w:r>
      <w:r w:rsidRPr="00B3466E">
        <w:t>:</w:t>
      </w:r>
    </w:p>
    <w:p w14:paraId="16E3B8C0" w14:textId="77777777" w:rsidR="00E86998" w:rsidRPr="00B3466E" w:rsidRDefault="00E86998" w:rsidP="00E86998">
      <w:pPr>
        <w:spacing w:before="120" w:after="120"/>
        <w:ind w:left="2551" w:right="1134" w:hanging="425"/>
        <w:jc w:val="both"/>
        <w:rPr>
          <w:rFonts w:cs="Arial"/>
          <w:szCs w:val="22"/>
        </w:rPr>
      </w:pPr>
      <w:r w:rsidRPr="00B3466E">
        <w:t>[-</w:t>
      </w:r>
      <w:r w:rsidRPr="00B3466E">
        <w:tab/>
        <w:t>In the row for EN 14432:2014,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E86998" w:rsidRPr="00B3466E" w14:paraId="57C4AC4F" w14:textId="77777777" w:rsidTr="001633A6">
        <w:tc>
          <w:tcPr>
            <w:tcW w:w="1418" w:type="dxa"/>
          </w:tcPr>
          <w:p w14:paraId="393367DB" w14:textId="77777777" w:rsidR="00E86998" w:rsidRPr="00B3466E" w:rsidRDefault="00E86998" w:rsidP="001633A6"/>
          <w:p w14:paraId="042408B1" w14:textId="77777777" w:rsidR="00E86998" w:rsidRPr="00B3466E" w:rsidRDefault="00E86998" w:rsidP="001633A6">
            <w:r w:rsidRPr="00B3466E">
              <w:t xml:space="preserve">EN </w:t>
            </w:r>
            <w:proofErr w:type="gramStart"/>
            <w:r w:rsidRPr="00B3466E">
              <w:t>14432:[</w:t>
            </w:r>
            <w:proofErr w:type="gramEnd"/>
            <w:r w:rsidRPr="00B3466E">
              <w:t>2023]</w:t>
            </w:r>
          </w:p>
        </w:tc>
        <w:tc>
          <w:tcPr>
            <w:tcW w:w="3827" w:type="dxa"/>
          </w:tcPr>
          <w:p w14:paraId="756E1064" w14:textId="77777777" w:rsidR="00E86998" w:rsidRPr="00B3466E" w:rsidRDefault="00E86998" w:rsidP="001633A6">
            <w:pPr>
              <w:ind w:left="138"/>
            </w:pPr>
            <w:r w:rsidRPr="00B3466E">
              <w:t>Tanks for the transport of dangerous goods – Tank equipment for the transport of liquid chemicals and liquefied gases – Product discharge and air inlet valves</w:t>
            </w:r>
          </w:p>
          <w:p w14:paraId="1A77BEF9" w14:textId="77777777" w:rsidR="00E86998" w:rsidRPr="00B3466E" w:rsidRDefault="00E86998" w:rsidP="001633A6">
            <w:pPr>
              <w:ind w:left="138"/>
            </w:pPr>
            <w:r w:rsidRPr="00B3466E">
              <w:rPr>
                <w:b/>
                <w:bCs/>
                <w:i/>
                <w:iCs/>
              </w:rPr>
              <w:t>NOTE:</w:t>
            </w:r>
            <w:r w:rsidRPr="00B3466E">
              <w:rPr>
                <w:i/>
                <w:iCs/>
              </w:rPr>
              <w:t xml:space="preserve"> This standard may also be used for gravity discharge tanks.</w:t>
            </w:r>
          </w:p>
        </w:tc>
        <w:tc>
          <w:tcPr>
            <w:tcW w:w="1276" w:type="dxa"/>
          </w:tcPr>
          <w:p w14:paraId="7EE606A2" w14:textId="77777777" w:rsidR="00E86998" w:rsidRPr="00B3466E" w:rsidRDefault="00E86998" w:rsidP="001633A6"/>
          <w:p w14:paraId="59996D2F" w14:textId="77777777" w:rsidR="00E86998" w:rsidRPr="00B3466E" w:rsidRDefault="00E86998" w:rsidP="001633A6">
            <w:r w:rsidRPr="00B3466E">
              <w:t xml:space="preserve">6.8.2.2.1, 6.8.2.2.2 and 6.8.2.3.1 </w:t>
            </w:r>
          </w:p>
          <w:p w14:paraId="6DFE997C" w14:textId="77777777" w:rsidR="00E86998" w:rsidRPr="00B3466E" w:rsidRDefault="00E86998" w:rsidP="001633A6"/>
        </w:tc>
        <w:tc>
          <w:tcPr>
            <w:tcW w:w="850" w:type="dxa"/>
          </w:tcPr>
          <w:p w14:paraId="5B531C16" w14:textId="77777777" w:rsidR="00E86998" w:rsidRPr="00B3466E" w:rsidRDefault="00E86998" w:rsidP="001633A6"/>
          <w:p w14:paraId="1E696384" w14:textId="77777777" w:rsidR="00E86998" w:rsidRPr="00B3466E" w:rsidRDefault="00E86998" w:rsidP="001633A6">
            <w:r w:rsidRPr="00B3466E">
              <w:t>Until further notice</w:t>
            </w:r>
          </w:p>
        </w:tc>
        <w:tc>
          <w:tcPr>
            <w:tcW w:w="567" w:type="dxa"/>
          </w:tcPr>
          <w:p w14:paraId="4C1B8B88" w14:textId="77777777" w:rsidR="00E86998" w:rsidRPr="00B3466E" w:rsidRDefault="00E86998" w:rsidP="001633A6"/>
        </w:tc>
      </w:tr>
    </w:tbl>
    <w:p w14:paraId="2F132C9D" w14:textId="77777777" w:rsidR="00E86998" w:rsidRPr="00B3466E" w:rsidRDefault="00E86998" w:rsidP="00E86998">
      <w:pPr>
        <w:spacing w:after="120"/>
        <w:ind w:left="1134" w:right="1134"/>
        <w:jc w:val="both"/>
      </w:pPr>
      <w:r w:rsidRPr="00B3466E">
        <w:t>]</w:t>
      </w:r>
    </w:p>
    <w:p w14:paraId="0DA35BAE"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4F00D11E" w14:textId="77777777" w:rsidR="00E86998" w:rsidRPr="00B3466E" w:rsidRDefault="00E86998" w:rsidP="00E86998">
      <w:pPr>
        <w:spacing w:after="120"/>
        <w:ind w:left="2552" w:right="1134" w:hanging="428"/>
        <w:jc w:val="both"/>
        <w:rPr>
          <w:rFonts w:cs="Arial"/>
          <w:szCs w:val="22"/>
        </w:rPr>
      </w:pPr>
      <w:r w:rsidRPr="00B3466E">
        <w:t>[-</w:t>
      </w:r>
      <w:r w:rsidRPr="00B3466E">
        <w:tab/>
        <w:t>In the row for EN 14433:2014,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E86998" w:rsidRPr="00B3466E" w14:paraId="706D6E3B" w14:textId="77777777" w:rsidTr="001633A6">
        <w:tc>
          <w:tcPr>
            <w:tcW w:w="1418" w:type="dxa"/>
          </w:tcPr>
          <w:p w14:paraId="6D633A7F" w14:textId="77777777" w:rsidR="00E86998" w:rsidRPr="00B3466E" w:rsidRDefault="00E86998" w:rsidP="001633A6"/>
          <w:p w14:paraId="12C808BC" w14:textId="77777777" w:rsidR="00E86998" w:rsidRPr="00B3466E" w:rsidRDefault="00E86998" w:rsidP="001633A6">
            <w:r w:rsidRPr="00B3466E">
              <w:t xml:space="preserve">EN </w:t>
            </w:r>
            <w:proofErr w:type="gramStart"/>
            <w:r w:rsidRPr="00B3466E">
              <w:t>14433:[</w:t>
            </w:r>
            <w:proofErr w:type="gramEnd"/>
            <w:r w:rsidRPr="00B3466E">
              <w:t>2023]</w:t>
            </w:r>
          </w:p>
        </w:tc>
        <w:tc>
          <w:tcPr>
            <w:tcW w:w="3827" w:type="dxa"/>
          </w:tcPr>
          <w:p w14:paraId="1F03CBAC" w14:textId="77777777" w:rsidR="00E86998" w:rsidRPr="00B3466E" w:rsidRDefault="00E86998" w:rsidP="001633A6">
            <w:pPr>
              <w:ind w:left="138"/>
            </w:pPr>
            <w:r w:rsidRPr="00B3466E">
              <w:t>Tanks for the transport of dangerous goods – Tank equipment for the transport of liquid chemicals and liquefied gases – Foot valves</w:t>
            </w:r>
          </w:p>
          <w:p w14:paraId="6FA941E0" w14:textId="77777777" w:rsidR="00E86998" w:rsidRPr="00B3466E" w:rsidRDefault="00E86998" w:rsidP="001633A6">
            <w:pPr>
              <w:ind w:left="138"/>
            </w:pPr>
            <w:r w:rsidRPr="00B3466E">
              <w:rPr>
                <w:b/>
                <w:bCs/>
                <w:i/>
                <w:iCs/>
              </w:rPr>
              <w:t>NOTE:</w:t>
            </w:r>
            <w:r w:rsidRPr="00B3466E">
              <w:rPr>
                <w:i/>
                <w:iCs/>
              </w:rPr>
              <w:t xml:space="preserve"> This standard may also be used for gravity discharge tanks.</w:t>
            </w:r>
          </w:p>
        </w:tc>
        <w:tc>
          <w:tcPr>
            <w:tcW w:w="1276" w:type="dxa"/>
          </w:tcPr>
          <w:p w14:paraId="4B5117A6" w14:textId="77777777" w:rsidR="00E86998" w:rsidRPr="00B3466E" w:rsidRDefault="00E86998" w:rsidP="001633A6"/>
          <w:p w14:paraId="01051D17" w14:textId="77777777" w:rsidR="00E86998" w:rsidRPr="00B3466E" w:rsidRDefault="00E86998" w:rsidP="001633A6">
            <w:r w:rsidRPr="00B3466E">
              <w:t xml:space="preserve">6.8.2.2.1, 6.8.2.2.2 and 6.8.2.3.1 </w:t>
            </w:r>
          </w:p>
        </w:tc>
        <w:tc>
          <w:tcPr>
            <w:tcW w:w="850" w:type="dxa"/>
          </w:tcPr>
          <w:p w14:paraId="3C39B068" w14:textId="77777777" w:rsidR="00E86998" w:rsidRPr="00B3466E" w:rsidRDefault="00E86998" w:rsidP="001633A6"/>
          <w:p w14:paraId="0C315057" w14:textId="77777777" w:rsidR="00E86998" w:rsidRPr="00B3466E" w:rsidRDefault="00E86998" w:rsidP="001633A6">
            <w:r w:rsidRPr="00B3466E">
              <w:t>Until further notice</w:t>
            </w:r>
          </w:p>
        </w:tc>
        <w:tc>
          <w:tcPr>
            <w:tcW w:w="567" w:type="dxa"/>
          </w:tcPr>
          <w:p w14:paraId="5AE3CE47" w14:textId="77777777" w:rsidR="00E86998" w:rsidRPr="00B3466E" w:rsidRDefault="00E86998" w:rsidP="001633A6"/>
        </w:tc>
      </w:tr>
    </w:tbl>
    <w:p w14:paraId="312AB19D" w14:textId="77777777" w:rsidR="00E86998" w:rsidRPr="00B3466E" w:rsidRDefault="00E86998" w:rsidP="00E86998">
      <w:pPr>
        <w:spacing w:after="120"/>
        <w:ind w:left="1134" w:right="1134"/>
        <w:jc w:val="both"/>
      </w:pPr>
      <w:r w:rsidRPr="00B3466E">
        <w:t>]</w:t>
      </w:r>
    </w:p>
    <w:p w14:paraId="4DECA854"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0B02859F" w14:textId="77777777" w:rsidR="00E86998" w:rsidRPr="00B3466E" w:rsidRDefault="00E86998" w:rsidP="00E86998">
      <w:pPr>
        <w:spacing w:before="120" w:after="120"/>
        <w:ind w:left="2551" w:right="1134" w:hanging="425"/>
        <w:jc w:val="both"/>
      </w:pPr>
      <w:r w:rsidRPr="00B3466E">
        <w:t>–</w:t>
      </w:r>
      <w:r w:rsidRPr="00B3466E">
        <w:tab/>
        <w:t>Insert the following new row after the last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E86998" w:rsidRPr="00B3466E" w14:paraId="6C1334F3" w14:textId="77777777" w:rsidTr="001633A6">
        <w:tc>
          <w:tcPr>
            <w:tcW w:w="1894" w:type="dxa"/>
            <w:vAlign w:val="center"/>
          </w:tcPr>
          <w:p w14:paraId="7ACCD5D6" w14:textId="4F307624" w:rsidR="00E86998" w:rsidRPr="00B3466E" w:rsidRDefault="00E86998" w:rsidP="001633A6">
            <w:pPr>
              <w:widowControl w:val="0"/>
              <w:spacing w:before="60" w:after="60"/>
              <w:rPr>
                <w:strike/>
              </w:rPr>
            </w:pPr>
            <w:r w:rsidRPr="00B3466E">
              <w:rPr>
                <w:bCs/>
              </w:rPr>
              <w:t>EN 13799:2022</w:t>
            </w:r>
          </w:p>
        </w:tc>
        <w:tc>
          <w:tcPr>
            <w:tcW w:w="3870" w:type="dxa"/>
          </w:tcPr>
          <w:p w14:paraId="1F3471F9" w14:textId="77777777" w:rsidR="00E86998" w:rsidRPr="00B3466E" w:rsidRDefault="00E86998" w:rsidP="001633A6">
            <w:pPr>
              <w:keepLines/>
              <w:widowControl w:val="0"/>
              <w:spacing w:before="60" w:after="120"/>
              <w:rPr>
                <w:strike/>
              </w:rPr>
            </w:pPr>
            <w:r w:rsidRPr="00B3466E">
              <w:rPr>
                <w:bCs/>
              </w:rPr>
              <w:t>LPG equipment and accessories – Contents gauges for Liquefied Petroleum Gas (LPG) pressure vessels</w:t>
            </w:r>
          </w:p>
        </w:tc>
        <w:tc>
          <w:tcPr>
            <w:tcW w:w="1290" w:type="dxa"/>
            <w:vAlign w:val="center"/>
          </w:tcPr>
          <w:p w14:paraId="3A05216B" w14:textId="77777777" w:rsidR="00E86998" w:rsidRPr="00B3466E" w:rsidRDefault="00E86998" w:rsidP="001633A6">
            <w:pPr>
              <w:widowControl w:val="0"/>
              <w:spacing w:before="60" w:after="60"/>
            </w:pPr>
            <w:r w:rsidRPr="00B3466E">
              <w:t>6.8.2.2.1 and 6.8.2.2.11</w:t>
            </w:r>
          </w:p>
        </w:tc>
        <w:tc>
          <w:tcPr>
            <w:tcW w:w="968" w:type="dxa"/>
            <w:vAlign w:val="center"/>
          </w:tcPr>
          <w:p w14:paraId="71DFD60B" w14:textId="77777777" w:rsidR="00E86998" w:rsidRPr="00B3466E" w:rsidRDefault="00E86998" w:rsidP="001633A6">
            <w:pPr>
              <w:widowControl w:val="0"/>
              <w:spacing w:before="60" w:after="60"/>
            </w:pPr>
            <w:r w:rsidRPr="00B3466E">
              <w:t>Until further notice</w:t>
            </w:r>
          </w:p>
        </w:tc>
        <w:tc>
          <w:tcPr>
            <w:tcW w:w="483" w:type="dxa"/>
            <w:vAlign w:val="center"/>
          </w:tcPr>
          <w:p w14:paraId="33234B79" w14:textId="77777777" w:rsidR="00E86998" w:rsidRPr="00B3466E" w:rsidRDefault="00E86998" w:rsidP="001633A6">
            <w:pPr>
              <w:widowControl w:val="0"/>
              <w:spacing w:before="60" w:after="60"/>
              <w:rPr>
                <w:strike/>
              </w:rPr>
            </w:pPr>
          </w:p>
        </w:tc>
      </w:tr>
    </w:tbl>
    <w:p w14:paraId="37E33FDF"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24160F93" w14:textId="77777777" w:rsidR="00E86998" w:rsidRPr="00B3466E" w:rsidRDefault="00E86998" w:rsidP="00E86998">
      <w:pPr>
        <w:spacing w:after="120"/>
        <w:ind w:left="2268" w:right="850" w:hanging="1134"/>
        <w:jc w:val="both"/>
      </w:pPr>
      <w:r w:rsidRPr="00B3466E">
        <w:rPr>
          <w:bCs/>
        </w:rPr>
        <w:t>6.8.4 (d), TT11</w:t>
      </w:r>
      <w:r w:rsidRPr="00B3466E">
        <w:tab/>
        <w:t>In the paragraph after the table, replace “EN 14025:2018” by “EN </w:t>
      </w:r>
      <w:proofErr w:type="gramStart"/>
      <w:r w:rsidRPr="00B3466E">
        <w:t>14025:[</w:t>
      </w:r>
      <w:proofErr w:type="gramEnd"/>
      <w:r w:rsidRPr="00B3466E">
        <w:t>2023]”.</w:t>
      </w:r>
    </w:p>
    <w:p w14:paraId="7D6051C4" w14:textId="77777777" w:rsidR="00E86998" w:rsidRPr="00B3466E" w:rsidRDefault="00E86998" w:rsidP="00E86998">
      <w:pPr>
        <w:spacing w:after="120"/>
        <w:ind w:left="1134" w:right="1134"/>
        <w:jc w:val="both"/>
        <w:rPr>
          <w:i/>
          <w:iCs/>
        </w:rPr>
      </w:pPr>
      <w:r w:rsidRPr="00B3466E">
        <w:rPr>
          <w:i/>
          <w:iCs/>
        </w:rPr>
        <w:t xml:space="preserve">(Reference document: </w:t>
      </w:r>
      <w:r>
        <w:rPr>
          <w:i/>
          <w:iCs/>
        </w:rPr>
        <w:t xml:space="preserve">ECE/TRANS/WP.15/AC.1/166, Annex, as reproduced in </w:t>
      </w:r>
      <w:r w:rsidRPr="00B3466E">
        <w:rPr>
          <w:i/>
          <w:iCs/>
        </w:rPr>
        <w:t>informal document INF.7)</w:t>
      </w:r>
    </w:p>
    <w:p w14:paraId="08553318" w14:textId="77777777" w:rsidR="00C47BD8" w:rsidRPr="00DF5ACD" w:rsidRDefault="00C47BD8" w:rsidP="00C47BD8">
      <w:pPr>
        <w:pStyle w:val="H23G"/>
      </w:pPr>
      <w:r w:rsidRPr="00DF5ACD">
        <w:tab/>
      </w:r>
      <w:r w:rsidRPr="00DF5ACD">
        <w:tab/>
        <w:t>Chapter 9.1</w:t>
      </w:r>
    </w:p>
    <w:p w14:paraId="4795D6A4" w14:textId="77777777" w:rsidR="00C47BD8" w:rsidRPr="00DF5ACD" w:rsidRDefault="00C47BD8" w:rsidP="00C47BD8">
      <w:pPr>
        <w:pStyle w:val="SingleTxtG"/>
        <w:ind w:left="2268" w:hanging="1134"/>
      </w:pPr>
      <w:r w:rsidRPr="00DF5ACD">
        <w:t>9.1.3.3</w:t>
      </w:r>
      <w:r w:rsidRPr="00DF5ACD">
        <w:tab/>
      </w:r>
      <w:r w:rsidRPr="00DF5ACD">
        <w:tab/>
        <w:t>At the end of the first paragraph, add the following text:</w:t>
      </w:r>
    </w:p>
    <w:p w14:paraId="5A5830E3" w14:textId="77777777" w:rsidR="00C47BD8" w:rsidRPr="00DF5ACD" w:rsidRDefault="00C47BD8" w:rsidP="00C47BD8">
      <w:pPr>
        <w:pStyle w:val="SingleTxtG"/>
        <w:rPr>
          <w:bCs/>
        </w:rPr>
      </w:pPr>
      <w:r w:rsidRPr="00DF5ACD">
        <w:rPr>
          <w:bCs/>
        </w:rPr>
        <w:t xml:space="preserve">“It may include additional security features such as a hologram, UV printing, guilloche patterns or barcode. </w:t>
      </w:r>
    </w:p>
    <w:p w14:paraId="0458501B" w14:textId="77777777" w:rsidR="00C47BD8" w:rsidRPr="00DF5ACD" w:rsidRDefault="00C47BD8" w:rsidP="00C47BD8">
      <w:pPr>
        <w:pStyle w:val="SingleTxtG"/>
        <w:rPr>
          <w:bCs/>
        </w:rPr>
      </w:pPr>
      <w:r w:rsidRPr="00DF5ACD">
        <w:rPr>
          <w:bCs/>
        </w:rPr>
        <w:t>Contracting Parties that have introduced additional security features in the certificate of approval shall provide the UNECE secretariat with an example of the national model for any certificate intended for issue in accordance with this section. Contracting Parties shall also provide explanatory notes to enable the verification of conformity of certificates against the examples provided. The secretariat shall make this information available on its website.”</w:t>
      </w:r>
    </w:p>
    <w:p w14:paraId="4B05D4E7" w14:textId="77777777" w:rsidR="00C47BD8" w:rsidRPr="00DF5ACD" w:rsidRDefault="00C47BD8" w:rsidP="00C47BD8">
      <w:pPr>
        <w:pStyle w:val="SingleTxtG"/>
        <w:rPr>
          <w:i/>
          <w:iCs/>
        </w:rPr>
      </w:pPr>
      <w:r w:rsidRPr="00DF5ACD">
        <w:rPr>
          <w:i/>
          <w:iCs/>
        </w:rPr>
        <w:t>(Reference document: ECE/TRANS/WP.15/2022/7, proposal 2 as amended by informal document INF.10) (Reference for translation of the second paragraph: ADR 2021, 8.2.2.8.6)</w:t>
      </w:r>
    </w:p>
    <w:p w14:paraId="39C58B7E" w14:textId="77777777" w:rsidR="00C47BD8" w:rsidRPr="00DF5ACD" w:rsidRDefault="00C47BD8" w:rsidP="00C47BD8">
      <w:pPr>
        <w:pStyle w:val="H23G"/>
      </w:pPr>
      <w:r w:rsidRPr="00DF5ACD">
        <w:tab/>
      </w:r>
      <w:r w:rsidRPr="00DF5ACD">
        <w:tab/>
        <w:t xml:space="preserve">Chapter </w:t>
      </w:r>
      <w:r>
        <w:t>9.2</w:t>
      </w:r>
    </w:p>
    <w:p w14:paraId="6A8537FD" w14:textId="77777777" w:rsidR="00C47BD8" w:rsidRPr="00DF5ACD" w:rsidRDefault="00C47BD8" w:rsidP="00C47BD8">
      <w:pPr>
        <w:pStyle w:val="SingleTxtG"/>
        <w:ind w:left="2268" w:hanging="1134"/>
      </w:pPr>
      <w:r w:rsidRPr="00E3748A">
        <w:t>9.2.2.2.2</w:t>
      </w:r>
      <w:r>
        <w:tab/>
        <w:t>In the third paragraph, r</w:t>
      </w:r>
      <w:r w:rsidRPr="00E3748A">
        <w:t xml:space="preserve">eplace “ISO 19642-8, ISO </w:t>
      </w:r>
      <w:proofErr w:type="gramStart"/>
      <w:r w:rsidRPr="00E3748A">
        <w:t>19642-9</w:t>
      </w:r>
      <w:proofErr w:type="gramEnd"/>
      <w:r w:rsidRPr="00E3748A">
        <w:t xml:space="preserve"> or ISO 19642:10:2019” by “ISO 19642-8:2019, ISO 19642-9:2019 or ISO 19642-10:2019”.</w:t>
      </w:r>
    </w:p>
    <w:p w14:paraId="13C1CF3D" w14:textId="77777777" w:rsidR="00C47BD8" w:rsidRDefault="00C47BD8" w:rsidP="00C47BD8">
      <w:pPr>
        <w:pStyle w:val="SingleTxtG"/>
        <w:rPr>
          <w:i/>
          <w:iCs/>
        </w:rPr>
      </w:pPr>
      <w:r w:rsidRPr="00DF5ACD">
        <w:rPr>
          <w:i/>
          <w:iCs/>
        </w:rPr>
        <w:t>(Reference document: ECE/TRANS/WP.15/2022/</w:t>
      </w:r>
      <w:r>
        <w:rPr>
          <w:i/>
          <w:iCs/>
        </w:rPr>
        <w:t>8</w:t>
      </w:r>
      <w:r w:rsidRPr="00DF5ACD">
        <w:rPr>
          <w:i/>
          <w:iCs/>
        </w:rPr>
        <w:t>)</w:t>
      </w:r>
    </w:p>
    <w:p w14:paraId="39F04B2B" w14:textId="528087C3" w:rsidR="00E86998" w:rsidRPr="00E86998" w:rsidRDefault="00E86998" w:rsidP="00E86998">
      <w:pPr>
        <w:spacing w:before="240"/>
        <w:jc w:val="center"/>
        <w:rPr>
          <w:u w:val="single"/>
        </w:rPr>
      </w:pPr>
      <w:r>
        <w:rPr>
          <w:u w:val="single"/>
        </w:rPr>
        <w:tab/>
      </w:r>
      <w:r>
        <w:rPr>
          <w:u w:val="single"/>
        </w:rPr>
        <w:tab/>
      </w:r>
      <w:r>
        <w:rPr>
          <w:u w:val="single"/>
        </w:rPr>
        <w:tab/>
      </w:r>
    </w:p>
    <w:sectPr w:rsidR="00E86998" w:rsidRPr="00E86998" w:rsidSect="000E1980">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3A3" w14:textId="77777777" w:rsidR="00B44FD2" w:rsidRDefault="00B44FD2"/>
  </w:endnote>
  <w:endnote w:type="continuationSeparator" w:id="0">
    <w:p w14:paraId="62D60C9E" w14:textId="77777777" w:rsidR="00B44FD2" w:rsidRDefault="00B44FD2"/>
  </w:endnote>
  <w:endnote w:type="continuationNotice" w:id="1">
    <w:p w14:paraId="7B7B085C" w14:textId="77777777" w:rsidR="00B44FD2" w:rsidRDefault="00B4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A504" w14:textId="40164F0C" w:rsidR="000E1980" w:rsidRPr="000E1980" w:rsidRDefault="000E1980" w:rsidP="000E1980">
    <w:pPr>
      <w:pStyle w:val="Footer"/>
      <w:tabs>
        <w:tab w:val="right" w:pos="9638"/>
      </w:tabs>
      <w:rPr>
        <w:sz w:val="18"/>
      </w:rPr>
    </w:pPr>
    <w:r w:rsidRPr="000E1980">
      <w:rPr>
        <w:b/>
        <w:sz w:val="18"/>
      </w:rPr>
      <w:fldChar w:fldCharType="begin"/>
    </w:r>
    <w:r w:rsidRPr="000E1980">
      <w:rPr>
        <w:b/>
        <w:sz w:val="18"/>
      </w:rPr>
      <w:instrText xml:space="preserve"> PAGE  \* MERGEFORMAT </w:instrText>
    </w:r>
    <w:r w:rsidRPr="000E1980">
      <w:rPr>
        <w:b/>
        <w:sz w:val="18"/>
      </w:rPr>
      <w:fldChar w:fldCharType="separate"/>
    </w:r>
    <w:r w:rsidRPr="000E1980">
      <w:rPr>
        <w:b/>
        <w:noProof/>
        <w:sz w:val="18"/>
      </w:rPr>
      <w:t>2</w:t>
    </w:r>
    <w:r w:rsidRPr="000E19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4623" w14:textId="2F70A561" w:rsidR="000E1980" w:rsidRPr="000E1980" w:rsidRDefault="000E1980" w:rsidP="000E1980">
    <w:pPr>
      <w:pStyle w:val="Footer"/>
      <w:tabs>
        <w:tab w:val="right" w:pos="9638"/>
      </w:tabs>
      <w:rPr>
        <w:b/>
        <w:sz w:val="18"/>
      </w:rPr>
    </w:pPr>
    <w:r>
      <w:tab/>
    </w:r>
    <w:r w:rsidRPr="000E1980">
      <w:rPr>
        <w:b/>
        <w:sz w:val="18"/>
      </w:rPr>
      <w:fldChar w:fldCharType="begin"/>
    </w:r>
    <w:r w:rsidRPr="000E1980">
      <w:rPr>
        <w:b/>
        <w:sz w:val="18"/>
      </w:rPr>
      <w:instrText xml:space="preserve"> PAGE  \* MERGEFORMAT </w:instrText>
    </w:r>
    <w:r w:rsidRPr="000E1980">
      <w:rPr>
        <w:b/>
        <w:sz w:val="18"/>
      </w:rPr>
      <w:fldChar w:fldCharType="separate"/>
    </w:r>
    <w:r w:rsidRPr="000E1980">
      <w:rPr>
        <w:b/>
        <w:noProof/>
        <w:sz w:val="18"/>
      </w:rPr>
      <w:t>3</w:t>
    </w:r>
    <w:r w:rsidRPr="000E19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EE3" w14:textId="77777777" w:rsidR="0035223F" w:rsidRPr="000E1980" w:rsidRDefault="00686A48">
    <w:pPr>
      <w:pStyle w:val="Footer"/>
      <w:rPr>
        <w:sz w:val="20"/>
      </w:rPr>
    </w:pPr>
    <w:r>
      <w:rPr>
        <w:noProof/>
        <w:lang w:val="fr-CH" w:eastAsia="fr-CH"/>
      </w:rPr>
      <w:drawing>
        <wp:anchor distT="0" distB="0" distL="114300" distR="114300" simplePos="0" relativeHeight="251657728" behindDoc="0" locked="1" layoutInCell="1" allowOverlap="1" wp14:anchorId="199C73F5" wp14:editId="22195047">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A5EF" w14:textId="77777777" w:rsidR="00B44FD2" w:rsidRPr="000B175B" w:rsidRDefault="00B44FD2" w:rsidP="000B175B">
      <w:pPr>
        <w:tabs>
          <w:tab w:val="right" w:pos="2155"/>
        </w:tabs>
        <w:spacing w:after="80"/>
        <w:ind w:left="680"/>
        <w:rPr>
          <w:u w:val="single"/>
        </w:rPr>
      </w:pPr>
      <w:r>
        <w:rPr>
          <w:u w:val="single"/>
        </w:rPr>
        <w:tab/>
      </w:r>
    </w:p>
  </w:footnote>
  <w:footnote w:type="continuationSeparator" w:id="0">
    <w:p w14:paraId="3F23B66C" w14:textId="77777777" w:rsidR="00B44FD2" w:rsidRPr="00FC68B7" w:rsidRDefault="00B44FD2" w:rsidP="00FC68B7">
      <w:pPr>
        <w:tabs>
          <w:tab w:val="left" w:pos="2155"/>
        </w:tabs>
        <w:spacing w:after="80"/>
        <w:ind w:left="680"/>
        <w:rPr>
          <w:u w:val="single"/>
        </w:rPr>
      </w:pPr>
      <w:r>
        <w:rPr>
          <w:u w:val="single"/>
        </w:rPr>
        <w:tab/>
      </w:r>
    </w:p>
  </w:footnote>
  <w:footnote w:type="continuationNotice" w:id="1">
    <w:p w14:paraId="7C62CC34" w14:textId="77777777" w:rsidR="00B44FD2" w:rsidRDefault="00B44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210" w14:textId="4F0A8BD4" w:rsidR="000E1980" w:rsidRPr="000E1980" w:rsidRDefault="00A37AC8">
    <w:pPr>
      <w:pStyle w:val="Header"/>
    </w:pPr>
    <w:r>
      <w:fldChar w:fldCharType="begin"/>
    </w:r>
    <w:r>
      <w:instrText xml:space="preserve"> TITLE  \* MERGEFORMAT </w:instrText>
    </w:r>
    <w:r>
      <w:fldChar w:fldCharType="separate"/>
    </w:r>
    <w:r>
      <w:t>ECE/TRANS/WP.15/260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18A" w14:textId="256CDB5D" w:rsidR="000E1980" w:rsidRPr="000E1980" w:rsidRDefault="00A37AC8" w:rsidP="000E1980">
    <w:pPr>
      <w:pStyle w:val="Header"/>
      <w:jc w:val="right"/>
    </w:pPr>
    <w:r>
      <w:fldChar w:fldCharType="begin"/>
    </w:r>
    <w:r>
      <w:instrText xml:space="preserve"> TITLE  \* MERGEF</w:instrText>
    </w:r>
    <w:r>
      <w:instrText xml:space="preserve">ORMAT </w:instrText>
    </w:r>
    <w:r>
      <w:fldChar w:fldCharType="separate"/>
    </w:r>
    <w:r>
      <w:t>ECE/TRANS/WP.15/260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8C42C5"/>
    <w:multiLevelType w:val="hybridMultilevel"/>
    <w:tmpl w:val="B85AC65E"/>
    <w:lvl w:ilvl="0" w:tplc="A8625B9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E21D7"/>
    <w:multiLevelType w:val="hybridMultilevel"/>
    <w:tmpl w:val="5A28081C"/>
    <w:lvl w:ilvl="0" w:tplc="7ACE8F06">
      <w:start w:val="1"/>
      <w:numFmt w:val="upperLetter"/>
      <w:lvlText w:val="%1."/>
      <w:lvlJc w:val="left"/>
      <w:pPr>
        <w:ind w:left="1692" w:hanging="555"/>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7" w15:restartNumberingAfterBreak="0">
    <w:nsid w:val="29FE24BE"/>
    <w:multiLevelType w:val="hybridMultilevel"/>
    <w:tmpl w:val="67549C68"/>
    <w:lvl w:ilvl="0" w:tplc="0809000F">
      <w:start w:val="1"/>
      <w:numFmt w:val="decimal"/>
      <w:lvlText w:val="%1."/>
      <w:lvlJc w:val="left"/>
      <w:pPr>
        <w:ind w:left="1864" w:hanging="360"/>
      </w:pPr>
    </w:lvl>
    <w:lvl w:ilvl="1" w:tplc="08090019" w:tentative="1">
      <w:start w:val="1"/>
      <w:numFmt w:val="lowerLetter"/>
      <w:lvlText w:val="%2."/>
      <w:lvlJc w:val="left"/>
      <w:pPr>
        <w:ind w:left="2584" w:hanging="360"/>
      </w:pPr>
    </w:lvl>
    <w:lvl w:ilvl="2" w:tplc="0809001B" w:tentative="1">
      <w:start w:val="1"/>
      <w:numFmt w:val="lowerRoman"/>
      <w:lvlText w:val="%3."/>
      <w:lvlJc w:val="right"/>
      <w:pPr>
        <w:ind w:left="3304" w:hanging="180"/>
      </w:pPr>
    </w:lvl>
    <w:lvl w:ilvl="3" w:tplc="0809000F" w:tentative="1">
      <w:start w:val="1"/>
      <w:numFmt w:val="decimal"/>
      <w:lvlText w:val="%4."/>
      <w:lvlJc w:val="left"/>
      <w:pPr>
        <w:ind w:left="4024" w:hanging="360"/>
      </w:pPr>
    </w:lvl>
    <w:lvl w:ilvl="4" w:tplc="08090019" w:tentative="1">
      <w:start w:val="1"/>
      <w:numFmt w:val="lowerLetter"/>
      <w:lvlText w:val="%5."/>
      <w:lvlJc w:val="left"/>
      <w:pPr>
        <w:ind w:left="4744" w:hanging="360"/>
      </w:pPr>
    </w:lvl>
    <w:lvl w:ilvl="5" w:tplc="0809001B" w:tentative="1">
      <w:start w:val="1"/>
      <w:numFmt w:val="lowerRoman"/>
      <w:lvlText w:val="%6."/>
      <w:lvlJc w:val="right"/>
      <w:pPr>
        <w:ind w:left="5464" w:hanging="180"/>
      </w:pPr>
    </w:lvl>
    <w:lvl w:ilvl="6" w:tplc="0809000F" w:tentative="1">
      <w:start w:val="1"/>
      <w:numFmt w:val="decimal"/>
      <w:lvlText w:val="%7."/>
      <w:lvlJc w:val="left"/>
      <w:pPr>
        <w:ind w:left="6184" w:hanging="360"/>
      </w:pPr>
    </w:lvl>
    <w:lvl w:ilvl="7" w:tplc="08090019" w:tentative="1">
      <w:start w:val="1"/>
      <w:numFmt w:val="lowerLetter"/>
      <w:lvlText w:val="%8."/>
      <w:lvlJc w:val="left"/>
      <w:pPr>
        <w:ind w:left="6904" w:hanging="360"/>
      </w:pPr>
    </w:lvl>
    <w:lvl w:ilvl="8" w:tplc="0809001B" w:tentative="1">
      <w:start w:val="1"/>
      <w:numFmt w:val="lowerRoman"/>
      <w:lvlText w:val="%9."/>
      <w:lvlJc w:val="right"/>
      <w:pPr>
        <w:ind w:left="762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E83F30"/>
    <w:multiLevelType w:val="hybridMultilevel"/>
    <w:tmpl w:val="AF4E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46668"/>
    <w:multiLevelType w:val="hybridMultilevel"/>
    <w:tmpl w:val="DB362090"/>
    <w:lvl w:ilvl="0" w:tplc="BAA031B2">
      <w:start w:val="1"/>
      <w:numFmt w:val="upperLetter"/>
      <w:lvlText w:val="%1."/>
      <w:lvlJc w:val="left"/>
      <w:pPr>
        <w:ind w:left="1504" w:hanging="36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2" w15:restartNumberingAfterBreak="0">
    <w:nsid w:val="5B535AE7"/>
    <w:multiLevelType w:val="hybridMultilevel"/>
    <w:tmpl w:val="2B90A4F6"/>
    <w:lvl w:ilvl="0" w:tplc="7ACE8F06">
      <w:start w:val="1"/>
      <w:numFmt w:val="upperLetter"/>
      <w:lvlText w:val="%1."/>
      <w:lvlJc w:val="left"/>
      <w:pPr>
        <w:ind w:left="3195" w:hanging="555"/>
      </w:pPr>
      <w:rPr>
        <w:rFonts w:hint="default"/>
      </w:rPr>
    </w:lvl>
    <w:lvl w:ilvl="1" w:tplc="08090019" w:tentative="1">
      <w:start w:val="1"/>
      <w:numFmt w:val="lowerLetter"/>
      <w:lvlText w:val="%2."/>
      <w:lvlJc w:val="left"/>
      <w:pPr>
        <w:ind w:left="2943" w:hanging="360"/>
      </w:pPr>
    </w:lvl>
    <w:lvl w:ilvl="2" w:tplc="0809001B">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23" w15:restartNumberingAfterBreak="0">
    <w:nsid w:val="5F5519B4"/>
    <w:multiLevelType w:val="hybridMultilevel"/>
    <w:tmpl w:val="AFD4D3E2"/>
    <w:lvl w:ilvl="0" w:tplc="31F61AE2">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4" w15:restartNumberingAfterBreak="0">
    <w:nsid w:val="625E7DAD"/>
    <w:multiLevelType w:val="hybridMultilevel"/>
    <w:tmpl w:val="9CFA9ADE"/>
    <w:lvl w:ilvl="0" w:tplc="63484D52">
      <w:start w:val="1"/>
      <w:numFmt w:val="decimal"/>
      <w:lvlText w:val="%1."/>
      <w:lvlJc w:val="left"/>
      <w:pPr>
        <w:ind w:left="1983" w:hanging="480"/>
      </w:pPr>
      <w:rPr>
        <w:rFonts w:hint="default"/>
      </w:rPr>
    </w:lvl>
    <w:lvl w:ilvl="1" w:tplc="08090019" w:tentative="1">
      <w:start w:val="1"/>
      <w:numFmt w:val="lowerLetter"/>
      <w:lvlText w:val="%2."/>
      <w:lvlJc w:val="left"/>
      <w:pPr>
        <w:ind w:left="2583" w:hanging="360"/>
      </w:pPr>
    </w:lvl>
    <w:lvl w:ilvl="2" w:tplc="0809001B" w:tentative="1">
      <w:start w:val="1"/>
      <w:numFmt w:val="lowerRoman"/>
      <w:lvlText w:val="%3."/>
      <w:lvlJc w:val="right"/>
      <w:pPr>
        <w:ind w:left="3303" w:hanging="180"/>
      </w:pPr>
    </w:lvl>
    <w:lvl w:ilvl="3" w:tplc="0809000F" w:tentative="1">
      <w:start w:val="1"/>
      <w:numFmt w:val="decimal"/>
      <w:lvlText w:val="%4."/>
      <w:lvlJc w:val="left"/>
      <w:pPr>
        <w:ind w:left="4023" w:hanging="360"/>
      </w:pPr>
    </w:lvl>
    <w:lvl w:ilvl="4" w:tplc="08090019" w:tentative="1">
      <w:start w:val="1"/>
      <w:numFmt w:val="lowerLetter"/>
      <w:lvlText w:val="%5."/>
      <w:lvlJc w:val="left"/>
      <w:pPr>
        <w:ind w:left="4743" w:hanging="360"/>
      </w:pPr>
    </w:lvl>
    <w:lvl w:ilvl="5" w:tplc="0809001B" w:tentative="1">
      <w:start w:val="1"/>
      <w:numFmt w:val="lowerRoman"/>
      <w:lvlText w:val="%6."/>
      <w:lvlJc w:val="right"/>
      <w:pPr>
        <w:ind w:left="5463" w:hanging="180"/>
      </w:pPr>
    </w:lvl>
    <w:lvl w:ilvl="6" w:tplc="0809000F" w:tentative="1">
      <w:start w:val="1"/>
      <w:numFmt w:val="decimal"/>
      <w:lvlText w:val="%7."/>
      <w:lvlJc w:val="left"/>
      <w:pPr>
        <w:ind w:left="6183" w:hanging="360"/>
      </w:pPr>
    </w:lvl>
    <w:lvl w:ilvl="7" w:tplc="08090019" w:tentative="1">
      <w:start w:val="1"/>
      <w:numFmt w:val="lowerLetter"/>
      <w:lvlText w:val="%8."/>
      <w:lvlJc w:val="left"/>
      <w:pPr>
        <w:ind w:left="6903" w:hanging="360"/>
      </w:pPr>
    </w:lvl>
    <w:lvl w:ilvl="8" w:tplc="0809001B" w:tentative="1">
      <w:start w:val="1"/>
      <w:numFmt w:val="lowerRoman"/>
      <w:lvlText w:val="%9."/>
      <w:lvlJc w:val="right"/>
      <w:pPr>
        <w:ind w:left="7623"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7"/>
  </w:num>
  <w:num w:numId="19">
    <w:abstractNumId w:val="12"/>
  </w:num>
  <w:num w:numId="20">
    <w:abstractNumId w:val="12"/>
  </w:num>
  <w:num w:numId="21">
    <w:abstractNumId w:val="26"/>
  </w:num>
  <w:num w:numId="22">
    <w:abstractNumId w:val="11"/>
  </w:num>
  <w:num w:numId="23">
    <w:abstractNumId w:val="21"/>
  </w:num>
  <w:num w:numId="24">
    <w:abstractNumId w:val="23"/>
  </w:num>
  <w:num w:numId="25">
    <w:abstractNumId w:val="16"/>
  </w:num>
  <w:num w:numId="26">
    <w:abstractNumId w:val="22"/>
  </w:num>
  <w:num w:numId="27">
    <w:abstractNumId w:val="24"/>
  </w:num>
  <w:num w:numId="28">
    <w:abstractNumId w:val="20"/>
  </w:num>
  <w:num w:numId="2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ce Berthet">
    <w15:presenceInfo w15:providerId="AD" w15:userId="S::laurence.berthet@un.org::f3bfb8ac-ca87-4e99-a531-0035dfd9e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80"/>
    <w:rsid w:val="000015D7"/>
    <w:rsid w:val="00002A7D"/>
    <w:rsid w:val="000038A8"/>
    <w:rsid w:val="00006790"/>
    <w:rsid w:val="00024DB6"/>
    <w:rsid w:val="00027624"/>
    <w:rsid w:val="00031AC0"/>
    <w:rsid w:val="00050F6B"/>
    <w:rsid w:val="00054115"/>
    <w:rsid w:val="000678CD"/>
    <w:rsid w:val="00072C8C"/>
    <w:rsid w:val="00081CE0"/>
    <w:rsid w:val="00084D30"/>
    <w:rsid w:val="00090320"/>
    <w:rsid w:val="000931C0"/>
    <w:rsid w:val="0009732C"/>
    <w:rsid w:val="000A01F9"/>
    <w:rsid w:val="000A2E09"/>
    <w:rsid w:val="000A49C8"/>
    <w:rsid w:val="000B175B"/>
    <w:rsid w:val="000B3A0F"/>
    <w:rsid w:val="000C0A83"/>
    <w:rsid w:val="000C7E6C"/>
    <w:rsid w:val="000E0415"/>
    <w:rsid w:val="000E1980"/>
    <w:rsid w:val="000F7715"/>
    <w:rsid w:val="00132361"/>
    <w:rsid w:val="00132505"/>
    <w:rsid w:val="00132D02"/>
    <w:rsid w:val="00156B99"/>
    <w:rsid w:val="00160920"/>
    <w:rsid w:val="00166124"/>
    <w:rsid w:val="00173584"/>
    <w:rsid w:val="00183795"/>
    <w:rsid w:val="00184DDA"/>
    <w:rsid w:val="001900CD"/>
    <w:rsid w:val="001A0452"/>
    <w:rsid w:val="001B07DD"/>
    <w:rsid w:val="001B2DB1"/>
    <w:rsid w:val="001B4B04"/>
    <w:rsid w:val="001B5875"/>
    <w:rsid w:val="001C4B9C"/>
    <w:rsid w:val="001C6663"/>
    <w:rsid w:val="001C7895"/>
    <w:rsid w:val="001D26DF"/>
    <w:rsid w:val="001E1404"/>
    <w:rsid w:val="001F1599"/>
    <w:rsid w:val="001F19C4"/>
    <w:rsid w:val="002043F0"/>
    <w:rsid w:val="00211E0B"/>
    <w:rsid w:val="00216D8D"/>
    <w:rsid w:val="00232575"/>
    <w:rsid w:val="00247258"/>
    <w:rsid w:val="00257CAC"/>
    <w:rsid w:val="00264441"/>
    <w:rsid w:val="0027237A"/>
    <w:rsid w:val="00283BFA"/>
    <w:rsid w:val="00293058"/>
    <w:rsid w:val="0029362A"/>
    <w:rsid w:val="002974E9"/>
    <w:rsid w:val="002A7F94"/>
    <w:rsid w:val="002B109A"/>
    <w:rsid w:val="002B2E2D"/>
    <w:rsid w:val="002B3F18"/>
    <w:rsid w:val="002C4E3A"/>
    <w:rsid w:val="002C6D45"/>
    <w:rsid w:val="002D1AFD"/>
    <w:rsid w:val="002D489C"/>
    <w:rsid w:val="002D6E53"/>
    <w:rsid w:val="002E1D02"/>
    <w:rsid w:val="002F046D"/>
    <w:rsid w:val="002F3023"/>
    <w:rsid w:val="00301764"/>
    <w:rsid w:val="003149F7"/>
    <w:rsid w:val="003229D8"/>
    <w:rsid w:val="00336995"/>
    <w:rsid w:val="00336C97"/>
    <w:rsid w:val="00337F88"/>
    <w:rsid w:val="00342432"/>
    <w:rsid w:val="0034686F"/>
    <w:rsid w:val="0035223F"/>
    <w:rsid w:val="00352D4B"/>
    <w:rsid w:val="0035638C"/>
    <w:rsid w:val="003732CB"/>
    <w:rsid w:val="00375187"/>
    <w:rsid w:val="00382CEA"/>
    <w:rsid w:val="00391CAD"/>
    <w:rsid w:val="003A46BB"/>
    <w:rsid w:val="003A4EC7"/>
    <w:rsid w:val="003A7295"/>
    <w:rsid w:val="003B1F60"/>
    <w:rsid w:val="003C2CC4"/>
    <w:rsid w:val="003D4B23"/>
    <w:rsid w:val="003E278A"/>
    <w:rsid w:val="003E4DD5"/>
    <w:rsid w:val="00413520"/>
    <w:rsid w:val="004151BE"/>
    <w:rsid w:val="004155D5"/>
    <w:rsid w:val="004324D7"/>
    <w:rsid w:val="004325CB"/>
    <w:rsid w:val="00440A07"/>
    <w:rsid w:val="00462880"/>
    <w:rsid w:val="004706EB"/>
    <w:rsid w:val="00476F24"/>
    <w:rsid w:val="004815E0"/>
    <w:rsid w:val="004C55B0"/>
    <w:rsid w:val="004F6BA0"/>
    <w:rsid w:val="00503BEA"/>
    <w:rsid w:val="00504F16"/>
    <w:rsid w:val="005059C5"/>
    <w:rsid w:val="00523EAA"/>
    <w:rsid w:val="00533616"/>
    <w:rsid w:val="00535ABA"/>
    <w:rsid w:val="0053768B"/>
    <w:rsid w:val="005420F2"/>
    <w:rsid w:val="005423BB"/>
    <w:rsid w:val="0054285C"/>
    <w:rsid w:val="00544C17"/>
    <w:rsid w:val="005507E0"/>
    <w:rsid w:val="00584173"/>
    <w:rsid w:val="00595520"/>
    <w:rsid w:val="005A44B9"/>
    <w:rsid w:val="005B1BA0"/>
    <w:rsid w:val="005B3DB3"/>
    <w:rsid w:val="005C16DF"/>
    <w:rsid w:val="005D15CA"/>
    <w:rsid w:val="005D7969"/>
    <w:rsid w:val="005F08DF"/>
    <w:rsid w:val="005F3066"/>
    <w:rsid w:val="005F3E61"/>
    <w:rsid w:val="0060422F"/>
    <w:rsid w:val="00604DDD"/>
    <w:rsid w:val="006115CC"/>
    <w:rsid w:val="00611FC4"/>
    <w:rsid w:val="00616E74"/>
    <w:rsid w:val="006176FB"/>
    <w:rsid w:val="00627890"/>
    <w:rsid w:val="00630FCB"/>
    <w:rsid w:val="00640B26"/>
    <w:rsid w:val="006466F3"/>
    <w:rsid w:val="0065766B"/>
    <w:rsid w:val="006770B2"/>
    <w:rsid w:val="00686A48"/>
    <w:rsid w:val="006940E1"/>
    <w:rsid w:val="00695029"/>
    <w:rsid w:val="006A1733"/>
    <w:rsid w:val="006A3C72"/>
    <w:rsid w:val="006A7392"/>
    <w:rsid w:val="006B03A1"/>
    <w:rsid w:val="006B67D9"/>
    <w:rsid w:val="006B797B"/>
    <w:rsid w:val="006C5535"/>
    <w:rsid w:val="006D0589"/>
    <w:rsid w:val="006E4514"/>
    <w:rsid w:val="006E564B"/>
    <w:rsid w:val="006E7154"/>
    <w:rsid w:val="006E74E0"/>
    <w:rsid w:val="007003CD"/>
    <w:rsid w:val="007057F9"/>
    <w:rsid w:val="0070701E"/>
    <w:rsid w:val="00721581"/>
    <w:rsid w:val="0072632A"/>
    <w:rsid w:val="007358E8"/>
    <w:rsid w:val="00736ECE"/>
    <w:rsid w:val="0074533B"/>
    <w:rsid w:val="00756377"/>
    <w:rsid w:val="00762067"/>
    <w:rsid w:val="007643BC"/>
    <w:rsid w:val="00780C68"/>
    <w:rsid w:val="007959FE"/>
    <w:rsid w:val="007A0CF1"/>
    <w:rsid w:val="007A478E"/>
    <w:rsid w:val="007B6BA5"/>
    <w:rsid w:val="007C066C"/>
    <w:rsid w:val="007C3390"/>
    <w:rsid w:val="007C42D8"/>
    <w:rsid w:val="007C4F4B"/>
    <w:rsid w:val="007D7362"/>
    <w:rsid w:val="007E1864"/>
    <w:rsid w:val="007E796F"/>
    <w:rsid w:val="007F5CE2"/>
    <w:rsid w:val="007F6611"/>
    <w:rsid w:val="00800522"/>
    <w:rsid w:val="0081070B"/>
    <w:rsid w:val="00810BAC"/>
    <w:rsid w:val="008175E9"/>
    <w:rsid w:val="00823CFB"/>
    <w:rsid w:val="008242D7"/>
    <w:rsid w:val="0082577B"/>
    <w:rsid w:val="008272DD"/>
    <w:rsid w:val="00866893"/>
    <w:rsid w:val="00866F02"/>
    <w:rsid w:val="00867D18"/>
    <w:rsid w:val="00871F9A"/>
    <w:rsid w:val="00871FD5"/>
    <w:rsid w:val="008749E6"/>
    <w:rsid w:val="00877187"/>
    <w:rsid w:val="0088172E"/>
    <w:rsid w:val="00881EFA"/>
    <w:rsid w:val="008879CB"/>
    <w:rsid w:val="008916E4"/>
    <w:rsid w:val="008979B1"/>
    <w:rsid w:val="008A6B25"/>
    <w:rsid w:val="008A6C4F"/>
    <w:rsid w:val="008A77AE"/>
    <w:rsid w:val="008B389E"/>
    <w:rsid w:val="008D045E"/>
    <w:rsid w:val="008D3F25"/>
    <w:rsid w:val="008D4D82"/>
    <w:rsid w:val="008E0E46"/>
    <w:rsid w:val="008E7116"/>
    <w:rsid w:val="008F143B"/>
    <w:rsid w:val="008F3882"/>
    <w:rsid w:val="008F4B7C"/>
    <w:rsid w:val="009014E2"/>
    <w:rsid w:val="00926E47"/>
    <w:rsid w:val="00935E78"/>
    <w:rsid w:val="00947162"/>
    <w:rsid w:val="00960E8E"/>
    <w:rsid w:val="009610D0"/>
    <w:rsid w:val="0096375C"/>
    <w:rsid w:val="009662E6"/>
    <w:rsid w:val="0097095E"/>
    <w:rsid w:val="0098592B"/>
    <w:rsid w:val="00985FC4"/>
    <w:rsid w:val="00990766"/>
    <w:rsid w:val="00991261"/>
    <w:rsid w:val="009964C4"/>
    <w:rsid w:val="009A5488"/>
    <w:rsid w:val="009A7B81"/>
    <w:rsid w:val="009D01C0"/>
    <w:rsid w:val="009D6A08"/>
    <w:rsid w:val="009E0A16"/>
    <w:rsid w:val="009E6CB7"/>
    <w:rsid w:val="009E7970"/>
    <w:rsid w:val="009F2EAC"/>
    <w:rsid w:val="009F57E3"/>
    <w:rsid w:val="009F6CB6"/>
    <w:rsid w:val="00A068AA"/>
    <w:rsid w:val="00A10F4F"/>
    <w:rsid w:val="00A11067"/>
    <w:rsid w:val="00A1704A"/>
    <w:rsid w:val="00A37AC8"/>
    <w:rsid w:val="00A425EB"/>
    <w:rsid w:val="00A44BAB"/>
    <w:rsid w:val="00A72F22"/>
    <w:rsid w:val="00A733BC"/>
    <w:rsid w:val="00A748A6"/>
    <w:rsid w:val="00A76A69"/>
    <w:rsid w:val="00A879A4"/>
    <w:rsid w:val="00AA0FF8"/>
    <w:rsid w:val="00AB0586"/>
    <w:rsid w:val="00AB3877"/>
    <w:rsid w:val="00AC01CC"/>
    <w:rsid w:val="00AC0F2C"/>
    <w:rsid w:val="00AC502A"/>
    <w:rsid w:val="00AD115C"/>
    <w:rsid w:val="00AD1340"/>
    <w:rsid w:val="00AD514D"/>
    <w:rsid w:val="00AE3A87"/>
    <w:rsid w:val="00AF26BB"/>
    <w:rsid w:val="00AF58C1"/>
    <w:rsid w:val="00B0490E"/>
    <w:rsid w:val="00B04A3F"/>
    <w:rsid w:val="00B06643"/>
    <w:rsid w:val="00B15055"/>
    <w:rsid w:val="00B20551"/>
    <w:rsid w:val="00B30179"/>
    <w:rsid w:val="00B33FC7"/>
    <w:rsid w:val="00B37B15"/>
    <w:rsid w:val="00B44FD2"/>
    <w:rsid w:val="00B45C02"/>
    <w:rsid w:val="00B64E91"/>
    <w:rsid w:val="00B70B63"/>
    <w:rsid w:val="00B72A1E"/>
    <w:rsid w:val="00B81E12"/>
    <w:rsid w:val="00BA339B"/>
    <w:rsid w:val="00BA585A"/>
    <w:rsid w:val="00BB23CC"/>
    <w:rsid w:val="00BC1E7E"/>
    <w:rsid w:val="00BC74E9"/>
    <w:rsid w:val="00BE36A9"/>
    <w:rsid w:val="00BE60B3"/>
    <w:rsid w:val="00BE618E"/>
    <w:rsid w:val="00BE7BEC"/>
    <w:rsid w:val="00BF0A5A"/>
    <w:rsid w:val="00BF0E63"/>
    <w:rsid w:val="00BF12A3"/>
    <w:rsid w:val="00BF16D7"/>
    <w:rsid w:val="00BF2373"/>
    <w:rsid w:val="00C0294F"/>
    <w:rsid w:val="00C044E2"/>
    <w:rsid w:val="00C048CB"/>
    <w:rsid w:val="00C052BD"/>
    <w:rsid w:val="00C066F3"/>
    <w:rsid w:val="00C13E2E"/>
    <w:rsid w:val="00C408B7"/>
    <w:rsid w:val="00C411EB"/>
    <w:rsid w:val="00C463DD"/>
    <w:rsid w:val="00C47BD8"/>
    <w:rsid w:val="00C5415A"/>
    <w:rsid w:val="00C662B1"/>
    <w:rsid w:val="00C745C3"/>
    <w:rsid w:val="00C87D6C"/>
    <w:rsid w:val="00C978F5"/>
    <w:rsid w:val="00CA24A4"/>
    <w:rsid w:val="00CB348D"/>
    <w:rsid w:val="00CC0355"/>
    <w:rsid w:val="00CC2012"/>
    <w:rsid w:val="00CD46F5"/>
    <w:rsid w:val="00CD73C6"/>
    <w:rsid w:val="00CE4A8F"/>
    <w:rsid w:val="00CE78F6"/>
    <w:rsid w:val="00CF071D"/>
    <w:rsid w:val="00CF5A2F"/>
    <w:rsid w:val="00D0123D"/>
    <w:rsid w:val="00D1512B"/>
    <w:rsid w:val="00D15B04"/>
    <w:rsid w:val="00D2031B"/>
    <w:rsid w:val="00D25FE2"/>
    <w:rsid w:val="00D368BE"/>
    <w:rsid w:val="00D37DA9"/>
    <w:rsid w:val="00D406A7"/>
    <w:rsid w:val="00D40765"/>
    <w:rsid w:val="00D43252"/>
    <w:rsid w:val="00D44D86"/>
    <w:rsid w:val="00D50B7D"/>
    <w:rsid w:val="00D52012"/>
    <w:rsid w:val="00D54A97"/>
    <w:rsid w:val="00D704E5"/>
    <w:rsid w:val="00D72727"/>
    <w:rsid w:val="00D978C6"/>
    <w:rsid w:val="00DA0956"/>
    <w:rsid w:val="00DA357F"/>
    <w:rsid w:val="00DA3E12"/>
    <w:rsid w:val="00DC18AD"/>
    <w:rsid w:val="00DC7AF2"/>
    <w:rsid w:val="00DD5638"/>
    <w:rsid w:val="00DD7E5D"/>
    <w:rsid w:val="00DE2BD6"/>
    <w:rsid w:val="00DF7CAE"/>
    <w:rsid w:val="00E423C0"/>
    <w:rsid w:val="00E6414C"/>
    <w:rsid w:val="00E7260F"/>
    <w:rsid w:val="00E85C11"/>
    <w:rsid w:val="00E86998"/>
    <w:rsid w:val="00E8702D"/>
    <w:rsid w:val="00E905F4"/>
    <w:rsid w:val="00E916A9"/>
    <w:rsid w:val="00E916DE"/>
    <w:rsid w:val="00E925AD"/>
    <w:rsid w:val="00E94427"/>
    <w:rsid w:val="00E96630"/>
    <w:rsid w:val="00E96732"/>
    <w:rsid w:val="00EA0D1A"/>
    <w:rsid w:val="00EC6626"/>
    <w:rsid w:val="00ED18DC"/>
    <w:rsid w:val="00ED6201"/>
    <w:rsid w:val="00ED7A2A"/>
    <w:rsid w:val="00EF1144"/>
    <w:rsid w:val="00EF1D7F"/>
    <w:rsid w:val="00F0137E"/>
    <w:rsid w:val="00F21786"/>
    <w:rsid w:val="00F32974"/>
    <w:rsid w:val="00F3742B"/>
    <w:rsid w:val="00F41FDB"/>
    <w:rsid w:val="00F50596"/>
    <w:rsid w:val="00F56D63"/>
    <w:rsid w:val="00F609A9"/>
    <w:rsid w:val="00F80C99"/>
    <w:rsid w:val="00F8657B"/>
    <w:rsid w:val="00F867EC"/>
    <w:rsid w:val="00F91B2B"/>
    <w:rsid w:val="00FC03CD"/>
    <w:rsid w:val="00FC0646"/>
    <w:rsid w:val="00FC3B54"/>
    <w:rsid w:val="00FC68B7"/>
    <w:rsid w:val="00FE6985"/>
    <w:rsid w:val="00FF6A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3684"/>
  <w15:docId w15:val="{5B66F280-7ECC-4DDD-9143-F4731AF2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semiHidden/>
    <w:qFormat/>
    <w:rsid w:val="00A44BAB"/>
    <w:pPr>
      <w:ind w:left="720"/>
      <w:contextualSpacing/>
    </w:pPr>
  </w:style>
  <w:style w:type="character" w:styleId="UnresolvedMention">
    <w:name w:val="Unresolved Mention"/>
    <w:basedOn w:val="DefaultParagraphFont"/>
    <w:uiPriority w:val="99"/>
    <w:semiHidden/>
    <w:unhideWhenUsed/>
    <w:rsid w:val="0002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guidelines-telematics-application-standards-construction-and-approval-vehicles-calculation-risk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transport/dangerous-goods/country-information-competent-authorities-notifi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itc.une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info/Transport/pub/2576"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Transport/Dangerous-Goods/events/36468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66508B9D-71CB-4F2B-AFEC-34DF9A93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C39ED-4349-452D-9119-2B59838080F2}">
  <ds:schemaRefs>
    <ds:schemaRef ds:uri="http://schemas.microsoft.com/sharepoint/v3/contenttype/forms"/>
  </ds:schemaRefs>
</ds:datastoreItem>
</file>

<file path=customXml/itemProps4.xml><?xml version="1.0" encoding="utf-8"?>
<ds:datastoreItem xmlns:ds="http://schemas.openxmlformats.org/officeDocument/2006/customXml" ds:itemID="{EBC95390-F611-4917-BF6F-605F1C86987F}">
  <ds:schemaRef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78</TotalTime>
  <Pages>13</Pages>
  <Words>4676</Words>
  <Characters>26656</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ECE/TRANS/WP.15/260</dc:title>
  <dc:creator>Sabrina Mansion</dc:creator>
  <cp:lastModifiedBy>Laurence Berthet</cp:lastModifiedBy>
  <cp:revision>29</cp:revision>
  <cp:lastPrinted>2022-11-25T10:36:00Z</cp:lastPrinted>
  <dcterms:created xsi:type="dcterms:W3CDTF">2022-11-22T09:34:00Z</dcterms:created>
  <dcterms:modified xsi:type="dcterms:W3CDTF">2022-11-25T10:36:00Z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