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2A8CC5F2" w:rsidR="00B60659" w:rsidRPr="00DE103A"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eastAsia="de-DE"/>
        </w:rPr>
      </w:pPr>
      <w:r w:rsidRPr="00DE103A">
        <w:rPr>
          <w:rFonts w:ascii="Arial" w:eastAsia="Arial" w:hAnsi="Arial" w:cs="Arial"/>
          <w:bCs/>
          <w:noProof/>
          <w:szCs w:val="24"/>
          <w:lang w:eastAsia="de-DE"/>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DE103A">
        <w:rPr>
          <w:rFonts w:ascii="Arial" w:eastAsia="Arial" w:hAnsi="Arial" w:cs="Arial"/>
          <w:bCs/>
          <w:szCs w:val="24"/>
          <w:lang w:eastAsia="de-DE"/>
        </w:rPr>
        <w:t>CCNR-ZKR/ADN/WP.15/AC.2/202</w:t>
      </w:r>
      <w:r w:rsidRPr="00B60659">
        <w:rPr>
          <w:rFonts w:ascii="Arial" w:eastAsia="Arial" w:hAnsi="Arial" w:cs="Arial"/>
          <w:bCs/>
          <w:szCs w:val="24"/>
        </w:rPr>
        <w:t>3</w:t>
      </w:r>
      <w:r w:rsidRPr="00DE103A">
        <w:rPr>
          <w:rFonts w:ascii="Arial" w:eastAsia="Arial" w:hAnsi="Arial" w:cs="Arial"/>
          <w:bCs/>
          <w:szCs w:val="24"/>
          <w:lang w:eastAsia="de-DE"/>
        </w:rPr>
        <w:t>/</w:t>
      </w:r>
      <w:r w:rsidR="00055D7B">
        <w:rPr>
          <w:rFonts w:ascii="Arial" w:eastAsia="Arial" w:hAnsi="Arial" w:cs="Arial"/>
          <w:bCs/>
          <w:szCs w:val="24"/>
          <w:lang w:eastAsia="de-DE"/>
        </w:rPr>
        <w:t>1</w:t>
      </w:r>
    </w:p>
    <w:p w14:paraId="7C27E3DD" w14:textId="77777777" w:rsidR="00B60659" w:rsidRPr="00DE103A"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DE103A">
        <w:rPr>
          <w:rFonts w:ascii="Arial" w:hAnsi="Arial" w:cs="Arial"/>
          <w:sz w:val="16"/>
          <w:szCs w:val="24"/>
          <w:lang w:eastAsia="de-DE"/>
        </w:rPr>
        <w:t>Allgemeine Verteilung</w:t>
      </w:r>
    </w:p>
    <w:p w14:paraId="215D853B" w14:textId="2EE4DCDD" w:rsidR="00B60659" w:rsidRPr="00DE103A" w:rsidRDefault="00055D7B"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9</w:t>
      </w:r>
      <w:r w:rsidR="00B60659" w:rsidRPr="00DE103A">
        <w:rPr>
          <w:rFonts w:ascii="Arial" w:eastAsia="Arial" w:hAnsi="Arial" w:cs="Arial"/>
          <w:szCs w:val="24"/>
          <w:lang w:eastAsia="de-DE"/>
        </w:rPr>
        <w:t xml:space="preserve">. </w:t>
      </w:r>
      <w:r>
        <w:rPr>
          <w:rFonts w:ascii="Arial" w:eastAsia="Arial" w:hAnsi="Arial" w:cs="Arial"/>
          <w:szCs w:val="24"/>
          <w:lang w:eastAsia="de-DE"/>
        </w:rPr>
        <w:t>November</w:t>
      </w:r>
      <w:r w:rsidR="00B60659" w:rsidRPr="00DE103A">
        <w:rPr>
          <w:rFonts w:ascii="Arial" w:eastAsia="Arial" w:hAnsi="Arial" w:cs="Arial"/>
          <w:szCs w:val="24"/>
          <w:lang w:eastAsia="de-DE"/>
        </w:rPr>
        <w:t xml:space="preserve"> 2022</w:t>
      </w:r>
    </w:p>
    <w:p w14:paraId="1BCCEA4C" w14:textId="77777777" w:rsidR="00B60659" w:rsidRPr="00DE103A"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DE103A">
        <w:rPr>
          <w:rFonts w:ascii="Arial" w:eastAsia="Arial" w:hAnsi="Arial" w:cs="Arial"/>
          <w:sz w:val="16"/>
          <w:szCs w:val="24"/>
          <w:lang w:eastAsia="de-DE"/>
        </w:rPr>
        <w:t>Or</w:t>
      </w:r>
      <w:proofErr w:type="spellEnd"/>
      <w:r w:rsidRPr="00DE103A">
        <w:rPr>
          <w:rFonts w:ascii="Arial" w:eastAsia="Arial" w:hAnsi="Arial" w:cs="Arial"/>
          <w:sz w:val="16"/>
          <w:szCs w:val="24"/>
          <w:lang w:eastAsia="de-DE"/>
        </w:rPr>
        <w:t xml:space="preserve">. </w:t>
      </w:r>
      <w:r w:rsidRPr="00B60659">
        <w:rPr>
          <w:rFonts w:ascii="Arial" w:eastAsia="Arial" w:hAnsi="Arial" w:cs="Arial"/>
          <w:sz w:val="16"/>
          <w:szCs w:val="24"/>
        </w:rPr>
        <w:t>DEUTSCH</w:t>
      </w:r>
    </w:p>
    <w:p w14:paraId="1F45327D" w14:textId="77777777" w:rsidR="00B60659" w:rsidRPr="00DE103A"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DE103A"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DE103A">
        <w:rPr>
          <w:rFonts w:ascii="Arial" w:hAnsi="Arial"/>
          <w:sz w:val="16"/>
        </w:rPr>
        <w:t xml:space="preserve">GEMEINSAME EXPERTENTAGUNG FÜR DIE DEM ÜBEREINKOMMEN ÜBER DIE INTERNATIONALE BEFÖRDERUNG VON GEFÄHRLICHEN GÜTERN AUF </w:t>
      </w:r>
      <w:r w:rsidRPr="00DE103A">
        <w:rPr>
          <w:rFonts w:ascii="Arial" w:eastAsia="Calibri" w:hAnsi="Arial"/>
          <w:sz w:val="16"/>
        </w:rPr>
        <w:t xml:space="preserve">BINNENWASSERSTRAẞEN (ADN) </w:t>
      </w:r>
      <w:r w:rsidRPr="00DE103A">
        <w:rPr>
          <w:rFonts w:ascii="Arial" w:hAnsi="Arial"/>
          <w:sz w:val="16"/>
        </w:rPr>
        <w:t>BEIGEFÜGTE VERORDNUNG (SICHERHEITSAUSSCHUSS)</w:t>
      </w:r>
    </w:p>
    <w:p w14:paraId="1342B616" w14:textId="77777777" w:rsidR="00B60659" w:rsidRPr="00DE103A"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DE103A">
        <w:rPr>
          <w:rFonts w:ascii="Arial" w:hAnsi="Arial"/>
          <w:sz w:val="16"/>
          <w:szCs w:val="24"/>
        </w:rPr>
        <w:t>(4</w:t>
      </w:r>
      <w:r w:rsidRPr="00B60659">
        <w:rPr>
          <w:rFonts w:ascii="Arial" w:hAnsi="Arial"/>
          <w:sz w:val="16"/>
          <w:szCs w:val="24"/>
        </w:rPr>
        <w:t>1</w:t>
      </w:r>
      <w:r w:rsidRPr="00DE103A">
        <w:rPr>
          <w:rFonts w:ascii="Arial" w:hAnsi="Arial"/>
          <w:sz w:val="16"/>
          <w:szCs w:val="24"/>
        </w:rPr>
        <w:t>. Tagung, Genf, 2</w:t>
      </w:r>
      <w:r w:rsidRPr="00B60659">
        <w:rPr>
          <w:rFonts w:ascii="Arial" w:hAnsi="Arial"/>
          <w:sz w:val="16"/>
          <w:szCs w:val="24"/>
        </w:rPr>
        <w:t>3</w:t>
      </w:r>
      <w:r w:rsidRPr="00DE103A">
        <w:rPr>
          <w:rFonts w:ascii="Arial" w:hAnsi="Arial"/>
          <w:sz w:val="16"/>
          <w:szCs w:val="24"/>
        </w:rPr>
        <w:t xml:space="preserve">. – </w:t>
      </w:r>
      <w:r w:rsidRPr="00B60659">
        <w:rPr>
          <w:rFonts w:ascii="Arial" w:hAnsi="Arial"/>
          <w:sz w:val="16"/>
          <w:szCs w:val="24"/>
        </w:rPr>
        <w:t>27</w:t>
      </w:r>
      <w:r w:rsidRPr="00DE103A">
        <w:rPr>
          <w:rFonts w:ascii="Arial" w:hAnsi="Arial"/>
          <w:sz w:val="16"/>
          <w:szCs w:val="24"/>
        </w:rPr>
        <w:t>.</w:t>
      </w:r>
      <w:r w:rsidRPr="00B60659">
        <w:rPr>
          <w:rFonts w:ascii="Arial" w:hAnsi="Arial"/>
          <w:sz w:val="16"/>
          <w:szCs w:val="24"/>
        </w:rPr>
        <w:t>Januar</w:t>
      </w:r>
      <w:r w:rsidRPr="00DE103A">
        <w:rPr>
          <w:rFonts w:ascii="Arial" w:hAnsi="Arial"/>
          <w:sz w:val="16"/>
          <w:szCs w:val="24"/>
        </w:rPr>
        <w:t xml:space="preserve"> 202</w:t>
      </w:r>
      <w:r w:rsidRPr="00B60659">
        <w:rPr>
          <w:rFonts w:ascii="Arial" w:hAnsi="Arial"/>
          <w:sz w:val="16"/>
          <w:szCs w:val="24"/>
        </w:rPr>
        <w:t>3</w:t>
      </w:r>
      <w:r w:rsidRPr="00DE103A">
        <w:rPr>
          <w:rFonts w:ascii="Arial" w:hAnsi="Arial"/>
          <w:sz w:val="16"/>
          <w:szCs w:val="24"/>
        </w:rPr>
        <w:t>)</w:t>
      </w:r>
    </w:p>
    <w:p w14:paraId="01501DC6" w14:textId="46F32772" w:rsidR="00B60659" w:rsidRPr="00DE103A"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DE103A">
        <w:rPr>
          <w:rFonts w:ascii="Arial" w:hAnsi="Arial" w:cs="Arial"/>
          <w:sz w:val="16"/>
          <w:szCs w:val="16"/>
          <w:lang w:eastAsia="en-US"/>
        </w:rPr>
        <w:t xml:space="preserve">Punkt </w:t>
      </w:r>
      <w:r w:rsidR="00055D7B">
        <w:rPr>
          <w:rFonts w:ascii="Arial" w:hAnsi="Arial" w:cs="Arial"/>
          <w:sz w:val="16"/>
          <w:szCs w:val="16"/>
          <w:lang w:eastAsia="en-US"/>
        </w:rPr>
        <w:t>5 b)</w:t>
      </w:r>
      <w:r w:rsidRPr="00DE103A">
        <w:rPr>
          <w:rFonts w:ascii="Arial" w:hAnsi="Arial" w:cs="Arial"/>
          <w:sz w:val="16"/>
          <w:szCs w:val="16"/>
          <w:lang w:eastAsia="en-US"/>
        </w:rPr>
        <w:t xml:space="preserve"> der vorläufigen Tagesordnung</w:t>
      </w:r>
    </w:p>
    <w:p w14:paraId="7992D5BF" w14:textId="77777777" w:rsidR="00B60659" w:rsidRPr="00DE103A" w:rsidRDefault="00B60659" w:rsidP="00B60659">
      <w:pPr>
        <w:widowControl/>
        <w:overflowPunct/>
        <w:autoSpaceDE/>
        <w:autoSpaceDN/>
        <w:adjustRightInd/>
        <w:spacing w:after="120"/>
        <w:ind w:left="3958" w:firstLine="11"/>
        <w:jc w:val="left"/>
        <w:textAlignment w:val="auto"/>
        <w:rPr>
          <w:rFonts w:ascii="Arial" w:hAnsi="Arial" w:cs="Arial"/>
          <w:b/>
          <w:sz w:val="14"/>
          <w:szCs w:val="16"/>
          <w:lang w:eastAsia="en-US"/>
        </w:rPr>
      </w:pPr>
      <w:r w:rsidRPr="00DE103A">
        <w:rPr>
          <w:rFonts w:ascii="Arial" w:hAnsi="Arial" w:cs="Arial"/>
          <w:b/>
          <w:sz w:val="14"/>
          <w:szCs w:val="16"/>
          <w:lang w:eastAsia="en-US"/>
        </w:rPr>
        <w:t>Vorschläge für Änderungen der dem ADN beigefügten Verordnung: Weitere Änderungsvorschläge</w:t>
      </w:r>
    </w:p>
    <w:p w14:paraId="111EEFA9" w14:textId="77777777" w:rsidR="00B60659" w:rsidRPr="00DE103A" w:rsidRDefault="00B60659" w:rsidP="00B60659">
      <w:pPr>
        <w:widowControl/>
        <w:overflowPunct/>
        <w:autoSpaceDE/>
        <w:autoSpaceDN/>
        <w:adjustRightInd/>
        <w:ind w:firstLine="0"/>
        <w:textAlignment w:val="auto"/>
        <w:rPr>
          <w:b/>
          <w:lang w:eastAsia="de-DE"/>
        </w:rPr>
      </w:pPr>
    </w:p>
    <w:p w14:paraId="6ADCDB5E" w14:textId="77777777" w:rsidR="00B60659" w:rsidRPr="00B60659" w:rsidRDefault="00B60659" w:rsidP="00B60659">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35D88F19" w14:textId="77777777" w:rsidR="00B60659" w:rsidRPr="00B60659" w:rsidRDefault="00B60659" w:rsidP="00B60659">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2EC88DEB" w14:textId="77777777" w:rsidR="00B60659" w:rsidRPr="00B60659" w:rsidRDefault="00B60659" w:rsidP="00B60659">
      <w:pPr>
        <w:ind w:firstLine="0"/>
        <w:jc w:val="left"/>
        <w:rPr>
          <w:b/>
          <w:sz w:val="28"/>
        </w:rPr>
      </w:pPr>
      <w:r w:rsidRPr="00B60659">
        <w:rPr>
          <w:b/>
          <w:sz w:val="28"/>
        </w:rPr>
        <w:t>Vorschläge der Informellen Arbeitsgruppe Stoffe</w:t>
      </w:r>
    </w:p>
    <w:p w14:paraId="5EF946FD" w14:textId="77777777" w:rsidR="00B60659" w:rsidRPr="00B60659" w:rsidRDefault="00B60659" w:rsidP="00B60659">
      <w:pPr>
        <w:spacing w:line="276" w:lineRule="auto"/>
        <w:ind w:firstLine="0"/>
        <w:jc w:val="left"/>
        <w:rPr>
          <w:noProof/>
          <w:sz w:val="22"/>
          <w:szCs w:val="24"/>
        </w:rPr>
      </w:pPr>
    </w:p>
    <w:p w14:paraId="1C2530DA" w14:textId="77777777" w:rsidR="00B60659" w:rsidRPr="00B60659" w:rsidRDefault="00B60659" w:rsidP="00B60659">
      <w:pPr>
        <w:spacing w:after="120"/>
        <w:ind w:firstLine="0"/>
        <w:jc w:val="left"/>
        <w:rPr>
          <w:b/>
          <w:sz w:val="24"/>
        </w:rPr>
      </w:pPr>
      <w:r w:rsidRPr="00B60659">
        <w:rPr>
          <w:b/>
          <w:sz w:val="24"/>
        </w:rPr>
        <w:t>Vorgelegt von Deutschland</w:t>
      </w:r>
      <w:r w:rsidRPr="00B60659">
        <w:rPr>
          <w:b/>
          <w:sz w:val="24"/>
        </w:rPr>
        <w:footnoteReference w:customMarkFollows="1" w:id="1"/>
        <w:t xml:space="preserve">*, </w:t>
      </w:r>
      <w:r w:rsidRPr="00B60659">
        <w:rPr>
          <w:b/>
          <w:sz w:val="24"/>
        </w:rPr>
        <w:footnoteReference w:customMarkFollows="1" w:id="2"/>
        <w:t>**</w:t>
      </w:r>
    </w:p>
    <w:p w14:paraId="59CFE5F9" w14:textId="405CECBA" w:rsidR="00B60659" w:rsidRDefault="00B60659" w:rsidP="00B60659">
      <w:pPr>
        <w:tabs>
          <w:tab w:val="left" w:pos="567"/>
        </w:tabs>
        <w:spacing w:line="240" w:lineRule="atLeast"/>
        <w:ind w:left="0" w:firstLine="0"/>
        <w:rPr>
          <w:b/>
        </w:rPr>
      </w:pPr>
    </w:p>
    <w:p w14:paraId="47F27389" w14:textId="77777777" w:rsidR="00641D0E" w:rsidRPr="00B60659" w:rsidRDefault="00641D0E" w:rsidP="00B60659">
      <w:pPr>
        <w:tabs>
          <w:tab w:val="left" w:pos="567"/>
        </w:tabs>
        <w:spacing w:line="240" w:lineRule="atLeast"/>
        <w:ind w:left="0" w:firstLine="0"/>
        <w:rPr>
          <w:b/>
        </w:rPr>
      </w:pPr>
    </w:p>
    <w:p w14:paraId="17B665F0" w14:textId="77777777" w:rsidR="00B60659" w:rsidRPr="00B60659" w:rsidRDefault="00B60659" w:rsidP="00B60659">
      <w:pPr>
        <w:tabs>
          <w:tab w:val="left" w:pos="567"/>
        </w:tabs>
        <w:spacing w:line="240" w:lineRule="atLeast"/>
        <w:ind w:left="0" w:firstLine="0"/>
        <w:rPr>
          <w:b/>
        </w:rPr>
      </w:pPr>
    </w:p>
    <w:p w14:paraId="4B7171EB" w14:textId="77777777" w:rsidR="00B60659" w:rsidRPr="00B60659" w:rsidRDefault="00B60659" w:rsidP="00CE549B">
      <w:pPr>
        <w:widowControl/>
        <w:suppressAutoHyphens/>
        <w:overflowPunct/>
        <w:spacing w:after="120" w:line="240" w:lineRule="atLeast"/>
        <w:ind w:left="0" w:right="566" w:firstLine="0"/>
        <w:jc w:val="left"/>
        <w:textAlignment w:val="auto"/>
        <w:rPr>
          <w:b/>
          <w:sz w:val="28"/>
          <w:szCs w:val="28"/>
          <w:lang w:eastAsia="en-US"/>
        </w:rPr>
      </w:pPr>
      <w:r w:rsidRPr="00B60659">
        <w:rPr>
          <w:b/>
          <w:sz w:val="28"/>
          <w:szCs w:val="28"/>
          <w:lang w:eastAsia="en-US"/>
        </w:rPr>
        <w:t>Einleitung</w:t>
      </w:r>
    </w:p>
    <w:p w14:paraId="5A2C1405" w14:textId="77777777" w:rsidR="00B60659" w:rsidRPr="00B60659" w:rsidRDefault="00B60659" w:rsidP="00B60659">
      <w:pPr>
        <w:widowControl/>
        <w:suppressAutoHyphens/>
        <w:overflowPunct/>
        <w:spacing w:line="240" w:lineRule="atLeast"/>
        <w:ind w:left="0" w:right="566" w:firstLine="0"/>
        <w:jc w:val="left"/>
        <w:textAlignment w:val="auto"/>
        <w:rPr>
          <w:lang w:eastAsia="en-US"/>
        </w:rPr>
      </w:pPr>
    </w:p>
    <w:p w14:paraId="6808E0E0" w14:textId="5B6B3D93" w:rsidR="00B60659" w:rsidRPr="00B60659" w:rsidRDefault="00B60659" w:rsidP="00B60659">
      <w:pPr>
        <w:widowControl/>
        <w:suppressAutoHyphens/>
        <w:overflowPunct/>
        <w:autoSpaceDE/>
        <w:autoSpaceDN/>
        <w:adjustRightInd/>
        <w:spacing w:line="240" w:lineRule="atLeast"/>
        <w:ind w:left="0" w:right="566" w:firstLine="0"/>
        <w:textAlignment w:val="auto"/>
        <w:rPr>
          <w:lang w:eastAsia="en-US"/>
        </w:rPr>
      </w:pPr>
      <w:r w:rsidRPr="00B60659">
        <w:rPr>
          <w:lang w:eastAsia="en-US"/>
        </w:rPr>
        <w:t>1.</w:t>
      </w:r>
      <w:r w:rsidRPr="00B60659">
        <w:rPr>
          <w:lang w:eastAsia="en-US"/>
        </w:rPr>
        <w:tab/>
        <w:t>Die zwölfte Sitzung der Informellen Arbeitsgruppe „Stoffe“ fand vom 31. Mai bis 2. Juni 2022 statt. Der Bericht darüber wurde in der vierzigsten Sitzung des Sicherheitsausschusses vorgelegt (</w:t>
      </w:r>
      <w:r w:rsidR="00055D7B">
        <w:rPr>
          <w:lang w:eastAsia="en-US"/>
        </w:rPr>
        <w:t xml:space="preserve">informelles Dokument </w:t>
      </w:r>
      <w:r w:rsidRPr="00B60659">
        <w:rPr>
          <w:lang w:eastAsia="en-US"/>
        </w:rPr>
        <w:t>INF.12).</w:t>
      </w:r>
    </w:p>
    <w:p w14:paraId="37A7E225" w14:textId="77777777" w:rsidR="00B60659" w:rsidRPr="00B60659" w:rsidRDefault="00B60659" w:rsidP="00B60659">
      <w:pPr>
        <w:widowControl/>
        <w:suppressAutoHyphens/>
        <w:overflowPunct/>
        <w:autoSpaceDE/>
        <w:autoSpaceDN/>
        <w:adjustRightInd/>
        <w:spacing w:line="240" w:lineRule="atLeast"/>
        <w:ind w:left="0" w:right="566" w:firstLine="0"/>
        <w:textAlignment w:val="auto"/>
        <w:rPr>
          <w:lang w:eastAsia="en-US"/>
        </w:rPr>
      </w:pPr>
    </w:p>
    <w:p w14:paraId="3E9B6714" w14:textId="77777777" w:rsidR="00B60659" w:rsidRPr="00B60659" w:rsidRDefault="00B60659" w:rsidP="00B60659">
      <w:pPr>
        <w:widowControl/>
        <w:suppressAutoHyphens/>
        <w:overflowPunct/>
        <w:autoSpaceDE/>
        <w:autoSpaceDN/>
        <w:adjustRightInd/>
        <w:spacing w:line="240" w:lineRule="atLeast"/>
        <w:ind w:left="0" w:right="566" w:firstLine="0"/>
        <w:textAlignment w:val="auto"/>
        <w:rPr>
          <w:lang w:eastAsia="en-US"/>
        </w:rPr>
      </w:pPr>
      <w:r w:rsidRPr="00B60659">
        <w:rPr>
          <w:lang w:eastAsia="en-US"/>
        </w:rPr>
        <w:t>2.</w:t>
      </w:r>
      <w:r w:rsidRPr="00B60659">
        <w:rPr>
          <w:lang w:eastAsia="en-US"/>
        </w:rPr>
        <w:tab/>
        <w:t>Die in dem Bericht der Informellen Arbeitsgruppe „Stoffe“ enthaltenen Vorschläge für Änderungen der dem ADN beigefügten Verordnung wurden diskutiert und vom Sicherheitsausschuss befürwortet. Die deutsche Delegation hat es übernommen, diese Vorschläge in einem offiziellen Dokument dem Sicherheitsausschuss zur Beschlussfassung vorzulegen.</w:t>
      </w:r>
    </w:p>
    <w:p w14:paraId="6ACE4899" w14:textId="77777777" w:rsidR="00B60659" w:rsidRPr="00B60659" w:rsidRDefault="00B60659" w:rsidP="00B60659">
      <w:pPr>
        <w:widowControl/>
        <w:suppressAutoHyphens/>
        <w:overflowPunct/>
        <w:autoSpaceDE/>
        <w:autoSpaceDN/>
        <w:adjustRightInd/>
        <w:spacing w:line="240" w:lineRule="atLeast"/>
        <w:ind w:left="0" w:right="566" w:firstLine="0"/>
        <w:textAlignment w:val="auto"/>
        <w:rPr>
          <w:color w:val="000000"/>
          <w:lang w:eastAsia="en-US"/>
        </w:rPr>
      </w:pPr>
    </w:p>
    <w:p w14:paraId="3D933409" w14:textId="0163846D" w:rsidR="00B60659" w:rsidRPr="00B60659" w:rsidRDefault="00B60659" w:rsidP="00B60659">
      <w:pPr>
        <w:widowControl/>
        <w:suppressAutoHyphens/>
        <w:overflowPunct/>
        <w:autoSpaceDE/>
        <w:autoSpaceDN/>
        <w:adjustRightInd/>
        <w:spacing w:line="240" w:lineRule="atLeast"/>
        <w:ind w:left="0" w:right="566" w:firstLine="0"/>
        <w:textAlignment w:val="auto"/>
        <w:rPr>
          <w:b/>
          <w:lang w:eastAsia="en-US"/>
        </w:rPr>
      </w:pPr>
      <w:r w:rsidRPr="00B60659">
        <w:rPr>
          <w:color w:val="000000"/>
          <w:lang w:eastAsia="en-US"/>
        </w:rPr>
        <w:t>3.</w:t>
      </w:r>
      <w:r w:rsidRPr="00B60659">
        <w:rPr>
          <w:color w:val="000000"/>
          <w:lang w:eastAsia="en-US"/>
        </w:rPr>
        <w:tab/>
        <w:t>Wenn nicht anders angegeben, beziehen sich die Änderungsvorschläge auf alle vier Sprachfassungen.</w:t>
      </w:r>
    </w:p>
    <w:p w14:paraId="4EDD7743" w14:textId="77777777" w:rsidR="00641D0E" w:rsidRDefault="00641D0E">
      <w:pPr>
        <w:widowControl/>
        <w:overflowPunct/>
        <w:autoSpaceDE/>
        <w:autoSpaceDN/>
        <w:adjustRightInd/>
        <w:ind w:left="0" w:firstLine="0"/>
        <w:jc w:val="left"/>
        <w:textAlignment w:val="auto"/>
        <w:rPr>
          <w:b/>
          <w:sz w:val="28"/>
          <w:szCs w:val="28"/>
          <w:lang w:eastAsia="en-US"/>
        </w:rPr>
      </w:pPr>
      <w:r>
        <w:rPr>
          <w:b/>
          <w:sz w:val="28"/>
          <w:szCs w:val="28"/>
          <w:lang w:eastAsia="en-US"/>
        </w:rPr>
        <w:br w:type="page"/>
      </w:r>
    </w:p>
    <w:p w14:paraId="534013A9" w14:textId="32B7C3C0" w:rsidR="00B60659" w:rsidRPr="00B60659" w:rsidRDefault="00B60659" w:rsidP="00B60659">
      <w:pPr>
        <w:widowControl/>
        <w:suppressAutoHyphens/>
        <w:overflowPunct/>
        <w:autoSpaceDE/>
        <w:autoSpaceDN/>
        <w:adjustRightInd/>
        <w:spacing w:line="240" w:lineRule="atLeast"/>
        <w:ind w:left="0" w:right="566" w:firstLine="0"/>
        <w:textAlignment w:val="auto"/>
        <w:rPr>
          <w:b/>
          <w:sz w:val="28"/>
          <w:szCs w:val="28"/>
          <w:lang w:eastAsia="en-US"/>
        </w:rPr>
      </w:pPr>
      <w:r w:rsidRPr="00B60659">
        <w:rPr>
          <w:b/>
          <w:sz w:val="28"/>
          <w:szCs w:val="28"/>
          <w:lang w:eastAsia="en-US"/>
        </w:rPr>
        <w:lastRenderedPageBreak/>
        <w:t>Anträge</w:t>
      </w:r>
    </w:p>
    <w:p w14:paraId="5C3F24CB" w14:textId="77777777" w:rsidR="00B60659" w:rsidRPr="00B60659" w:rsidRDefault="00B60659" w:rsidP="00B60659">
      <w:pPr>
        <w:widowControl/>
        <w:suppressAutoHyphens/>
        <w:overflowPunct/>
        <w:autoSpaceDE/>
        <w:autoSpaceDN/>
        <w:adjustRightInd/>
        <w:spacing w:line="240" w:lineRule="atLeast"/>
        <w:ind w:left="0" w:right="566" w:firstLine="0"/>
        <w:textAlignment w:val="auto"/>
        <w:rPr>
          <w:b/>
          <w:lang w:eastAsia="en-US"/>
        </w:rPr>
      </w:pPr>
    </w:p>
    <w:p w14:paraId="7D7356E2" w14:textId="77777777" w:rsidR="00B60659" w:rsidRPr="00641D0E" w:rsidRDefault="00B60659" w:rsidP="0036082D">
      <w:pPr>
        <w:widowControl/>
        <w:suppressAutoHyphens/>
        <w:overflowPunct/>
        <w:autoSpaceDE/>
        <w:autoSpaceDN/>
        <w:adjustRightInd/>
        <w:spacing w:after="60" w:line="240" w:lineRule="atLeast"/>
        <w:ind w:left="567" w:right="566" w:hanging="567"/>
        <w:textAlignment w:val="auto"/>
        <w:rPr>
          <w:b/>
          <w:sz w:val="24"/>
          <w:szCs w:val="24"/>
          <w:lang w:eastAsia="en-US"/>
        </w:rPr>
      </w:pPr>
      <w:r w:rsidRPr="00641D0E">
        <w:rPr>
          <w:b/>
          <w:sz w:val="24"/>
          <w:szCs w:val="24"/>
          <w:lang w:eastAsia="en-US"/>
        </w:rPr>
        <w:t>I.</w:t>
      </w:r>
      <w:r w:rsidRPr="00641D0E">
        <w:rPr>
          <w:b/>
          <w:sz w:val="24"/>
          <w:szCs w:val="24"/>
          <w:lang w:eastAsia="en-US"/>
        </w:rPr>
        <w:tab/>
        <w:t>Umweltgefährdende Stoffe (Flammpunkt &gt; 60 °C und ≤ 100 °C), die UN-Nummer 3082 oder Stoffnummer 9003 zugeordnet sind</w:t>
      </w:r>
    </w:p>
    <w:p w14:paraId="4CD925D2" w14:textId="77777777" w:rsidR="00B60659" w:rsidRPr="00B60659" w:rsidRDefault="00B60659" w:rsidP="00B60659">
      <w:pPr>
        <w:widowControl/>
        <w:suppressAutoHyphens/>
        <w:overflowPunct/>
        <w:autoSpaceDE/>
        <w:autoSpaceDN/>
        <w:adjustRightInd/>
        <w:spacing w:line="240" w:lineRule="atLeast"/>
        <w:ind w:left="0" w:right="566" w:firstLine="0"/>
        <w:textAlignment w:val="auto"/>
        <w:rPr>
          <w:lang w:eastAsia="en-US"/>
        </w:rPr>
      </w:pPr>
    </w:p>
    <w:p w14:paraId="418CBDBC" w14:textId="77777777" w:rsidR="00B60659" w:rsidRPr="00B60659" w:rsidRDefault="00B60659" w:rsidP="00B60659">
      <w:pPr>
        <w:widowControl/>
        <w:suppressAutoHyphens/>
        <w:overflowPunct/>
        <w:autoSpaceDE/>
        <w:autoSpaceDN/>
        <w:adjustRightInd/>
        <w:spacing w:line="240" w:lineRule="atLeast"/>
        <w:ind w:left="0" w:right="566" w:firstLine="0"/>
        <w:textAlignment w:val="auto"/>
        <w:rPr>
          <w:lang w:eastAsia="en-US"/>
        </w:rPr>
      </w:pPr>
      <w:r w:rsidRPr="00B60659">
        <w:rPr>
          <w:lang w:eastAsia="en-US"/>
        </w:rPr>
        <w:t>4.</w:t>
      </w:r>
      <w:r w:rsidRPr="00B60659">
        <w:rPr>
          <w:lang w:eastAsia="en-US"/>
        </w:rPr>
        <w:tab/>
        <w:t>Neben der Klarstellung, dass die Zuordnung zur regulären UN-Nummer 3082 Vorrang vor der Zuordnung zur für das ADN spezifischen Stoffnummer 9003 hat, soll gewährleistet werden, dass die Information über den Flammpunkt der beförderten Stoffe, insbesondere bei schwerem Heizöl, nicht verloren geht. Dafür wird eine neue Bemerkung in Spalte (20) der Tabelle C, die auf die Möglichkeit eines niedrigen Flammpunkts hinweist, vorgeschlagen. Als Folgeänderung muss bei der allgemeinen Eintragung der Stoffnummer 9003 in Spalte (5) der Tabelle C die Gefahr „N1“ gestrichen werden, denn die Erfüllung der Kriterien für „N1“ würde zwingend die Zuordnung zur UN 3082 bewirken.</w:t>
      </w:r>
    </w:p>
    <w:p w14:paraId="703A56A7" w14:textId="77777777" w:rsidR="00B60659" w:rsidRPr="00B60659" w:rsidRDefault="00B60659" w:rsidP="00B60659">
      <w:pPr>
        <w:widowControl/>
        <w:suppressAutoHyphens/>
        <w:overflowPunct/>
        <w:autoSpaceDE/>
        <w:autoSpaceDN/>
        <w:adjustRightInd/>
        <w:spacing w:line="240" w:lineRule="atLeast"/>
        <w:ind w:left="0" w:right="565" w:firstLine="0"/>
        <w:jc w:val="left"/>
        <w:textAlignment w:val="auto"/>
        <w:rPr>
          <w:lang w:eastAsia="en-US"/>
        </w:rPr>
      </w:pPr>
    </w:p>
    <w:p w14:paraId="091B44A6" w14:textId="77777777" w:rsidR="00B60659" w:rsidRPr="00B60659" w:rsidRDefault="00B60659" w:rsidP="00B60659">
      <w:pPr>
        <w:widowControl/>
        <w:suppressAutoHyphens/>
        <w:overflowPunct/>
        <w:autoSpaceDE/>
        <w:autoSpaceDN/>
        <w:adjustRightInd/>
        <w:spacing w:line="240" w:lineRule="atLeast"/>
        <w:ind w:left="0" w:right="565" w:firstLine="0"/>
        <w:jc w:val="left"/>
        <w:textAlignment w:val="auto"/>
        <w:rPr>
          <w:b/>
          <w:bCs/>
          <w:u w:val="single"/>
          <w:lang w:eastAsia="en-US"/>
        </w:rPr>
      </w:pPr>
      <w:r w:rsidRPr="00B60659">
        <w:rPr>
          <w:b/>
          <w:bCs/>
          <w:u w:val="single"/>
          <w:lang w:eastAsia="en-US"/>
        </w:rPr>
        <w:t>Vorschlag:</w:t>
      </w:r>
    </w:p>
    <w:p w14:paraId="76255112" w14:textId="77777777" w:rsidR="00B60659" w:rsidRPr="00B60659" w:rsidRDefault="00B60659" w:rsidP="00B60659">
      <w:pPr>
        <w:widowControl/>
        <w:suppressAutoHyphens/>
        <w:overflowPunct/>
        <w:autoSpaceDE/>
        <w:autoSpaceDN/>
        <w:adjustRightInd/>
        <w:spacing w:line="240" w:lineRule="atLeast"/>
        <w:ind w:left="0" w:right="565" w:firstLine="0"/>
        <w:jc w:val="left"/>
        <w:textAlignment w:val="auto"/>
        <w:rPr>
          <w:lang w:eastAsia="en-US"/>
        </w:rPr>
      </w:pPr>
    </w:p>
    <w:p w14:paraId="10A4054B" w14:textId="77777777" w:rsidR="00B60659" w:rsidRPr="00B60659" w:rsidRDefault="00B60659" w:rsidP="00B60659">
      <w:pPr>
        <w:widowControl/>
        <w:suppressAutoHyphens/>
        <w:overflowPunct/>
        <w:autoSpaceDE/>
        <w:autoSpaceDN/>
        <w:adjustRightInd/>
        <w:spacing w:line="240" w:lineRule="atLeast"/>
        <w:ind w:left="0" w:right="565" w:firstLine="0"/>
        <w:textAlignment w:val="auto"/>
        <w:rPr>
          <w:lang w:eastAsia="en-US"/>
        </w:rPr>
      </w:pPr>
      <w:r w:rsidRPr="00B60659">
        <w:rPr>
          <w:lang w:eastAsia="en-US"/>
        </w:rPr>
        <w:t>5.</w:t>
      </w:r>
      <w:r w:rsidRPr="00B60659">
        <w:rPr>
          <w:lang w:eastAsia="en-US"/>
        </w:rPr>
        <w:tab/>
        <w:t>In Unterabschnitt 3.2.3.1 Erläuterungen zur Tabelle C für die Spalte (20) folgende neue Bemerkung ergänzen:</w:t>
      </w:r>
    </w:p>
    <w:p w14:paraId="7F6BDB7E" w14:textId="77777777" w:rsidR="00B60659" w:rsidRPr="00B60659" w:rsidRDefault="00B60659" w:rsidP="00B60659">
      <w:pPr>
        <w:widowControl/>
        <w:suppressAutoHyphens/>
        <w:overflowPunct/>
        <w:autoSpaceDE/>
        <w:autoSpaceDN/>
        <w:adjustRightInd/>
        <w:spacing w:line="240" w:lineRule="atLeast"/>
        <w:ind w:left="0" w:right="565" w:firstLine="0"/>
        <w:jc w:val="left"/>
        <w:textAlignment w:val="auto"/>
        <w:rPr>
          <w:lang w:eastAsia="en-US"/>
        </w:rPr>
      </w:pPr>
    </w:p>
    <w:p w14:paraId="67D07B64" w14:textId="77777777" w:rsidR="00B60659" w:rsidRPr="00B60659" w:rsidRDefault="00B60659" w:rsidP="00B60659">
      <w:pPr>
        <w:widowControl/>
        <w:suppressAutoHyphens/>
        <w:overflowPunct/>
        <w:autoSpaceDE/>
        <w:autoSpaceDN/>
        <w:adjustRightInd/>
        <w:spacing w:line="240" w:lineRule="atLeast"/>
        <w:ind w:left="0" w:right="565" w:firstLine="0"/>
        <w:jc w:val="left"/>
        <w:textAlignment w:val="auto"/>
        <w:rPr>
          <w:lang w:eastAsia="en-US"/>
        </w:rPr>
      </w:pPr>
      <w:r w:rsidRPr="00B60659">
        <w:rPr>
          <w:lang w:eastAsia="en-US"/>
        </w:rPr>
        <w:t>„xx</w:t>
      </w:r>
      <w:r w:rsidRPr="00B60659">
        <w:rPr>
          <w:lang w:eastAsia="en-US"/>
        </w:rPr>
        <w:tab/>
        <w:t>Der Flammpunkt der beförderten Stoffe kann zwischen 60 °C und 100 °C liegen.“</w:t>
      </w:r>
    </w:p>
    <w:p w14:paraId="441A86AA" w14:textId="77777777" w:rsidR="00B60659" w:rsidRPr="00B60659" w:rsidRDefault="00B60659" w:rsidP="00B60659">
      <w:pPr>
        <w:widowControl/>
        <w:suppressAutoHyphens/>
        <w:overflowPunct/>
        <w:autoSpaceDE/>
        <w:autoSpaceDN/>
        <w:adjustRightInd/>
        <w:spacing w:line="240" w:lineRule="atLeast"/>
        <w:ind w:left="0" w:right="565" w:firstLine="0"/>
        <w:jc w:val="left"/>
        <w:textAlignment w:val="auto"/>
        <w:rPr>
          <w:lang w:eastAsia="en-US"/>
        </w:rPr>
      </w:pPr>
    </w:p>
    <w:p w14:paraId="48AD11B5" w14:textId="77777777" w:rsidR="00B60659" w:rsidRPr="00B60659" w:rsidRDefault="00B60659" w:rsidP="00B60659">
      <w:pPr>
        <w:widowControl/>
        <w:suppressAutoHyphens/>
        <w:overflowPunct/>
        <w:autoSpaceDE/>
        <w:autoSpaceDN/>
        <w:adjustRightInd/>
        <w:spacing w:line="240" w:lineRule="atLeast"/>
        <w:ind w:left="0" w:right="565" w:firstLine="0"/>
        <w:jc w:val="left"/>
        <w:textAlignment w:val="auto"/>
        <w:rPr>
          <w:lang w:eastAsia="en-US"/>
        </w:rPr>
      </w:pPr>
      <w:r w:rsidRPr="00B60659">
        <w:rPr>
          <w:lang w:eastAsia="en-US"/>
        </w:rPr>
        <w:t>6.</w:t>
      </w:r>
      <w:r w:rsidRPr="00B60659">
        <w:rPr>
          <w:lang w:eastAsia="en-US"/>
        </w:rPr>
        <w:tab/>
        <w:t>In den Unterabschnitten 3.2.3.3 und 3.2.4.3 für Spalte (20) ergänzen:</w:t>
      </w:r>
    </w:p>
    <w:p w14:paraId="328D2073" w14:textId="77777777" w:rsidR="00B60659" w:rsidRPr="00B60659" w:rsidRDefault="00B60659" w:rsidP="00B60659">
      <w:pPr>
        <w:widowControl/>
        <w:suppressAutoHyphens/>
        <w:overflowPunct/>
        <w:autoSpaceDE/>
        <w:autoSpaceDN/>
        <w:adjustRightInd/>
        <w:spacing w:line="240" w:lineRule="atLeast"/>
        <w:ind w:left="0" w:right="565" w:firstLine="0"/>
        <w:jc w:val="left"/>
        <w:textAlignment w:val="auto"/>
        <w:rPr>
          <w:lang w:eastAsia="en-US"/>
        </w:rPr>
      </w:pPr>
    </w:p>
    <w:p w14:paraId="6B22B17E" w14:textId="77777777" w:rsidR="00B60659" w:rsidRPr="00B60659" w:rsidRDefault="00B60659" w:rsidP="00B60659">
      <w:pPr>
        <w:widowControl/>
        <w:suppressAutoHyphens/>
        <w:overflowPunct/>
        <w:autoSpaceDE/>
        <w:autoSpaceDN/>
        <w:adjustRightInd/>
        <w:spacing w:line="240" w:lineRule="atLeast"/>
        <w:ind w:left="1531" w:right="565" w:hanging="1531"/>
        <w:jc w:val="left"/>
        <w:textAlignment w:val="auto"/>
        <w:rPr>
          <w:lang w:eastAsia="en-US"/>
        </w:rPr>
      </w:pPr>
      <w:r w:rsidRPr="00B60659">
        <w:rPr>
          <w:lang w:eastAsia="en-US"/>
        </w:rPr>
        <w:t>„Bemerkung xx:</w:t>
      </w:r>
      <w:r w:rsidRPr="00B60659">
        <w:rPr>
          <w:lang w:eastAsia="en-US"/>
        </w:rPr>
        <w:tab/>
        <w:t>Bemerkung xx ist in Spalte (20) einzutragen bei UN 3082 UMWELTGEFÄHRDENDER STOFF, FLÜSSIG, N.A.G. (SCHWERES HEIZÖL).“</w:t>
      </w:r>
    </w:p>
    <w:p w14:paraId="2D00272F" w14:textId="77777777" w:rsidR="00B60659" w:rsidRPr="00B60659" w:rsidRDefault="00B60659" w:rsidP="00B60659">
      <w:pPr>
        <w:widowControl/>
        <w:suppressAutoHyphens/>
        <w:overflowPunct/>
        <w:autoSpaceDE/>
        <w:autoSpaceDN/>
        <w:adjustRightInd/>
        <w:spacing w:line="240" w:lineRule="atLeast"/>
        <w:ind w:left="0" w:right="565" w:firstLine="0"/>
        <w:jc w:val="left"/>
        <w:textAlignment w:val="auto"/>
        <w:rPr>
          <w:lang w:eastAsia="en-US"/>
        </w:rPr>
      </w:pPr>
    </w:p>
    <w:p w14:paraId="63354B6F" w14:textId="74CC067E" w:rsidR="00B60659" w:rsidRPr="00B60659" w:rsidRDefault="00B60659" w:rsidP="00B60659">
      <w:pPr>
        <w:widowControl/>
        <w:suppressAutoHyphens/>
        <w:overflowPunct/>
        <w:autoSpaceDE/>
        <w:autoSpaceDN/>
        <w:adjustRightInd/>
        <w:spacing w:line="240" w:lineRule="atLeast"/>
        <w:ind w:left="0" w:right="565" w:firstLine="0"/>
        <w:jc w:val="left"/>
        <w:textAlignment w:val="auto"/>
        <w:rPr>
          <w:lang w:eastAsia="en-US"/>
        </w:rPr>
      </w:pPr>
      <w:r w:rsidRPr="00B60659">
        <w:rPr>
          <w:lang w:eastAsia="en-US"/>
        </w:rPr>
        <w:t>7.</w:t>
      </w:r>
      <w:r w:rsidRPr="00B60659">
        <w:rPr>
          <w:lang w:eastAsia="en-US"/>
        </w:rPr>
        <w:tab/>
        <w:t>In Unterabschnitt 3.2.3.2 Tabelle C, Eintrag für Stoffnummer 9003 „STOFFE MIT EINEM FLAMMPUNKT ÜBER 60°C UND HÖCHSTENS 100°C, die nicht anderen Klassen zuzuordnen sind“ in der Spalte (5) die Gefahr „N1“ streichen.</w:t>
      </w:r>
    </w:p>
    <w:p w14:paraId="0E9BD072" w14:textId="77777777" w:rsidR="00B60659" w:rsidRPr="00B60659" w:rsidRDefault="00B60659" w:rsidP="00B60659">
      <w:pPr>
        <w:widowControl/>
        <w:suppressAutoHyphens/>
        <w:overflowPunct/>
        <w:autoSpaceDE/>
        <w:autoSpaceDN/>
        <w:adjustRightInd/>
        <w:spacing w:line="240" w:lineRule="atLeast"/>
        <w:ind w:left="0" w:right="565" w:firstLine="0"/>
        <w:jc w:val="left"/>
        <w:textAlignment w:val="auto"/>
        <w:rPr>
          <w:lang w:eastAsia="en-US"/>
        </w:rPr>
      </w:pPr>
    </w:p>
    <w:p w14:paraId="0A986734" w14:textId="1B2ECF24" w:rsidR="00B60659" w:rsidRDefault="00B60659" w:rsidP="00B60659">
      <w:pPr>
        <w:widowControl/>
        <w:suppressAutoHyphens/>
        <w:overflowPunct/>
        <w:autoSpaceDE/>
        <w:autoSpaceDN/>
        <w:adjustRightInd/>
        <w:spacing w:line="240" w:lineRule="atLeast"/>
        <w:ind w:left="0" w:right="565" w:firstLine="0"/>
        <w:jc w:val="left"/>
        <w:textAlignment w:val="auto"/>
        <w:rPr>
          <w:lang w:eastAsia="en-US"/>
        </w:rPr>
      </w:pPr>
    </w:p>
    <w:p w14:paraId="6DCD578A" w14:textId="77777777" w:rsidR="00537CF5" w:rsidRPr="00B60659" w:rsidRDefault="00537CF5" w:rsidP="00B60659">
      <w:pPr>
        <w:widowControl/>
        <w:suppressAutoHyphens/>
        <w:overflowPunct/>
        <w:autoSpaceDE/>
        <w:autoSpaceDN/>
        <w:adjustRightInd/>
        <w:spacing w:line="240" w:lineRule="atLeast"/>
        <w:ind w:left="0" w:right="565" w:firstLine="0"/>
        <w:jc w:val="left"/>
        <w:textAlignment w:val="auto"/>
        <w:rPr>
          <w:lang w:eastAsia="en-US"/>
        </w:rPr>
      </w:pPr>
    </w:p>
    <w:p w14:paraId="13BBFBCD" w14:textId="77777777" w:rsidR="00B60659" w:rsidRPr="00641D0E" w:rsidRDefault="00B60659" w:rsidP="00641D0E">
      <w:pPr>
        <w:widowControl/>
        <w:suppressAutoHyphens/>
        <w:overflowPunct/>
        <w:autoSpaceDE/>
        <w:autoSpaceDN/>
        <w:adjustRightInd/>
        <w:spacing w:line="240" w:lineRule="atLeast"/>
        <w:ind w:left="567" w:right="566" w:hanging="567"/>
        <w:textAlignment w:val="auto"/>
        <w:rPr>
          <w:b/>
          <w:sz w:val="24"/>
          <w:szCs w:val="24"/>
          <w:lang w:eastAsia="en-US"/>
        </w:rPr>
      </w:pPr>
      <w:r w:rsidRPr="00641D0E">
        <w:rPr>
          <w:b/>
          <w:sz w:val="24"/>
          <w:szCs w:val="24"/>
          <w:lang w:eastAsia="en-US"/>
        </w:rPr>
        <w:t>II.</w:t>
      </w:r>
      <w:r w:rsidRPr="00641D0E">
        <w:rPr>
          <w:b/>
          <w:sz w:val="24"/>
          <w:szCs w:val="24"/>
          <w:lang w:eastAsia="en-US"/>
        </w:rPr>
        <w:tab/>
        <w:t>Stoffe, die keine anderen gefährlichen Eigenschaften haben als eine Zündtemperatur von ≤ 200 °C</w:t>
      </w:r>
    </w:p>
    <w:p w14:paraId="2DB7AD02" w14:textId="77777777" w:rsidR="00B60659" w:rsidRPr="00B60659" w:rsidRDefault="00B60659" w:rsidP="00B60659">
      <w:pPr>
        <w:widowControl/>
        <w:suppressAutoHyphens/>
        <w:overflowPunct/>
        <w:autoSpaceDE/>
        <w:autoSpaceDN/>
        <w:adjustRightInd/>
        <w:spacing w:line="240" w:lineRule="atLeast"/>
        <w:ind w:left="0" w:right="565" w:firstLine="0"/>
        <w:textAlignment w:val="auto"/>
        <w:rPr>
          <w:bCs/>
          <w:lang w:eastAsia="en-US"/>
        </w:rPr>
      </w:pPr>
    </w:p>
    <w:p w14:paraId="7A74EEC7" w14:textId="77777777" w:rsidR="00B60659" w:rsidRPr="00B60659" w:rsidRDefault="00B60659" w:rsidP="00B60659">
      <w:pPr>
        <w:widowControl/>
        <w:suppressAutoHyphens/>
        <w:overflowPunct/>
        <w:autoSpaceDE/>
        <w:autoSpaceDN/>
        <w:adjustRightInd/>
        <w:spacing w:line="240" w:lineRule="atLeast"/>
        <w:ind w:left="0" w:right="565" w:firstLine="0"/>
        <w:textAlignment w:val="auto"/>
        <w:rPr>
          <w:bCs/>
          <w:lang w:eastAsia="en-US"/>
        </w:rPr>
      </w:pPr>
      <w:r w:rsidRPr="00B60659">
        <w:rPr>
          <w:bCs/>
          <w:lang w:eastAsia="en-US"/>
        </w:rPr>
        <w:t>8.</w:t>
      </w:r>
      <w:r w:rsidRPr="00B60659">
        <w:rPr>
          <w:bCs/>
          <w:lang w:eastAsia="en-US"/>
        </w:rPr>
        <w:tab/>
        <w:t>Bei konsequenter Anwendung des Entscheidungsdiagramms in 3.2.3.3 kommt man im ersten Kasten für Stoffe, die keine anderen gefährlichen Eigenschaften haben als eine Zündtemperatur von ≤ 200° C, zu dem Ergebnis, dass diese als nicht gefährliches Gut zu bewerten sind. Das ist sicherheitstechnisch nicht gerechtfertigt.</w:t>
      </w:r>
    </w:p>
    <w:p w14:paraId="72F94C50" w14:textId="77777777" w:rsidR="00B60659" w:rsidRPr="00B60659" w:rsidRDefault="00B60659" w:rsidP="00B60659">
      <w:pPr>
        <w:widowControl/>
        <w:suppressAutoHyphens/>
        <w:overflowPunct/>
        <w:autoSpaceDE/>
        <w:autoSpaceDN/>
        <w:adjustRightInd/>
        <w:spacing w:line="240" w:lineRule="atLeast"/>
        <w:ind w:left="0" w:right="565" w:firstLine="0"/>
        <w:textAlignment w:val="auto"/>
        <w:rPr>
          <w:bCs/>
          <w:lang w:eastAsia="en-US"/>
        </w:rPr>
      </w:pPr>
      <w:bookmarkStart w:id="0" w:name="_Hlk105745953"/>
    </w:p>
    <w:p w14:paraId="60F19B5C" w14:textId="77777777" w:rsidR="00B60659" w:rsidRPr="00B60659" w:rsidRDefault="00B60659" w:rsidP="00B60659">
      <w:pPr>
        <w:widowControl/>
        <w:suppressAutoHyphens/>
        <w:overflowPunct/>
        <w:autoSpaceDE/>
        <w:autoSpaceDN/>
        <w:adjustRightInd/>
        <w:spacing w:line="240" w:lineRule="atLeast"/>
        <w:ind w:left="0" w:right="566" w:firstLine="0"/>
        <w:textAlignment w:val="auto"/>
        <w:rPr>
          <w:b/>
          <w:u w:val="single"/>
          <w:lang w:eastAsia="en-US"/>
        </w:rPr>
      </w:pPr>
      <w:r w:rsidRPr="00B60659">
        <w:rPr>
          <w:b/>
          <w:u w:val="single"/>
          <w:lang w:eastAsia="en-US"/>
        </w:rPr>
        <w:t>Vorschlag:</w:t>
      </w:r>
    </w:p>
    <w:p w14:paraId="2FE213D4" w14:textId="77777777" w:rsidR="00B60659" w:rsidRPr="00B60659" w:rsidRDefault="00B60659" w:rsidP="00B60659">
      <w:pPr>
        <w:widowControl/>
        <w:suppressAutoHyphens/>
        <w:overflowPunct/>
        <w:autoSpaceDE/>
        <w:autoSpaceDN/>
        <w:adjustRightInd/>
        <w:spacing w:line="240" w:lineRule="atLeast"/>
        <w:ind w:left="0" w:right="566" w:firstLine="0"/>
        <w:textAlignment w:val="auto"/>
        <w:rPr>
          <w:lang w:eastAsia="en-US"/>
        </w:rPr>
      </w:pPr>
    </w:p>
    <w:bookmarkEnd w:id="0"/>
    <w:p w14:paraId="7DEBB116" w14:textId="36B4635D" w:rsidR="00055D7B" w:rsidRDefault="00B60659" w:rsidP="00B60659">
      <w:pPr>
        <w:widowControl/>
        <w:suppressAutoHyphens/>
        <w:overflowPunct/>
        <w:autoSpaceDE/>
        <w:autoSpaceDN/>
        <w:adjustRightInd/>
        <w:spacing w:line="240" w:lineRule="atLeast"/>
        <w:ind w:left="0" w:right="567" w:firstLine="0"/>
        <w:textAlignment w:val="auto"/>
        <w:rPr>
          <w:bCs/>
          <w:lang w:eastAsia="en-US"/>
        </w:rPr>
      </w:pPr>
      <w:r w:rsidRPr="00B60659">
        <w:rPr>
          <w:bCs/>
          <w:lang w:eastAsia="en-US"/>
        </w:rPr>
        <w:t>9.</w:t>
      </w:r>
      <w:r w:rsidRPr="00B60659">
        <w:rPr>
          <w:bCs/>
          <w:lang w:eastAsia="en-US"/>
        </w:rPr>
        <w:tab/>
        <w:t>Im Entscheidungsdiagramms in Unterabschnitt 3.2.3.3 im ersten Kasten</w:t>
      </w:r>
      <w:r w:rsidR="00055D7B">
        <w:rPr>
          <w:bCs/>
          <w:lang w:eastAsia="en-US"/>
        </w:rPr>
        <w:t xml:space="preserve"> </w:t>
      </w:r>
      <w:r w:rsidRPr="00B60659">
        <w:rPr>
          <w:bCs/>
          <w:lang w:eastAsia="en-US"/>
        </w:rPr>
        <w:t>nach dem zweiten Punkt den zusätzlichen Punkt</w:t>
      </w:r>
    </w:p>
    <w:p w14:paraId="499889C5" w14:textId="41313C86" w:rsidR="00055D7B" w:rsidRDefault="00B60659" w:rsidP="0036082D">
      <w:pPr>
        <w:widowControl/>
        <w:suppressAutoHyphens/>
        <w:overflowPunct/>
        <w:autoSpaceDE/>
        <w:autoSpaceDN/>
        <w:adjustRightInd/>
        <w:spacing w:line="240" w:lineRule="atLeast"/>
        <w:ind w:left="0" w:right="567" w:firstLine="0"/>
        <w:textAlignment w:val="auto"/>
        <w:rPr>
          <w:bCs/>
          <w:lang w:eastAsia="en-US"/>
        </w:rPr>
      </w:pPr>
      <w:r w:rsidRPr="00B60659">
        <w:rPr>
          <w:bCs/>
          <w:lang w:eastAsia="en-US"/>
        </w:rPr>
        <w:t>„● Zündtemperatur ≤ 200 °C,“</w:t>
      </w:r>
    </w:p>
    <w:p w14:paraId="61A0A9BF" w14:textId="7BEA30EA"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r w:rsidRPr="00B60659">
        <w:rPr>
          <w:bCs/>
          <w:lang w:eastAsia="en-US"/>
        </w:rPr>
        <w:t>einfügen.</w:t>
      </w:r>
    </w:p>
    <w:p w14:paraId="7EF1871D" w14:textId="77777777" w:rsidR="00B60659" w:rsidRPr="00B60659" w:rsidRDefault="00B60659" w:rsidP="00B60659">
      <w:pPr>
        <w:widowControl/>
        <w:suppressAutoHyphens/>
        <w:overflowPunct/>
        <w:autoSpaceDE/>
        <w:autoSpaceDN/>
        <w:adjustRightInd/>
        <w:spacing w:line="240" w:lineRule="atLeast"/>
        <w:ind w:left="0" w:firstLine="0"/>
        <w:jc w:val="left"/>
        <w:textAlignment w:val="auto"/>
        <w:rPr>
          <w:lang w:eastAsia="en-US"/>
        </w:rPr>
      </w:pPr>
    </w:p>
    <w:p w14:paraId="12D96623" w14:textId="79A44390" w:rsidR="00B60659" w:rsidRDefault="00B60659" w:rsidP="00B60659">
      <w:pPr>
        <w:widowControl/>
        <w:suppressAutoHyphens/>
        <w:overflowPunct/>
        <w:autoSpaceDE/>
        <w:autoSpaceDN/>
        <w:adjustRightInd/>
        <w:spacing w:line="240" w:lineRule="atLeast"/>
        <w:ind w:left="0" w:firstLine="0"/>
        <w:jc w:val="left"/>
        <w:textAlignment w:val="auto"/>
        <w:rPr>
          <w:lang w:eastAsia="en-US"/>
        </w:rPr>
      </w:pPr>
    </w:p>
    <w:p w14:paraId="2DC0E406" w14:textId="77777777" w:rsidR="00537CF5" w:rsidRPr="00B60659" w:rsidRDefault="00537CF5" w:rsidP="00B60659">
      <w:pPr>
        <w:widowControl/>
        <w:suppressAutoHyphens/>
        <w:overflowPunct/>
        <w:autoSpaceDE/>
        <w:autoSpaceDN/>
        <w:adjustRightInd/>
        <w:spacing w:line="240" w:lineRule="atLeast"/>
        <w:ind w:left="0" w:firstLine="0"/>
        <w:jc w:val="left"/>
        <w:textAlignment w:val="auto"/>
        <w:rPr>
          <w:lang w:eastAsia="en-US"/>
        </w:rPr>
      </w:pPr>
    </w:p>
    <w:p w14:paraId="39301745" w14:textId="7777C806" w:rsidR="00B60659" w:rsidRPr="00641D0E" w:rsidRDefault="00B60659" w:rsidP="00641D0E">
      <w:pPr>
        <w:widowControl/>
        <w:suppressAutoHyphens/>
        <w:overflowPunct/>
        <w:autoSpaceDE/>
        <w:autoSpaceDN/>
        <w:adjustRightInd/>
        <w:spacing w:line="240" w:lineRule="atLeast"/>
        <w:ind w:left="567" w:right="566" w:hanging="567"/>
        <w:textAlignment w:val="auto"/>
        <w:rPr>
          <w:b/>
          <w:sz w:val="24"/>
          <w:szCs w:val="24"/>
          <w:lang w:eastAsia="en-US"/>
        </w:rPr>
      </w:pPr>
      <w:r w:rsidRPr="00641D0E">
        <w:rPr>
          <w:b/>
          <w:sz w:val="24"/>
          <w:szCs w:val="24"/>
          <w:lang w:eastAsia="en-US"/>
        </w:rPr>
        <w:t>III.</w:t>
      </w:r>
      <w:r w:rsidRPr="00641D0E">
        <w:rPr>
          <w:b/>
          <w:sz w:val="24"/>
          <w:szCs w:val="24"/>
          <w:lang w:eastAsia="en-US"/>
        </w:rPr>
        <w:tab/>
        <w:t>Fehlende Bemerkungen 44 bei UN 2924 und fehlende Bemerkung 34 bei UN</w:t>
      </w:r>
      <w:r w:rsidR="0036082D">
        <w:rPr>
          <w:b/>
          <w:sz w:val="24"/>
          <w:szCs w:val="24"/>
          <w:lang w:eastAsia="en-US"/>
        </w:rPr>
        <w:t> </w:t>
      </w:r>
      <w:r w:rsidRPr="00641D0E">
        <w:rPr>
          <w:b/>
          <w:sz w:val="24"/>
          <w:szCs w:val="24"/>
          <w:lang w:eastAsia="en-US"/>
        </w:rPr>
        <w:t>1764 und bei UN 2430</w:t>
      </w:r>
    </w:p>
    <w:p w14:paraId="04F981A5"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554A5660" w14:textId="494185EA" w:rsidR="00641D0E" w:rsidRDefault="00B60659" w:rsidP="0036082D">
      <w:pPr>
        <w:widowControl/>
        <w:suppressAutoHyphens/>
        <w:overflowPunct/>
        <w:autoSpaceDE/>
        <w:autoSpaceDN/>
        <w:adjustRightInd/>
        <w:spacing w:line="240" w:lineRule="atLeast"/>
        <w:ind w:left="0" w:right="567" w:firstLine="0"/>
        <w:textAlignment w:val="auto"/>
        <w:rPr>
          <w:bCs/>
          <w:lang w:eastAsia="en-US"/>
        </w:rPr>
      </w:pPr>
      <w:r w:rsidRPr="00B60659">
        <w:rPr>
          <w:bCs/>
          <w:lang w:eastAsia="en-US"/>
        </w:rPr>
        <w:t>10.</w:t>
      </w:r>
      <w:r w:rsidRPr="00B60659">
        <w:rPr>
          <w:bCs/>
          <w:lang w:eastAsia="en-US"/>
        </w:rPr>
        <w:tab/>
        <w:t>Beim zweiten Eintrag UN 2924 „ENTZÜNDBARER FLÜSSIGER STOFF, ÄTZEND, N.A.G.“, Verpackungsgruppe III, bei dem in der Spalte (16) die Explosionsuntergruppe „(II B3)“ angegeben ist, fehlt in Spalte (20) die Bemerkung 44. Außerdem findet sich bei beiden Eintragungen der UN 2924 Verpackungsgruppe III in Spalte (20) die Bemerkung 34, die ausschließlich Stoffen der Klasse 8 zugeordnet wird.</w:t>
      </w:r>
      <w:r w:rsidR="00641D0E">
        <w:rPr>
          <w:bCs/>
          <w:lang w:eastAsia="en-US"/>
        </w:rPr>
        <w:br w:type="page"/>
      </w:r>
    </w:p>
    <w:p w14:paraId="50BB4B5A" w14:textId="1066DD74"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r w:rsidRPr="00B60659">
        <w:rPr>
          <w:bCs/>
          <w:lang w:eastAsia="en-US"/>
        </w:rPr>
        <w:lastRenderedPageBreak/>
        <w:t>11.</w:t>
      </w:r>
      <w:r w:rsidRPr="00B60659">
        <w:rPr>
          <w:bCs/>
          <w:lang w:eastAsia="en-US"/>
        </w:rPr>
        <w:tab/>
        <w:t>Bei den beiden Einträgen für UN 2430 „ALKYLPHENOLE, FEST, N.A.G. (NONYLPHENOL-ISOMEREN-GEMISCH, GESCHMOLZEN)“ fehlt die Bemerkung 34 in Spalte (20).</w:t>
      </w:r>
    </w:p>
    <w:p w14:paraId="3C469D8D"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7C170C9A" w14:textId="77777777" w:rsidR="00B60659" w:rsidRPr="00B60659" w:rsidRDefault="00B60659" w:rsidP="00B60659">
      <w:pPr>
        <w:widowControl/>
        <w:suppressAutoHyphens/>
        <w:overflowPunct/>
        <w:autoSpaceDE/>
        <w:autoSpaceDN/>
        <w:adjustRightInd/>
        <w:spacing w:line="240" w:lineRule="atLeast"/>
        <w:ind w:left="0" w:right="566" w:firstLine="0"/>
        <w:textAlignment w:val="auto"/>
        <w:rPr>
          <w:b/>
          <w:u w:val="single"/>
          <w:lang w:eastAsia="en-US"/>
        </w:rPr>
      </w:pPr>
      <w:r w:rsidRPr="00B60659">
        <w:rPr>
          <w:b/>
          <w:u w:val="single"/>
          <w:lang w:eastAsia="en-US"/>
        </w:rPr>
        <w:t>Vorschläge:</w:t>
      </w:r>
    </w:p>
    <w:p w14:paraId="1B4B5CBE"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2F60F7D4" w14:textId="4D336FF0"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r w:rsidRPr="00B60659">
        <w:rPr>
          <w:bCs/>
          <w:lang w:eastAsia="en-US"/>
        </w:rPr>
        <w:t>12.</w:t>
      </w:r>
      <w:r w:rsidRPr="00B60659">
        <w:rPr>
          <w:bCs/>
          <w:lang w:eastAsia="en-US"/>
        </w:rPr>
        <w:tab/>
        <w:t>In Unterabschnitt 3.2.3.2 Tabelle C, Erster Eintrag der UN 2924 „ENTZÜNDBARER FLÜSSIGER STOFF, ÄTZEND, N.A.G.“, Verpackungsgruppe III (ohne „(II B3)“ in Spalte (20) „; 34“ streichen.</w:t>
      </w:r>
    </w:p>
    <w:p w14:paraId="36104327"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16E02771" w14:textId="20BDA262"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r w:rsidRPr="00B60659">
        <w:rPr>
          <w:bCs/>
          <w:lang w:eastAsia="en-US"/>
        </w:rPr>
        <w:t>13.</w:t>
      </w:r>
      <w:r w:rsidRPr="00B60659">
        <w:rPr>
          <w:bCs/>
          <w:lang w:eastAsia="en-US"/>
        </w:rPr>
        <w:tab/>
        <w:t>In Unterabschnitt 3.2.3.2 Tabelle C, Zweiter Eintrag der UN 2924 „ENTZÜNDBARER FLÜSSIGER STOFF, ÄTZEND, N.A.G.“, Verpackungsgruppe III (mit „(II B3)“ in Spalte (20) „; 34“ ändern in „; 44“.</w:t>
      </w:r>
    </w:p>
    <w:p w14:paraId="3055DEB0"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7DF475AB" w14:textId="1A973E65"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r w:rsidRPr="00B60659">
        <w:rPr>
          <w:bCs/>
          <w:lang w:eastAsia="en-US"/>
        </w:rPr>
        <w:t>14.</w:t>
      </w:r>
      <w:r w:rsidRPr="00B60659">
        <w:rPr>
          <w:bCs/>
          <w:lang w:eastAsia="en-US"/>
        </w:rPr>
        <w:tab/>
      </w:r>
      <w:bookmarkStart w:id="1" w:name="_Hlk114203376"/>
      <w:r w:rsidRPr="00B60659">
        <w:rPr>
          <w:bCs/>
          <w:lang w:eastAsia="en-US"/>
        </w:rPr>
        <w:t>In Unterabschnitt 3.2.3.2 Tabelle C bei UN 1764 „DICHLORESSIGSÄURE“ und bei UN 2430</w:t>
      </w:r>
      <w:bookmarkEnd w:id="1"/>
      <w:r w:rsidRPr="00B60659">
        <w:rPr>
          <w:bCs/>
          <w:lang w:eastAsia="en-US"/>
        </w:rPr>
        <w:t xml:space="preserve"> „ALKYLPHENOLE, FEST, N.A.G. (NONYLPHENOL-ISOMEREN-GEMISCH, GESCHMOLZEN)“ (beide Einträge) in Spalte (20) „; 34“ ergänzen.</w:t>
      </w:r>
    </w:p>
    <w:p w14:paraId="2653126A" w14:textId="682B6E51" w:rsidR="00B60659"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65340ACA" w14:textId="77777777" w:rsidR="00537CF5" w:rsidRPr="00B60659" w:rsidRDefault="00537CF5" w:rsidP="00B60659">
      <w:pPr>
        <w:widowControl/>
        <w:suppressAutoHyphens/>
        <w:overflowPunct/>
        <w:autoSpaceDE/>
        <w:autoSpaceDN/>
        <w:adjustRightInd/>
        <w:spacing w:line="240" w:lineRule="atLeast"/>
        <w:ind w:left="0" w:right="567" w:firstLine="0"/>
        <w:textAlignment w:val="auto"/>
        <w:rPr>
          <w:bCs/>
          <w:lang w:eastAsia="en-US"/>
        </w:rPr>
      </w:pPr>
    </w:p>
    <w:p w14:paraId="5BF6388F"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0FE4ADCE" w14:textId="77777777" w:rsidR="00B60659" w:rsidRPr="00641D0E" w:rsidRDefault="00B60659" w:rsidP="00641D0E">
      <w:pPr>
        <w:widowControl/>
        <w:suppressAutoHyphens/>
        <w:overflowPunct/>
        <w:autoSpaceDE/>
        <w:autoSpaceDN/>
        <w:adjustRightInd/>
        <w:spacing w:line="240" w:lineRule="atLeast"/>
        <w:ind w:left="567" w:right="566" w:hanging="567"/>
        <w:textAlignment w:val="auto"/>
        <w:rPr>
          <w:b/>
          <w:sz w:val="24"/>
          <w:szCs w:val="24"/>
          <w:lang w:eastAsia="en-US"/>
        </w:rPr>
      </w:pPr>
      <w:r w:rsidRPr="00641D0E">
        <w:rPr>
          <w:b/>
          <w:sz w:val="24"/>
          <w:szCs w:val="24"/>
          <w:lang w:eastAsia="en-US"/>
        </w:rPr>
        <w:t>IV.</w:t>
      </w:r>
      <w:r w:rsidRPr="00641D0E">
        <w:rPr>
          <w:b/>
          <w:sz w:val="24"/>
          <w:szCs w:val="24"/>
          <w:lang w:eastAsia="en-US"/>
        </w:rPr>
        <w:tab/>
        <w:t>Harmonisierung der Explosionsgruppen zwischen dem IBC-Code und dem ADN</w:t>
      </w:r>
    </w:p>
    <w:p w14:paraId="52EC61DF"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51737E07" w14:textId="3D4A7901" w:rsidR="00B60659" w:rsidRPr="00B60659" w:rsidRDefault="00B60659" w:rsidP="00B60659">
      <w:pPr>
        <w:widowControl/>
        <w:suppressAutoHyphens/>
        <w:overflowPunct/>
        <w:autoSpaceDE/>
        <w:autoSpaceDN/>
        <w:adjustRightInd/>
        <w:spacing w:line="240" w:lineRule="atLeast"/>
        <w:ind w:left="0" w:right="567" w:firstLine="0"/>
        <w:textAlignment w:val="auto"/>
        <w:rPr>
          <w:lang w:eastAsia="en-US"/>
        </w:rPr>
      </w:pPr>
      <w:r w:rsidRPr="00B60659">
        <w:rPr>
          <w:lang w:eastAsia="en-US"/>
        </w:rPr>
        <w:t>15.</w:t>
      </w:r>
      <w:r w:rsidRPr="00B60659">
        <w:rPr>
          <w:lang w:eastAsia="en-US"/>
        </w:rPr>
        <w:tab/>
        <w:t xml:space="preserve">Basierend auf einem Vorschlag </w:t>
      </w:r>
      <w:r w:rsidR="00B27A21">
        <w:rPr>
          <w:lang w:eastAsia="en-US"/>
        </w:rPr>
        <w:t>vom</w:t>
      </w:r>
      <w:r w:rsidRPr="00B60659">
        <w:rPr>
          <w:lang w:eastAsia="en-US"/>
        </w:rPr>
        <w:t xml:space="preserve"> </w:t>
      </w:r>
      <w:r w:rsidR="00B27A21" w:rsidRPr="00B27A21">
        <w:rPr>
          <w:lang w:eastAsia="en-US"/>
        </w:rPr>
        <w:t xml:space="preserve">Europäischer Rat der chemischen Industrieverbände </w:t>
      </w:r>
      <w:r w:rsidR="00B27A21">
        <w:rPr>
          <w:lang w:eastAsia="en-US"/>
        </w:rPr>
        <w:t>(</w:t>
      </w:r>
      <w:r w:rsidRPr="00B60659">
        <w:rPr>
          <w:lang w:eastAsia="en-US"/>
        </w:rPr>
        <w:t>CEFIC</w:t>
      </w:r>
      <w:r w:rsidR="00B27A21">
        <w:rPr>
          <w:lang w:eastAsia="en-US"/>
        </w:rPr>
        <w:t>)</w:t>
      </w:r>
      <w:r w:rsidRPr="00B60659">
        <w:rPr>
          <w:lang w:eastAsia="en-US"/>
        </w:rPr>
        <w:t xml:space="preserve"> </w:t>
      </w:r>
      <w:bookmarkStart w:id="2" w:name="_Hlk107913273"/>
      <w:r w:rsidRPr="00B60659">
        <w:rPr>
          <w:lang w:eastAsia="en-US"/>
        </w:rPr>
        <w:t>(</w:t>
      </w:r>
      <w:bookmarkStart w:id="3" w:name="_Hlk114210988"/>
      <w:r w:rsidR="00B27A21">
        <w:rPr>
          <w:lang w:eastAsia="en-US"/>
        </w:rPr>
        <w:t xml:space="preserve">informelles Dokument </w:t>
      </w:r>
      <w:r w:rsidRPr="00B60659">
        <w:rPr>
          <w:lang w:eastAsia="en-US"/>
        </w:rPr>
        <w:t>INF.21</w:t>
      </w:r>
      <w:bookmarkEnd w:id="3"/>
      <w:r w:rsidR="00B27A21">
        <w:rPr>
          <w:lang w:eastAsia="en-US"/>
        </w:rPr>
        <w:t xml:space="preserve"> der 36. Sitzung</w:t>
      </w:r>
      <w:r w:rsidRPr="00B60659">
        <w:rPr>
          <w:lang w:eastAsia="en-US"/>
        </w:rPr>
        <w:t xml:space="preserve">) </w:t>
      </w:r>
      <w:bookmarkEnd w:id="2"/>
      <w:r w:rsidRPr="00B60659">
        <w:rPr>
          <w:lang w:eastAsia="en-US"/>
        </w:rPr>
        <w:t xml:space="preserve">wird für fünf Eintragungen in der Tabelle C eine Harmonisierung mit den Angaben aus dem IBC-Code zur Explosionsgruppe vorgeschlagen. Die aus dem IBC-Code übernommenen Angaben sollen mit der dafür vorgesehenen Fußnote 9) ergänzt werden, die besagt, dass es sich dabei um eine Einstufung in Übereinstimmung mit dem IBC-Code der </w:t>
      </w:r>
      <w:r w:rsidR="00FC031B" w:rsidRPr="00FC031B">
        <w:rPr>
          <w:lang w:eastAsia="en-US"/>
        </w:rPr>
        <w:t xml:space="preserve">Internationale Seeschifffahrtsorganisation </w:t>
      </w:r>
      <w:r w:rsidR="00FC031B">
        <w:rPr>
          <w:lang w:eastAsia="en-US"/>
        </w:rPr>
        <w:t>(</w:t>
      </w:r>
      <w:r w:rsidRPr="00B60659">
        <w:rPr>
          <w:lang w:eastAsia="en-US"/>
        </w:rPr>
        <w:t>IMO</w:t>
      </w:r>
      <w:r w:rsidR="00FC031B">
        <w:rPr>
          <w:lang w:eastAsia="en-US"/>
        </w:rPr>
        <w:t>)</w:t>
      </w:r>
      <w:r w:rsidRPr="00B60659">
        <w:rPr>
          <w:lang w:eastAsia="en-US"/>
        </w:rPr>
        <w:t xml:space="preserve"> handelt.</w:t>
      </w:r>
    </w:p>
    <w:p w14:paraId="56B6C076"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3C025A9D" w14:textId="77777777" w:rsidR="00B60659" w:rsidRPr="00B60659" w:rsidRDefault="00B60659" w:rsidP="00B60659">
      <w:pPr>
        <w:widowControl/>
        <w:suppressAutoHyphens/>
        <w:overflowPunct/>
        <w:autoSpaceDE/>
        <w:autoSpaceDN/>
        <w:adjustRightInd/>
        <w:spacing w:line="240" w:lineRule="atLeast"/>
        <w:ind w:left="0" w:right="566" w:firstLine="0"/>
        <w:textAlignment w:val="auto"/>
        <w:rPr>
          <w:b/>
          <w:u w:val="single"/>
          <w:lang w:eastAsia="en-US"/>
        </w:rPr>
      </w:pPr>
      <w:r w:rsidRPr="00B60659">
        <w:rPr>
          <w:b/>
          <w:u w:val="single"/>
          <w:lang w:eastAsia="en-US"/>
        </w:rPr>
        <w:t>Vorschlag:</w:t>
      </w:r>
    </w:p>
    <w:p w14:paraId="415B1A84" w14:textId="77777777" w:rsidR="00B60659" w:rsidRPr="00B60659" w:rsidRDefault="00B60659" w:rsidP="00B60659">
      <w:pPr>
        <w:widowControl/>
        <w:suppressAutoHyphens/>
        <w:overflowPunct/>
        <w:autoSpaceDE/>
        <w:autoSpaceDN/>
        <w:adjustRightInd/>
        <w:spacing w:line="240" w:lineRule="atLeast"/>
        <w:ind w:left="0" w:right="566" w:firstLine="0"/>
        <w:textAlignment w:val="auto"/>
        <w:rPr>
          <w:b/>
          <w:u w:val="single"/>
          <w:lang w:eastAsia="en-US"/>
        </w:rPr>
      </w:pPr>
    </w:p>
    <w:p w14:paraId="5F151FDB" w14:textId="77777777" w:rsidR="00B60659" w:rsidRPr="00B60659" w:rsidRDefault="00B60659" w:rsidP="00B60659">
      <w:pPr>
        <w:widowControl/>
        <w:suppressAutoHyphens/>
        <w:overflowPunct/>
        <w:autoSpaceDE/>
        <w:autoSpaceDN/>
        <w:adjustRightInd/>
        <w:spacing w:line="240" w:lineRule="atLeast"/>
        <w:ind w:left="0" w:right="566" w:firstLine="0"/>
        <w:textAlignment w:val="auto"/>
        <w:rPr>
          <w:bCs/>
          <w:lang w:eastAsia="en-US"/>
        </w:rPr>
      </w:pPr>
      <w:r w:rsidRPr="00B60659">
        <w:rPr>
          <w:bCs/>
          <w:lang w:eastAsia="en-US"/>
        </w:rPr>
        <w:t>16.</w:t>
      </w:r>
      <w:r w:rsidRPr="00B60659">
        <w:rPr>
          <w:bCs/>
          <w:lang w:eastAsia="en-US"/>
        </w:rPr>
        <w:tab/>
      </w:r>
      <w:bookmarkStart w:id="4" w:name="_Hlk106976351"/>
      <w:r w:rsidRPr="00B60659">
        <w:rPr>
          <w:bCs/>
          <w:lang w:eastAsia="en-US"/>
        </w:rPr>
        <w:t>In Unterabschnitt 3.2.3.2 Tabelle C,</w:t>
      </w:r>
      <w:r w:rsidRPr="00B60659" w:rsidDel="00836749">
        <w:rPr>
          <w:bCs/>
          <w:lang w:eastAsia="en-US"/>
        </w:rPr>
        <w:t xml:space="preserve"> </w:t>
      </w:r>
      <w:r w:rsidRPr="00B60659">
        <w:rPr>
          <w:bCs/>
          <w:lang w:eastAsia="en-US"/>
        </w:rPr>
        <w:t xml:space="preserve">bei </w:t>
      </w:r>
    </w:p>
    <w:p w14:paraId="22BB8EA9" w14:textId="46B7BC4F" w:rsidR="00B60659" w:rsidRPr="00B60659" w:rsidRDefault="00B60659" w:rsidP="0099097A">
      <w:pPr>
        <w:widowControl/>
        <w:suppressAutoHyphens/>
        <w:overflowPunct/>
        <w:autoSpaceDE/>
        <w:autoSpaceDN/>
        <w:adjustRightInd/>
        <w:spacing w:before="120" w:line="240" w:lineRule="atLeast"/>
        <w:ind w:left="0" w:right="566" w:firstLine="0"/>
        <w:textAlignment w:val="auto"/>
        <w:rPr>
          <w:bCs/>
          <w:lang w:val="fr-FR" w:eastAsia="en-US"/>
        </w:rPr>
      </w:pPr>
      <w:r w:rsidRPr="00B60659">
        <w:rPr>
          <w:bCs/>
          <w:lang w:val="fr-FR" w:eastAsia="en-US"/>
        </w:rPr>
        <w:t>UN 1108 „PENT-1-EN (n-</w:t>
      </w:r>
      <w:proofErr w:type="spellStart"/>
      <w:proofErr w:type="gramStart"/>
      <w:r w:rsidRPr="00B60659">
        <w:rPr>
          <w:bCs/>
          <w:lang w:val="fr-FR" w:eastAsia="en-US"/>
        </w:rPr>
        <w:t>Amylen</w:t>
      </w:r>
      <w:proofErr w:type="spellEnd"/>
      <w:r w:rsidRPr="00B60659">
        <w:rPr>
          <w:bCs/>
          <w:lang w:val="fr-FR" w:eastAsia="en-US"/>
        </w:rPr>
        <w:t>)“</w:t>
      </w:r>
      <w:proofErr w:type="gramEnd"/>
      <w:r w:rsidRPr="00B60659">
        <w:rPr>
          <w:bCs/>
          <w:lang w:val="fr-FR" w:eastAsia="en-US"/>
        </w:rPr>
        <w:t>,</w:t>
      </w:r>
    </w:p>
    <w:p w14:paraId="105CA737" w14:textId="11C00FCC" w:rsidR="00B60659" w:rsidRPr="00B60659" w:rsidRDefault="00B60659" w:rsidP="00B60659">
      <w:pPr>
        <w:widowControl/>
        <w:suppressAutoHyphens/>
        <w:overflowPunct/>
        <w:autoSpaceDE/>
        <w:autoSpaceDN/>
        <w:adjustRightInd/>
        <w:spacing w:line="240" w:lineRule="atLeast"/>
        <w:ind w:left="0" w:right="566" w:firstLine="0"/>
        <w:textAlignment w:val="auto"/>
        <w:rPr>
          <w:bCs/>
          <w:lang w:val="fr-FR" w:eastAsia="en-US"/>
        </w:rPr>
      </w:pPr>
      <w:r w:rsidRPr="00B60659">
        <w:rPr>
          <w:bCs/>
          <w:lang w:val="fr-FR" w:eastAsia="en-US"/>
        </w:rPr>
        <w:t>UN 1157 „DIISOBUTYLKETON“,</w:t>
      </w:r>
    </w:p>
    <w:p w14:paraId="4D8796D6" w14:textId="102ACA92" w:rsidR="00B60659" w:rsidRPr="00B60659" w:rsidRDefault="00B60659" w:rsidP="00B60659">
      <w:pPr>
        <w:widowControl/>
        <w:suppressAutoHyphens/>
        <w:overflowPunct/>
        <w:autoSpaceDE/>
        <w:autoSpaceDN/>
        <w:adjustRightInd/>
        <w:spacing w:line="240" w:lineRule="atLeast"/>
        <w:ind w:left="0" w:right="566" w:firstLine="0"/>
        <w:textAlignment w:val="auto"/>
        <w:rPr>
          <w:bCs/>
          <w:lang w:val="fr-FR" w:eastAsia="en-US"/>
        </w:rPr>
      </w:pPr>
      <w:r w:rsidRPr="00B60659">
        <w:rPr>
          <w:bCs/>
          <w:lang w:val="fr-FR" w:eastAsia="en-US"/>
        </w:rPr>
        <w:t>UN 2323 „TRIETHYLPHOSPHIT“,</w:t>
      </w:r>
    </w:p>
    <w:p w14:paraId="65B26FE0" w14:textId="54AA0520" w:rsidR="00B60659" w:rsidRPr="00B60659" w:rsidRDefault="00B60659" w:rsidP="00B60659">
      <w:pPr>
        <w:widowControl/>
        <w:suppressAutoHyphens/>
        <w:overflowPunct/>
        <w:autoSpaceDE/>
        <w:autoSpaceDN/>
        <w:adjustRightInd/>
        <w:spacing w:line="240" w:lineRule="atLeast"/>
        <w:ind w:left="0" w:right="566" w:firstLine="0"/>
        <w:textAlignment w:val="auto"/>
        <w:rPr>
          <w:bCs/>
          <w:lang w:val="fr-FR" w:eastAsia="en-US"/>
        </w:rPr>
      </w:pPr>
      <w:r w:rsidRPr="00B60659">
        <w:rPr>
          <w:bCs/>
          <w:lang w:val="fr-FR" w:eastAsia="en-US"/>
        </w:rPr>
        <w:t xml:space="preserve">UN 2370 „HEX-1-EN“ </w:t>
      </w:r>
      <w:proofErr w:type="spellStart"/>
      <w:r w:rsidRPr="00B60659">
        <w:rPr>
          <w:bCs/>
          <w:lang w:val="fr-FR" w:eastAsia="en-US"/>
        </w:rPr>
        <w:t>und</w:t>
      </w:r>
      <w:proofErr w:type="spellEnd"/>
      <w:r w:rsidRPr="00B60659">
        <w:rPr>
          <w:bCs/>
          <w:lang w:val="fr-FR" w:eastAsia="en-US"/>
        </w:rPr>
        <w:t xml:space="preserve"> </w:t>
      </w:r>
    </w:p>
    <w:p w14:paraId="097ABFF1" w14:textId="19937E69" w:rsidR="00B60659" w:rsidRPr="00B60659" w:rsidRDefault="00B60659" w:rsidP="00B60659">
      <w:pPr>
        <w:widowControl/>
        <w:suppressAutoHyphens/>
        <w:overflowPunct/>
        <w:autoSpaceDE/>
        <w:autoSpaceDN/>
        <w:adjustRightInd/>
        <w:spacing w:line="480" w:lineRule="auto"/>
        <w:ind w:left="0" w:right="566" w:firstLine="0"/>
        <w:textAlignment w:val="auto"/>
        <w:rPr>
          <w:bCs/>
          <w:lang w:eastAsia="en-US"/>
        </w:rPr>
      </w:pPr>
      <w:r w:rsidRPr="00B60659">
        <w:rPr>
          <w:bCs/>
          <w:lang w:eastAsia="en-US"/>
        </w:rPr>
        <w:t>UN 3079 METHACRYLNITRIL, STABILISIERT“</w:t>
      </w:r>
    </w:p>
    <w:p w14:paraId="452232AE" w14:textId="77777777" w:rsidR="00B60659" w:rsidRPr="00B60659" w:rsidRDefault="00B60659" w:rsidP="00B60659">
      <w:pPr>
        <w:widowControl/>
        <w:suppressAutoHyphens/>
        <w:overflowPunct/>
        <w:autoSpaceDE/>
        <w:autoSpaceDN/>
        <w:adjustRightInd/>
        <w:spacing w:line="276" w:lineRule="auto"/>
        <w:ind w:left="0" w:right="567" w:firstLine="0"/>
        <w:textAlignment w:val="auto"/>
        <w:rPr>
          <w:bCs/>
          <w:lang w:eastAsia="en-US"/>
        </w:rPr>
      </w:pPr>
      <w:r w:rsidRPr="00B60659">
        <w:rPr>
          <w:bCs/>
          <w:lang w:eastAsia="en-US"/>
        </w:rPr>
        <w:t xml:space="preserve">in Spalte (16) „II B </w:t>
      </w:r>
      <w:r w:rsidRPr="00B60659">
        <w:rPr>
          <w:bCs/>
          <w:vertAlign w:val="superscript"/>
          <w:lang w:eastAsia="en-US"/>
        </w:rPr>
        <w:t>4)</w:t>
      </w:r>
      <w:r w:rsidRPr="00B60659">
        <w:rPr>
          <w:bCs/>
          <w:lang w:eastAsia="en-US"/>
        </w:rPr>
        <w:t xml:space="preserve">“ ersetzen durch „II A </w:t>
      </w:r>
      <w:r w:rsidRPr="00B60659">
        <w:rPr>
          <w:bCs/>
          <w:vertAlign w:val="superscript"/>
          <w:lang w:eastAsia="en-US"/>
        </w:rPr>
        <w:t>9)</w:t>
      </w:r>
      <w:r w:rsidRPr="00B60659">
        <w:rPr>
          <w:bCs/>
          <w:lang w:eastAsia="en-US"/>
        </w:rPr>
        <w:t>“.</w:t>
      </w:r>
    </w:p>
    <w:bookmarkEnd w:id="4"/>
    <w:p w14:paraId="4BFF048B" w14:textId="77777777" w:rsidR="00B60659" w:rsidRPr="00B60659" w:rsidRDefault="00B60659" w:rsidP="00B60659">
      <w:pPr>
        <w:widowControl/>
        <w:suppressAutoHyphens/>
        <w:overflowPunct/>
        <w:autoSpaceDE/>
        <w:autoSpaceDN/>
        <w:adjustRightInd/>
        <w:spacing w:line="240" w:lineRule="atLeast"/>
        <w:ind w:left="0" w:right="566" w:firstLine="0"/>
        <w:textAlignment w:val="auto"/>
        <w:rPr>
          <w:b/>
          <w:u w:val="single"/>
          <w:lang w:eastAsia="en-US"/>
        </w:rPr>
      </w:pPr>
    </w:p>
    <w:p w14:paraId="115E1F57" w14:textId="188EE0C5" w:rsidR="00B60659" w:rsidRDefault="00B60659" w:rsidP="00B60659">
      <w:pPr>
        <w:widowControl/>
        <w:suppressAutoHyphens/>
        <w:overflowPunct/>
        <w:autoSpaceDE/>
        <w:autoSpaceDN/>
        <w:adjustRightInd/>
        <w:spacing w:line="240" w:lineRule="atLeast"/>
        <w:ind w:left="0" w:right="566" w:firstLine="0"/>
        <w:textAlignment w:val="auto"/>
        <w:rPr>
          <w:b/>
          <w:u w:val="single"/>
          <w:lang w:eastAsia="en-US"/>
        </w:rPr>
      </w:pPr>
    </w:p>
    <w:p w14:paraId="3C51A2EF" w14:textId="77777777" w:rsidR="00537CF5" w:rsidRPr="00B60659" w:rsidRDefault="00537CF5" w:rsidP="00B60659">
      <w:pPr>
        <w:widowControl/>
        <w:suppressAutoHyphens/>
        <w:overflowPunct/>
        <w:autoSpaceDE/>
        <w:autoSpaceDN/>
        <w:adjustRightInd/>
        <w:spacing w:line="240" w:lineRule="atLeast"/>
        <w:ind w:left="0" w:right="566" w:firstLine="0"/>
        <w:textAlignment w:val="auto"/>
        <w:rPr>
          <w:b/>
          <w:u w:val="single"/>
          <w:lang w:eastAsia="en-US"/>
        </w:rPr>
      </w:pPr>
    </w:p>
    <w:p w14:paraId="62E51416" w14:textId="77777777" w:rsidR="00B60659" w:rsidRPr="00641D0E" w:rsidRDefault="00B60659" w:rsidP="00641D0E">
      <w:pPr>
        <w:widowControl/>
        <w:suppressAutoHyphens/>
        <w:overflowPunct/>
        <w:autoSpaceDE/>
        <w:autoSpaceDN/>
        <w:adjustRightInd/>
        <w:spacing w:line="240" w:lineRule="atLeast"/>
        <w:ind w:left="567" w:right="566" w:hanging="567"/>
        <w:textAlignment w:val="auto"/>
        <w:rPr>
          <w:b/>
          <w:sz w:val="24"/>
          <w:szCs w:val="24"/>
          <w:lang w:eastAsia="en-US"/>
        </w:rPr>
      </w:pPr>
      <w:r w:rsidRPr="00641D0E">
        <w:rPr>
          <w:b/>
          <w:sz w:val="24"/>
          <w:szCs w:val="24"/>
          <w:lang w:eastAsia="en-US"/>
        </w:rPr>
        <w:t>V.</w:t>
      </w:r>
      <w:r w:rsidRPr="00641D0E">
        <w:rPr>
          <w:b/>
          <w:sz w:val="24"/>
          <w:szCs w:val="24"/>
          <w:lang w:eastAsia="en-US"/>
        </w:rPr>
        <w:tab/>
        <w:t>Änderung der Tabelle C Spalte (16) für UN-Nummer 2527</w:t>
      </w:r>
    </w:p>
    <w:p w14:paraId="094074C6"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08CC8F2C" w14:textId="280343B8"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r w:rsidRPr="00B60659">
        <w:rPr>
          <w:bCs/>
          <w:lang w:eastAsia="en-US"/>
        </w:rPr>
        <w:t>17.</w:t>
      </w:r>
      <w:r w:rsidRPr="00B60659">
        <w:rPr>
          <w:bCs/>
          <w:lang w:eastAsia="en-US"/>
        </w:rPr>
        <w:tab/>
        <w:t xml:space="preserve">Den </w:t>
      </w:r>
      <w:r w:rsidR="00FC031B">
        <w:rPr>
          <w:bCs/>
          <w:lang w:eastAsia="en-US"/>
        </w:rPr>
        <w:t>im</w:t>
      </w:r>
      <w:r w:rsidRPr="00B60659">
        <w:rPr>
          <w:bCs/>
          <w:lang w:eastAsia="en-US"/>
        </w:rPr>
        <w:t xml:space="preserve"> </w:t>
      </w:r>
      <w:r w:rsidR="00FC031B">
        <w:rPr>
          <w:bCs/>
          <w:lang w:eastAsia="en-US"/>
        </w:rPr>
        <w:t>informelle</w:t>
      </w:r>
      <w:r w:rsidR="0099097A">
        <w:rPr>
          <w:bCs/>
          <w:lang w:eastAsia="en-US"/>
        </w:rPr>
        <w:t>n</w:t>
      </w:r>
      <w:r w:rsidR="00FC031B">
        <w:rPr>
          <w:bCs/>
          <w:lang w:eastAsia="en-US"/>
        </w:rPr>
        <w:t xml:space="preserve"> Dokument INF.21 der 36. Sitzung</w:t>
      </w:r>
      <w:r w:rsidRPr="00B60659">
        <w:rPr>
          <w:bCs/>
          <w:lang w:eastAsia="en-US"/>
        </w:rPr>
        <w:t xml:space="preserve"> von CEFIC dargestellten Betrachtungen zu Struktur-Eigenschaft-Analogien mit den methyl-, ethyl- und n-butyl-substituierten Verbindungen folgend, wird eine Anpassung der Angaben zur Explosionsgruppe für den Eintrag UN 2527 „ISOBUTYLACRYLAT, STABILISIERT“ vorgeschlagen.</w:t>
      </w:r>
    </w:p>
    <w:p w14:paraId="6F32725D"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7D5A3C76" w14:textId="77777777" w:rsidR="00B60659" w:rsidRPr="00B60659" w:rsidRDefault="00B60659" w:rsidP="00B60659">
      <w:pPr>
        <w:widowControl/>
        <w:suppressAutoHyphens/>
        <w:overflowPunct/>
        <w:autoSpaceDE/>
        <w:autoSpaceDN/>
        <w:adjustRightInd/>
        <w:spacing w:line="240" w:lineRule="atLeast"/>
        <w:ind w:left="0" w:right="566" w:firstLine="0"/>
        <w:textAlignment w:val="auto"/>
        <w:rPr>
          <w:b/>
          <w:u w:val="single"/>
          <w:lang w:eastAsia="en-US"/>
        </w:rPr>
      </w:pPr>
      <w:r w:rsidRPr="00B60659">
        <w:rPr>
          <w:b/>
          <w:u w:val="single"/>
          <w:lang w:eastAsia="en-US"/>
        </w:rPr>
        <w:t>Vorschlag:</w:t>
      </w:r>
    </w:p>
    <w:p w14:paraId="09CE839D" w14:textId="77777777" w:rsidR="00B60659" w:rsidRPr="00B60659" w:rsidRDefault="00B60659" w:rsidP="00B60659">
      <w:pPr>
        <w:widowControl/>
        <w:suppressAutoHyphens/>
        <w:overflowPunct/>
        <w:autoSpaceDE/>
        <w:autoSpaceDN/>
        <w:adjustRightInd/>
        <w:spacing w:line="240" w:lineRule="atLeast"/>
        <w:ind w:left="0" w:right="566" w:firstLine="0"/>
        <w:textAlignment w:val="auto"/>
        <w:rPr>
          <w:b/>
          <w:u w:val="single"/>
          <w:lang w:eastAsia="en-US"/>
        </w:rPr>
      </w:pPr>
    </w:p>
    <w:p w14:paraId="0573D3F6" w14:textId="09CC114A" w:rsidR="00B60659" w:rsidRPr="00B60659" w:rsidRDefault="00B60659" w:rsidP="00B60659">
      <w:pPr>
        <w:widowControl/>
        <w:suppressAutoHyphens/>
        <w:overflowPunct/>
        <w:autoSpaceDE/>
        <w:autoSpaceDN/>
        <w:adjustRightInd/>
        <w:spacing w:line="240" w:lineRule="atLeast"/>
        <w:ind w:left="0" w:right="566" w:firstLine="0"/>
        <w:textAlignment w:val="auto"/>
        <w:rPr>
          <w:bCs/>
          <w:lang w:eastAsia="en-US"/>
        </w:rPr>
      </w:pPr>
      <w:r w:rsidRPr="00B60659">
        <w:rPr>
          <w:bCs/>
          <w:lang w:eastAsia="en-US"/>
        </w:rPr>
        <w:t>18.</w:t>
      </w:r>
      <w:r w:rsidRPr="00B60659">
        <w:rPr>
          <w:bCs/>
          <w:lang w:eastAsia="en-US"/>
        </w:rPr>
        <w:tab/>
        <w:t>In Unterabschnitt 3.2.3.2 Tabelle C, bei UN 2527 „ISOBUTYLACRYLAT, STABILISIERT“</w:t>
      </w:r>
      <w:r w:rsidR="00FC031B">
        <w:rPr>
          <w:bCs/>
          <w:lang w:eastAsia="en-US"/>
        </w:rPr>
        <w:t xml:space="preserve"> </w:t>
      </w:r>
      <w:r w:rsidRPr="00B60659">
        <w:rPr>
          <w:bCs/>
          <w:lang w:eastAsia="en-US"/>
        </w:rPr>
        <w:t xml:space="preserve">in Spalte (16) „II B </w:t>
      </w:r>
      <w:r w:rsidRPr="00B60659">
        <w:rPr>
          <w:bCs/>
          <w:vertAlign w:val="superscript"/>
          <w:lang w:eastAsia="en-US"/>
        </w:rPr>
        <w:t>9)</w:t>
      </w:r>
      <w:r w:rsidRPr="00B60659">
        <w:rPr>
          <w:bCs/>
          <w:lang w:eastAsia="en-US"/>
        </w:rPr>
        <w:t xml:space="preserve">“ ersetzen durch „II B3 </w:t>
      </w:r>
      <w:r w:rsidRPr="00B60659">
        <w:rPr>
          <w:bCs/>
          <w:vertAlign w:val="superscript"/>
          <w:lang w:eastAsia="en-US"/>
        </w:rPr>
        <w:t>14)</w:t>
      </w:r>
      <w:r w:rsidRPr="00B60659">
        <w:rPr>
          <w:bCs/>
          <w:lang w:eastAsia="en-US"/>
        </w:rPr>
        <w:t>“.</w:t>
      </w:r>
    </w:p>
    <w:p w14:paraId="47973EA9"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
          <w:lang w:eastAsia="en-US"/>
        </w:rPr>
      </w:pPr>
    </w:p>
    <w:p w14:paraId="104BBF60"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
          <w:lang w:eastAsia="en-US"/>
        </w:rPr>
      </w:pPr>
    </w:p>
    <w:p w14:paraId="475B13F7" w14:textId="77777777" w:rsidR="0099097A" w:rsidRDefault="0099097A">
      <w:pPr>
        <w:widowControl/>
        <w:overflowPunct/>
        <w:autoSpaceDE/>
        <w:autoSpaceDN/>
        <w:adjustRightInd/>
        <w:ind w:left="0" w:firstLine="0"/>
        <w:jc w:val="left"/>
        <w:textAlignment w:val="auto"/>
        <w:rPr>
          <w:b/>
          <w:sz w:val="24"/>
          <w:szCs w:val="24"/>
          <w:lang w:eastAsia="en-US"/>
        </w:rPr>
      </w:pPr>
      <w:r>
        <w:rPr>
          <w:b/>
          <w:sz w:val="24"/>
          <w:szCs w:val="24"/>
          <w:lang w:eastAsia="en-US"/>
        </w:rPr>
        <w:br w:type="page"/>
      </w:r>
    </w:p>
    <w:p w14:paraId="44F98185" w14:textId="2049B96B" w:rsidR="00B60659" w:rsidRPr="00641D0E" w:rsidRDefault="00B60659" w:rsidP="00641D0E">
      <w:pPr>
        <w:widowControl/>
        <w:suppressAutoHyphens/>
        <w:overflowPunct/>
        <w:autoSpaceDE/>
        <w:autoSpaceDN/>
        <w:adjustRightInd/>
        <w:spacing w:line="240" w:lineRule="atLeast"/>
        <w:ind w:left="567" w:right="566" w:hanging="567"/>
        <w:textAlignment w:val="auto"/>
        <w:rPr>
          <w:b/>
          <w:sz w:val="24"/>
          <w:szCs w:val="24"/>
          <w:lang w:eastAsia="en-US"/>
        </w:rPr>
      </w:pPr>
      <w:r w:rsidRPr="00641D0E">
        <w:rPr>
          <w:b/>
          <w:sz w:val="24"/>
          <w:szCs w:val="24"/>
          <w:lang w:eastAsia="en-US"/>
        </w:rPr>
        <w:lastRenderedPageBreak/>
        <w:t>VI.</w:t>
      </w:r>
      <w:r w:rsidRPr="00641D0E">
        <w:rPr>
          <w:b/>
          <w:sz w:val="24"/>
          <w:szCs w:val="24"/>
          <w:lang w:eastAsia="en-US"/>
        </w:rPr>
        <w:tab/>
        <w:t>Überprüfung aller Einträge ohne Verpackungsgruppe in Tabelle A, für die die Verwendung von blauen Kegeln/Lichtern gefordert wird</w:t>
      </w:r>
    </w:p>
    <w:p w14:paraId="32EA9546"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6C6D5C9E"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r w:rsidRPr="00B60659">
        <w:rPr>
          <w:bCs/>
          <w:lang w:eastAsia="en-US"/>
        </w:rPr>
        <w:t>19.</w:t>
      </w:r>
      <w:r w:rsidRPr="00B60659">
        <w:rPr>
          <w:bCs/>
          <w:lang w:eastAsia="en-US"/>
        </w:rPr>
        <w:tab/>
        <w:t xml:space="preserve">Das Führen von blauen Kegeln (Lichtern) bei Stoffen der Klassen 3 bis 9 ist in Abhängigkeit vom Klassifizierungscode (entzündbare und/oder giftige Eigenschaften) und von der Verpackungsgruppe (Verpackungsgruppe I oder II) gefordert. Für die Verpackungsgruppe III und für Gegenstände, denen von der Systematik her keine Verpackungsgruppe zugeordnet wird, ist das Führen von blauen Kegeln (Lichtern) generell nicht vorgeschrieben. </w:t>
      </w:r>
    </w:p>
    <w:p w14:paraId="3A871076"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6A8F4A78"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r w:rsidRPr="00B60659">
        <w:rPr>
          <w:bCs/>
          <w:lang w:eastAsia="en-US"/>
        </w:rPr>
        <w:t>20.</w:t>
      </w:r>
      <w:r w:rsidRPr="00B60659">
        <w:rPr>
          <w:bCs/>
          <w:lang w:eastAsia="en-US"/>
        </w:rPr>
        <w:tab/>
        <w:t>Deshalb wird vorgeschlagen, bei zwei Einträgen mit Gegenständen der Klasse 3, bei drei Eintragungen mit Gegenständen der Klasse 6.1 und bei zwei Einträgen mit Gegenständen der Klasse 9 die Angabe in der Tabelle A, Spalte (12) in „0“ zu ändern.</w:t>
      </w:r>
    </w:p>
    <w:p w14:paraId="1628C200"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34A73CC3"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r w:rsidRPr="00B60659">
        <w:rPr>
          <w:bCs/>
          <w:lang w:eastAsia="en-US"/>
        </w:rPr>
        <w:t>21.</w:t>
      </w:r>
      <w:r w:rsidRPr="00B60659">
        <w:rPr>
          <w:bCs/>
          <w:lang w:eastAsia="en-US"/>
        </w:rPr>
        <w:tab/>
        <w:t>In der Klasse 2 gibt es von der Systematik her keine Verpackungsgruppen. Dort wird das Führen von blauen Kegeln (Lichtern) für alle Stoffe nur in Abhängigkeit vom Klassifizierungscode (entzündbare und/oder giftige Eigenschaften) geregelt. Auch hier sollte das Führen von blauen Kegeln (Lichtern) für Gegenstände, die Gase enthalten, nicht vorgeschrieben sein. Deshalb wird vorgeschlagen, bei sieben Einträgen der Klasse 2 die Angabe „1“ bzw. „2“ in der Tabelle A, Spalte (12) durch „0“ zu ersetzen.</w:t>
      </w:r>
    </w:p>
    <w:p w14:paraId="0ED2D89D"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49CCB55C" w14:textId="684DCA6E" w:rsidR="00B60659" w:rsidRPr="00B60659" w:rsidRDefault="00B60659" w:rsidP="00B60659">
      <w:pPr>
        <w:widowControl/>
        <w:suppressAutoHyphens/>
        <w:overflowPunct/>
        <w:autoSpaceDE/>
        <w:autoSpaceDN/>
        <w:adjustRightInd/>
        <w:spacing w:line="240" w:lineRule="atLeast"/>
        <w:ind w:left="0" w:right="567" w:firstLine="0"/>
        <w:textAlignment w:val="auto"/>
        <w:rPr>
          <w:b/>
          <w:u w:val="single"/>
          <w:lang w:eastAsia="en-US"/>
        </w:rPr>
      </w:pPr>
      <w:r w:rsidRPr="00B60659">
        <w:rPr>
          <w:b/>
          <w:u w:val="single"/>
          <w:lang w:eastAsia="en-US"/>
        </w:rPr>
        <w:t>Vorschl</w:t>
      </w:r>
      <w:r w:rsidR="00537CF5">
        <w:rPr>
          <w:b/>
          <w:u w:val="single"/>
          <w:lang w:eastAsia="en-US"/>
        </w:rPr>
        <w:t>a</w:t>
      </w:r>
      <w:r w:rsidRPr="00B60659">
        <w:rPr>
          <w:b/>
          <w:u w:val="single"/>
          <w:lang w:eastAsia="en-US"/>
        </w:rPr>
        <w:t>g:</w:t>
      </w:r>
    </w:p>
    <w:p w14:paraId="4D565859"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1204B8AC" w14:textId="06305730" w:rsidR="00B60659" w:rsidRPr="00537CF5" w:rsidRDefault="00B60659" w:rsidP="00B60659">
      <w:pPr>
        <w:widowControl/>
        <w:suppressAutoHyphens/>
        <w:overflowPunct/>
        <w:autoSpaceDE/>
        <w:autoSpaceDN/>
        <w:adjustRightInd/>
        <w:spacing w:line="240" w:lineRule="atLeast"/>
        <w:ind w:left="0" w:right="567" w:firstLine="0"/>
        <w:textAlignment w:val="auto"/>
        <w:rPr>
          <w:bCs/>
          <w:lang w:eastAsia="en-US"/>
        </w:rPr>
      </w:pPr>
      <w:r w:rsidRPr="00537CF5">
        <w:rPr>
          <w:bCs/>
          <w:lang w:eastAsia="en-US"/>
        </w:rPr>
        <w:t>22.</w:t>
      </w:r>
      <w:r w:rsidRPr="00537CF5">
        <w:rPr>
          <w:bCs/>
          <w:lang w:eastAsia="en-US"/>
        </w:rPr>
        <w:tab/>
        <w:t>In Kapitel 3.2 Tabelle A, Eintrag bei UN 3540 „GEGENSTÄNDE, DIE EINEN ENTZÜNDBAREN FLÜSSIGEN STOFF ENTHALTEN, N.A.G.“ in der Spalte (12) „1“ ersetzen durch „0“.</w:t>
      </w:r>
    </w:p>
    <w:p w14:paraId="5A2D5ACD" w14:textId="77777777" w:rsidR="00B60659" w:rsidRPr="00537CF5"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1C06FD55" w14:textId="5C42B0BA" w:rsidR="00B60659" w:rsidRPr="00537CF5" w:rsidRDefault="00B60659" w:rsidP="00B60659">
      <w:pPr>
        <w:widowControl/>
        <w:suppressAutoHyphens/>
        <w:overflowPunct/>
        <w:autoSpaceDE/>
        <w:autoSpaceDN/>
        <w:adjustRightInd/>
        <w:spacing w:line="240" w:lineRule="atLeast"/>
        <w:ind w:left="0" w:right="567" w:firstLine="0"/>
        <w:textAlignment w:val="auto"/>
        <w:rPr>
          <w:bCs/>
          <w:lang w:eastAsia="en-US"/>
        </w:rPr>
      </w:pPr>
      <w:r w:rsidRPr="00537CF5">
        <w:rPr>
          <w:bCs/>
          <w:lang w:eastAsia="en-US"/>
        </w:rPr>
        <w:t>23.</w:t>
      </w:r>
      <w:r w:rsidRPr="00537CF5">
        <w:rPr>
          <w:bCs/>
          <w:lang w:eastAsia="en-US"/>
        </w:rPr>
        <w:tab/>
        <w:t>In Kapitel 3.2 Tabelle A, Einträge bei UN 1700 „TRÄNENGAS-KERZEN“, UN 2016 „MUNITION, GIFTIG, NICHT EXPLOSIV, ohne Zerleger oder Ausstoßladung, nicht scharf“ und UN 2017 „MUNITION, TRÄNENERZEUGEND, NICHT EXPLOSIV, ohne Zerleger oder Ausstoßladung, nicht scharf“ in der Spalte (12) „2“ ersetzen durch „0“.</w:t>
      </w:r>
    </w:p>
    <w:p w14:paraId="53317813" w14:textId="77777777" w:rsidR="00B60659" w:rsidRPr="00537CF5"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362C8583" w14:textId="42262E04" w:rsidR="00B60659" w:rsidRPr="00537CF5" w:rsidRDefault="00B60659" w:rsidP="00B60659">
      <w:pPr>
        <w:widowControl/>
        <w:suppressAutoHyphens/>
        <w:overflowPunct/>
        <w:autoSpaceDE/>
        <w:autoSpaceDN/>
        <w:adjustRightInd/>
        <w:spacing w:line="240" w:lineRule="atLeast"/>
        <w:ind w:left="0" w:right="567" w:firstLine="0"/>
        <w:textAlignment w:val="auto"/>
        <w:rPr>
          <w:bCs/>
          <w:lang w:eastAsia="en-US"/>
        </w:rPr>
      </w:pPr>
      <w:r w:rsidRPr="00537CF5">
        <w:rPr>
          <w:bCs/>
          <w:lang w:eastAsia="en-US"/>
        </w:rPr>
        <w:t>24.</w:t>
      </w:r>
      <w:r w:rsidRPr="00537CF5">
        <w:rPr>
          <w:bCs/>
          <w:lang w:eastAsia="en-US"/>
        </w:rPr>
        <w:tab/>
        <w:t>In Kapitel 3.2 Tabelle A, bei</w:t>
      </w:r>
      <w:r w:rsidR="0009790D" w:rsidRPr="00537CF5">
        <w:rPr>
          <w:bCs/>
          <w:lang w:eastAsia="en-US"/>
        </w:rPr>
        <w:t xml:space="preserve"> </w:t>
      </w:r>
      <w:r w:rsidRPr="00537CF5">
        <w:rPr>
          <w:bCs/>
          <w:lang w:eastAsia="en-US"/>
        </w:rPr>
        <w:t>UN 3473 „BRENNSTOFFZELLEN-KARTUSCHEN oder BRENNSTOFFZELLEN-KARTUSCHEN IN AUSRÜSTUNGEN oder BRENNSTOFFZELLEN-KARTUSCHEN, MIT AUSRÜSTUNGEN VERPACKT, entzündbare flüssige Stoffe enthaltend“, UN 3359 „BEGASTE GÜTERBEFÖRDERUNGSEINHEIT “ und UN 3363 GEFÄHRLICHE GÜTER IN GEGENSTÄNDEN oder GEFÄHRLICHE GÜTER IN MASCHINEN oder GEFÄHRLICHE GÜTER IN GERÄTEN in der Spalte (12) „0“ eintragen.</w:t>
      </w:r>
    </w:p>
    <w:p w14:paraId="650ACC47" w14:textId="77777777" w:rsidR="00B60659" w:rsidRPr="00537CF5"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5F2A8957" w14:textId="6591BF61" w:rsidR="00B60659" w:rsidRPr="00537CF5" w:rsidRDefault="00B60659" w:rsidP="00B60659">
      <w:pPr>
        <w:widowControl/>
        <w:suppressAutoHyphens/>
        <w:overflowPunct/>
        <w:autoSpaceDE/>
        <w:autoSpaceDN/>
        <w:adjustRightInd/>
        <w:spacing w:line="240" w:lineRule="atLeast"/>
        <w:ind w:left="0" w:right="567" w:firstLine="0"/>
        <w:textAlignment w:val="auto"/>
        <w:rPr>
          <w:rFonts w:eastAsia="Calibri"/>
          <w:bCs/>
          <w:lang w:eastAsia="en-US"/>
        </w:rPr>
      </w:pPr>
      <w:r w:rsidRPr="00537CF5">
        <w:rPr>
          <w:rFonts w:eastAsia="Calibri"/>
          <w:bCs/>
          <w:lang w:eastAsia="en-US"/>
        </w:rPr>
        <w:t>25.</w:t>
      </w:r>
      <w:r w:rsidRPr="00537CF5">
        <w:rPr>
          <w:rFonts w:eastAsia="Calibri"/>
          <w:bCs/>
          <w:lang w:eastAsia="en-US"/>
        </w:rPr>
        <w:tab/>
      </w:r>
      <w:r w:rsidRPr="00537CF5">
        <w:rPr>
          <w:bCs/>
          <w:lang w:eastAsia="en-US"/>
        </w:rPr>
        <w:t xml:space="preserve">In Kapitel 3.2 Tabelle A, bei </w:t>
      </w:r>
      <w:r w:rsidRPr="00537CF5">
        <w:rPr>
          <w:rFonts w:eastAsia="Calibri"/>
          <w:bCs/>
          <w:lang w:eastAsia="en-US"/>
        </w:rPr>
        <w:t>UN 1057 “FEUERZEUGE mit entzündbarem Gas oder NACHFÜLLPATRONEN FÜR FEUERZEUGE mit entzündbarem Gas“, UN 3150 „GERÄTE, KLEIN, MIT KOHLENWASSERSTOFFGAS, mit Entnahmeeinrichtung oder KOHLENWASSERSTOFFGAS- NACHFÜLLPATRONEN FÜR KLEINE GERÄTE, mit Entnahmeeinrichtung“, UN 3358 „KÄLTEMASCHINEN mit entzündbarem, nicht giftigem verflüssigtem Gas“, UN 3478 „BRENNSTOFFZELLEN-KARTUSCHEN oder BRENNSTOFFZELLEN-KARTUSCHEN IN AUSRÜSTUNGEN oder BRENNSTOFFZELLEN-KARTUSCHEN, MIT AUSRÜSTUNGEN VERPACKT, verflüssigtes entzündbares Gas enthaltend“, UN 3479 „BRENNSTOFFZELLEN-KARTUSCHEN oder BRENNSTOFFZELLEN-KARTUSCHEN IN AUSRÜSTUNGEN oder BRENNSTOFFZELLEN-KARTUSCHEN, MIT AUSRÜSTUNGEN VERPACKT, Wasserstoff in Metallhydrid enthaltend“ und UN 3537 „GEGENSTÄNDE, DIE ENTZÜNDBARES GAS ENTHALTEN, N.A.G.“ in der Spalte (12) „1“ ersetzen durch „0“.</w:t>
      </w:r>
    </w:p>
    <w:p w14:paraId="7DE3C7E9" w14:textId="77777777" w:rsidR="00B60659" w:rsidRPr="00537CF5" w:rsidRDefault="00B60659" w:rsidP="00B60659">
      <w:pPr>
        <w:widowControl/>
        <w:suppressAutoHyphens/>
        <w:overflowPunct/>
        <w:autoSpaceDE/>
        <w:autoSpaceDN/>
        <w:adjustRightInd/>
        <w:spacing w:line="240" w:lineRule="atLeast"/>
        <w:ind w:left="0" w:right="567" w:firstLine="0"/>
        <w:textAlignment w:val="auto"/>
        <w:rPr>
          <w:rFonts w:eastAsia="Calibri"/>
          <w:bCs/>
          <w:lang w:eastAsia="en-US"/>
        </w:rPr>
      </w:pPr>
    </w:p>
    <w:p w14:paraId="6A9BB3AC" w14:textId="7610E203" w:rsidR="00CE549B" w:rsidRPr="00B60659" w:rsidRDefault="00B60659" w:rsidP="00537CF5">
      <w:pPr>
        <w:widowControl/>
        <w:suppressAutoHyphens/>
        <w:overflowPunct/>
        <w:autoSpaceDE/>
        <w:autoSpaceDN/>
        <w:adjustRightInd/>
        <w:spacing w:line="240" w:lineRule="atLeast"/>
        <w:ind w:left="0" w:right="567" w:firstLine="0"/>
        <w:textAlignment w:val="auto"/>
        <w:rPr>
          <w:bCs/>
          <w:lang w:eastAsia="en-US"/>
        </w:rPr>
      </w:pPr>
      <w:r w:rsidRPr="00537CF5">
        <w:rPr>
          <w:rFonts w:eastAsia="Calibri"/>
          <w:bCs/>
          <w:lang w:eastAsia="en-US"/>
        </w:rPr>
        <w:t>26.</w:t>
      </w:r>
      <w:r w:rsidRPr="00537CF5">
        <w:rPr>
          <w:rFonts w:eastAsia="Calibri"/>
          <w:bCs/>
          <w:lang w:eastAsia="en-US"/>
        </w:rPr>
        <w:tab/>
      </w:r>
      <w:r w:rsidRPr="00537CF5">
        <w:rPr>
          <w:bCs/>
          <w:lang w:eastAsia="en-US"/>
        </w:rPr>
        <w:t>In Kapitel 3.2 Tabelle A, bei</w:t>
      </w:r>
      <w:r w:rsidRPr="00537CF5">
        <w:rPr>
          <w:rFonts w:eastAsia="Calibri"/>
          <w:bCs/>
          <w:lang w:eastAsia="en-US"/>
        </w:rPr>
        <w:t xml:space="preserve"> UN 3539 „GEGENSTÄNDE, DIE GIFTIGES GAS ENTHALTEN, N.A.G</w:t>
      </w:r>
      <w:r w:rsidR="00CE549B" w:rsidRPr="00537CF5">
        <w:rPr>
          <w:rFonts w:eastAsia="Calibri"/>
          <w:bCs/>
          <w:lang w:eastAsia="en-US"/>
        </w:rPr>
        <w:t xml:space="preserve"> </w:t>
      </w:r>
      <w:r w:rsidRPr="00537CF5">
        <w:rPr>
          <w:rFonts w:eastAsia="Calibri"/>
          <w:bCs/>
          <w:lang w:eastAsia="en-US"/>
        </w:rPr>
        <w:t>in der Spalte (12) „2“ ersetzen durch „0“.</w:t>
      </w:r>
    </w:p>
    <w:p w14:paraId="32666F14" w14:textId="77777777" w:rsidR="00537CF5" w:rsidRDefault="00537CF5">
      <w:pPr>
        <w:widowControl/>
        <w:overflowPunct/>
        <w:autoSpaceDE/>
        <w:autoSpaceDN/>
        <w:adjustRightInd/>
        <w:ind w:left="0" w:firstLine="0"/>
        <w:jc w:val="left"/>
        <w:textAlignment w:val="auto"/>
        <w:rPr>
          <w:b/>
          <w:sz w:val="24"/>
          <w:szCs w:val="24"/>
          <w:lang w:eastAsia="en-US"/>
        </w:rPr>
      </w:pPr>
      <w:r>
        <w:rPr>
          <w:b/>
          <w:sz w:val="24"/>
          <w:szCs w:val="24"/>
          <w:lang w:eastAsia="en-US"/>
        </w:rPr>
        <w:br w:type="page"/>
      </w:r>
    </w:p>
    <w:p w14:paraId="56AD03A7" w14:textId="22E47B99" w:rsidR="00B60659" w:rsidRPr="00641D0E" w:rsidRDefault="00B60659" w:rsidP="00641D0E">
      <w:pPr>
        <w:widowControl/>
        <w:suppressAutoHyphens/>
        <w:overflowPunct/>
        <w:autoSpaceDE/>
        <w:autoSpaceDN/>
        <w:adjustRightInd/>
        <w:spacing w:line="240" w:lineRule="atLeast"/>
        <w:ind w:left="567" w:right="566" w:hanging="567"/>
        <w:textAlignment w:val="auto"/>
        <w:rPr>
          <w:b/>
          <w:sz w:val="24"/>
          <w:szCs w:val="24"/>
          <w:lang w:eastAsia="en-US"/>
        </w:rPr>
      </w:pPr>
      <w:r w:rsidRPr="00641D0E">
        <w:rPr>
          <w:b/>
          <w:sz w:val="24"/>
          <w:szCs w:val="24"/>
          <w:lang w:eastAsia="en-US"/>
        </w:rPr>
        <w:lastRenderedPageBreak/>
        <w:t>VII.</w:t>
      </w:r>
      <w:r w:rsidRPr="00641D0E">
        <w:rPr>
          <w:b/>
          <w:sz w:val="24"/>
          <w:szCs w:val="24"/>
          <w:lang w:eastAsia="en-US"/>
        </w:rPr>
        <w:tab/>
        <w:t>Korrektur einer Unstimmigkeit in Tabelle C Spalte (2) für UN-Nummer 1972</w:t>
      </w:r>
    </w:p>
    <w:p w14:paraId="46720AFD"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
          <w:lang w:eastAsia="en-US"/>
        </w:rPr>
      </w:pPr>
    </w:p>
    <w:p w14:paraId="201C6647"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r w:rsidRPr="00B60659">
        <w:rPr>
          <w:bCs/>
          <w:lang w:eastAsia="en-US"/>
        </w:rPr>
        <w:t>27.</w:t>
      </w:r>
      <w:r w:rsidRPr="00B60659">
        <w:rPr>
          <w:bCs/>
          <w:lang w:eastAsia="en-US"/>
        </w:rPr>
        <w:tab/>
        <w:t>In der Tabelle C bei dem Eintrag UN 1972 „METHAN, TIEFGEKÜHLT, FLÜSSIG oder ERDGAS, TIEFGEKÜHLT, FLÜSSIG mit hohem Methangehalt“, bei welchem die Beförderung im Membrantank (G-2-4) geregelt wird, fehlt in der englischen, der deutschen und der russischen Sprachfassung in der Benennung und Beschreibung (Spalte (2)) jeweils zweimal die Ergänzung „FLÜSSIG“.</w:t>
      </w:r>
    </w:p>
    <w:p w14:paraId="7C8C6783"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316C15DC"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r w:rsidRPr="00B60659">
        <w:rPr>
          <w:bCs/>
          <w:lang w:eastAsia="en-US"/>
        </w:rPr>
        <w:t>28.</w:t>
      </w:r>
      <w:r w:rsidRPr="00B60659">
        <w:rPr>
          <w:bCs/>
          <w:lang w:eastAsia="en-US"/>
        </w:rPr>
        <w:tab/>
        <w:t>Darüber hinaus gibt es in der deutschen Sprachfassung für Bemerkung 42 im Entscheidungsdiagramm (3.2.3.3) und in den Zuordnungskriterien für die Stoffe (3.2.4.3 L.) einen Schreibfehler.</w:t>
      </w:r>
    </w:p>
    <w:p w14:paraId="1A8F69C6"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0AD98409"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55AAFC19" w14:textId="56A9F6E1" w:rsidR="00B60659" w:rsidRPr="00B60659" w:rsidRDefault="00B60659" w:rsidP="00B60659">
      <w:pPr>
        <w:widowControl/>
        <w:suppressAutoHyphens/>
        <w:overflowPunct/>
        <w:autoSpaceDE/>
        <w:autoSpaceDN/>
        <w:adjustRightInd/>
        <w:spacing w:line="240" w:lineRule="atLeast"/>
        <w:ind w:left="0" w:right="567" w:firstLine="0"/>
        <w:textAlignment w:val="auto"/>
        <w:rPr>
          <w:b/>
          <w:u w:val="single"/>
          <w:lang w:eastAsia="en-US"/>
        </w:rPr>
      </w:pPr>
      <w:r w:rsidRPr="00B60659">
        <w:rPr>
          <w:b/>
          <w:u w:val="single"/>
          <w:lang w:eastAsia="en-US"/>
        </w:rPr>
        <w:t>Vorschl</w:t>
      </w:r>
      <w:r w:rsidR="00537CF5">
        <w:rPr>
          <w:b/>
          <w:u w:val="single"/>
          <w:lang w:eastAsia="en-US"/>
        </w:rPr>
        <w:t>a</w:t>
      </w:r>
      <w:r w:rsidRPr="00B60659">
        <w:rPr>
          <w:b/>
          <w:u w:val="single"/>
          <w:lang w:eastAsia="en-US"/>
        </w:rPr>
        <w:t>g:</w:t>
      </w:r>
    </w:p>
    <w:p w14:paraId="1B963914"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22A89AE8" w14:textId="6AA391AA"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r w:rsidRPr="00B60659">
        <w:rPr>
          <w:bCs/>
          <w:lang w:eastAsia="en-US"/>
        </w:rPr>
        <w:t>29.</w:t>
      </w:r>
      <w:r w:rsidRPr="00B60659">
        <w:rPr>
          <w:bCs/>
          <w:lang w:eastAsia="en-US"/>
        </w:rPr>
        <w:tab/>
        <w:t>In der englischen, der deutschen und der russischen Sprachfassung in Unterabschnitt 3.2.3.2 Tabelle C</w:t>
      </w:r>
      <w:r w:rsidRPr="00B60659" w:rsidDel="00C1252B">
        <w:rPr>
          <w:bCs/>
          <w:lang w:eastAsia="en-US"/>
        </w:rPr>
        <w:t xml:space="preserve"> </w:t>
      </w:r>
      <w:r w:rsidRPr="00B60659">
        <w:rPr>
          <w:bCs/>
          <w:lang w:eastAsia="en-US"/>
        </w:rPr>
        <w:t>bei UN 1972 „METHAN, TIEFGEKÜHLT oder ERDGAS, TIEFGEKÜHLT mit hohem Methangehalt“, bei welchem die Beförderung im Membrantank (G-2-4) geregelt wird, in Spalte (2) Benennung und Beschreibung jeweils nach „TIEFGEKÜHLT“ „, FLÜSSIG“ anfügen.</w:t>
      </w:r>
    </w:p>
    <w:p w14:paraId="394B755F"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1EE2951B"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r w:rsidRPr="00B60659">
        <w:rPr>
          <w:bCs/>
          <w:lang w:eastAsia="en-US"/>
        </w:rPr>
        <w:t>30.</w:t>
      </w:r>
      <w:r w:rsidRPr="00B60659">
        <w:rPr>
          <w:bCs/>
          <w:lang w:eastAsia="en-US"/>
        </w:rPr>
        <w:tab/>
        <w:t>Im Entscheidungsdiagramm, Unterabschnitt 3.2.3.3, und in den Zuordnungskriterien für die Stoffe, Unterabschnitt 3.2.4.3 L. in der deutschen Sprachfassung für Bemerkung 42 jeweils „TIEFGEHÜHLT“ durch „TIEFGEKÜHLT“ ersetzen.</w:t>
      </w:r>
    </w:p>
    <w:p w14:paraId="757EED3E" w14:textId="77777777" w:rsidR="00B60659" w:rsidRPr="00B60659" w:rsidRDefault="00B60659" w:rsidP="00B60659">
      <w:pPr>
        <w:widowControl/>
        <w:suppressAutoHyphens/>
        <w:overflowPunct/>
        <w:autoSpaceDE/>
        <w:autoSpaceDN/>
        <w:adjustRightInd/>
        <w:spacing w:line="240" w:lineRule="atLeast"/>
        <w:ind w:left="0" w:right="567" w:firstLine="0"/>
        <w:textAlignment w:val="auto"/>
        <w:rPr>
          <w:bCs/>
          <w:lang w:eastAsia="en-US"/>
        </w:rPr>
      </w:pPr>
    </w:p>
    <w:p w14:paraId="258CF0B9" w14:textId="21606BD2" w:rsidR="00751575" w:rsidRPr="00B60659" w:rsidRDefault="00B60659" w:rsidP="00B60659">
      <w:pPr>
        <w:tabs>
          <w:tab w:val="left" w:pos="567"/>
          <w:tab w:val="left" w:pos="1418"/>
        </w:tabs>
        <w:spacing w:line="240" w:lineRule="atLeast"/>
        <w:ind w:left="0" w:firstLine="0"/>
        <w:contextualSpacing/>
        <w:jc w:val="center"/>
      </w:pPr>
      <w:r w:rsidRPr="00B60659">
        <w:t>***</w:t>
      </w:r>
    </w:p>
    <w:sectPr w:rsidR="00751575" w:rsidRPr="00B60659" w:rsidSect="00596953">
      <w:headerReference w:type="even" r:id="rId9"/>
      <w:headerReference w:type="default" r:id="rId10"/>
      <w:footerReference w:type="even" r:id="rId11"/>
      <w:footerReference w:type="default" r:id="rId12"/>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FCC8" w14:textId="77777777" w:rsidR="000F17DE" w:rsidRDefault="000F17DE" w:rsidP="0011702A">
      <w:r>
        <w:separator/>
      </w:r>
    </w:p>
  </w:endnote>
  <w:endnote w:type="continuationSeparator" w:id="0">
    <w:p w14:paraId="00F26FFC" w14:textId="77777777" w:rsidR="000F17DE" w:rsidRDefault="000F17DE"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5040" w14:textId="77777777" w:rsidR="00055D7B" w:rsidRPr="00B60659" w:rsidRDefault="00055D7B" w:rsidP="00055D7B">
    <w:pPr>
      <w:suppressAutoHyphens/>
      <w:jc w:val="right"/>
      <w:rPr>
        <w:rFonts w:ascii="Arial" w:hAnsi="Arial" w:cs="Arial"/>
        <w:noProof/>
        <w:snapToGrid w:val="0"/>
        <w:sz w:val="12"/>
        <w:lang w:val="fr-FR"/>
      </w:rPr>
    </w:pPr>
    <w:r w:rsidRPr="00B60659">
      <w:rPr>
        <w:rFonts w:ascii="Arial" w:hAnsi="Arial" w:cs="Arial"/>
        <w:noProof/>
        <w:snapToGrid w:val="0"/>
        <w:sz w:val="12"/>
        <w:lang w:val="fr-FR"/>
      </w:rPr>
      <w:t>mm/adn_wp15_ac2_2023_</w:t>
    </w:r>
    <w:r>
      <w:rPr>
        <w:rFonts w:ascii="Arial" w:hAnsi="Arial" w:cs="Arial"/>
        <w:noProof/>
        <w:snapToGrid w:val="0"/>
        <w:sz w:val="12"/>
        <w:lang w:val="fr-FR"/>
      </w:rPr>
      <w:t>01</w:t>
    </w:r>
    <w:r w:rsidRPr="00B60659">
      <w:rPr>
        <w:rFonts w:ascii="Arial" w:hAnsi="Arial" w:cs="Arial"/>
        <w:noProof/>
        <w:snapToGrid w:val="0"/>
        <w:sz w:val="12"/>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148DC09B" w:rsidR="00455E11" w:rsidRPr="00B60659" w:rsidRDefault="00455E11" w:rsidP="00B60659">
    <w:pPr>
      <w:suppressAutoHyphens/>
      <w:jc w:val="right"/>
      <w:rPr>
        <w:rFonts w:ascii="Arial" w:hAnsi="Arial" w:cs="Arial"/>
        <w:noProof/>
        <w:snapToGrid w:val="0"/>
        <w:sz w:val="12"/>
        <w:lang w:val="fr-FR"/>
      </w:rPr>
    </w:pPr>
    <w:r w:rsidRPr="00B60659">
      <w:rPr>
        <w:rFonts w:ascii="Arial" w:hAnsi="Arial" w:cs="Arial"/>
        <w:noProof/>
        <w:snapToGrid w:val="0"/>
        <w:sz w:val="12"/>
        <w:lang w:val="fr-FR"/>
      </w:rPr>
      <w:t>mm/adn_wp15_ac2_2023_</w:t>
    </w:r>
    <w:r w:rsidR="00055D7B">
      <w:rPr>
        <w:rFonts w:ascii="Arial" w:hAnsi="Arial" w:cs="Arial"/>
        <w:noProof/>
        <w:snapToGrid w:val="0"/>
        <w:sz w:val="12"/>
        <w:lang w:val="fr-FR"/>
      </w:rPr>
      <w:t>01</w:t>
    </w:r>
    <w:r w:rsidRPr="00B60659">
      <w:rPr>
        <w:rFonts w:ascii="Arial" w:hAnsi="Arial" w:cs="Arial"/>
        <w:noProof/>
        <w:snapToGrid w:val="0"/>
        <w:sz w:val="12"/>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9130" w14:textId="77777777" w:rsidR="000F17DE" w:rsidRDefault="000F17DE" w:rsidP="0011702A">
      <w:r>
        <w:separator/>
      </w:r>
    </w:p>
  </w:footnote>
  <w:footnote w:type="continuationSeparator" w:id="0">
    <w:p w14:paraId="32A36D98" w14:textId="77777777" w:rsidR="000F17DE" w:rsidRDefault="000F17DE" w:rsidP="0011702A">
      <w:r>
        <w:continuationSeparator/>
      </w:r>
    </w:p>
  </w:footnote>
  <w:footnote w:id="1">
    <w:p w14:paraId="07BEBE07" w14:textId="27F2B356" w:rsidR="00B60659" w:rsidRPr="00B60659" w:rsidRDefault="00B60659" w:rsidP="00B60659">
      <w:pPr>
        <w:pStyle w:val="FootnoteText"/>
        <w:rPr>
          <w:sz w:val="16"/>
          <w:szCs w:val="16"/>
        </w:rPr>
      </w:pPr>
      <w:r w:rsidRPr="00B60659">
        <w:rPr>
          <w:rStyle w:val="FootnoteReference"/>
        </w:rPr>
        <w:tab/>
        <w:t>*</w:t>
      </w:r>
      <w:r w:rsidRPr="00B60659">
        <w:rPr>
          <w:rStyle w:val="FootnoteReference"/>
        </w:rPr>
        <w:tab/>
      </w:r>
      <w:r w:rsidRPr="00B60659">
        <w:rPr>
          <w:sz w:val="16"/>
          <w:szCs w:val="16"/>
        </w:rPr>
        <w:t>Von der UNECE in Englisch, Französisch und Russisch unter dem Aktenzeichen ECE/TRANS/WP.15/AC.2/2023/</w:t>
      </w:r>
      <w:r w:rsidR="00055D7B">
        <w:rPr>
          <w:sz w:val="16"/>
          <w:szCs w:val="16"/>
        </w:rPr>
        <w:t>1</w:t>
      </w:r>
      <w:r w:rsidRPr="00B60659">
        <w:rPr>
          <w:sz w:val="16"/>
          <w:szCs w:val="16"/>
        </w:rPr>
        <w:t>.</w:t>
      </w:r>
    </w:p>
  </w:footnote>
  <w:footnote w:id="2">
    <w:p w14:paraId="3B8CBB9B" w14:textId="77777777" w:rsidR="00B60659" w:rsidRPr="00B60659" w:rsidRDefault="00B60659" w:rsidP="00B60659">
      <w:pPr>
        <w:pStyle w:val="FootnoteText"/>
        <w:rPr>
          <w:sz w:val="16"/>
          <w:szCs w:val="16"/>
        </w:rPr>
      </w:pPr>
      <w:r w:rsidRPr="00B60659">
        <w:rPr>
          <w:rStyle w:val="FootnoteReference"/>
        </w:rPr>
        <w:tab/>
        <w:t>**</w:t>
      </w:r>
      <w:r w:rsidRPr="00B60659">
        <w:rPr>
          <w:rStyle w:val="FootnoteReference"/>
        </w:rPr>
        <w:tab/>
      </w:r>
      <w:r w:rsidRPr="00B60659">
        <w:rPr>
          <w:sz w:val="16"/>
          <w:szCs w:val="16"/>
        </w:rPr>
        <w:t>(A/76/6 (Kap. 20) Abs.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2F9C7E4F"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fr-FR"/>
      </w:rPr>
    </w:pPr>
    <w:r w:rsidRPr="00B60659">
      <w:rPr>
        <w:rFonts w:ascii="Arial" w:hAnsi="Arial"/>
        <w:snapToGrid w:val="0"/>
        <w:sz w:val="16"/>
        <w:szCs w:val="16"/>
        <w:lang w:val="fr-FR"/>
      </w:rPr>
      <w:t>CCNR-ZKR/ADN/WP.15/AC.2/</w:t>
    </w:r>
    <w:r w:rsidR="00D46495" w:rsidRPr="00B60659">
      <w:rPr>
        <w:rFonts w:ascii="Arial" w:hAnsi="Arial"/>
        <w:snapToGrid w:val="0"/>
        <w:sz w:val="16"/>
        <w:szCs w:val="16"/>
        <w:lang w:val="fr-FR"/>
      </w:rPr>
      <w:t>202</w:t>
    </w:r>
    <w:r w:rsidR="0043787C" w:rsidRPr="00B60659">
      <w:rPr>
        <w:rFonts w:ascii="Arial" w:hAnsi="Arial"/>
        <w:snapToGrid w:val="0"/>
        <w:sz w:val="16"/>
        <w:szCs w:val="16"/>
        <w:lang w:val="fr-FR"/>
      </w:rPr>
      <w:t>3</w:t>
    </w:r>
    <w:r w:rsidR="00D46495" w:rsidRPr="00B60659">
      <w:rPr>
        <w:rFonts w:ascii="Arial" w:hAnsi="Arial"/>
        <w:snapToGrid w:val="0"/>
        <w:sz w:val="16"/>
        <w:szCs w:val="16"/>
        <w:lang w:val="fr-FR"/>
      </w:rPr>
      <w:t>/</w:t>
    </w:r>
    <w:r w:rsidR="00055D7B">
      <w:rPr>
        <w:rFonts w:ascii="Arial" w:hAnsi="Arial"/>
        <w:snapToGrid w:val="0"/>
        <w:sz w:val="16"/>
        <w:szCs w:val="16"/>
        <w:lang w:val="fr-FR"/>
      </w:rPr>
      <w:t>1</w:t>
    </w:r>
  </w:p>
  <w:p w14:paraId="532A701C" w14:textId="77777777"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9767E1" w:rsidRPr="00B60659">
      <w:rPr>
        <w:rFonts w:ascii="Arial" w:hAnsi="Arial"/>
        <w:snapToGrid w:val="0"/>
        <w:sz w:val="16"/>
        <w:szCs w:val="16"/>
      </w:rPr>
      <w:t>2</w:t>
    </w:r>
    <w:r w:rsidRPr="00B60659">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0DFAF09E"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fr-FR"/>
      </w:rPr>
    </w:pPr>
    <w:r w:rsidRPr="00B60659">
      <w:rPr>
        <w:rFonts w:ascii="Arial" w:hAnsi="Arial"/>
        <w:snapToGrid w:val="0"/>
        <w:sz w:val="16"/>
        <w:szCs w:val="16"/>
        <w:lang w:val="fr-FR"/>
      </w:rPr>
      <w:t>CCNR-ZKR/ADN/WP.15/AC.2/202</w:t>
    </w:r>
    <w:r w:rsidR="0043787C" w:rsidRPr="00B60659">
      <w:rPr>
        <w:rFonts w:ascii="Arial" w:hAnsi="Arial"/>
        <w:snapToGrid w:val="0"/>
        <w:sz w:val="16"/>
        <w:szCs w:val="16"/>
        <w:lang w:val="fr-FR"/>
      </w:rPr>
      <w:t>3</w:t>
    </w:r>
    <w:r w:rsidRPr="00B60659">
      <w:rPr>
        <w:rFonts w:ascii="Arial" w:hAnsi="Arial"/>
        <w:snapToGrid w:val="0"/>
        <w:sz w:val="16"/>
        <w:szCs w:val="16"/>
        <w:lang w:val="fr-FR"/>
      </w:rPr>
      <w:t>/</w:t>
    </w:r>
    <w:r w:rsidR="00055D7B">
      <w:rPr>
        <w:rFonts w:ascii="Arial" w:hAnsi="Arial"/>
        <w:snapToGrid w:val="0"/>
        <w:sz w:val="16"/>
        <w:szCs w:val="16"/>
        <w:lang w:val="fr-FR"/>
      </w:rPr>
      <w:t>1</w:t>
    </w:r>
  </w:p>
  <w:p w14:paraId="526710C3" w14:textId="77777777"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C96029" w:rsidRPr="00B60659">
      <w:rPr>
        <w:rFonts w:ascii="Arial" w:hAnsi="Arial"/>
        <w:snapToGrid w:val="0"/>
        <w:sz w:val="16"/>
        <w:szCs w:val="16"/>
      </w:rPr>
      <w:t>3</w:t>
    </w:r>
    <w:r w:rsidRPr="00B6065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17B2F"/>
    <w:rsid w:val="00025C95"/>
    <w:rsid w:val="00026176"/>
    <w:rsid w:val="0003284B"/>
    <w:rsid w:val="00034828"/>
    <w:rsid w:val="00036FD5"/>
    <w:rsid w:val="000402D6"/>
    <w:rsid w:val="00041328"/>
    <w:rsid w:val="0004134B"/>
    <w:rsid w:val="000415F3"/>
    <w:rsid w:val="000432E3"/>
    <w:rsid w:val="00047E84"/>
    <w:rsid w:val="00052E7E"/>
    <w:rsid w:val="000543C2"/>
    <w:rsid w:val="00055D7B"/>
    <w:rsid w:val="000563D5"/>
    <w:rsid w:val="00056B10"/>
    <w:rsid w:val="00057DC8"/>
    <w:rsid w:val="0006299C"/>
    <w:rsid w:val="0007311B"/>
    <w:rsid w:val="00076F9A"/>
    <w:rsid w:val="00080275"/>
    <w:rsid w:val="00080F60"/>
    <w:rsid w:val="00084B40"/>
    <w:rsid w:val="00090A58"/>
    <w:rsid w:val="0009215A"/>
    <w:rsid w:val="00097410"/>
    <w:rsid w:val="0009790D"/>
    <w:rsid w:val="000A1A85"/>
    <w:rsid w:val="000A324C"/>
    <w:rsid w:val="000B3573"/>
    <w:rsid w:val="000C0CD6"/>
    <w:rsid w:val="000C108A"/>
    <w:rsid w:val="000C3DD0"/>
    <w:rsid w:val="000C4ACA"/>
    <w:rsid w:val="000C6E63"/>
    <w:rsid w:val="000C72ED"/>
    <w:rsid w:val="000C754F"/>
    <w:rsid w:val="000C795B"/>
    <w:rsid w:val="000D3D4C"/>
    <w:rsid w:val="000D4406"/>
    <w:rsid w:val="000D5D27"/>
    <w:rsid w:val="000D7FD6"/>
    <w:rsid w:val="000E4620"/>
    <w:rsid w:val="000E6786"/>
    <w:rsid w:val="000F17DE"/>
    <w:rsid w:val="000F6242"/>
    <w:rsid w:val="000F79E4"/>
    <w:rsid w:val="001013D7"/>
    <w:rsid w:val="001015D4"/>
    <w:rsid w:val="00103513"/>
    <w:rsid w:val="00106650"/>
    <w:rsid w:val="00106FC3"/>
    <w:rsid w:val="00113A60"/>
    <w:rsid w:val="00114102"/>
    <w:rsid w:val="0011545F"/>
    <w:rsid w:val="0011702A"/>
    <w:rsid w:val="0012236C"/>
    <w:rsid w:val="00126AA9"/>
    <w:rsid w:val="00131CD7"/>
    <w:rsid w:val="00132CD8"/>
    <w:rsid w:val="00143354"/>
    <w:rsid w:val="00144209"/>
    <w:rsid w:val="0014655C"/>
    <w:rsid w:val="001515D6"/>
    <w:rsid w:val="0015578B"/>
    <w:rsid w:val="00156782"/>
    <w:rsid w:val="001568F4"/>
    <w:rsid w:val="00156903"/>
    <w:rsid w:val="00156ACE"/>
    <w:rsid w:val="0016040C"/>
    <w:rsid w:val="0016468C"/>
    <w:rsid w:val="0016790C"/>
    <w:rsid w:val="001729A2"/>
    <w:rsid w:val="001735B9"/>
    <w:rsid w:val="001739E9"/>
    <w:rsid w:val="00176072"/>
    <w:rsid w:val="0017767A"/>
    <w:rsid w:val="001878DE"/>
    <w:rsid w:val="00190390"/>
    <w:rsid w:val="00197CF4"/>
    <w:rsid w:val="001A078E"/>
    <w:rsid w:val="001A791F"/>
    <w:rsid w:val="001B4F22"/>
    <w:rsid w:val="001B7B3E"/>
    <w:rsid w:val="001C0E5C"/>
    <w:rsid w:val="001C1D1B"/>
    <w:rsid w:val="001C303B"/>
    <w:rsid w:val="001C4ED8"/>
    <w:rsid w:val="001D1B0A"/>
    <w:rsid w:val="001D34F6"/>
    <w:rsid w:val="001E4D07"/>
    <w:rsid w:val="001E515F"/>
    <w:rsid w:val="0020240A"/>
    <w:rsid w:val="00202E6D"/>
    <w:rsid w:val="0020337F"/>
    <w:rsid w:val="00205465"/>
    <w:rsid w:val="002132D2"/>
    <w:rsid w:val="00221D05"/>
    <w:rsid w:val="00223DF9"/>
    <w:rsid w:val="00231D22"/>
    <w:rsid w:val="00235B56"/>
    <w:rsid w:val="00240203"/>
    <w:rsid w:val="002406C8"/>
    <w:rsid w:val="002421A1"/>
    <w:rsid w:val="002431F2"/>
    <w:rsid w:val="002460C4"/>
    <w:rsid w:val="00250FDB"/>
    <w:rsid w:val="00253DB1"/>
    <w:rsid w:val="002546D9"/>
    <w:rsid w:val="00255192"/>
    <w:rsid w:val="0027414F"/>
    <w:rsid w:val="002748A2"/>
    <w:rsid w:val="00280779"/>
    <w:rsid w:val="00283323"/>
    <w:rsid w:val="00290B95"/>
    <w:rsid w:val="00291CB3"/>
    <w:rsid w:val="002945CA"/>
    <w:rsid w:val="002A337E"/>
    <w:rsid w:val="002A53A6"/>
    <w:rsid w:val="002B0567"/>
    <w:rsid w:val="002B0630"/>
    <w:rsid w:val="002B3FEF"/>
    <w:rsid w:val="002B4C67"/>
    <w:rsid w:val="002B5AED"/>
    <w:rsid w:val="002C0469"/>
    <w:rsid w:val="002C382E"/>
    <w:rsid w:val="002C742A"/>
    <w:rsid w:val="002D1BFB"/>
    <w:rsid w:val="002D4720"/>
    <w:rsid w:val="002D7C79"/>
    <w:rsid w:val="002E2DAD"/>
    <w:rsid w:val="002E3745"/>
    <w:rsid w:val="002E3FE8"/>
    <w:rsid w:val="002E6A16"/>
    <w:rsid w:val="002E7227"/>
    <w:rsid w:val="002F4FC6"/>
    <w:rsid w:val="00303233"/>
    <w:rsid w:val="003033DD"/>
    <w:rsid w:val="00316D5A"/>
    <w:rsid w:val="0032045B"/>
    <w:rsid w:val="00320C5F"/>
    <w:rsid w:val="003233C8"/>
    <w:rsid w:val="00325D76"/>
    <w:rsid w:val="00326B14"/>
    <w:rsid w:val="00337284"/>
    <w:rsid w:val="00342BA1"/>
    <w:rsid w:val="003439FC"/>
    <w:rsid w:val="00344C19"/>
    <w:rsid w:val="00351F70"/>
    <w:rsid w:val="00357412"/>
    <w:rsid w:val="0036082D"/>
    <w:rsid w:val="00361725"/>
    <w:rsid w:val="00363525"/>
    <w:rsid w:val="0036362E"/>
    <w:rsid w:val="00364E68"/>
    <w:rsid w:val="003702C7"/>
    <w:rsid w:val="0037328B"/>
    <w:rsid w:val="0038428F"/>
    <w:rsid w:val="003866B8"/>
    <w:rsid w:val="00386A42"/>
    <w:rsid w:val="00387545"/>
    <w:rsid w:val="00394763"/>
    <w:rsid w:val="00395742"/>
    <w:rsid w:val="00397E52"/>
    <w:rsid w:val="003A2337"/>
    <w:rsid w:val="003B23DA"/>
    <w:rsid w:val="003C0CEA"/>
    <w:rsid w:val="003C61C4"/>
    <w:rsid w:val="003D3605"/>
    <w:rsid w:val="003D5B9B"/>
    <w:rsid w:val="003D7BD0"/>
    <w:rsid w:val="003E328C"/>
    <w:rsid w:val="003E6E61"/>
    <w:rsid w:val="003F334D"/>
    <w:rsid w:val="00400ADD"/>
    <w:rsid w:val="00401179"/>
    <w:rsid w:val="0040118C"/>
    <w:rsid w:val="0040293E"/>
    <w:rsid w:val="00405327"/>
    <w:rsid w:val="00406965"/>
    <w:rsid w:val="00410285"/>
    <w:rsid w:val="00415794"/>
    <w:rsid w:val="004176F9"/>
    <w:rsid w:val="00427609"/>
    <w:rsid w:val="00427804"/>
    <w:rsid w:val="00430CD0"/>
    <w:rsid w:val="00432779"/>
    <w:rsid w:val="00432C11"/>
    <w:rsid w:val="0043787C"/>
    <w:rsid w:val="00442166"/>
    <w:rsid w:val="00446085"/>
    <w:rsid w:val="0045323C"/>
    <w:rsid w:val="0045350F"/>
    <w:rsid w:val="00454151"/>
    <w:rsid w:val="0045596C"/>
    <w:rsid w:val="00455E11"/>
    <w:rsid w:val="00464867"/>
    <w:rsid w:val="00466FB5"/>
    <w:rsid w:val="00472198"/>
    <w:rsid w:val="004819A4"/>
    <w:rsid w:val="0048292C"/>
    <w:rsid w:val="00483272"/>
    <w:rsid w:val="004847DC"/>
    <w:rsid w:val="00492FA6"/>
    <w:rsid w:val="0049785E"/>
    <w:rsid w:val="004A0752"/>
    <w:rsid w:val="004A3FE7"/>
    <w:rsid w:val="004A46B8"/>
    <w:rsid w:val="004B0D93"/>
    <w:rsid w:val="004B25CA"/>
    <w:rsid w:val="004B7EA6"/>
    <w:rsid w:val="004C18DE"/>
    <w:rsid w:val="004D23FB"/>
    <w:rsid w:val="004D323E"/>
    <w:rsid w:val="004E622A"/>
    <w:rsid w:val="004E6811"/>
    <w:rsid w:val="004F3B7F"/>
    <w:rsid w:val="004F4DE3"/>
    <w:rsid w:val="004F5608"/>
    <w:rsid w:val="004F7A39"/>
    <w:rsid w:val="005030D3"/>
    <w:rsid w:val="0051114B"/>
    <w:rsid w:val="0051476B"/>
    <w:rsid w:val="00514AB7"/>
    <w:rsid w:val="0051535A"/>
    <w:rsid w:val="00534340"/>
    <w:rsid w:val="00537CF5"/>
    <w:rsid w:val="00540161"/>
    <w:rsid w:val="00540683"/>
    <w:rsid w:val="005533B4"/>
    <w:rsid w:val="00561447"/>
    <w:rsid w:val="0056152E"/>
    <w:rsid w:val="0056605A"/>
    <w:rsid w:val="00573D3E"/>
    <w:rsid w:val="0057786D"/>
    <w:rsid w:val="0058025F"/>
    <w:rsid w:val="00582B60"/>
    <w:rsid w:val="00583496"/>
    <w:rsid w:val="00584069"/>
    <w:rsid w:val="00585999"/>
    <w:rsid w:val="00586819"/>
    <w:rsid w:val="00591A7D"/>
    <w:rsid w:val="00593E26"/>
    <w:rsid w:val="00595C5C"/>
    <w:rsid w:val="00596953"/>
    <w:rsid w:val="005A1A44"/>
    <w:rsid w:val="005A20E4"/>
    <w:rsid w:val="005A5B6A"/>
    <w:rsid w:val="005B6280"/>
    <w:rsid w:val="005C2ECA"/>
    <w:rsid w:val="005C558D"/>
    <w:rsid w:val="005C7246"/>
    <w:rsid w:val="005E1804"/>
    <w:rsid w:val="005E5EF7"/>
    <w:rsid w:val="005F26AD"/>
    <w:rsid w:val="005F3476"/>
    <w:rsid w:val="005F58DF"/>
    <w:rsid w:val="0060269E"/>
    <w:rsid w:val="00602860"/>
    <w:rsid w:val="006047AC"/>
    <w:rsid w:val="00607B11"/>
    <w:rsid w:val="006105FE"/>
    <w:rsid w:val="00611C20"/>
    <w:rsid w:val="006157A9"/>
    <w:rsid w:val="00616CDB"/>
    <w:rsid w:val="00620049"/>
    <w:rsid w:val="00620982"/>
    <w:rsid w:val="00622293"/>
    <w:rsid w:val="006256AF"/>
    <w:rsid w:val="00626C86"/>
    <w:rsid w:val="00630422"/>
    <w:rsid w:val="00635F4A"/>
    <w:rsid w:val="00641D0E"/>
    <w:rsid w:val="00642215"/>
    <w:rsid w:val="00643AEA"/>
    <w:rsid w:val="00651386"/>
    <w:rsid w:val="00651558"/>
    <w:rsid w:val="0066312D"/>
    <w:rsid w:val="00663395"/>
    <w:rsid w:val="006639F3"/>
    <w:rsid w:val="00666284"/>
    <w:rsid w:val="00670028"/>
    <w:rsid w:val="006739C8"/>
    <w:rsid w:val="00687752"/>
    <w:rsid w:val="0069164E"/>
    <w:rsid w:val="006920A8"/>
    <w:rsid w:val="006924C5"/>
    <w:rsid w:val="006970A1"/>
    <w:rsid w:val="006A0959"/>
    <w:rsid w:val="006A1747"/>
    <w:rsid w:val="006A507B"/>
    <w:rsid w:val="006A598F"/>
    <w:rsid w:val="006A73AD"/>
    <w:rsid w:val="006A7F94"/>
    <w:rsid w:val="006B51FD"/>
    <w:rsid w:val="006B57B7"/>
    <w:rsid w:val="006B5F03"/>
    <w:rsid w:val="006B7C55"/>
    <w:rsid w:val="006C6A7F"/>
    <w:rsid w:val="006D594B"/>
    <w:rsid w:val="006E10F5"/>
    <w:rsid w:val="006F3126"/>
    <w:rsid w:val="006F3C42"/>
    <w:rsid w:val="006F4A9E"/>
    <w:rsid w:val="0070287D"/>
    <w:rsid w:val="00702BE6"/>
    <w:rsid w:val="00706883"/>
    <w:rsid w:val="007147BF"/>
    <w:rsid w:val="007225A1"/>
    <w:rsid w:val="00741D8D"/>
    <w:rsid w:val="00742BD3"/>
    <w:rsid w:val="00742E01"/>
    <w:rsid w:val="00751575"/>
    <w:rsid w:val="00754516"/>
    <w:rsid w:val="00760FB2"/>
    <w:rsid w:val="007705CB"/>
    <w:rsid w:val="00773B7E"/>
    <w:rsid w:val="0079124E"/>
    <w:rsid w:val="00792E94"/>
    <w:rsid w:val="00794CE8"/>
    <w:rsid w:val="007A19A7"/>
    <w:rsid w:val="007A3544"/>
    <w:rsid w:val="007A584D"/>
    <w:rsid w:val="007B200A"/>
    <w:rsid w:val="007B35E7"/>
    <w:rsid w:val="007B5D5A"/>
    <w:rsid w:val="007C1775"/>
    <w:rsid w:val="007C1AA7"/>
    <w:rsid w:val="007D1EF9"/>
    <w:rsid w:val="007D2FA0"/>
    <w:rsid w:val="007D6265"/>
    <w:rsid w:val="007E4902"/>
    <w:rsid w:val="007E7F2A"/>
    <w:rsid w:val="00805AEB"/>
    <w:rsid w:val="00810504"/>
    <w:rsid w:val="0081450F"/>
    <w:rsid w:val="008149EA"/>
    <w:rsid w:val="00820289"/>
    <w:rsid w:val="00826787"/>
    <w:rsid w:val="00830EC1"/>
    <w:rsid w:val="00834438"/>
    <w:rsid w:val="00835551"/>
    <w:rsid w:val="00836749"/>
    <w:rsid w:val="00837FB8"/>
    <w:rsid w:val="00841328"/>
    <w:rsid w:val="00854209"/>
    <w:rsid w:val="0086266B"/>
    <w:rsid w:val="0086477D"/>
    <w:rsid w:val="008650FC"/>
    <w:rsid w:val="008677BA"/>
    <w:rsid w:val="0087179D"/>
    <w:rsid w:val="00876F50"/>
    <w:rsid w:val="00894221"/>
    <w:rsid w:val="00896081"/>
    <w:rsid w:val="008967B7"/>
    <w:rsid w:val="008A42A5"/>
    <w:rsid w:val="008A6928"/>
    <w:rsid w:val="008A6D40"/>
    <w:rsid w:val="008B3106"/>
    <w:rsid w:val="008B6668"/>
    <w:rsid w:val="008B7C4B"/>
    <w:rsid w:val="008C42D5"/>
    <w:rsid w:val="008D3CEC"/>
    <w:rsid w:val="008F283A"/>
    <w:rsid w:val="008F4B57"/>
    <w:rsid w:val="00901FC4"/>
    <w:rsid w:val="00903D48"/>
    <w:rsid w:val="0090748A"/>
    <w:rsid w:val="00912A46"/>
    <w:rsid w:val="00915307"/>
    <w:rsid w:val="009411AB"/>
    <w:rsid w:val="009422FA"/>
    <w:rsid w:val="0094594F"/>
    <w:rsid w:val="00946D8A"/>
    <w:rsid w:val="00953866"/>
    <w:rsid w:val="009629E6"/>
    <w:rsid w:val="00962E31"/>
    <w:rsid w:val="00965DC5"/>
    <w:rsid w:val="00966CE6"/>
    <w:rsid w:val="00975B09"/>
    <w:rsid w:val="009767E1"/>
    <w:rsid w:val="009771C0"/>
    <w:rsid w:val="009777E8"/>
    <w:rsid w:val="00981397"/>
    <w:rsid w:val="0098158C"/>
    <w:rsid w:val="00987D27"/>
    <w:rsid w:val="0099031A"/>
    <w:rsid w:val="0099097A"/>
    <w:rsid w:val="00991BA0"/>
    <w:rsid w:val="00992A56"/>
    <w:rsid w:val="009A4FC8"/>
    <w:rsid w:val="009B3B1B"/>
    <w:rsid w:val="009C228D"/>
    <w:rsid w:val="009C79C4"/>
    <w:rsid w:val="009E0ED9"/>
    <w:rsid w:val="009E281C"/>
    <w:rsid w:val="009E3EBD"/>
    <w:rsid w:val="009E795B"/>
    <w:rsid w:val="009F2DD9"/>
    <w:rsid w:val="00A0030F"/>
    <w:rsid w:val="00A005D6"/>
    <w:rsid w:val="00A0311E"/>
    <w:rsid w:val="00A05AB3"/>
    <w:rsid w:val="00A05C9B"/>
    <w:rsid w:val="00A0723D"/>
    <w:rsid w:val="00A1154E"/>
    <w:rsid w:val="00A12E60"/>
    <w:rsid w:val="00A1389E"/>
    <w:rsid w:val="00A20E79"/>
    <w:rsid w:val="00A21A7D"/>
    <w:rsid w:val="00A25483"/>
    <w:rsid w:val="00A2645D"/>
    <w:rsid w:val="00A27409"/>
    <w:rsid w:val="00A3038F"/>
    <w:rsid w:val="00A34A45"/>
    <w:rsid w:val="00A43936"/>
    <w:rsid w:val="00A53208"/>
    <w:rsid w:val="00A57CE8"/>
    <w:rsid w:val="00A62126"/>
    <w:rsid w:val="00A71FAE"/>
    <w:rsid w:val="00A73F86"/>
    <w:rsid w:val="00A77993"/>
    <w:rsid w:val="00A77C4E"/>
    <w:rsid w:val="00A81D2D"/>
    <w:rsid w:val="00A917C1"/>
    <w:rsid w:val="00A94B80"/>
    <w:rsid w:val="00A952F9"/>
    <w:rsid w:val="00AB0162"/>
    <w:rsid w:val="00AB23F2"/>
    <w:rsid w:val="00AB6055"/>
    <w:rsid w:val="00AB6CAD"/>
    <w:rsid w:val="00AC1577"/>
    <w:rsid w:val="00AC3059"/>
    <w:rsid w:val="00AC79AA"/>
    <w:rsid w:val="00AD1D10"/>
    <w:rsid w:val="00AD68F2"/>
    <w:rsid w:val="00AD69C2"/>
    <w:rsid w:val="00AE50D2"/>
    <w:rsid w:val="00AE73A7"/>
    <w:rsid w:val="00AE7E9E"/>
    <w:rsid w:val="00AF6E21"/>
    <w:rsid w:val="00B02145"/>
    <w:rsid w:val="00B041A6"/>
    <w:rsid w:val="00B11AE6"/>
    <w:rsid w:val="00B152A7"/>
    <w:rsid w:val="00B17A75"/>
    <w:rsid w:val="00B2269A"/>
    <w:rsid w:val="00B26810"/>
    <w:rsid w:val="00B27A21"/>
    <w:rsid w:val="00B30626"/>
    <w:rsid w:val="00B40836"/>
    <w:rsid w:val="00B41BB5"/>
    <w:rsid w:val="00B45122"/>
    <w:rsid w:val="00B4533C"/>
    <w:rsid w:val="00B47F6F"/>
    <w:rsid w:val="00B60659"/>
    <w:rsid w:val="00B71545"/>
    <w:rsid w:val="00B737F6"/>
    <w:rsid w:val="00B7461E"/>
    <w:rsid w:val="00B76631"/>
    <w:rsid w:val="00B80DBC"/>
    <w:rsid w:val="00B81581"/>
    <w:rsid w:val="00B81860"/>
    <w:rsid w:val="00B87AB9"/>
    <w:rsid w:val="00B91D33"/>
    <w:rsid w:val="00B92BF7"/>
    <w:rsid w:val="00B9368D"/>
    <w:rsid w:val="00B940F8"/>
    <w:rsid w:val="00BA2F7E"/>
    <w:rsid w:val="00BA358B"/>
    <w:rsid w:val="00BA3F1F"/>
    <w:rsid w:val="00BA6693"/>
    <w:rsid w:val="00BB165F"/>
    <w:rsid w:val="00BB2346"/>
    <w:rsid w:val="00BC00D3"/>
    <w:rsid w:val="00BC0C56"/>
    <w:rsid w:val="00BC224B"/>
    <w:rsid w:val="00BC453B"/>
    <w:rsid w:val="00BC4EC9"/>
    <w:rsid w:val="00BD6076"/>
    <w:rsid w:val="00BD77CE"/>
    <w:rsid w:val="00BF2066"/>
    <w:rsid w:val="00BF414C"/>
    <w:rsid w:val="00BF6A72"/>
    <w:rsid w:val="00BF7D16"/>
    <w:rsid w:val="00C01D3D"/>
    <w:rsid w:val="00C05BE8"/>
    <w:rsid w:val="00C05CED"/>
    <w:rsid w:val="00C1252B"/>
    <w:rsid w:val="00C161A1"/>
    <w:rsid w:val="00C16233"/>
    <w:rsid w:val="00C24FA8"/>
    <w:rsid w:val="00C27690"/>
    <w:rsid w:val="00C3512B"/>
    <w:rsid w:val="00C42401"/>
    <w:rsid w:val="00C4703A"/>
    <w:rsid w:val="00C47775"/>
    <w:rsid w:val="00C509C1"/>
    <w:rsid w:val="00C532C5"/>
    <w:rsid w:val="00C64A71"/>
    <w:rsid w:val="00C7003A"/>
    <w:rsid w:val="00C7159B"/>
    <w:rsid w:val="00C7193B"/>
    <w:rsid w:val="00C72A39"/>
    <w:rsid w:val="00C75520"/>
    <w:rsid w:val="00C801B5"/>
    <w:rsid w:val="00C82985"/>
    <w:rsid w:val="00C90787"/>
    <w:rsid w:val="00C93A09"/>
    <w:rsid w:val="00C942C1"/>
    <w:rsid w:val="00C945EC"/>
    <w:rsid w:val="00C95218"/>
    <w:rsid w:val="00C96029"/>
    <w:rsid w:val="00CA2B03"/>
    <w:rsid w:val="00CA71CC"/>
    <w:rsid w:val="00CB17EE"/>
    <w:rsid w:val="00CB257D"/>
    <w:rsid w:val="00CC62F9"/>
    <w:rsid w:val="00CD1C39"/>
    <w:rsid w:val="00CD7A4F"/>
    <w:rsid w:val="00CE1F32"/>
    <w:rsid w:val="00CE293A"/>
    <w:rsid w:val="00CE549B"/>
    <w:rsid w:val="00CE77BC"/>
    <w:rsid w:val="00CF2359"/>
    <w:rsid w:val="00CF3E33"/>
    <w:rsid w:val="00CF645B"/>
    <w:rsid w:val="00D03FC5"/>
    <w:rsid w:val="00D04647"/>
    <w:rsid w:val="00D048ED"/>
    <w:rsid w:val="00D064E0"/>
    <w:rsid w:val="00D12EA3"/>
    <w:rsid w:val="00D16A29"/>
    <w:rsid w:val="00D20ACE"/>
    <w:rsid w:val="00D218BF"/>
    <w:rsid w:val="00D2514D"/>
    <w:rsid w:val="00D32C3C"/>
    <w:rsid w:val="00D33B77"/>
    <w:rsid w:val="00D35074"/>
    <w:rsid w:val="00D362FF"/>
    <w:rsid w:val="00D4056A"/>
    <w:rsid w:val="00D46495"/>
    <w:rsid w:val="00D474F4"/>
    <w:rsid w:val="00D510D9"/>
    <w:rsid w:val="00D52AF0"/>
    <w:rsid w:val="00D52F95"/>
    <w:rsid w:val="00D53E0F"/>
    <w:rsid w:val="00D566C8"/>
    <w:rsid w:val="00D6320C"/>
    <w:rsid w:val="00D65991"/>
    <w:rsid w:val="00D7150D"/>
    <w:rsid w:val="00D80CB1"/>
    <w:rsid w:val="00D8467E"/>
    <w:rsid w:val="00D85731"/>
    <w:rsid w:val="00D9039B"/>
    <w:rsid w:val="00D92E0F"/>
    <w:rsid w:val="00D97C9F"/>
    <w:rsid w:val="00DA0AF9"/>
    <w:rsid w:val="00DA1F54"/>
    <w:rsid w:val="00DA28E2"/>
    <w:rsid w:val="00DA312C"/>
    <w:rsid w:val="00DA3AF6"/>
    <w:rsid w:val="00DA541A"/>
    <w:rsid w:val="00DB2F25"/>
    <w:rsid w:val="00DB57E7"/>
    <w:rsid w:val="00DC66D9"/>
    <w:rsid w:val="00DD2ED1"/>
    <w:rsid w:val="00DE103A"/>
    <w:rsid w:val="00DE554A"/>
    <w:rsid w:val="00DF426C"/>
    <w:rsid w:val="00DF7632"/>
    <w:rsid w:val="00E0097F"/>
    <w:rsid w:val="00E040C4"/>
    <w:rsid w:val="00E1103A"/>
    <w:rsid w:val="00E13946"/>
    <w:rsid w:val="00E14568"/>
    <w:rsid w:val="00E17E95"/>
    <w:rsid w:val="00E22556"/>
    <w:rsid w:val="00E22CBB"/>
    <w:rsid w:val="00E236E5"/>
    <w:rsid w:val="00E23FA8"/>
    <w:rsid w:val="00E240AE"/>
    <w:rsid w:val="00E240C7"/>
    <w:rsid w:val="00E2599A"/>
    <w:rsid w:val="00E30C9D"/>
    <w:rsid w:val="00E33DCE"/>
    <w:rsid w:val="00E35FEC"/>
    <w:rsid w:val="00E40062"/>
    <w:rsid w:val="00E41FC9"/>
    <w:rsid w:val="00E45BA1"/>
    <w:rsid w:val="00E505C6"/>
    <w:rsid w:val="00E521C8"/>
    <w:rsid w:val="00E619C6"/>
    <w:rsid w:val="00E626D1"/>
    <w:rsid w:val="00E66171"/>
    <w:rsid w:val="00E73800"/>
    <w:rsid w:val="00E82CF7"/>
    <w:rsid w:val="00E86945"/>
    <w:rsid w:val="00E86C83"/>
    <w:rsid w:val="00E8770E"/>
    <w:rsid w:val="00E93819"/>
    <w:rsid w:val="00EA0422"/>
    <w:rsid w:val="00EA2C25"/>
    <w:rsid w:val="00EA7A70"/>
    <w:rsid w:val="00EB4ADF"/>
    <w:rsid w:val="00EB4D3D"/>
    <w:rsid w:val="00EB5EF1"/>
    <w:rsid w:val="00EC05BE"/>
    <w:rsid w:val="00EC2C52"/>
    <w:rsid w:val="00ED1827"/>
    <w:rsid w:val="00ED49D7"/>
    <w:rsid w:val="00ED557F"/>
    <w:rsid w:val="00EE4226"/>
    <w:rsid w:val="00EE457F"/>
    <w:rsid w:val="00EE5CAB"/>
    <w:rsid w:val="00EF00ED"/>
    <w:rsid w:val="00EF022A"/>
    <w:rsid w:val="00EF6C77"/>
    <w:rsid w:val="00EF7231"/>
    <w:rsid w:val="00F07812"/>
    <w:rsid w:val="00F10D47"/>
    <w:rsid w:val="00F12E99"/>
    <w:rsid w:val="00F24CA4"/>
    <w:rsid w:val="00F26C2C"/>
    <w:rsid w:val="00F31FEF"/>
    <w:rsid w:val="00F330E1"/>
    <w:rsid w:val="00F42DC0"/>
    <w:rsid w:val="00F4792F"/>
    <w:rsid w:val="00F52363"/>
    <w:rsid w:val="00F524CA"/>
    <w:rsid w:val="00F52E19"/>
    <w:rsid w:val="00F54B5E"/>
    <w:rsid w:val="00F55DD3"/>
    <w:rsid w:val="00F607DC"/>
    <w:rsid w:val="00F632C8"/>
    <w:rsid w:val="00F63BC2"/>
    <w:rsid w:val="00F70B1D"/>
    <w:rsid w:val="00F70D98"/>
    <w:rsid w:val="00F736DE"/>
    <w:rsid w:val="00F74646"/>
    <w:rsid w:val="00F75328"/>
    <w:rsid w:val="00F778C8"/>
    <w:rsid w:val="00F801E0"/>
    <w:rsid w:val="00F812E0"/>
    <w:rsid w:val="00F81C5B"/>
    <w:rsid w:val="00F820DA"/>
    <w:rsid w:val="00F8608C"/>
    <w:rsid w:val="00F87B83"/>
    <w:rsid w:val="00F92BF9"/>
    <w:rsid w:val="00F93402"/>
    <w:rsid w:val="00FA2262"/>
    <w:rsid w:val="00FA5DB6"/>
    <w:rsid w:val="00FA6782"/>
    <w:rsid w:val="00FA6888"/>
    <w:rsid w:val="00FA712F"/>
    <w:rsid w:val="00FB0778"/>
    <w:rsid w:val="00FB305A"/>
    <w:rsid w:val="00FB48D2"/>
    <w:rsid w:val="00FC031B"/>
    <w:rsid w:val="00FC032F"/>
    <w:rsid w:val="00FC2D7D"/>
    <w:rsid w:val="00FC5E77"/>
    <w:rsid w:val="00FC7393"/>
    <w:rsid w:val="00FC7DE1"/>
    <w:rsid w:val="00FD17D7"/>
    <w:rsid w:val="00FD4BC8"/>
    <w:rsid w:val="00FE2E51"/>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Heading2">
    <w:name w:val="heading 2"/>
    <w:basedOn w:val="Normal"/>
    <w:link w:val="Heading2Ch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Heading3">
    <w:name w:val="heading 3"/>
    <w:basedOn w:val="Normal"/>
    <w:next w:val="Normal"/>
    <w:link w:val="Heading3Ch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aliases w:val="5_G"/>
    <w:basedOn w:val="Normal"/>
    <w:link w:val="FootnoteTextChar"/>
    <w:qFormat/>
    <w:rsid w:val="00596953"/>
  </w:style>
  <w:style w:type="character" w:customStyle="1" w:styleId="FootnoteTextChar">
    <w:name w:val="Footnote Text Char"/>
    <w:aliases w:val="5_G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DefaultParagraphFon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Heading2Char">
    <w:name w:val="Heading 2 Char"/>
    <w:basedOn w:val="DefaultParagraphFont"/>
    <w:link w:val="Heading2"/>
    <w:uiPriority w:val="9"/>
    <w:rsid w:val="00017B2F"/>
    <w:rPr>
      <w:b/>
      <w:bCs/>
      <w:sz w:val="36"/>
      <w:szCs w:val="36"/>
    </w:rPr>
  </w:style>
  <w:style w:type="character" w:customStyle="1" w:styleId="Heading3Char">
    <w:name w:val="Heading 3 Char"/>
    <w:basedOn w:val="DefaultParagraphFont"/>
    <w:link w:val="Heading3"/>
    <w:semiHidden/>
    <w:rsid w:val="00ED1827"/>
    <w:rPr>
      <w:rFonts w:asciiTheme="majorHAnsi" w:eastAsiaTheme="majorEastAsia" w:hAnsiTheme="majorHAnsi" w:cstheme="majorBidi"/>
      <w:b/>
      <w:bCs/>
      <w:color w:val="4F81BD" w:themeColor="accent1"/>
      <w:lang w:eastAsia="fr-FR"/>
    </w:rPr>
  </w:style>
  <w:style w:type="character" w:customStyle="1" w:styleId="Heading5Char">
    <w:name w:val="Heading 5 Char"/>
    <w:basedOn w:val="DefaultParagraphFont"/>
    <w:link w:val="Heading5"/>
    <w:rsid w:val="00ED1827"/>
    <w:rPr>
      <w:rFonts w:asciiTheme="majorHAnsi" w:eastAsiaTheme="majorEastAsia" w:hAnsiTheme="majorHAnsi" w:cstheme="majorBidi"/>
      <w:color w:val="243F60" w:themeColor="accent1" w:themeShade="7F"/>
      <w:lang w:eastAsia="fr-FR"/>
    </w:rPr>
  </w:style>
  <w:style w:type="character" w:styleId="Emphasis">
    <w:name w:val="Emphasis"/>
    <w:basedOn w:val="DefaultParagraphFont"/>
    <w:qFormat/>
    <w:rsid w:val="00ED1827"/>
    <w:rPr>
      <w:i/>
      <w:iCs/>
    </w:rPr>
  </w:style>
  <w:style w:type="paragraph" w:styleId="NoSpacing">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evision">
    <w:name w:val="Revision"/>
    <w:hidden/>
    <w:uiPriority w:val="99"/>
    <w:semiHidden/>
    <w:rsid w:val="00C942C1"/>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1403</Words>
  <Characters>8934</Characters>
  <Application>Microsoft Office Word</Application>
  <DocSecurity>4</DocSecurity>
  <Lines>74</Lines>
  <Paragraphs>20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BMVBS</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ND</cp:lastModifiedBy>
  <cp:revision>2</cp:revision>
  <cp:lastPrinted>2017-06-06T08:16:00Z</cp:lastPrinted>
  <dcterms:created xsi:type="dcterms:W3CDTF">2022-11-14T18:07:00Z</dcterms:created>
  <dcterms:modified xsi:type="dcterms:W3CDTF">2022-11-14T18:07:00Z</dcterms:modified>
</cp:coreProperties>
</file>