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7B857FB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CD18398" w14:textId="77777777" w:rsidR="00132EA9" w:rsidRPr="00DB58B5" w:rsidRDefault="00132EA9" w:rsidP="000B71A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B2416D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84B8F4" w14:textId="4333F658" w:rsidR="00132EA9" w:rsidRPr="00DB58B5" w:rsidRDefault="000B71A7" w:rsidP="000B71A7">
            <w:pPr>
              <w:jc w:val="right"/>
            </w:pPr>
            <w:r w:rsidRPr="000B71A7">
              <w:rPr>
                <w:sz w:val="40"/>
              </w:rPr>
              <w:t>ST</w:t>
            </w:r>
            <w:r>
              <w:t>/SG/AC.10/C.4/85</w:t>
            </w:r>
          </w:p>
        </w:tc>
      </w:tr>
      <w:tr w:rsidR="00132EA9" w:rsidRPr="00DB58B5" w14:paraId="7A4C257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143564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15B23D" wp14:editId="37638DB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5104CF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BAC88A" w14:textId="77777777" w:rsidR="00132EA9" w:rsidRDefault="000B71A7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DB20E50" w14:textId="77777777" w:rsidR="000B71A7" w:rsidRDefault="000B71A7" w:rsidP="000B71A7">
            <w:pPr>
              <w:spacing w:line="240" w:lineRule="exact"/>
            </w:pPr>
            <w:r>
              <w:t>16 août 2022</w:t>
            </w:r>
          </w:p>
          <w:p w14:paraId="60FFDF15" w14:textId="77777777" w:rsidR="000B71A7" w:rsidRDefault="000B71A7" w:rsidP="000B71A7">
            <w:pPr>
              <w:spacing w:line="240" w:lineRule="exact"/>
            </w:pPr>
            <w:r>
              <w:t>Français</w:t>
            </w:r>
          </w:p>
          <w:p w14:paraId="6F325DFA" w14:textId="4608D0F3" w:rsidR="000B71A7" w:rsidRPr="00DB58B5" w:rsidRDefault="000B71A7" w:rsidP="000B71A7">
            <w:pPr>
              <w:spacing w:line="240" w:lineRule="exact"/>
            </w:pPr>
            <w:r>
              <w:t>Original : anglais</w:t>
            </w:r>
          </w:p>
        </w:tc>
      </w:tr>
    </w:tbl>
    <w:p w14:paraId="2FE1AF63" w14:textId="0642CF21" w:rsidR="000B71A7" w:rsidRPr="000B71A7" w:rsidRDefault="000B71A7" w:rsidP="000B71A7">
      <w:pPr>
        <w:spacing w:before="120"/>
        <w:rPr>
          <w:b/>
          <w:sz w:val="24"/>
          <w:szCs w:val="24"/>
        </w:rPr>
      </w:pPr>
      <w:r w:rsidRPr="000B71A7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0B71A7">
        <w:rPr>
          <w:b/>
          <w:bCs/>
          <w:sz w:val="24"/>
          <w:szCs w:val="24"/>
          <w:lang w:val="fr-FR"/>
        </w:rPr>
        <w:t xml:space="preserve">dangereuses et du Système général harmonisé de </w:t>
      </w:r>
      <w:r>
        <w:rPr>
          <w:b/>
          <w:bCs/>
          <w:sz w:val="24"/>
          <w:szCs w:val="24"/>
          <w:lang w:val="fr-FR"/>
        </w:rPr>
        <w:br/>
      </w:r>
      <w:r w:rsidRPr="000B71A7">
        <w:rPr>
          <w:b/>
          <w:bCs/>
          <w:sz w:val="24"/>
          <w:szCs w:val="24"/>
          <w:lang w:val="fr-FR"/>
        </w:rPr>
        <w:t>classification et d’étiquetage des produits chimiques</w:t>
      </w:r>
    </w:p>
    <w:p w14:paraId="00123CBD" w14:textId="31594F5E" w:rsidR="000B71A7" w:rsidRPr="000B71A7" w:rsidRDefault="000B71A7" w:rsidP="000B71A7">
      <w:pPr>
        <w:spacing w:before="120"/>
        <w:rPr>
          <w:b/>
          <w:bCs/>
          <w:color w:val="000000"/>
        </w:rPr>
      </w:pPr>
      <w:r w:rsidRPr="000B71A7">
        <w:rPr>
          <w:b/>
          <w:bCs/>
          <w:lang w:val="fr-FR"/>
        </w:rPr>
        <w:t xml:space="preserve">Sous-Comité d’experts du Système général harmonisé </w:t>
      </w:r>
      <w:r>
        <w:rPr>
          <w:b/>
          <w:bCs/>
          <w:lang w:val="fr-FR"/>
        </w:rPr>
        <w:br/>
      </w:r>
      <w:r w:rsidRPr="000B71A7">
        <w:rPr>
          <w:b/>
          <w:bCs/>
          <w:lang w:val="fr-FR"/>
        </w:rPr>
        <w:t>de classification et d’étiquetage des produits chimiques</w:t>
      </w:r>
    </w:p>
    <w:p w14:paraId="56B0D4FB" w14:textId="77777777" w:rsidR="000B71A7" w:rsidRPr="00887D75" w:rsidRDefault="000B71A7" w:rsidP="000B71A7">
      <w:pPr>
        <w:spacing w:before="120"/>
        <w:rPr>
          <w:b/>
        </w:rPr>
      </w:pPr>
      <w:r>
        <w:rPr>
          <w:b/>
          <w:bCs/>
          <w:lang w:val="fr-FR"/>
        </w:rPr>
        <w:t>Quarante-troisième session</w:t>
      </w:r>
    </w:p>
    <w:p w14:paraId="58E79579" w14:textId="77777777" w:rsidR="000B71A7" w:rsidRPr="00887D75" w:rsidRDefault="000B71A7" w:rsidP="000B71A7">
      <w:r>
        <w:rPr>
          <w:lang w:val="fr-FR"/>
        </w:rPr>
        <w:t xml:space="preserve">Genève, 7-9 décembre 2022 </w:t>
      </w:r>
    </w:p>
    <w:p w14:paraId="475E26D6" w14:textId="77777777" w:rsidR="000B71A7" w:rsidRPr="00887D75" w:rsidRDefault="000B71A7" w:rsidP="000B71A7">
      <w:r>
        <w:rPr>
          <w:lang w:val="fr-FR"/>
        </w:rPr>
        <w:t>Point 1 de l’ordre du jour provisoire</w:t>
      </w:r>
    </w:p>
    <w:p w14:paraId="0204BE75" w14:textId="13C019E9" w:rsidR="000B71A7" w:rsidRPr="00887D75" w:rsidRDefault="000B71A7" w:rsidP="000B71A7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de la quarante-troisième session</w:t>
      </w:r>
      <w:r w:rsidRPr="000B71A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0B71A7">
        <w:rPr>
          <w:b w:val="0"/>
          <w:bCs/>
          <w:sz w:val="20"/>
          <w:vertAlign w:val="superscript"/>
          <w:lang w:val="fr-FR"/>
        </w:rPr>
        <w:t xml:space="preserve">, </w:t>
      </w:r>
      <w:r w:rsidRPr="000B71A7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0B71A7">
        <w:rPr>
          <w:rStyle w:val="FootnoteReference"/>
          <w:b w:val="0"/>
          <w:bCs/>
          <w:sz w:val="20"/>
        </w:rPr>
        <w:t>,</w:t>
      </w:r>
      <w:r w:rsidRPr="000B71A7">
        <w:rPr>
          <w:b w:val="0"/>
          <w:bCs/>
          <w:sz w:val="20"/>
          <w:vertAlign w:val="superscript"/>
        </w:rPr>
        <w:t xml:space="preserve"> </w:t>
      </w:r>
      <w:r w:rsidRPr="000B71A7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</w:p>
    <w:p w14:paraId="0B0B3266" w14:textId="77777777" w:rsidR="000B71A7" w:rsidRPr="00887D75" w:rsidRDefault="000B71A7" w:rsidP="000B71A7">
      <w:pPr>
        <w:pStyle w:val="SingleTxtG"/>
      </w:pPr>
      <w:r>
        <w:rPr>
          <w:lang w:val="fr-FR"/>
        </w:rPr>
        <w:t xml:space="preserve">Qui s’ouvrira au Palais des Nations, à Genève, le mercredi 7 décembre 2022 </w:t>
      </w:r>
    </w:p>
    <w:p w14:paraId="479926C2" w14:textId="77777777" w:rsidR="000B71A7" w:rsidRPr="00887D75" w:rsidRDefault="000B71A7" w:rsidP="000B71A7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Adoption de l’ordre du jour</w:t>
      </w:r>
    </w:p>
    <w:p w14:paraId="5970B7AF" w14:textId="77777777" w:rsidR="000B71A7" w:rsidRPr="00887D75" w:rsidRDefault="000B71A7" w:rsidP="000B71A7">
      <w:pPr>
        <w:pStyle w:val="SingleTxtG"/>
        <w:ind w:left="1701" w:hanging="567"/>
      </w:pPr>
      <w:r>
        <w:rPr>
          <w:lang w:val="fr-FR"/>
        </w:rPr>
        <w:t>2.</w:t>
      </w:r>
      <w:r>
        <w:rPr>
          <w:lang w:val="fr-FR"/>
        </w:rPr>
        <w:tab/>
        <w:t xml:space="preserve">Recommandations formulées par le </w:t>
      </w:r>
      <w:r w:rsidRPr="002C6D2B">
        <w:rPr>
          <w:lang w:val="fr-FR"/>
        </w:rPr>
        <w:t xml:space="preserve">Sous-Comité </w:t>
      </w:r>
      <w:r>
        <w:rPr>
          <w:lang w:val="fr-FR"/>
        </w:rPr>
        <w:t xml:space="preserve">à ses quarantième, quarante et </w:t>
      </w:r>
      <w:proofErr w:type="gramStart"/>
      <w:r>
        <w:rPr>
          <w:lang w:val="fr-FR"/>
        </w:rPr>
        <w:t>unième et quarante-deuxième sessions</w:t>
      </w:r>
      <w:proofErr w:type="gramEnd"/>
      <w:r>
        <w:rPr>
          <w:lang w:val="fr-FR"/>
        </w:rPr>
        <w:t>.</w:t>
      </w:r>
    </w:p>
    <w:p w14:paraId="54438F9C" w14:textId="77777777" w:rsidR="000B71A7" w:rsidRPr="00887D75" w:rsidRDefault="000B71A7" w:rsidP="00EC69D1">
      <w:pPr>
        <w:pStyle w:val="SingleTxtG"/>
        <w:keepNext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>
        <w:rPr>
          <w:lang w:val="fr-FR"/>
        </w:rPr>
        <w:lastRenderedPageBreak/>
        <w:t>3.</w:t>
      </w:r>
      <w:r>
        <w:rPr>
          <w:lang w:val="fr-FR"/>
        </w:rPr>
        <w:tab/>
        <w:t>Travaux relatifs au Système général harmonisé de classification et d’étiquetage des produits chimiques (ci-après SGH) :</w:t>
      </w:r>
    </w:p>
    <w:p w14:paraId="3EE9481C" w14:textId="361A9E43" w:rsidR="000B71A7" w:rsidRPr="00887D75" w:rsidRDefault="000B71A7" w:rsidP="00EC69D1">
      <w:pPr>
        <w:pStyle w:val="SingleTxtG"/>
        <w:keepNext/>
        <w:spacing w:line="220" w:lineRule="exact"/>
        <w:ind w:left="2268" w:hanging="567"/>
      </w:pPr>
      <w:r>
        <w:rPr>
          <w:lang w:val="fr-FR"/>
        </w:rPr>
        <w:t>a)</w:t>
      </w:r>
      <w:r>
        <w:rPr>
          <w:lang w:val="fr-FR"/>
        </w:rPr>
        <w:tab/>
        <w:t>Travaux du Sous-Comité d’experts du transport des marchandises dangereuses sur des questions intéressant le Sous-Comité</w:t>
      </w:r>
      <w:r w:rsidRPr="000B71A7">
        <w:rPr>
          <w:rStyle w:val="FootnoteReference"/>
        </w:rPr>
        <w:footnoteReference w:id="5"/>
      </w:r>
      <w:r>
        <w:rPr>
          <w:lang w:val="fr-FR"/>
        </w:rPr>
        <w:t> ;</w:t>
      </w:r>
    </w:p>
    <w:p w14:paraId="16803E5B" w14:textId="77777777" w:rsidR="000B71A7" w:rsidRPr="00887D75" w:rsidRDefault="000B71A7" w:rsidP="00EC69D1">
      <w:pPr>
        <w:pStyle w:val="SingleTxtG"/>
        <w:keepNext/>
        <w:ind w:left="2268" w:hanging="567"/>
      </w:pPr>
      <w:r>
        <w:rPr>
          <w:lang w:val="fr-FR"/>
        </w:rPr>
        <w:t>b)</w:t>
      </w:r>
      <w:r>
        <w:rPr>
          <w:lang w:val="fr-FR"/>
        </w:rPr>
        <w:tab/>
        <w:t>Affectation à plusieurs classes de danger physique et hiérarchisation des dangers ;</w:t>
      </w:r>
    </w:p>
    <w:p w14:paraId="50E4D6EA" w14:textId="77777777" w:rsidR="000B71A7" w:rsidRPr="00887D75" w:rsidRDefault="000B71A7" w:rsidP="000B71A7">
      <w:pPr>
        <w:pStyle w:val="SingleTxtG"/>
        <w:ind w:left="2268" w:hanging="567"/>
      </w:pPr>
      <w:r>
        <w:rPr>
          <w:lang w:val="fr-FR"/>
        </w:rPr>
        <w:t>c)</w:t>
      </w:r>
      <w:r>
        <w:rPr>
          <w:lang w:val="fr-FR"/>
        </w:rPr>
        <w:tab/>
        <w:t xml:space="preserve">Utilisation de méthodes d’expérimentation non animales pour le classement relatif aux dangers pour la santé ; </w:t>
      </w:r>
    </w:p>
    <w:p w14:paraId="7615AF23" w14:textId="2AC7A779" w:rsidR="000B71A7" w:rsidRPr="00887D75" w:rsidRDefault="000B71A7" w:rsidP="000B71A7">
      <w:pPr>
        <w:pStyle w:val="SingleTxtG"/>
        <w:ind w:left="2268" w:hanging="567"/>
      </w:pPr>
      <w:r>
        <w:rPr>
          <w:lang w:val="fr-FR"/>
        </w:rPr>
        <w:t>d)</w:t>
      </w:r>
      <w:r>
        <w:rPr>
          <w:lang w:val="fr-FR"/>
        </w:rPr>
        <w:tab/>
        <w:t>Classement relatif à la sensibilisation cutanée en fonction des résultats de l’essai de stimulation locale des ganglions lymphatiques conformément à la ligne directrice de l’OCDE 442B</w:t>
      </w:r>
      <w:r w:rsidR="00BB49B9">
        <w:rPr>
          <w:lang w:val="fr-FR"/>
        </w:rPr>
        <w:t> </w:t>
      </w:r>
      <w:r>
        <w:rPr>
          <w:lang w:val="fr-FR"/>
        </w:rPr>
        <w:t>;</w:t>
      </w:r>
    </w:p>
    <w:p w14:paraId="38ECD3A4" w14:textId="36364E60" w:rsidR="000B71A7" w:rsidRPr="00887D75" w:rsidRDefault="000B71A7" w:rsidP="000B71A7">
      <w:pPr>
        <w:pStyle w:val="SingleTxtG"/>
        <w:ind w:left="2268" w:hanging="567"/>
      </w:pPr>
      <w:r>
        <w:rPr>
          <w:lang w:val="fr-FR"/>
        </w:rPr>
        <w:t>e)</w:t>
      </w:r>
      <w:r>
        <w:rPr>
          <w:lang w:val="fr-FR"/>
        </w:rPr>
        <w:tab/>
        <w:t>Critères pour le classement relatif à la mutagénicité sur les cellules germinales ;</w:t>
      </w:r>
    </w:p>
    <w:p w14:paraId="70801337" w14:textId="77777777" w:rsidR="000B71A7" w:rsidRPr="00887D75" w:rsidRDefault="000B71A7" w:rsidP="000B71A7">
      <w:pPr>
        <w:pStyle w:val="SingleTxtG"/>
        <w:ind w:left="2268" w:hanging="567"/>
      </w:pPr>
      <w:r>
        <w:rPr>
          <w:lang w:val="fr-FR"/>
        </w:rPr>
        <w:t>f)</w:t>
      </w:r>
      <w:r>
        <w:rPr>
          <w:lang w:val="fr-FR"/>
        </w:rPr>
        <w:tab/>
        <w:t>Questions pratiques relatives au classement (amendements proposés au SGH) ;</w:t>
      </w:r>
    </w:p>
    <w:p w14:paraId="7C6E209C" w14:textId="58F1EADE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g)</w:t>
      </w:r>
      <w:r>
        <w:rPr>
          <w:lang w:val="fr-FR"/>
        </w:rPr>
        <w:tab/>
        <w:t>Nanomatériaux ;</w:t>
      </w:r>
    </w:p>
    <w:p w14:paraId="27E5F5C9" w14:textId="5A6E7CEA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h)</w:t>
      </w:r>
      <w:r>
        <w:rPr>
          <w:lang w:val="fr-FR"/>
        </w:rPr>
        <w:tab/>
        <w:t>Amélioration des annexes 1 à 3 et poursuite de la rationalisation des conseils de prudence ;</w:t>
      </w:r>
    </w:p>
    <w:p w14:paraId="3C12F643" w14:textId="5BBB0C5A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i)</w:t>
      </w:r>
      <w:r>
        <w:rPr>
          <w:lang w:val="fr-FR"/>
        </w:rPr>
        <w:tab/>
        <w:t>Autres questions.</w:t>
      </w:r>
    </w:p>
    <w:p w14:paraId="3E7E44CD" w14:textId="7491996D" w:rsidR="000B71A7" w:rsidRPr="00887D75" w:rsidRDefault="000B71A7" w:rsidP="00BB49B9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Application :</w:t>
      </w:r>
    </w:p>
    <w:p w14:paraId="0D224BDC" w14:textId="05168009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a)</w:t>
      </w:r>
      <w:r>
        <w:rPr>
          <w:lang w:val="fr-FR"/>
        </w:rPr>
        <w:tab/>
        <w:t>Élaboration éventuelle d’une liste des produits chimiques classés conformément au SGH ;</w:t>
      </w:r>
    </w:p>
    <w:p w14:paraId="77C4F329" w14:textId="794D5C83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b)</w:t>
      </w:r>
      <w:r>
        <w:rPr>
          <w:lang w:val="fr-FR"/>
        </w:rPr>
        <w:tab/>
      </w:r>
      <w:r w:rsidRPr="0046390D">
        <w:rPr>
          <w:lang w:val="fr-FR"/>
        </w:rPr>
        <w:t>Rapports relatifs au stade atteint dans l</w:t>
      </w:r>
      <w:r>
        <w:rPr>
          <w:lang w:val="fr-FR"/>
        </w:rPr>
        <w:t>’</w:t>
      </w:r>
      <w:r w:rsidRPr="0046390D">
        <w:rPr>
          <w:lang w:val="fr-FR"/>
        </w:rPr>
        <w:t>application du SGH</w:t>
      </w:r>
      <w:r w:rsidR="00A0485E">
        <w:rPr>
          <w:lang w:val="fr-FR"/>
        </w:rPr>
        <w:t> </w:t>
      </w:r>
      <w:r w:rsidRPr="00DA3A19">
        <w:rPr>
          <w:lang w:val="fr-FR"/>
        </w:rPr>
        <w:t>;</w:t>
      </w:r>
    </w:p>
    <w:p w14:paraId="59B16D98" w14:textId="77777777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c)</w:t>
      </w:r>
      <w:r>
        <w:rPr>
          <w:lang w:val="fr-FR"/>
        </w:rPr>
        <w:tab/>
        <w:t>Coopération avec d’autres organes ou organisations internationales ;</w:t>
      </w:r>
    </w:p>
    <w:p w14:paraId="06C64A3F" w14:textId="77777777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d)</w:t>
      </w:r>
      <w:r>
        <w:rPr>
          <w:lang w:val="fr-FR"/>
        </w:rPr>
        <w:tab/>
        <w:t>Autres questions.</w:t>
      </w:r>
    </w:p>
    <w:p w14:paraId="001B0731" w14:textId="77777777" w:rsidR="000B71A7" w:rsidRPr="00887D75" w:rsidRDefault="000B71A7" w:rsidP="000B71A7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Mise au point de directives :</w:t>
      </w:r>
    </w:p>
    <w:p w14:paraId="27EF8E09" w14:textId="77777777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a)</w:t>
      </w:r>
      <w:r>
        <w:rPr>
          <w:lang w:val="fr-FR"/>
        </w:rPr>
        <w:tab/>
      </w:r>
      <w:r w:rsidRPr="000B71A7">
        <w:rPr>
          <w:lang w:val="fr-FR"/>
        </w:rPr>
        <w:t>Harmonisation</w:t>
      </w:r>
      <w:r>
        <w:rPr>
          <w:lang w:val="fr-FR"/>
        </w:rPr>
        <w:t xml:space="preserve"> de l’annexe 9 (sect. A9.7) et de l’annexe 10 avec les critères du chapitre 4.1 ;</w:t>
      </w:r>
    </w:p>
    <w:p w14:paraId="2C28C1B2" w14:textId="77777777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b)</w:t>
      </w:r>
      <w:r>
        <w:rPr>
          <w:lang w:val="fr-FR"/>
        </w:rPr>
        <w:tab/>
        <w:t>Questions pratiques relatives au classement ;</w:t>
      </w:r>
    </w:p>
    <w:p w14:paraId="329B8409" w14:textId="48708F1E" w:rsidR="000B71A7" w:rsidRPr="00C51293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c)</w:t>
      </w:r>
      <w:r>
        <w:rPr>
          <w:lang w:val="fr-FR"/>
        </w:rPr>
        <w:tab/>
      </w:r>
      <w:r w:rsidRPr="0078435D">
        <w:rPr>
          <w:lang w:val="fr-FR"/>
        </w:rPr>
        <w:t>Questions pratiques relatives à l</w:t>
      </w:r>
      <w:r>
        <w:rPr>
          <w:lang w:val="fr-FR"/>
        </w:rPr>
        <w:t>’</w:t>
      </w:r>
      <w:r w:rsidRPr="0078435D">
        <w:rPr>
          <w:lang w:val="fr-FR"/>
        </w:rPr>
        <w:t>étiquetage ;</w:t>
      </w:r>
    </w:p>
    <w:p w14:paraId="132513DB" w14:textId="77777777" w:rsidR="000B71A7" w:rsidRPr="00887D75" w:rsidRDefault="000B71A7" w:rsidP="000B71A7">
      <w:pPr>
        <w:pStyle w:val="SingleTxtG"/>
        <w:spacing w:line="220" w:lineRule="atLeast"/>
        <w:ind w:left="2268" w:hanging="567"/>
      </w:pPr>
      <w:r>
        <w:rPr>
          <w:lang w:val="fr-FR"/>
        </w:rPr>
        <w:t>d)</w:t>
      </w:r>
      <w:r>
        <w:rPr>
          <w:lang w:val="fr-FR"/>
        </w:rPr>
        <w:tab/>
        <w:t>Autres questions.</w:t>
      </w:r>
    </w:p>
    <w:p w14:paraId="10777015" w14:textId="77777777" w:rsidR="000B71A7" w:rsidRPr="00887D75" w:rsidRDefault="000B71A7" w:rsidP="000B71A7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Renforcement des capacités.</w:t>
      </w:r>
    </w:p>
    <w:p w14:paraId="51139FF5" w14:textId="77777777" w:rsidR="000B71A7" w:rsidRPr="00887D75" w:rsidRDefault="000B71A7" w:rsidP="000B71A7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Programme de travail pour la période biennale 2023-2024.</w:t>
      </w:r>
    </w:p>
    <w:p w14:paraId="78EC5B08" w14:textId="77777777" w:rsidR="000B71A7" w:rsidRPr="00887D75" w:rsidRDefault="000B71A7" w:rsidP="000B71A7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>Projet de résolution 2023/... du Conseil économique et social.</w:t>
      </w:r>
    </w:p>
    <w:p w14:paraId="1E6D4ABA" w14:textId="77777777" w:rsidR="000B71A7" w:rsidRPr="00887D75" w:rsidRDefault="000B71A7" w:rsidP="000B71A7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Élection du Bureau pour l’exercice biennal 2023-2024.</w:t>
      </w:r>
    </w:p>
    <w:p w14:paraId="61D88F1F" w14:textId="77777777" w:rsidR="000B71A7" w:rsidRPr="00887D75" w:rsidRDefault="000B71A7" w:rsidP="000B71A7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>Questions diverses.</w:t>
      </w:r>
    </w:p>
    <w:p w14:paraId="564765B5" w14:textId="4BF77207" w:rsidR="000B71A7" w:rsidRDefault="000B71A7" w:rsidP="000B71A7">
      <w:pPr>
        <w:pStyle w:val="SingleTxtG"/>
      </w:pPr>
      <w:r>
        <w:rPr>
          <w:lang w:val="fr-FR"/>
        </w:rPr>
        <w:t>11.</w:t>
      </w:r>
      <w:r>
        <w:rPr>
          <w:lang w:val="fr-FR"/>
        </w:rPr>
        <w:tab/>
        <w:t>Adoption du rapport.</w:t>
      </w:r>
    </w:p>
    <w:p w14:paraId="77A2D009" w14:textId="31350138" w:rsidR="00446FE5" w:rsidRPr="000B71A7" w:rsidRDefault="000B71A7" w:rsidP="000B71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0B71A7" w:rsidSect="000B71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BF94" w14:textId="77777777" w:rsidR="00383071" w:rsidRDefault="00383071" w:rsidP="00F95C08">
      <w:pPr>
        <w:spacing w:line="240" w:lineRule="auto"/>
      </w:pPr>
    </w:p>
  </w:endnote>
  <w:endnote w:type="continuationSeparator" w:id="0">
    <w:p w14:paraId="592AB442" w14:textId="77777777" w:rsidR="00383071" w:rsidRPr="00AC3823" w:rsidRDefault="00383071" w:rsidP="00AC3823">
      <w:pPr>
        <w:pStyle w:val="Footer"/>
      </w:pPr>
    </w:p>
  </w:endnote>
  <w:endnote w:type="continuationNotice" w:id="1">
    <w:p w14:paraId="2C6BAC9C" w14:textId="77777777" w:rsidR="00383071" w:rsidRDefault="003830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3EA4" w14:textId="6B101786" w:rsidR="000B71A7" w:rsidRPr="000B71A7" w:rsidRDefault="000B71A7" w:rsidP="000B71A7">
    <w:pPr>
      <w:pStyle w:val="Footer"/>
      <w:tabs>
        <w:tab w:val="right" w:pos="9638"/>
      </w:tabs>
    </w:pPr>
    <w:r w:rsidRPr="000B71A7">
      <w:rPr>
        <w:b/>
        <w:sz w:val="18"/>
      </w:rPr>
      <w:fldChar w:fldCharType="begin"/>
    </w:r>
    <w:r w:rsidRPr="000B71A7">
      <w:rPr>
        <w:b/>
        <w:sz w:val="18"/>
      </w:rPr>
      <w:instrText xml:space="preserve"> PAGE  \* MERGEFORMAT </w:instrText>
    </w:r>
    <w:r w:rsidRPr="000B71A7">
      <w:rPr>
        <w:b/>
        <w:sz w:val="18"/>
      </w:rPr>
      <w:fldChar w:fldCharType="separate"/>
    </w:r>
    <w:r w:rsidRPr="000B71A7">
      <w:rPr>
        <w:b/>
        <w:noProof/>
        <w:sz w:val="18"/>
      </w:rPr>
      <w:t>2</w:t>
    </w:r>
    <w:r w:rsidRPr="000B71A7">
      <w:rPr>
        <w:b/>
        <w:sz w:val="18"/>
      </w:rPr>
      <w:fldChar w:fldCharType="end"/>
    </w:r>
    <w:r>
      <w:rPr>
        <w:b/>
        <w:sz w:val="18"/>
      </w:rPr>
      <w:tab/>
    </w:r>
    <w:r>
      <w:t>GE.22-12714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7758" w14:textId="327BA44F" w:rsidR="000B71A7" w:rsidRPr="000B71A7" w:rsidRDefault="000B71A7" w:rsidP="000B71A7">
    <w:pPr>
      <w:pStyle w:val="Footer"/>
      <w:tabs>
        <w:tab w:val="right" w:pos="9638"/>
      </w:tabs>
      <w:rPr>
        <w:b/>
        <w:sz w:val="18"/>
      </w:rPr>
    </w:pPr>
    <w:r>
      <w:t>GE.22-12714</w:t>
    </w:r>
    <w:r>
      <w:tab/>
    </w:r>
    <w:r w:rsidRPr="000B71A7">
      <w:rPr>
        <w:b/>
        <w:sz w:val="18"/>
      </w:rPr>
      <w:fldChar w:fldCharType="begin"/>
    </w:r>
    <w:r w:rsidRPr="000B71A7">
      <w:rPr>
        <w:b/>
        <w:sz w:val="18"/>
      </w:rPr>
      <w:instrText xml:space="preserve"> PAGE  \* MERGEFORMAT </w:instrText>
    </w:r>
    <w:r w:rsidRPr="000B71A7">
      <w:rPr>
        <w:b/>
        <w:sz w:val="18"/>
      </w:rPr>
      <w:fldChar w:fldCharType="separate"/>
    </w:r>
    <w:r w:rsidRPr="000B71A7">
      <w:rPr>
        <w:b/>
        <w:noProof/>
        <w:sz w:val="18"/>
      </w:rPr>
      <w:t>3</w:t>
    </w:r>
    <w:r w:rsidRPr="000B71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1E33" w14:textId="728DE3E5" w:rsidR="0068456F" w:rsidRPr="000B71A7" w:rsidRDefault="000B71A7" w:rsidP="000B71A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97CE3C0" wp14:editId="28A0999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12714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05A6460" wp14:editId="3137E92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201022    201022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E712" w14:textId="77777777" w:rsidR="00383071" w:rsidRPr="00AC3823" w:rsidRDefault="003830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BD8C6E" w14:textId="77777777" w:rsidR="00383071" w:rsidRPr="00AC3823" w:rsidRDefault="003830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81FCF5" w14:textId="77777777" w:rsidR="00383071" w:rsidRPr="00AC3823" w:rsidRDefault="00383071">
      <w:pPr>
        <w:spacing w:line="240" w:lineRule="auto"/>
        <w:rPr>
          <w:sz w:val="2"/>
          <w:szCs w:val="2"/>
        </w:rPr>
      </w:pPr>
    </w:p>
  </w:footnote>
  <w:footnote w:id="2">
    <w:p w14:paraId="7C366895" w14:textId="7821B254" w:rsidR="000B71A7" w:rsidRPr="000B71A7" w:rsidRDefault="000B71A7" w:rsidP="000B71A7">
      <w:pPr>
        <w:pStyle w:val="FootnoteText"/>
      </w:pPr>
      <w:r>
        <w:rPr>
          <w:rStyle w:val="FootnoteReference"/>
        </w:rPr>
        <w:tab/>
      </w:r>
      <w:r w:rsidRPr="000B71A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B71A7">
        <w:rPr>
          <w:lang w:val="fr-FR"/>
        </w:rPr>
        <w:t>L</w:t>
      </w:r>
      <w:r>
        <w:rPr>
          <w:lang w:val="fr-FR"/>
        </w:rPr>
        <w:t>’</w:t>
      </w:r>
      <w:r w:rsidRPr="000B71A7">
        <w:rPr>
          <w:lang w:val="fr-FR"/>
        </w:rPr>
        <w:t>ordre du jour annoté sera distribué sous</w:t>
      </w:r>
      <w:r>
        <w:rPr>
          <w:lang w:val="fr-FR"/>
        </w:rPr>
        <w:t xml:space="preserve"> la cote ST/SG/AC.10/C.4/85/Add.1. La date limite de soumission des documents pour le Sous-Comité d’experts du Système général harmonisé de classification et d’étiquetage des produits chimiques (Sous-Comité SGH) est le 14 septembre 2022. La date limite de soumission des documents pour les deux Sous-Comités (à savoir le Sous-Comité d’experts du transport des marchandises dangereuses (Sous-Comité TMD) et le Sous-Comité d’experts du Système général harmonisé de classification et d’étiquetage des produits chimiques (Sous-Comité SGH)) est le 2 septembre 2022.</w:t>
      </w:r>
    </w:p>
  </w:footnote>
  <w:footnote w:id="3">
    <w:p w14:paraId="058213E5" w14:textId="45B811D0" w:rsidR="000B71A7" w:rsidRPr="000B71A7" w:rsidRDefault="000B71A7" w:rsidP="000B71A7">
      <w:pPr>
        <w:pStyle w:val="FootnoteText"/>
      </w:pPr>
      <w:r>
        <w:rPr>
          <w:rStyle w:val="FootnoteReference"/>
        </w:rPr>
        <w:tab/>
      </w:r>
      <w:r w:rsidRPr="000B71A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Tous les documents de la session seront disponibles en ligne à l’adresse suivante : </w:t>
      </w:r>
      <w:hyperlink r:id="rId1" w:history="1">
        <w:r w:rsidRPr="000B71A7">
          <w:rPr>
            <w:rStyle w:val="Hyperlink"/>
            <w:lang w:val="fr-FR"/>
          </w:rPr>
          <w:t>https://unece.org/info/Transport/Dangerous-Goods/events/368936</w:t>
        </w:r>
      </w:hyperlink>
      <w:r>
        <w:rPr>
          <w:lang w:val="fr-FR"/>
        </w:rPr>
        <w:t>. Cette session se déroulant sans support papier, il n’y aura pas d’exemplaires des documents dans la salle de réunion.</w:t>
      </w:r>
    </w:p>
  </w:footnote>
  <w:footnote w:id="4">
    <w:p w14:paraId="4BAECE2B" w14:textId="0F5AA6F6" w:rsidR="000B71A7" w:rsidRPr="000B71A7" w:rsidRDefault="000B71A7" w:rsidP="000B71A7">
      <w:pPr>
        <w:pStyle w:val="FootnoteText"/>
      </w:pPr>
      <w:r>
        <w:rPr>
          <w:rStyle w:val="FootnoteReference"/>
        </w:rPr>
        <w:tab/>
      </w:r>
      <w:r w:rsidRPr="000B71A7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Seuls les représentantes et représentants inscrit(e)s pourront y participer. Tous les participant(e)s souhaitant assister à la réunion doivent s’inscrire sur la plateforme INDICO à l’adresse suivante : </w:t>
      </w:r>
      <w:hyperlink r:id="rId2" w:history="1">
        <w:r w:rsidRPr="000B71A7">
          <w:rPr>
            <w:rStyle w:val="Hyperlink"/>
            <w:lang w:val="fr-FR"/>
          </w:rPr>
          <w:t>https://indico.un.org/event/1000392/</w:t>
        </w:r>
      </w:hyperlink>
      <w:r>
        <w:rPr>
          <w:lang w:val="fr-FR"/>
        </w:rPr>
        <w:t xml:space="preserve">. Les représentantes et représentants assistant en présentiel à la session doivent, à leur arrivée au Palais des Nations, se faire délivrer un badge d’identification auprès de la Section de la sécurité et de la sûreté située au Portail de </w:t>
      </w:r>
      <w:proofErr w:type="spellStart"/>
      <w:r>
        <w:rPr>
          <w:lang w:val="fr-FR"/>
        </w:rPr>
        <w:t>Pregny</w:t>
      </w:r>
      <w:proofErr w:type="spellEnd"/>
      <w:r>
        <w:rPr>
          <w:lang w:val="fr-FR"/>
        </w:rPr>
        <w:t xml:space="preserve"> (14, avenue de la Paix). En cas de difficulté, ils ou elles sont </w:t>
      </w:r>
      <w:proofErr w:type="gramStart"/>
      <w:r>
        <w:rPr>
          <w:lang w:val="fr-FR"/>
        </w:rPr>
        <w:t>invité</w:t>
      </w:r>
      <w:proofErr w:type="gramEnd"/>
      <w:r>
        <w:rPr>
          <w:lang w:val="fr-FR"/>
        </w:rPr>
        <w:t xml:space="preserve">(e)s à contacter le secrétariat par téléphone (poste 72106). Un plan du Palais des Nations et d’autres renseignements utiles sont disponibles à l’adresse suivante : </w:t>
      </w:r>
      <w:hyperlink r:id="rId3" w:history="1">
        <w:r w:rsidRPr="000B71A7">
          <w:rPr>
            <w:rStyle w:val="Hyperlink"/>
            <w:lang w:val="fr-FR"/>
          </w:rPr>
          <w:t>https://www.ungeneva.org/fr/practical-information/delegates</w:t>
        </w:r>
      </w:hyperlink>
      <w:r>
        <w:rPr>
          <w:lang w:val="fr-FR"/>
        </w:rPr>
        <w:t>.</w:t>
      </w:r>
    </w:p>
  </w:footnote>
  <w:footnote w:id="5">
    <w:p w14:paraId="6DE0148E" w14:textId="4E1E923E" w:rsidR="000B71A7" w:rsidRPr="00887D75" w:rsidRDefault="000B71A7" w:rsidP="000B71A7">
      <w:pPr>
        <w:pStyle w:val="FootnoteText"/>
      </w:pPr>
      <w:r>
        <w:rPr>
          <w:lang w:val="fr-FR"/>
        </w:rPr>
        <w:tab/>
      </w:r>
      <w:r w:rsidRPr="000B71A7">
        <w:rPr>
          <w:rStyle w:val="FootnoteReference"/>
        </w:rPr>
        <w:footnoteRef/>
      </w:r>
      <w:r>
        <w:rPr>
          <w:lang w:val="fr-FR"/>
        </w:rPr>
        <w:tab/>
        <w:t xml:space="preserve">Les représentantes et représentants participant aux travaux du Sous-Comité SGH qui ne participent pas habituellement aux travaux du Sous-Comité TMD sont invité(e)s à participer aux travaux du Sous-Comité TMD quand celui-ci examine la question des dangers physiques en sa qualité de centre de liaison pour le Sous-Comité SGH (voir ST/SG/AC.10/C.4/2, par. 43 b)). À sa soixante et unième session (28 novembre-6 décembre 2022), le Sous-Comité TDM pourrait examiner des questions intéressant le Sous-Comité SGH. Tous les documents de la session seront disponibles en ligne à l’adresse suivante : </w:t>
      </w:r>
      <w:hyperlink r:id="rId4" w:history="1">
        <w:r w:rsidRPr="000B71A7">
          <w:rPr>
            <w:rStyle w:val="Hyperlink"/>
            <w:lang w:val="fr-FR"/>
          </w:rPr>
          <w:t>https://unece.org/info/Transport/Dangerous-Goods/events/368910</w:t>
        </w:r>
      </w:hyperlink>
      <w:r>
        <w:rPr>
          <w:lang w:val="fr-FR"/>
        </w:rPr>
        <w:t xml:space="preserve">. Les représentantes et représentants siégeant au Sous-Comité SGH qui souhaiteraient participer à ces travaux sont invité(e)s à s’inscrire également à la session du Sous-Comité TMD.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C1BA" w14:textId="54C27E0A" w:rsidR="000B71A7" w:rsidRPr="000B71A7" w:rsidRDefault="003367A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ST/SG/AC.10/C.4/85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7039" w14:textId="38C459EB" w:rsidR="000B71A7" w:rsidRPr="000B71A7" w:rsidRDefault="003367A8" w:rsidP="000B71A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ST/SG/AC.10/C.4/85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71"/>
    <w:rsid w:val="00017F94"/>
    <w:rsid w:val="00023842"/>
    <w:rsid w:val="000305D3"/>
    <w:rsid w:val="000334F9"/>
    <w:rsid w:val="0007796D"/>
    <w:rsid w:val="000B71A7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367A8"/>
    <w:rsid w:val="00383071"/>
    <w:rsid w:val="003F3F5B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0485E"/>
    <w:rsid w:val="00A30353"/>
    <w:rsid w:val="00A81281"/>
    <w:rsid w:val="00AC3823"/>
    <w:rsid w:val="00AE323C"/>
    <w:rsid w:val="00B00181"/>
    <w:rsid w:val="00B00B0D"/>
    <w:rsid w:val="00B765F7"/>
    <w:rsid w:val="00BA0CA9"/>
    <w:rsid w:val="00BB49B9"/>
    <w:rsid w:val="00C02897"/>
    <w:rsid w:val="00D217A4"/>
    <w:rsid w:val="00D3439C"/>
    <w:rsid w:val="00DB1831"/>
    <w:rsid w:val="00DD3BFD"/>
    <w:rsid w:val="00DF6678"/>
    <w:rsid w:val="00EC69D1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F06D8"/>
  <w15:docId w15:val="{4BFE483C-89BD-4C19-85E4-DE45592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0B71A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geneva.org/fr/practical-information/delegates" TargetMode="External"/><Relationship Id="rId2" Type="http://schemas.openxmlformats.org/officeDocument/2006/relationships/hyperlink" Target="https://indico.un.org/event/1000392/" TargetMode="External"/><Relationship Id="rId1" Type="http://schemas.openxmlformats.org/officeDocument/2006/relationships/hyperlink" Target="https://unece.org/info/Transport/Dangerous-Goods/events/368936" TargetMode="External"/><Relationship Id="rId4" Type="http://schemas.openxmlformats.org/officeDocument/2006/relationships/hyperlink" Target="https://unece.org/info/Transport/Dangerous-Goods/events/36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D222BB0-D7DD-44A0-B74D-B83F3AFB601B}"/>
</file>

<file path=customXml/itemProps2.xml><?xml version="1.0" encoding="utf-8"?>
<ds:datastoreItem xmlns:ds="http://schemas.openxmlformats.org/officeDocument/2006/customXml" ds:itemID="{9EF9DEE4-FEFD-495F-AFDB-A7C0962A1CE8}"/>
</file>

<file path=customXml/itemProps3.xml><?xml version="1.0" encoding="utf-8"?>
<ds:datastoreItem xmlns:ds="http://schemas.openxmlformats.org/officeDocument/2006/customXml" ds:itemID="{B441ED33-4794-4648-AF9F-341D88E49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ST/SG/AC.10/C.4/85</dc:title>
  <dc:subject/>
  <dc:creator>Maud DARICHE</dc:creator>
  <cp:keywords/>
  <cp:lastModifiedBy>Laurence Berthet</cp:lastModifiedBy>
  <cp:revision>3</cp:revision>
  <cp:lastPrinted>2022-10-20T12:55:00Z</cp:lastPrinted>
  <dcterms:created xsi:type="dcterms:W3CDTF">2022-10-20T12:55:00Z</dcterms:created>
  <dcterms:modified xsi:type="dcterms:W3CDTF">2022-10-20T12:55:00Z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