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32711E" w14:paraId="43E243EE" w14:textId="77777777" w:rsidTr="00F01738">
        <w:trPr>
          <w:trHeight w:hRule="exact" w:val="851"/>
        </w:trPr>
        <w:tc>
          <w:tcPr>
            <w:tcW w:w="1276" w:type="dxa"/>
            <w:tcBorders>
              <w:bottom w:val="single" w:sz="4" w:space="0" w:color="auto"/>
            </w:tcBorders>
          </w:tcPr>
          <w:p w14:paraId="463D6AC5" w14:textId="77777777" w:rsidR="00132EA9" w:rsidRPr="00DB58B5" w:rsidRDefault="00132EA9" w:rsidP="0032711E"/>
        </w:tc>
        <w:tc>
          <w:tcPr>
            <w:tcW w:w="2268" w:type="dxa"/>
            <w:tcBorders>
              <w:bottom w:val="single" w:sz="4" w:space="0" w:color="auto"/>
            </w:tcBorders>
            <w:vAlign w:val="bottom"/>
          </w:tcPr>
          <w:p w14:paraId="3D35D62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65F7DA" w14:textId="02340D6E" w:rsidR="00132EA9" w:rsidRPr="0032711E" w:rsidRDefault="0032711E" w:rsidP="0032711E">
            <w:pPr>
              <w:jc w:val="right"/>
              <w:rPr>
                <w:lang w:val="en-US"/>
              </w:rPr>
            </w:pPr>
            <w:r w:rsidRPr="0032711E">
              <w:rPr>
                <w:sz w:val="40"/>
                <w:lang w:val="en-US"/>
              </w:rPr>
              <w:t>ST</w:t>
            </w:r>
            <w:r w:rsidRPr="0032711E">
              <w:rPr>
                <w:lang w:val="en-US"/>
              </w:rPr>
              <w:t>/SG/AC.10/C.4/85/Add.1</w:t>
            </w:r>
          </w:p>
        </w:tc>
      </w:tr>
      <w:tr w:rsidR="00132EA9" w:rsidRPr="00DB58B5" w14:paraId="4A19F43C" w14:textId="77777777" w:rsidTr="00F01738">
        <w:trPr>
          <w:trHeight w:hRule="exact" w:val="2835"/>
        </w:trPr>
        <w:tc>
          <w:tcPr>
            <w:tcW w:w="1276" w:type="dxa"/>
            <w:tcBorders>
              <w:top w:val="single" w:sz="4" w:space="0" w:color="auto"/>
              <w:bottom w:val="single" w:sz="12" w:space="0" w:color="auto"/>
            </w:tcBorders>
          </w:tcPr>
          <w:p w14:paraId="5A54E437" w14:textId="77777777" w:rsidR="00132EA9" w:rsidRPr="00DB58B5" w:rsidRDefault="00132EA9" w:rsidP="00F01738">
            <w:pPr>
              <w:spacing w:before="120"/>
              <w:jc w:val="center"/>
            </w:pPr>
            <w:r>
              <w:rPr>
                <w:noProof/>
                <w:lang w:eastAsia="fr-CH"/>
              </w:rPr>
              <w:drawing>
                <wp:inline distT="0" distB="0" distL="0" distR="0" wp14:anchorId="11D6A129" wp14:editId="71F155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C3FB4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51B0CA1" w14:textId="77777777" w:rsidR="00132EA9" w:rsidRDefault="0032711E" w:rsidP="00F01738">
            <w:pPr>
              <w:spacing w:before="240"/>
            </w:pPr>
            <w:r>
              <w:t xml:space="preserve">Distr. </w:t>
            </w:r>
            <w:proofErr w:type="gramStart"/>
            <w:r>
              <w:t>générale</w:t>
            </w:r>
            <w:proofErr w:type="gramEnd"/>
          </w:p>
          <w:p w14:paraId="4A3227FB" w14:textId="77777777" w:rsidR="0032711E" w:rsidRDefault="0032711E" w:rsidP="0032711E">
            <w:pPr>
              <w:spacing w:line="240" w:lineRule="exact"/>
            </w:pPr>
            <w:r>
              <w:t>26 septembre 2022</w:t>
            </w:r>
          </w:p>
          <w:p w14:paraId="3C2AE851" w14:textId="77777777" w:rsidR="0032711E" w:rsidRDefault="0032711E" w:rsidP="0032711E">
            <w:pPr>
              <w:spacing w:line="240" w:lineRule="exact"/>
            </w:pPr>
            <w:r>
              <w:t>Français</w:t>
            </w:r>
          </w:p>
          <w:p w14:paraId="4A8ACE52" w14:textId="28D4145B" w:rsidR="0032711E" w:rsidRPr="00DB58B5" w:rsidRDefault="0032711E" w:rsidP="0032711E">
            <w:pPr>
              <w:spacing w:line="240" w:lineRule="exact"/>
            </w:pPr>
            <w:r>
              <w:t>Original : anglais</w:t>
            </w:r>
          </w:p>
        </w:tc>
      </w:tr>
    </w:tbl>
    <w:p w14:paraId="59446A07" w14:textId="2CF90971" w:rsidR="00DD2D95" w:rsidRPr="00A748B2" w:rsidRDefault="00DD2D95" w:rsidP="00DD2D95">
      <w:pPr>
        <w:spacing w:before="120" w:line="240" w:lineRule="auto"/>
        <w:rPr>
          <w:b/>
          <w:sz w:val="24"/>
          <w:szCs w:val="24"/>
        </w:rPr>
      </w:pPr>
      <w:r w:rsidRPr="00A748B2">
        <w:rPr>
          <w:b/>
          <w:bCs/>
          <w:sz w:val="24"/>
          <w:szCs w:val="24"/>
          <w:lang w:val="fr-FR"/>
        </w:rPr>
        <w:t>Comité d</w:t>
      </w:r>
      <w:r>
        <w:rPr>
          <w:b/>
          <w:bCs/>
          <w:sz w:val="24"/>
          <w:szCs w:val="24"/>
          <w:lang w:val="fr-FR"/>
        </w:rPr>
        <w:t>’</w:t>
      </w:r>
      <w:r w:rsidRPr="00A748B2">
        <w:rPr>
          <w:b/>
          <w:bCs/>
          <w:sz w:val="24"/>
          <w:szCs w:val="24"/>
          <w:lang w:val="fr-FR"/>
        </w:rPr>
        <w:t xml:space="preserve">experts du transport des marchandises dangereuses </w:t>
      </w:r>
      <w:r>
        <w:rPr>
          <w:b/>
          <w:bCs/>
          <w:sz w:val="24"/>
          <w:szCs w:val="24"/>
          <w:lang w:val="fr-FR"/>
        </w:rPr>
        <w:br/>
      </w:r>
      <w:r w:rsidRPr="00A748B2">
        <w:rPr>
          <w:b/>
          <w:bCs/>
          <w:sz w:val="24"/>
          <w:szCs w:val="24"/>
          <w:lang w:val="fr-FR"/>
        </w:rPr>
        <w:t xml:space="preserve">et du Système général harmonisé de classification </w:t>
      </w:r>
      <w:r>
        <w:rPr>
          <w:b/>
          <w:bCs/>
          <w:sz w:val="24"/>
          <w:szCs w:val="24"/>
          <w:lang w:val="fr-FR"/>
        </w:rPr>
        <w:br/>
      </w:r>
      <w:r w:rsidRPr="00A748B2">
        <w:rPr>
          <w:b/>
          <w:bCs/>
          <w:sz w:val="24"/>
          <w:szCs w:val="24"/>
          <w:lang w:val="fr-FR"/>
        </w:rPr>
        <w:t>et d</w:t>
      </w:r>
      <w:r>
        <w:rPr>
          <w:b/>
          <w:bCs/>
          <w:sz w:val="24"/>
          <w:szCs w:val="24"/>
          <w:lang w:val="fr-FR"/>
        </w:rPr>
        <w:t>’</w:t>
      </w:r>
      <w:r w:rsidRPr="00A748B2">
        <w:rPr>
          <w:b/>
          <w:bCs/>
          <w:sz w:val="24"/>
          <w:szCs w:val="24"/>
          <w:lang w:val="fr-FR"/>
        </w:rPr>
        <w:t>étiquetage des produits chimiques</w:t>
      </w:r>
    </w:p>
    <w:p w14:paraId="30A46A08" w14:textId="3B1BEC9C" w:rsidR="00DD2D95" w:rsidRPr="00DD2D95" w:rsidRDefault="00DD2D95" w:rsidP="00DD2D95">
      <w:pPr>
        <w:spacing w:before="120" w:line="240" w:lineRule="auto"/>
        <w:rPr>
          <w:rFonts w:ascii="Helv" w:hAnsi="Helv" w:cs="Helv"/>
          <w:b/>
          <w:color w:val="000000"/>
        </w:rPr>
      </w:pPr>
      <w:r w:rsidRPr="00DD2D95">
        <w:rPr>
          <w:b/>
          <w:bCs/>
          <w:lang w:val="fr-FR"/>
        </w:rPr>
        <w:t xml:space="preserve">Sous-Comité d’experts du Système général harmonisé de classification </w:t>
      </w:r>
      <w:r>
        <w:rPr>
          <w:b/>
          <w:bCs/>
          <w:lang w:val="fr-FR"/>
        </w:rPr>
        <w:br/>
      </w:r>
      <w:proofErr w:type="gramStart"/>
      <w:r w:rsidRPr="00DD2D95">
        <w:rPr>
          <w:b/>
          <w:bCs/>
          <w:lang w:val="fr-FR"/>
        </w:rPr>
        <w:t>et</w:t>
      </w:r>
      <w:proofErr w:type="gramEnd"/>
      <w:r w:rsidRPr="00DD2D95">
        <w:rPr>
          <w:b/>
          <w:bCs/>
          <w:lang w:val="fr-FR"/>
        </w:rPr>
        <w:t xml:space="preserve"> d’étiquetage des produits chimiques</w:t>
      </w:r>
    </w:p>
    <w:p w14:paraId="2E84866E" w14:textId="77777777" w:rsidR="00DD2D95" w:rsidRPr="00DD2D95" w:rsidRDefault="00DD2D95" w:rsidP="00DD2D95">
      <w:pPr>
        <w:spacing w:before="120" w:line="240" w:lineRule="auto"/>
        <w:rPr>
          <w:b/>
          <w:bCs/>
        </w:rPr>
      </w:pPr>
      <w:r w:rsidRPr="00DD2D95">
        <w:rPr>
          <w:b/>
          <w:bCs/>
          <w:lang w:val="fr-FR"/>
        </w:rPr>
        <w:t>Quarante-troisième session</w:t>
      </w:r>
    </w:p>
    <w:p w14:paraId="2D25F56A" w14:textId="77777777" w:rsidR="00DD2D95" w:rsidRPr="00A748B2" w:rsidRDefault="00DD2D95" w:rsidP="00DD2D95">
      <w:r w:rsidRPr="00A748B2">
        <w:rPr>
          <w:lang w:val="fr-FR"/>
        </w:rPr>
        <w:t xml:space="preserve">Genève, 7-9 décembre 2022 </w:t>
      </w:r>
    </w:p>
    <w:p w14:paraId="2444B9FA" w14:textId="77777777" w:rsidR="00DD2D95" w:rsidRPr="00A748B2" w:rsidRDefault="00DD2D95" w:rsidP="00DD2D95">
      <w:r w:rsidRPr="00A748B2">
        <w:rPr>
          <w:lang w:val="fr-FR"/>
        </w:rPr>
        <w:t>Point 1 de l</w:t>
      </w:r>
      <w:r>
        <w:rPr>
          <w:lang w:val="fr-FR"/>
        </w:rPr>
        <w:t>’</w:t>
      </w:r>
      <w:r w:rsidRPr="00A748B2">
        <w:rPr>
          <w:lang w:val="fr-FR"/>
        </w:rPr>
        <w:t>ordre du jour provisoire</w:t>
      </w:r>
    </w:p>
    <w:p w14:paraId="7B9F76D2" w14:textId="77777777" w:rsidR="00DD2D95" w:rsidRPr="00DD2D95" w:rsidRDefault="00DD2D95" w:rsidP="00DD2D95">
      <w:pPr>
        <w:rPr>
          <w:b/>
          <w:bCs/>
        </w:rPr>
      </w:pPr>
      <w:r w:rsidRPr="00DD2D95">
        <w:rPr>
          <w:b/>
          <w:bCs/>
          <w:lang w:val="fr-FR"/>
        </w:rPr>
        <w:t>Adoption de l’ordre du jour</w:t>
      </w:r>
    </w:p>
    <w:p w14:paraId="2F9E4FAD" w14:textId="2BCDAADA" w:rsidR="00DD2D95" w:rsidRPr="00A748B2" w:rsidRDefault="00DD2D95" w:rsidP="00DD2D95">
      <w:pPr>
        <w:pStyle w:val="HChG"/>
      </w:pPr>
      <w:r w:rsidRPr="00A748B2">
        <w:rPr>
          <w:lang w:val="fr-FR"/>
        </w:rPr>
        <w:tab/>
      </w:r>
      <w:r w:rsidRPr="00A748B2">
        <w:rPr>
          <w:lang w:val="fr-FR"/>
        </w:rPr>
        <w:tab/>
        <w:t xml:space="preserve">Ordre du jour provisoire de la quarante-troisième </w:t>
      </w:r>
      <w:r>
        <w:rPr>
          <w:lang w:val="fr-FR"/>
        </w:rPr>
        <w:br/>
      </w:r>
      <w:r w:rsidRPr="00A748B2">
        <w:rPr>
          <w:lang w:val="fr-FR"/>
        </w:rPr>
        <w:t>session</w:t>
      </w:r>
    </w:p>
    <w:p w14:paraId="67635D36" w14:textId="77777777" w:rsidR="00DD2D95" w:rsidRPr="00A748B2" w:rsidRDefault="00DD2D95" w:rsidP="00DD2D95">
      <w:pPr>
        <w:pStyle w:val="H23G"/>
      </w:pPr>
      <w:r w:rsidRPr="00A748B2">
        <w:rPr>
          <w:lang w:val="fr-FR"/>
        </w:rPr>
        <w:tab/>
      </w:r>
      <w:r w:rsidRPr="00A748B2">
        <w:rPr>
          <w:lang w:val="fr-FR"/>
        </w:rPr>
        <w:tab/>
        <w:t xml:space="preserve">Additif </w:t>
      </w:r>
    </w:p>
    <w:p w14:paraId="69FBD7C0" w14:textId="77777777" w:rsidR="00DD2D95" w:rsidRPr="00A748B2" w:rsidRDefault="00DD2D95" w:rsidP="00DD2D95">
      <w:pPr>
        <w:pStyle w:val="HChG"/>
      </w:pPr>
      <w:r w:rsidRPr="00A748B2">
        <w:rPr>
          <w:lang w:val="fr-FR"/>
        </w:rPr>
        <w:tab/>
      </w:r>
      <w:r w:rsidRPr="00A748B2">
        <w:rPr>
          <w:lang w:val="fr-FR"/>
        </w:rPr>
        <w:tab/>
      </w:r>
      <w:r w:rsidRPr="00A748B2">
        <w:rPr>
          <w:lang w:val="fr-FR"/>
        </w:rPr>
        <w:tab/>
        <w:t>Liste des documents et annotations</w:t>
      </w:r>
    </w:p>
    <w:p w14:paraId="7D90D99B" w14:textId="3C31932C" w:rsidR="00DD2D95" w:rsidRPr="00A748B2" w:rsidRDefault="00DD2D95" w:rsidP="00DD2D95">
      <w:pPr>
        <w:pStyle w:val="H1G"/>
      </w:pPr>
      <w:r>
        <w:rPr>
          <w:lang w:val="fr-FR"/>
        </w:rPr>
        <w:tab/>
      </w:r>
      <w:r>
        <w:rPr>
          <w:lang w:val="fr-FR"/>
        </w:rPr>
        <w:tab/>
      </w:r>
      <w:r w:rsidRPr="00A748B2">
        <w:rPr>
          <w:lang w:val="fr-FR"/>
        </w:rPr>
        <w:t>Note du secrétariat</w:t>
      </w:r>
    </w:p>
    <w:p w14:paraId="38F90EFD" w14:textId="77777777" w:rsidR="00DD2D95" w:rsidRPr="00A748B2" w:rsidRDefault="00DD2D95" w:rsidP="00DD2D95">
      <w:pPr>
        <w:pStyle w:val="SingleTxtG"/>
        <w:ind w:firstLine="567"/>
      </w:pPr>
      <w:r w:rsidRPr="00A748B2">
        <w:rPr>
          <w:lang w:val="fr-FR"/>
        </w:rPr>
        <w:t>La quarante-troisième session du Sous-Comité se tiendra sous forme hybride (les représentants pourront y participer en présentiel ou à distance), avec services d</w:t>
      </w:r>
      <w:r>
        <w:rPr>
          <w:lang w:val="fr-FR"/>
        </w:rPr>
        <w:t>’</w:t>
      </w:r>
      <w:r w:rsidRPr="00A748B2">
        <w:rPr>
          <w:lang w:val="fr-FR"/>
        </w:rPr>
        <w:t>interprétation. De plus amples informations sur les modalités de travail pendant la session seront communiquées en temps utile.</w:t>
      </w:r>
    </w:p>
    <w:p w14:paraId="45C0C72B" w14:textId="28635425" w:rsidR="00DD2D95" w:rsidRPr="006141BB" w:rsidRDefault="00DD2D95" w:rsidP="00DD2D95">
      <w:pPr>
        <w:pStyle w:val="HChG"/>
      </w:pPr>
      <w:r>
        <w:rPr>
          <w:lang w:val="fr-FR"/>
        </w:rPr>
        <w:tab/>
      </w:r>
      <w:r w:rsidRPr="00A748B2">
        <w:rPr>
          <w:lang w:val="fr-FR"/>
        </w:rPr>
        <w:t>1.</w:t>
      </w:r>
      <w:r w:rsidRPr="00A748B2">
        <w:rPr>
          <w:lang w:val="fr-FR"/>
        </w:rPr>
        <w:tab/>
        <w:t>Adoption de l</w:t>
      </w:r>
      <w:r>
        <w:rPr>
          <w:lang w:val="fr-FR"/>
        </w:rPr>
        <w:t>’</w:t>
      </w:r>
      <w:r w:rsidRPr="00A748B2">
        <w:rPr>
          <w:lang w:val="fr-FR"/>
        </w:rPr>
        <w:t>ordre du jour</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4542"/>
      </w:tblGrid>
      <w:tr w:rsidR="00DD2D95" w:rsidRPr="00DD2D95" w14:paraId="2461CA11" w14:textId="77777777" w:rsidTr="00DD2D95">
        <w:tc>
          <w:tcPr>
            <w:tcW w:w="2840" w:type="dxa"/>
          </w:tcPr>
          <w:p w14:paraId="0FA58C7F" w14:textId="77777777" w:rsidR="00DD2D95" w:rsidRPr="00DD2D95" w:rsidRDefault="00DD2D95" w:rsidP="00D972E7">
            <w:pPr>
              <w:spacing w:before="40" w:after="40" w:line="240" w:lineRule="auto"/>
              <w:rPr>
                <w:lang w:val="en-US"/>
              </w:rPr>
            </w:pPr>
            <w:r w:rsidRPr="00DD2D95">
              <w:rPr>
                <w:lang w:val="en-US"/>
              </w:rPr>
              <w:t>ST/SG/AC.10/C.4/85 et ST/SG/AC.10/C.4/85/Add.1</w:t>
            </w:r>
          </w:p>
        </w:tc>
        <w:tc>
          <w:tcPr>
            <w:tcW w:w="4542" w:type="dxa"/>
          </w:tcPr>
          <w:p w14:paraId="5D0BAFBD" w14:textId="77777777" w:rsidR="00DD2D95" w:rsidRPr="00DD2D95" w:rsidRDefault="00DD2D95" w:rsidP="00D972E7">
            <w:pPr>
              <w:spacing w:before="40" w:after="40" w:line="240" w:lineRule="auto"/>
            </w:pPr>
            <w:r w:rsidRPr="00DD2D95">
              <w:rPr>
                <w:lang w:val="fr-FR"/>
              </w:rPr>
              <w:t>Ordre du jour provisoire de la quarante-troisième session</w:t>
            </w:r>
          </w:p>
        </w:tc>
      </w:tr>
    </w:tbl>
    <w:p w14:paraId="5691B0F0" w14:textId="77777777" w:rsidR="00DD2D95" w:rsidRPr="00DD2D95" w:rsidRDefault="00DD2D95" w:rsidP="00DD2D95">
      <w:pPr>
        <w:pStyle w:val="H1G"/>
      </w:pPr>
      <w:r w:rsidRPr="00DD2D95">
        <w:rPr>
          <w:lang w:val="fr-FR"/>
        </w:rPr>
        <w:tab/>
      </w:r>
      <w:r w:rsidRPr="00DD2D95">
        <w:rPr>
          <w:lang w:val="fr-FR"/>
        </w:rPr>
        <w:tab/>
      </w:r>
      <w:r w:rsidRPr="00DD2D95">
        <w:rPr>
          <w:lang w:val="fr-FR"/>
        </w:rPr>
        <w:tab/>
        <w:t>Documents de référence (secrétariat)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DD2D95" w:rsidRPr="00DD2D95" w14:paraId="7EC4C539" w14:textId="77777777" w:rsidTr="00D972E7">
        <w:tc>
          <w:tcPr>
            <w:tcW w:w="2766" w:type="dxa"/>
          </w:tcPr>
          <w:p w14:paraId="2E3DBAF5" w14:textId="77777777" w:rsidR="00DD2D95" w:rsidRPr="00DD2D95" w:rsidRDefault="00DD2D95" w:rsidP="00D972E7">
            <w:pPr>
              <w:spacing w:before="40" w:after="40" w:line="240" w:lineRule="auto"/>
            </w:pPr>
            <w:r w:rsidRPr="00DD2D95">
              <w:rPr>
                <w:lang w:val="fr-FR"/>
              </w:rPr>
              <w:t>ST/SG/AC.10/30/Rev.9</w:t>
            </w:r>
          </w:p>
        </w:tc>
        <w:tc>
          <w:tcPr>
            <w:tcW w:w="4604" w:type="dxa"/>
          </w:tcPr>
          <w:p w14:paraId="113A25B2" w14:textId="77777777" w:rsidR="00DD2D95" w:rsidRPr="00DD2D95" w:rsidRDefault="00DD2D95" w:rsidP="00D972E7">
            <w:pPr>
              <w:spacing w:before="40" w:after="40" w:line="240" w:lineRule="auto"/>
            </w:pPr>
            <w:r w:rsidRPr="00DD2D95">
              <w:rPr>
                <w:lang w:val="fr-FR"/>
              </w:rPr>
              <w:t>Système général harmonisé de classification et d’étiquetage des produits chimiques (SGH), neuvième édition révisée</w:t>
            </w:r>
          </w:p>
        </w:tc>
      </w:tr>
      <w:tr w:rsidR="00DD2D95" w:rsidRPr="00DD2D95" w14:paraId="17B280F0" w14:textId="77777777" w:rsidTr="00D972E7">
        <w:tc>
          <w:tcPr>
            <w:tcW w:w="2766" w:type="dxa"/>
          </w:tcPr>
          <w:p w14:paraId="5DCF1850" w14:textId="77777777" w:rsidR="00DD2D95" w:rsidRPr="00DD2D95" w:rsidRDefault="00DD2D95" w:rsidP="00D972E7">
            <w:pPr>
              <w:spacing w:before="40" w:after="40" w:line="240" w:lineRule="auto"/>
            </w:pPr>
            <w:r w:rsidRPr="00DD2D95">
              <w:rPr>
                <w:lang w:val="fr-FR"/>
              </w:rPr>
              <w:t>ST/SG/AC.10/1/Rev.22</w:t>
            </w:r>
          </w:p>
        </w:tc>
        <w:tc>
          <w:tcPr>
            <w:tcW w:w="4604" w:type="dxa"/>
          </w:tcPr>
          <w:p w14:paraId="6CE49199" w14:textId="4CC0CC79" w:rsidR="00DD2D95" w:rsidRPr="00DD2D95" w:rsidRDefault="00DD2D95" w:rsidP="00D972E7">
            <w:pPr>
              <w:spacing w:before="40" w:after="40" w:line="240" w:lineRule="auto"/>
            </w:pPr>
            <w:r w:rsidRPr="00DD2D95">
              <w:rPr>
                <w:lang w:val="fr-FR"/>
              </w:rPr>
              <w:t>Recommandations relatives au transport des marchandises dangereuses, Règlement type (vingt</w:t>
            </w:r>
            <w:r>
              <w:rPr>
                <w:lang w:val="fr-FR"/>
              </w:rPr>
              <w:noBreakHyphen/>
            </w:r>
            <w:r w:rsidRPr="00DD2D95">
              <w:rPr>
                <w:lang w:val="fr-FR"/>
              </w:rPr>
              <w:t>deuxième édition révisée)</w:t>
            </w:r>
          </w:p>
        </w:tc>
      </w:tr>
      <w:tr w:rsidR="00DD2D95" w:rsidRPr="00DD2D95" w14:paraId="3FF7075A" w14:textId="77777777" w:rsidTr="00D972E7">
        <w:tc>
          <w:tcPr>
            <w:tcW w:w="2766" w:type="dxa"/>
          </w:tcPr>
          <w:p w14:paraId="36092F76" w14:textId="77777777" w:rsidR="00DD2D95" w:rsidRPr="00DD2D95" w:rsidRDefault="00DD2D95" w:rsidP="00DD2D95">
            <w:pPr>
              <w:keepNext/>
              <w:spacing w:before="40" w:after="40" w:line="240" w:lineRule="auto"/>
              <w:rPr>
                <w:lang w:val="en-US"/>
              </w:rPr>
            </w:pPr>
            <w:r w:rsidRPr="00DD2D95">
              <w:rPr>
                <w:lang w:val="en-US"/>
              </w:rPr>
              <w:lastRenderedPageBreak/>
              <w:t>ST/SG/AC.10/11/Rev.7 et Amend.1</w:t>
            </w:r>
          </w:p>
        </w:tc>
        <w:tc>
          <w:tcPr>
            <w:tcW w:w="4604" w:type="dxa"/>
          </w:tcPr>
          <w:p w14:paraId="196E8528" w14:textId="77777777" w:rsidR="00DD2D95" w:rsidRPr="00DD2D95" w:rsidRDefault="00DD2D95" w:rsidP="00DD2D95">
            <w:pPr>
              <w:keepNext/>
              <w:spacing w:before="40" w:after="40" w:line="240" w:lineRule="auto"/>
            </w:pPr>
            <w:r w:rsidRPr="00DD2D95">
              <w:rPr>
                <w:lang w:val="fr-FR"/>
              </w:rPr>
              <w:t>Manuel d’épreuves et de critères, septième édition révisée et amendement 1</w:t>
            </w:r>
          </w:p>
        </w:tc>
      </w:tr>
      <w:tr w:rsidR="00DD2D95" w:rsidRPr="00DD2D95" w14:paraId="624A0666" w14:textId="77777777" w:rsidTr="00D972E7">
        <w:tc>
          <w:tcPr>
            <w:tcW w:w="2766" w:type="dxa"/>
          </w:tcPr>
          <w:p w14:paraId="02E1EDE7" w14:textId="77777777" w:rsidR="00DD2D95" w:rsidRPr="00DD2D95" w:rsidRDefault="00DD2D95" w:rsidP="00DD2D95">
            <w:pPr>
              <w:keepNext/>
              <w:spacing w:before="40" w:after="40" w:line="240" w:lineRule="auto"/>
            </w:pPr>
            <w:r w:rsidRPr="00DD2D95">
              <w:rPr>
                <w:lang w:val="fr-FR"/>
              </w:rPr>
              <w:t>ST/SG/AC.10/C.4/84</w:t>
            </w:r>
          </w:p>
        </w:tc>
        <w:tc>
          <w:tcPr>
            <w:tcW w:w="4604" w:type="dxa"/>
          </w:tcPr>
          <w:p w14:paraId="3070611B" w14:textId="77777777" w:rsidR="00DD2D95" w:rsidRPr="00DD2D95" w:rsidRDefault="00DD2D95" w:rsidP="00DD2D95">
            <w:pPr>
              <w:keepNext/>
              <w:spacing w:before="40" w:after="40" w:line="240" w:lineRule="auto"/>
            </w:pPr>
            <w:r w:rsidRPr="00DD2D95">
              <w:rPr>
                <w:lang w:val="fr-FR"/>
              </w:rPr>
              <w:t>Rapport du Sous-Comité d’experts du Système général harmonisé de classification et d’étiquetage des produits chimiques sur sa quarante-deuxième session</w:t>
            </w:r>
          </w:p>
        </w:tc>
      </w:tr>
      <w:tr w:rsidR="00DD2D95" w:rsidRPr="00DD2D95" w14:paraId="669278D5" w14:textId="77777777" w:rsidTr="00D972E7">
        <w:tc>
          <w:tcPr>
            <w:tcW w:w="2766" w:type="dxa"/>
          </w:tcPr>
          <w:p w14:paraId="4CE473BC" w14:textId="77777777" w:rsidR="00DD2D95" w:rsidRPr="00DD2D95" w:rsidRDefault="00DD2D95" w:rsidP="00D972E7">
            <w:pPr>
              <w:spacing w:before="40" w:after="40" w:line="240" w:lineRule="auto"/>
            </w:pPr>
            <w:r w:rsidRPr="00DD2D95">
              <w:rPr>
                <w:lang w:val="fr-FR"/>
              </w:rPr>
              <w:t xml:space="preserve">ST/SG/AC.10/C.3/120 et Add.1 </w:t>
            </w:r>
          </w:p>
        </w:tc>
        <w:tc>
          <w:tcPr>
            <w:tcW w:w="4604" w:type="dxa"/>
          </w:tcPr>
          <w:p w14:paraId="7338D6B9" w14:textId="77777777" w:rsidR="00DD2D95" w:rsidRPr="00DD2D95" w:rsidRDefault="00DD2D95" w:rsidP="00D972E7">
            <w:pPr>
              <w:spacing w:before="40" w:after="40" w:line="240" w:lineRule="auto"/>
            </w:pPr>
            <w:r w:rsidRPr="00DD2D95">
              <w:rPr>
                <w:lang w:val="fr-FR"/>
              </w:rPr>
              <w:t>Rapport du Sous-Comité d’experts du transport des marchandises dangereuses sur sa soixantième session</w:t>
            </w:r>
          </w:p>
        </w:tc>
      </w:tr>
    </w:tbl>
    <w:p w14:paraId="1C326683" w14:textId="6F58CDF6" w:rsidR="00DD2D95" w:rsidRPr="00DD2D95" w:rsidRDefault="00DD2D95" w:rsidP="00DD2D95">
      <w:pPr>
        <w:pStyle w:val="HChG"/>
      </w:pPr>
      <w:r>
        <w:rPr>
          <w:lang w:val="fr-FR"/>
        </w:rPr>
        <w:tab/>
      </w:r>
      <w:r w:rsidRPr="00DD2D95">
        <w:rPr>
          <w:lang w:val="fr-FR"/>
        </w:rPr>
        <w:t>2.</w:t>
      </w:r>
      <w:r w:rsidRPr="00DD2D95">
        <w:rPr>
          <w:lang w:val="fr-FR"/>
        </w:rPr>
        <w:tab/>
        <w:t xml:space="preserve">Recommandations formulées par le Sous-Comité </w:t>
      </w:r>
      <w:r>
        <w:rPr>
          <w:lang w:val="fr-FR"/>
        </w:rPr>
        <w:br/>
      </w:r>
      <w:r w:rsidRPr="00DD2D95">
        <w:rPr>
          <w:lang w:val="fr-FR"/>
        </w:rPr>
        <w:t xml:space="preserve">à ses quarantième, quarante et unième </w:t>
      </w:r>
      <w:r>
        <w:rPr>
          <w:lang w:val="fr-FR"/>
        </w:rPr>
        <w:br/>
      </w:r>
      <w:r w:rsidRPr="00DD2D95">
        <w:rPr>
          <w:lang w:val="fr-FR"/>
        </w:rPr>
        <w:t xml:space="preserve">et </w:t>
      </w:r>
      <w:proofErr w:type="gramStart"/>
      <w:r w:rsidRPr="00DD2D95">
        <w:rPr>
          <w:lang w:val="fr-FR"/>
        </w:rPr>
        <w:t>quarante-deuxième sessions</w:t>
      </w:r>
      <w:proofErr w:type="gramEnd"/>
    </w:p>
    <w:tbl>
      <w:tblPr>
        <w:tblStyle w:val="TableGrid"/>
        <w:tblW w:w="73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DD2D95" w:rsidRPr="00DD2D95" w14:paraId="4A1BA6D6" w14:textId="77777777" w:rsidTr="00D972E7">
        <w:tc>
          <w:tcPr>
            <w:tcW w:w="2766" w:type="dxa"/>
          </w:tcPr>
          <w:p w14:paraId="54936EFA" w14:textId="3CE25153" w:rsidR="00DD2D95" w:rsidRPr="00DD2D95" w:rsidRDefault="00DD2D95" w:rsidP="00D972E7">
            <w:pPr>
              <w:spacing w:before="40" w:after="40" w:line="240" w:lineRule="auto"/>
            </w:pPr>
            <w:r w:rsidRPr="00DD2D95">
              <w:rPr>
                <w:lang w:val="fr-FR"/>
              </w:rPr>
              <w:t>ST/SG/AC.10/C.4/2022/13 (secrétariat)</w:t>
            </w:r>
          </w:p>
        </w:tc>
        <w:tc>
          <w:tcPr>
            <w:tcW w:w="4604" w:type="dxa"/>
          </w:tcPr>
          <w:p w14:paraId="37156049" w14:textId="07243B09" w:rsidR="00DD2D95" w:rsidRPr="00DD2D95" w:rsidRDefault="00DD2D95" w:rsidP="00D972E7">
            <w:pPr>
              <w:spacing w:before="40" w:after="40" w:line="240" w:lineRule="auto"/>
            </w:pPr>
            <w:r w:rsidRPr="00DD2D95">
              <w:rPr>
                <w:lang w:val="fr-FR"/>
              </w:rPr>
              <w:t>Liste récapitulative des projets d’amendements adoptés par le Sous-Comité à ses quarantième et quarante</w:t>
            </w:r>
            <w:r>
              <w:rPr>
                <w:lang w:val="fr-FR"/>
              </w:rPr>
              <w:noBreakHyphen/>
            </w:r>
            <w:r w:rsidRPr="00DD2D95">
              <w:rPr>
                <w:lang w:val="fr-FR"/>
              </w:rPr>
              <w:t xml:space="preserve">deuxième sessions </w:t>
            </w:r>
          </w:p>
        </w:tc>
      </w:tr>
    </w:tbl>
    <w:p w14:paraId="21DC432D" w14:textId="64832644" w:rsidR="00DD2D95" w:rsidRPr="00DD2D95" w:rsidRDefault="00DD2D95" w:rsidP="00DD2D95">
      <w:pPr>
        <w:pStyle w:val="HChG"/>
      </w:pPr>
      <w:r>
        <w:rPr>
          <w:lang w:val="fr-FR"/>
        </w:rPr>
        <w:tab/>
      </w:r>
      <w:r w:rsidRPr="00DD2D95">
        <w:rPr>
          <w:lang w:val="fr-FR"/>
        </w:rPr>
        <w:t>3.</w:t>
      </w:r>
      <w:r w:rsidRPr="00DD2D95">
        <w:rPr>
          <w:lang w:val="fr-FR"/>
        </w:rPr>
        <w:tab/>
        <w:t xml:space="preserve">Travaux relatifs au Système général harmonisé </w:t>
      </w:r>
      <w:r>
        <w:rPr>
          <w:lang w:val="fr-FR"/>
        </w:rPr>
        <w:br/>
      </w:r>
      <w:r w:rsidRPr="00DD2D95">
        <w:rPr>
          <w:lang w:val="fr-FR"/>
        </w:rPr>
        <w:t xml:space="preserve">de classification et d’étiquetage des produits </w:t>
      </w:r>
      <w:r>
        <w:rPr>
          <w:lang w:val="fr-FR"/>
        </w:rPr>
        <w:br/>
      </w:r>
      <w:r w:rsidRPr="00DD2D95">
        <w:rPr>
          <w:lang w:val="fr-FR"/>
        </w:rPr>
        <w:t>chimiques (ci-après SGH)</w:t>
      </w:r>
    </w:p>
    <w:p w14:paraId="1A09CA40" w14:textId="622BB58E" w:rsidR="00DD2D95" w:rsidRPr="00DD2D95" w:rsidRDefault="00DD2D95" w:rsidP="00DD2D95">
      <w:pPr>
        <w:pStyle w:val="H1G"/>
      </w:pPr>
      <w:r>
        <w:rPr>
          <w:lang w:val="fr-FR"/>
        </w:rPr>
        <w:tab/>
      </w:r>
      <w:r w:rsidRPr="00DD2D95">
        <w:rPr>
          <w:lang w:val="fr-FR"/>
        </w:rPr>
        <w:t>a)</w:t>
      </w:r>
      <w:r w:rsidRPr="00DD2D95">
        <w:rPr>
          <w:lang w:val="fr-FR"/>
        </w:rPr>
        <w:tab/>
        <w:t>Travaux du Sous-Comité d’experts du transport des marchandises dangereuses sur des questions intéressant le Sous-Comité</w:t>
      </w:r>
      <w:r w:rsidRPr="00DD2D95">
        <w:rPr>
          <w:rStyle w:val="FootnoteReference"/>
          <w:b w:val="0"/>
          <w:bCs/>
        </w:rPr>
        <w:footnoteReference w:id="2"/>
      </w:r>
    </w:p>
    <w:tbl>
      <w:tblPr>
        <w:tblStyle w:val="TableGrid"/>
        <w:tblW w:w="73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DD2D95" w:rsidRPr="00DD2D95" w14:paraId="25D5F393" w14:textId="77777777" w:rsidTr="00D972E7">
        <w:tc>
          <w:tcPr>
            <w:tcW w:w="2766" w:type="dxa"/>
          </w:tcPr>
          <w:p w14:paraId="04A0B5DF" w14:textId="681C107F" w:rsidR="00DD2D95" w:rsidRPr="00DD2D95" w:rsidRDefault="00DD2D95" w:rsidP="00D972E7">
            <w:pPr>
              <w:spacing w:before="40" w:after="40" w:line="240" w:lineRule="auto"/>
              <w:rPr>
                <w:lang w:val="en-US"/>
              </w:rPr>
            </w:pPr>
            <w:r w:rsidRPr="00DD2D95">
              <w:rPr>
                <w:lang w:val="en-US"/>
              </w:rPr>
              <w:t>ST/SG/AC.10/C.4/2022/8</w:t>
            </w:r>
            <w:r>
              <w:rPr>
                <w:lang w:val="en-US"/>
              </w:rPr>
              <w:br/>
            </w:r>
            <w:r w:rsidRPr="00DD2D95">
              <w:rPr>
                <w:lang w:val="en-US"/>
              </w:rPr>
              <w:t>(Suède)</w:t>
            </w:r>
          </w:p>
        </w:tc>
        <w:tc>
          <w:tcPr>
            <w:tcW w:w="4604" w:type="dxa"/>
          </w:tcPr>
          <w:p w14:paraId="246DDD77" w14:textId="7B00F939" w:rsidR="00DD2D95" w:rsidRPr="00DD2D95" w:rsidRDefault="00DD2D95" w:rsidP="00D972E7">
            <w:pPr>
              <w:spacing w:before="40" w:after="40" w:line="240" w:lineRule="auto"/>
            </w:pPr>
            <w:r w:rsidRPr="00DD2D95">
              <w:rPr>
                <w:lang w:val="fr-FR"/>
              </w:rPr>
              <w:t>Proposition de modification de la définition de «</w:t>
            </w:r>
            <w:r>
              <w:rPr>
                <w:lang w:val="fr-FR"/>
              </w:rPr>
              <w:t> </w:t>
            </w:r>
            <w:r w:rsidRPr="00DD2D95">
              <w:rPr>
                <w:lang w:val="fr-FR"/>
              </w:rPr>
              <w:t>matière pyrotechnique</w:t>
            </w:r>
            <w:r>
              <w:rPr>
                <w:lang w:val="fr-FR"/>
              </w:rPr>
              <w:t> </w:t>
            </w:r>
            <w:r w:rsidRPr="00DD2D95">
              <w:rPr>
                <w:lang w:val="fr-FR"/>
              </w:rPr>
              <w:t>» et d’ajout de la définition d</w:t>
            </w:r>
            <w:proofErr w:type="gramStart"/>
            <w:r w:rsidRPr="00DD2D95">
              <w:rPr>
                <w:lang w:val="fr-FR"/>
              </w:rPr>
              <w:t>’«</w:t>
            </w:r>
            <w:proofErr w:type="gramEnd"/>
            <w:r>
              <w:rPr>
                <w:lang w:val="fr-FR"/>
              </w:rPr>
              <w:t> </w:t>
            </w:r>
            <w:r w:rsidRPr="00DD2D95">
              <w:rPr>
                <w:lang w:val="fr-FR"/>
              </w:rPr>
              <w:t>effet par explosion ou effet pyrotechnique</w:t>
            </w:r>
            <w:r>
              <w:rPr>
                <w:lang w:val="fr-FR"/>
              </w:rPr>
              <w:t> </w:t>
            </w:r>
            <w:r w:rsidRPr="00DD2D95">
              <w:rPr>
                <w:lang w:val="fr-FR"/>
              </w:rPr>
              <w:t>»</w:t>
            </w:r>
          </w:p>
        </w:tc>
      </w:tr>
      <w:tr w:rsidR="00DD2D95" w:rsidRPr="00DD2D95" w14:paraId="461C57C9" w14:textId="77777777" w:rsidTr="00D972E7">
        <w:tc>
          <w:tcPr>
            <w:tcW w:w="2766" w:type="dxa"/>
          </w:tcPr>
          <w:p w14:paraId="1BEE23F9" w14:textId="07F9A9C6" w:rsidR="00DD2D95" w:rsidRPr="00DD2D95" w:rsidRDefault="00DD2D95" w:rsidP="00D972E7">
            <w:pPr>
              <w:spacing w:before="40" w:after="40" w:line="240" w:lineRule="auto"/>
              <w:rPr>
                <w:lang w:val="en-US"/>
              </w:rPr>
            </w:pPr>
            <w:r w:rsidRPr="00DD2D95">
              <w:rPr>
                <w:lang w:val="en-US"/>
              </w:rPr>
              <w:t>ST/SG/AC.10/C.4/2022/12 (Cefic)</w:t>
            </w:r>
          </w:p>
        </w:tc>
        <w:tc>
          <w:tcPr>
            <w:tcW w:w="4604" w:type="dxa"/>
          </w:tcPr>
          <w:p w14:paraId="19E6CB92" w14:textId="33B62665" w:rsidR="00DD2D95" w:rsidRPr="00DD2D95" w:rsidRDefault="00DD2D95" w:rsidP="00D972E7">
            <w:pPr>
              <w:spacing w:before="40" w:after="40" w:line="240" w:lineRule="auto"/>
              <w:rPr>
                <w:rFonts w:eastAsia="MS Mincho"/>
              </w:rPr>
            </w:pPr>
            <w:r w:rsidRPr="00DD2D95">
              <w:rPr>
                <w:lang w:val="fr-FR"/>
              </w:rPr>
              <w:t>Manuel d’épreuves et de critères, section 1 (par.</w:t>
            </w:r>
            <w:r>
              <w:rPr>
                <w:lang w:val="fr-FR"/>
              </w:rPr>
              <w:t> </w:t>
            </w:r>
            <w:r w:rsidRPr="00DD2D95">
              <w:rPr>
                <w:lang w:val="fr-FR"/>
              </w:rPr>
              <w:t xml:space="preserve">1.2.1.4.3) et section 20 (par. 20.2.5) concernant l’épreuve d’échauffement spontané N.4 pour les peroxydes organiques et les matières qui polymérisent </w:t>
            </w:r>
          </w:p>
        </w:tc>
      </w:tr>
      <w:tr w:rsidR="00DD2D95" w:rsidRPr="00DD2D95" w14:paraId="17C3D8BD" w14:textId="77777777" w:rsidTr="00D972E7">
        <w:tc>
          <w:tcPr>
            <w:tcW w:w="2766" w:type="dxa"/>
          </w:tcPr>
          <w:p w14:paraId="48609941" w14:textId="6DEBBE8A" w:rsidR="00DD2D95" w:rsidRPr="00DD2D95" w:rsidRDefault="00DD2D95" w:rsidP="00D972E7">
            <w:pPr>
              <w:spacing w:before="40" w:after="40" w:line="240" w:lineRule="auto"/>
              <w:rPr>
                <w:lang w:val="en-US"/>
              </w:rPr>
            </w:pPr>
            <w:r w:rsidRPr="00DD2D95">
              <w:rPr>
                <w:lang w:val="en-US"/>
              </w:rPr>
              <w:t>ST/SG/AC.10/C.4/2022/17 (Chine)</w:t>
            </w:r>
          </w:p>
        </w:tc>
        <w:tc>
          <w:tcPr>
            <w:tcW w:w="4604" w:type="dxa"/>
          </w:tcPr>
          <w:p w14:paraId="3CE42748" w14:textId="77777777" w:rsidR="00DD2D95" w:rsidRPr="00DD2D95" w:rsidRDefault="00DD2D95" w:rsidP="00D972E7">
            <w:pPr>
              <w:spacing w:before="40" w:after="40" w:line="240" w:lineRule="auto"/>
              <w:rPr>
                <w:rFonts w:eastAsia="MS Mincho"/>
              </w:rPr>
            </w:pPr>
            <w:r w:rsidRPr="00DD2D95">
              <w:t>P</w:t>
            </w:r>
            <w:r w:rsidRPr="00DD2D95">
              <w:rPr>
                <w:lang w:val="fr-FR"/>
              </w:rPr>
              <w:t>oudres métalliques et poudres de métaux ou d’alliages métalliques dans l’épreuve N.1</w:t>
            </w:r>
          </w:p>
        </w:tc>
      </w:tr>
    </w:tbl>
    <w:p w14:paraId="4F5E8D7F" w14:textId="53E5C137" w:rsidR="00DD2D95" w:rsidRPr="00DD2D95" w:rsidRDefault="00DD2D95" w:rsidP="00DD2D95">
      <w:pPr>
        <w:pStyle w:val="H1G"/>
      </w:pPr>
      <w:r>
        <w:rPr>
          <w:lang w:val="fr-FR"/>
        </w:rPr>
        <w:tab/>
      </w:r>
      <w:r w:rsidRPr="00DD2D95">
        <w:rPr>
          <w:lang w:val="fr-FR"/>
        </w:rPr>
        <w:t>b)</w:t>
      </w:r>
      <w:r w:rsidRPr="00DD2D95">
        <w:rPr>
          <w:lang w:val="fr-FR"/>
        </w:rPr>
        <w:tab/>
        <w:t xml:space="preserve">Affectation à plusieurs classes de danger physique </w:t>
      </w:r>
      <w:r>
        <w:rPr>
          <w:lang w:val="fr-FR"/>
        </w:rPr>
        <w:br/>
      </w:r>
      <w:r w:rsidRPr="00DD2D95">
        <w:rPr>
          <w:lang w:val="fr-FR"/>
        </w:rPr>
        <w:t>et hiérarchisation des dangers</w:t>
      </w:r>
    </w:p>
    <w:tbl>
      <w:tblPr>
        <w:tblStyle w:val="TableGrid"/>
        <w:tblW w:w="73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DD2D95" w:rsidRPr="00DD2D95" w14:paraId="748643FF" w14:textId="77777777" w:rsidTr="00D972E7">
        <w:tc>
          <w:tcPr>
            <w:tcW w:w="2766" w:type="dxa"/>
          </w:tcPr>
          <w:p w14:paraId="79671BDF" w14:textId="303244A1" w:rsidR="00DD2D95" w:rsidRPr="00DD2D95" w:rsidRDefault="00DD2D95" w:rsidP="00D972E7">
            <w:pPr>
              <w:spacing w:before="40" w:after="40" w:line="240" w:lineRule="auto"/>
            </w:pPr>
            <w:r w:rsidRPr="00DD2D95">
              <w:rPr>
                <w:lang w:val="fr-FR"/>
              </w:rPr>
              <w:t>ST/SG/AC.10/C.4/2022/9 (Allemagne)</w:t>
            </w:r>
          </w:p>
        </w:tc>
        <w:tc>
          <w:tcPr>
            <w:tcW w:w="4604" w:type="dxa"/>
          </w:tcPr>
          <w:p w14:paraId="03A538F2" w14:textId="77777777" w:rsidR="00DD2D95" w:rsidRPr="00DD2D95" w:rsidRDefault="00DD2D95" w:rsidP="00D972E7">
            <w:pPr>
              <w:spacing w:before="40" w:after="40" w:line="240" w:lineRule="auto"/>
            </w:pPr>
            <w:r w:rsidRPr="00DD2D95">
              <w:rPr>
                <w:lang w:val="fr-FR"/>
              </w:rPr>
              <w:t>Questions soulevées lors des travaux du Sous-Comité d’experts du transport des marchandises dangereuses sur les combinaisons de dangers physiques</w:t>
            </w:r>
          </w:p>
        </w:tc>
      </w:tr>
    </w:tbl>
    <w:p w14:paraId="5DEB94A8" w14:textId="137FB2AD" w:rsidR="00DD2D95" w:rsidRPr="00DD2D95" w:rsidRDefault="00DD2D95" w:rsidP="00DD2D95">
      <w:pPr>
        <w:pStyle w:val="H1G"/>
      </w:pPr>
      <w:r>
        <w:rPr>
          <w:lang w:val="fr-FR"/>
        </w:rPr>
        <w:lastRenderedPageBreak/>
        <w:tab/>
      </w:r>
      <w:r w:rsidRPr="00DD2D95">
        <w:rPr>
          <w:lang w:val="fr-FR"/>
        </w:rPr>
        <w:t>c)</w:t>
      </w:r>
      <w:r w:rsidRPr="00DD2D95">
        <w:rPr>
          <w:lang w:val="fr-FR"/>
        </w:rPr>
        <w:tab/>
        <w:t xml:space="preserve">Utilisation de méthodes d’expérimentation non animales </w:t>
      </w:r>
      <w:r>
        <w:rPr>
          <w:lang w:val="fr-FR"/>
        </w:rPr>
        <w:br/>
      </w:r>
      <w:r w:rsidRPr="00DD2D95">
        <w:rPr>
          <w:lang w:val="fr-FR"/>
        </w:rPr>
        <w:t>pour le classement relatif aux dangers pour la santé</w:t>
      </w:r>
    </w:p>
    <w:tbl>
      <w:tblPr>
        <w:tblStyle w:val="TableGrid"/>
        <w:tblW w:w="73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DD2D95" w:rsidRPr="00DD2D95" w14:paraId="37794F09" w14:textId="77777777" w:rsidTr="00D972E7">
        <w:tc>
          <w:tcPr>
            <w:tcW w:w="2766" w:type="dxa"/>
          </w:tcPr>
          <w:p w14:paraId="31B2D729" w14:textId="1B6982EE" w:rsidR="00DD2D95" w:rsidRPr="00DD2D95" w:rsidRDefault="00DD2D95" w:rsidP="00D972E7">
            <w:pPr>
              <w:spacing w:before="40" w:after="40" w:line="240" w:lineRule="auto"/>
            </w:pPr>
            <w:r w:rsidRPr="00DD2D95">
              <w:rPr>
                <w:lang w:val="fr-FR"/>
              </w:rPr>
              <w:t>ST/SG/AC.10/C.4/2022/14 et document informel INF.3 (Pays</w:t>
            </w:r>
            <w:r>
              <w:rPr>
                <w:lang w:val="fr-FR"/>
              </w:rPr>
              <w:noBreakHyphen/>
            </w:r>
            <w:r w:rsidRPr="00DD2D95">
              <w:rPr>
                <w:lang w:val="fr-FR"/>
              </w:rPr>
              <w:t>Bas, Royaume-Uni)</w:t>
            </w:r>
          </w:p>
        </w:tc>
        <w:tc>
          <w:tcPr>
            <w:tcW w:w="4604" w:type="dxa"/>
          </w:tcPr>
          <w:p w14:paraId="34F5097A" w14:textId="77777777" w:rsidR="00DD2D95" w:rsidRPr="00DD2D95" w:rsidRDefault="00DD2D95" w:rsidP="00D972E7">
            <w:pPr>
              <w:spacing w:before="40" w:after="40" w:line="240" w:lineRule="auto"/>
            </w:pPr>
            <w:r w:rsidRPr="00DD2D95">
              <w:rPr>
                <w:lang w:val="fr-FR"/>
              </w:rPr>
              <w:t xml:space="preserve">Révision du chapitre 3.4 visant à y intégrer pleinement les méthodes d’expérimentation non animales pour la sensibilisation cutanée </w:t>
            </w:r>
          </w:p>
        </w:tc>
      </w:tr>
      <w:tr w:rsidR="00DD2D95" w:rsidRPr="00DD2D95" w14:paraId="10F2661D" w14:textId="77777777" w:rsidTr="00D972E7">
        <w:tc>
          <w:tcPr>
            <w:tcW w:w="2766" w:type="dxa"/>
          </w:tcPr>
          <w:p w14:paraId="43D9CB36" w14:textId="77777777" w:rsidR="00DD2D95" w:rsidRPr="00DD2D95" w:rsidRDefault="00DD2D95" w:rsidP="00D972E7">
            <w:pPr>
              <w:spacing w:before="40" w:after="40" w:line="240" w:lineRule="auto"/>
            </w:pPr>
            <w:r w:rsidRPr="00DD2D95">
              <w:rPr>
                <w:lang w:val="fr-FR"/>
              </w:rPr>
              <w:t xml:space="preserve">ST/SG/AC.10/C.4/2022/15 </w:t>
            </w:r>
            <w:r w:rsidRPr="00DD2D95">
              <w:rPr>
                <w:lang w:val="fr-FR"/>
              </w:rPr>
              <w:br/>
              <w:t>(Pays-Bas, Royaume-Uni)</w:t>
            </w:r>
          </w:p>
        </w:tc>
        <w:tc>
          <w:tcPr>
            <w:tcW w:w="4604" w:type="dxa"/>
          </w:tcPr>
          <w:p w14:paraId="1555A046" w14:textId="77777777" w:rsidR="00DD2D95" w:rsidRPr="00DD2D95" w:rsidRDefault="00DD2D95" w:rsidP="00D972E7">
            <w:pPr>
              <w:spacing w:before="40" w:after="40" w:line="240" w:lineRule="auto"/>
              <w:rPr>
                <w:rFonts w:eastAsia="MS Mincho"/>
              </w:rPr>
            </w:pPr>
            <w:r w:rsidRPr="00DD2D95">
              <w:rPr>
                <w:lang w:val="fr-FR"/>
              </w:rPr>
              <w:t>Amendements de conséquence aux chapitres 1.2, 3.2 et 3.3 découlant de la révision du chapitre 3.4 du SGH visant à y intégrer pleinement les méthodes d’expérimentation non animales pour la sensibilisation cutanée</w:t>
            </w:r>
          </w:p>
        </w:tc>
      </w:tr>
    </w:tbl>
    <w:p w14:paraId="3E44215B" w14:textId="4C260A2B" w:rsidR="00DD2D95" w:rsidRPr="00DD2D95" w:rsidRDefault="00DD2D95" w:rsidP="00DD2D95">
      <w:pPr>
        <w:pStyle w:val="H1G"/>
      </w:pPr>
      <w:r>
        <w:rPr>
          <w:lang w:val="fr-FR"/>
        </w:rPr>
        <w:tab/>
      </w:r>
      <w:r w:rsidRPr="00DD2D95">
        <w:rPr>
          <w:lang w:val="fr-FR"/>
        </w:rPr>
        <w:t>d)</w:t>
      </w:r>
      <w:r w:rsidRPr="00DD2D95">
        <w:rPr>
          <w:lang w:val="fr-FR"/>
        </w:rPr>
        <w:tab/>
        <w:t>Classement relatif à la sensibilisation cutanée en fonction des résultats de l’essai de stimulation locale des ganglions lymphatiques conformément à la ligne directrice de l’OCDE 442B</w:t>
      </w:r>
    </w:p>
    <w:tbl>
      <w:tblPr>
        <w:tblStyle w:val="TableGrid"/>
        <w:tblW w:w="73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DD2D95" w:rsidRPr="00DD2D95" w14:paraId="1983C988" w14:textId="77777777" w:rsidTr="00D972E7">
        <w:tc>
          <w:tcPr>
            <w:tcW w:w="2766" w:type="dxa"/>
          </w:tcPr>
          <w:p w14:paraId="56C06A16" w14:textId="6A60EAAF" w:rsidR="00DD2D95" w:rsidRPr="00DD2D95" w:rsidRDefault="00DD2D95" w:rsidP="00D972E7">
            <w:pPr>
              <w:spacing w:before="40" w:after="40" w:line="240" w:lineRule="auto"/>
              <w:rPr>
                <w:lang w:val="en-US"/>
              </w:rPr>
            </w:pPr>
            <w:r w:rsidRPr="00DD2D95">
              <w:rPr>
                <w:lang w:val="en-US"/>
              </w:rPr>
              <w:t>ST/SG/AC.10/C.4/2022/19 (Japon)</w:t>
            </w:r>
          </w:p>
        </w:tc>
        <w:tc>
          <w:tcPr>
            <w:tcW w:w="4604" w:type="dxa"/>
          </w:tcPr>
          <w:p w14:paraId="2EB2B984" w14:textId="77777777" w:rsidR="00DD2D95" w:rsidRPr="00DD2D95" w:rsidRDefault="00DD2D95" w:rsidP="00D972E7">
            <w:pPr>
              <w:spacing w:before="40" w:after="40" w:line="240" w:lineRule="auto"/>
            </w:pPr>
            <w:r w:rsidRPr="00DD2D95">
              <w:rPr>
                <w:lang w:val="fr-FR"/>
              </w:rPr>
              <w:t>Précisions sur les critères utilisés aux fins du classement relatif à la sensibilisation cutanée à l’aide d’études sur les animaux</w:t>
            </w:r>
          </w:p>
        </w:tc>
      </w:tr>
    </w:tbl>
    <w:p w14:paraId="6FD7324E" w14:textId="20CFE44D" w:rsidR="00DD2D95" w:rsidRPr="00DD2D95" w:rsidRDefault="00DD2D95" w:rsidP="00DD2D95">
      <w:pPr>
        <w:pStyle w:val="H1G"/>
      </w:pPr>
      <w:r>
        <w:rPr>
          <w:lang w:val="fr-FR"/>
        </w:rPr>
        <w:tab/>
      </w:r>
      <w:r w:rsidRPr="00DD2D95">
        <w:rPr>
          <w:lang w:val="fr-FR"/>
        </w:rPr>
        <w:t>e)</w:t>
      </w:r>
      <w:r w:rsidRPr="00DD2D95">
        <w:rPr>
          <w:lang w:val="fr-FR"/>
        </w:rPr>
        <w:tab/>
        <w:t xml:space="preserve">Critères pour le classement relatif à la mutagénicité </w:t>
      </w:r>
      <w:r>
        <w:rPr>
          <w:lang w:val="fr-FR"/>
        </w:rPr>
        <w:br/>
      </w:r>
      <w:r w:rsidRPr="00DD2D95">
        <w:rPr>
          <w:lang w:val="fr-FR"/>
        </w:rPr>
        <w:t>sur les cellules germinales</w:t>
      </w:r>
    </w:p>
    <w:p w14:paraId="2DB1DA9D" w14:textId="59A30F02" w:rsidR="00DD2D95" w:rsidRPr="00DD2D95" w:rsidRDefault="00DD2D95" w:rsidP="00DD2D95">
      <w:pPr>
        <w:pStyle w:val="SingleTxtG"/>
        <w:ind w:firstLine="567"/>
      </w:pPr>
      <w:r w:rsidRPr="00DD2D95">
        <w:rPr>
          <w:lang w:val="fr-FR"/>
        </w:rPr>
        <w:t>Aucun document n’avait été soumis au titre de ce point de l’ordre du jour au moment de la rédaction du présent document. Le représentant de l’Union européenne souhaitera peut</w:t>
      </w:r>
      <w:r>
        <w:rPr>
          <w:lang w:val="fr-FR"/>
        </w:rPr>
        <w:noBreakHyphen/>
      </w:r>
      <w:r w:rsidRPr="00DD2D95">
        <w:rPr>
          <w:lang w:val="fr-FR"/>
        </w:rPr>
        <w:t>être communiquer au Sous-Comité des informations actualisées sur l’avancement des travaux dans ce domaine depuis la quarante-deuxième session. Pour en savoir plus, on consultera le document ST/SG/AC.10/C.4/84, par.</w:t>
      </w:r>
      <w:r>
        <w:rPr>
          <w:lang w:val="fr-FR"/>
        </w:rPr>
        <w:t> </w:t>
      </w:r>
      <w:r w:rsidRPr="00DD2D95">
        <w:rPr>
          <w:lang w:val="fr-FR"/>
        </w:rPr>
        <w:t>34 à 36.</w:t>
      </w:r>
    </w:p>
    <w:p w14:paraId="1B1C91AE" w14:textId="5F83A46E" w:rsidR="00DD2D95" w:rsidRPr="00DD2D95" w:rsidRDefault="00DD2D95" w:rsidP="00DD2D95">
      <w:pPr>
        <w:pStyle w:val="H1G"/>
      </w:pPr>
      <w:r>
        <w:rPr>
          <w:lang w:val="fr-FR"/>
        </w:rPr>
        <w:tab/>
      </w:r>
      <w:r w:rsidRPr="00DD2D95">
        <w:rPr>
          <w:lang w:val="fr-FR"/>
        </w:rPr>
        <w:t>f)</w:t>
      </w:r>
      <w:r w:rsidRPr="00DD2D95">
        <w:rPr>
          <w:lang w:val="fr-FR"/>
        </w:rPr>
        <w:tab/>
        <w:t xml:space="preserve">Questions pratiques relatives au classement </w:t>
      </w:r>
      <w:r>
        <w:rPr>
          <w:lang w:val="fr-FR"/>
        </w:rPr>
        <w:br/>
      </w:r>
      <w:r w:rsidRPr="00DD2D95">
        <w:rPr>
          <w:lang w:val="fr-FR"/>
        </w:rPr>
        <w:t xml:space="preserve">(amendements proposés au SGH) </w:t>
      </w:r>
    </w:p>
    <w:tbl>
      <w:tblPr>
        <w:tblStyle w:val="TableGrid"/>
        <w:tblW w:w="73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DD2D95" w:rsidRPr="00DD2D95" w14:paraId="0A5616BC" w14:textId="77777777" w:rsidTr="00D972E7">
        <w:tc>
          <w:tcPr>
            <w:tcW w:w="2766" w:type="dxa"/>
          </w:tcPr>
          <w:p w14:paraId="320D6F1E" w14:textId="124D84C5" w:rsidR="00DD2D95" w:rsidRPr="00DD2D95" w:rsidRDefault="00DD2D95" w:rsidP="00D972E7">
            <w:pPr>
              <w:spacing w:before="40" w:after="40" w:line="240" w:lineRule="auto"/>
            </w:pPr>
            <w:r w:rsidRPr="00DD2D95">
              <w:rPr>
                <w:lang w:val="fr-FR"/>
              </w:rPr>
              <w:t>ST/SG/AC.10/C.4/2022/21 (États</w:t>
            </w:r>
            <w:r>
              <w:rPr>
                <w:lang w:val="fr-FR"/>
              </w:rPr>
              <w:noBreakHyphen/>
            </w:r>
            <w:r w:rsidRPr="00DD2D95">
              <w:rPr>
                <w:lang w:val="fr-FR"/>
              </w:rPr>
              <w:t>Unis d’Amérique)</w:t>
            </w:r>
          </w:p>
        </w:tc>
        <w:tc>
          <w:tcPr>
            <w:tcW w:w="4604" w:type="dxa"/>
          </w:tcPr>
          <w:p w14:paraId="486CA07F" w14:textId="77777777" w:rsidR="00DD2D95" w:rsidRPr="00DD2D95" w:rsidRDefault="00DD2D95" w:rsidP="00D972E7">
            <w:pPr>
              <w:spacing w:before="40" w:after="40" w:line="240" w:lineRule="auto"/>
            </w:pPr>
            <w:r w:rsidRPr="00DD2D95">
              <w:rPr>
                <w:lang w:val="fr-FR"/>
              </w:rPr>
              <w:t>Proposition tendant à régler des questions inscrites au programme de travail du groupe de travail informel par correspondance chargé des questions pratiques de classification</w:t>
            </w:r>
          </w:p>
        </w:tc>
      </w:tr>
    </w:tbl>
    <w:p w14:paraId="23B2E1AC" w14:textId="54E8DB71" w:rsidR="00DD2D95" w:rsidRPr="00DD2D95" w:rsidRDefault="00DD2D95" w:rsidP="00DD2D95">
      <w:pPr>
        <w:pStyle w:val="H1G"/>
      </w:pPr>
      <w:r>
        <w:rPr>
          <w:lang w:val="fr-FR"/>
        </w:rPr>
        <w:tab/>
      </w:r>
      <w:r w:rsidRPr="00DD2D95">
        <w:rPr>
          <w:lang w:val="fr-FR"/>
        </w:rPr>
        <w:t>g)</w:t>
      </w:r>
      <w:r w:rsidRPr="00DD2D95">
        <w:rPr>
          <w:lang w:val="fr-FR"/>
        </w:rPr>
        <w:tab/>
        <w:t>Nanomatériaux</w:t>
      </w:r>
    </w:p>
    <w:p w14:paraId="20883FE1" w14:textId="26DEA16B" w:rsidR="00DD2D95" w:rsidRPr="00DD2D95" w:rsidRDefault="00DD2D95" w:rsidP="00DD2D95">
      <w:pPr>
        <w:pStyle w:val="SingleTxtG"/>
        <w:ind w:firstLine="567"/>
      </w:pPr>
      <w:r w:rsidRPr="00DD2D95">
        <w:rPr>
          <w:lang w:val="fr-FR"/>
        </w:rPr>
        <w:t>Aucun document n’avait été soumis au titre de ce point de l’ordre du jour au moment de la rédaction du présent document. Le Sous-Comité souhaitera peut-être examiner cette question lorsqu’il réfléchira à son programme de travail pour 2023-2024 (point</w:t>
      </w:r>
      <w:r>
        <w:rPr>
          <w:lang w:val="fr-FR"/>
        </w:rPr>
        <w:t> </w:t>
      </w:r>
      <w:r w:rsidRPr="00DD2D95">
        <w:rPr>
          <w:lang w:val="fr-FR"/>
        </w:rPr>
        <w:t>7 de l’ordre du jour).</w:t>
      </w:r>
    </w:p>
    <w:p w14:paraId="26075DA7" w14:textId="2199AA65" w:rsidR="00DD2D95" w:rsidRPr="00DD2D95" w:rsidRDefault="00DD2D95" w:rsidP="00DD2D95">
      <w:pPr>
        <w:pStyle w:val="H1G"/>
      </w:pPr>
      <w:r>
        <w:rPr>
          <w:lang w:val="fr-FR"/>
        </w:rPr>
        <w:tab/>
      </w:r>
      <w:r w:rsidRPr="00DD2D95">
        <w:rPr>
          <w:lang w:val="fr-FR"/>
        </w:rPr>
        <w:t>h)</w:t>
      </w:r>
      <w:r w:rsidRPr="00DD2D95">
        <w:rPr>
          <w:lang w:val="fr-FR"/>
        </w:rPr>
        <w:tab/>
      </w:r>
      <w:r w:rsidRPr="00DD2D95">
        <w:rPr>
          <w:lang w:val="fr-FR"/>
        </w:rPr>
        <w:tab/>
        <w:t>Amélioration des annexes</w:t>
      </w:r>
      <w:r>
        <w:rPr>
          <w:lang w:val="fr-FR"/>
        </w:rPr>
        <w:t> </w:t>
      </w:r>
      <w:r w:rsidRPr="00DD2D95">
        <w:rPr>
          <w:lang w:val="fr-FR"/>
        </w:rPr>
        <w:t xml:space="preserve">1 à 3 et poursuite de la rationalisation </w:t>
      </w:r>
      <w:r>
        <w:rPr>
          <w:lang w:val="fr-FR"/>
        </w:rPr>
        <w:br/>
      </w:r>
      <w:r w:rsidRPr="00DD2D95">
        <w:rPr>
          <w:lang w:val="fr-FR"/>
        </w:rPr>
        <w:t>des conseils de prudence</w:t>
      </w:r>
    </w:p>
    <w:tbl>
      <w:tblPr>
        <w:tblStyle w:val="TableGrid"/>
        <w:tblW w:w="73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DD2D95" w:rsidRPr="00DD2D95" w14:paraId="7C2A4471" w14:textId="77777777" w:rsidTr="00D972E7">
        <w:tc>
          <w:tcPr>
            <w:tcW w:w="2766" w:type="dxa"/>
          </w:tcPr>
          <w:p w14:paraId="03A08B04" w14:textId="77777777" w:rsidR="00DD2D95" w:rsidRPr="00DD2D95" w:rsidRDefault="00DD2D95" w:rsidP="00D972E7">
            <w:pPr>
              <w:spacing w:before="40" w:after="40" w:line="240" w:lineRule="auto"/>
            </w:pPr>
            <w:r w:rsidRPr="00DD2D95">
              <w:rPr>
                <w:lang w:val="fr-FR"/>
              </w:rPr>
              <w:t>ST/SG/AC.10/C.4/2022/16 et document informel INF.4 (Royaume-Uni)</w:t>
            </w:r>
          </w:p>
        </w:tc>
        <w:tc>
          <w:tcPr>
            <w:tcW w:w="4604" w:type="dxa"/>
          </w:tcPr>
          <w:p w14:paraId="4101C689" w14:textId="77777777" w:rsidR="00DD2D95" w:rsidRPr="00DD2D95" w:rsidRDefault="00DD2D95" w:rsidP="00D972E7">
            <w:pPr>
              <w:spacing w:before="40" w:after="40" w:line="240" w:lineRule="auto"/>
            </w:pPr>
            <w:r w:rsidRPr="00DD2D95">
              <w:rPr>
                <w:lang w:val="fr-FR"/>
              </w:rPr>
              <w:t>Propositions d’amendements aux conseils de prudence de l’annexe 3 en ce qui concerne la classe de danger relative à la sensibilisation respiratoire </w:t>
            </w:r>
          </w:p>
        </w:tc>
      </w:tr>
    </w:tbl>
    <w:p w14:paraId="7C90989C" w14:textId="4B7393B7" w:rsidR="00DD2D95" w:rsidRPr="00DD2D95" w:rsidRDefault="00DD2D95" w:rsidP="00DD2D95">
      <w:pPr>
        <w:pStyle w:val="H1G"/>
      </w:pPr>
      <w:r>
        <w:rPr>
          <w:lang w:val="fr-FR"/>
        </w:rPr>
        <w:lastRenderedPageBreak/>
        <w:tab/>
      </w:r>
      <w:r w:rsidRPr="00DD2D95">
        <w:rPr>
          <w:lang w:val="fr-FR"/>
        </w:rPr>
        <w:t>i)</w:t>
      </w:r>
      <w:r w:rsidRPr="00DD2D95">
        <w:rPr>
          <w:lang w:val="fr-FR"/>
        </w:rPr>
        <w:tab/>
        <w:t>Autres questions</w:t>
      </w:r>
    </w:p>
    <w:tbl>
      <w:tblPr>
        <w:tblStyle w:val="TableGrid"/>
        <w:tblW w:w="73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DD2D95" w:rsidRPr="00DD2D95" w14:paraId="791300D6" w14:textId="77777777" w:rsidTr="00D972E7">
        <w:tc>
          <w:tcPr>
            <w:tcW w:w="2766" w:type="dxa"/>
          </w:tcPr>
          <w:p w14:paraId="523B98B9" w14:textId="1B711477" w:rsidR="00DD2D95" w:rsidRPr="00DD2D95" w:rsidRDefault="00DD2D95" w:rsidP="00D972E7">
            <w:pPr>
              <w:spacing w:before="40" w:after="40" w:line="240" w:lineRule="auto"/>
            </w:pPr>
            <w:r w:rsidRPr="00DD2D95">
              <w:rPr>
                <w:lang w:val="fr-FR"/>
              </w:rPr>
              <w:t xml:space="preserve">ST/SG/AC.10/C.4/2022/10 </w:t>
            </w:r>
            <w:r>
              <w:rPr>
                <w:lang w:val="fr-FR"/>
              </w:rPr>
              <w:br/>
            </w:r>
            <w:r w:rsidRPr="00DD2D95">
              <w:rPr>
                <w:lang w:val="fr-FR"/>
              </w:rPr>
              <w:t>et document informel INF.5 (Allemagne, États-Unis d’Amérique)</w:t>
            </w:r>
          </w:p>
        </w:tc>
        <w:tc>
          <w:tcPr>
            <w:tcW w:w="4604" w:type="dxa"/>
          </w:tcPr>
          <w:p w14:paraId="535EDB61" w14:textId="77777777" w:rsidR="00DD2D95" w:rsidRPr="00DD2D95" w:rsidRDefault="00DD2D95" w:rsidP="00D972E7">
            <w:pPr>
              <w:spacing w:before="40" w:after="40" w:line="240" w:lineRule="auto"/>
            </w:pPr>
            <w:r w:rsidRPr="00DD2D95">
              <w:rPr>
                <w:lang w:val="fr-FR"/>
              </w:rPr>
              <w:t>Modifications à apporter aux procédures de classement des matières explosibles désensibilisées selon le SGH</w:t>
            </w:r>
          </w:p>
        </w:tc>
      </w:tr>
      <w:tr w:rsidR="00DD2D95" w:rsidRPr="00DD2D95" w14:paraId="00E42DD0" w14:textId="77777777" w:rsidTr="00D972E7">
        <w:tc>
          <w:tcPr>
            <w:tcW w:w="2766" w:type="dxa"/>
          </w:tcPr>
          <w:p w14:paraId="69140175" w14:textId="5C2AD493" w:rsidR="00DD2D95" w:rsidRPr="00DD2D95" w:rsidRDefault="00DD2D95" w:rsidP="00D972E7">
            <w:pPr>
              <w:spacing w:before="40" w:after="40" w:line="240" w:lineRule="auto"/>
            </w:pPr>
            <w:r w:rsidRPr="00DD2D95">
              <w:rPr>
                <w:lang w:val="fr-FR"/>
              </w:rPr>
              <w:t xml:space="preserve">ST/SG/AC.10/C.4/2022/11 (Allemagne, Président du </w:t>
            </w:r>
            <w:r>
              <w:rPr>
                <w:lang w:val="fr-FR"/>
              </w:rPr>
              <w:br/>
            </w:r>
            <w:r w:rsidRPr="00DD2D95">
              <w:rPr>
                <w:lang w:val="fr-FR"/>
              </w:rPr>
              <w:t>Groupe de travail des explosifs)</w:t>
            </w:r>
          </w:p>
        </w:tc>
        <w:tc>
          <w:tcPr>
            <w:tcW w:w="4604" w:type="dxa"/>
          </w:tcPr>
          <w:p w14:paraId="3F88DF1D" w14:textId="77777777" w:rsidR="00DD2D95" w:rsidRPr="00DD2D95" w:rsidRDefault="00DD2D95" w:rsidP="00D972E7">
            <w:pPr>
              <w:spacing w:before="40" w:after="40" w:line="240" w:lineRule="auto"/>
              <w:rPr>
                <w:rFonts w:eastAsia="MS Mincho"/>
              </w:rPr>
            </w:pPr>
            <w:r w:rsidRPr="00DD2D95">
              <w:rPr>
                <w:lang w:val="fr-FR"/>
              </w:rPr>
              <w:t>Liquides inflammables : épreuves en creuset ouvert et en creuset fermé pour le point d’éclair</w:t>
            </w:r>
          </w:p>
        </w:tc>
      </w:tr>
    </w:tbl>
    <w:p w14:paraId="4CBE229C" w14:textId="3CF627F4" w:rsidR="00DD2D95" w:rsidRPr="00DD2D95" w:rsidRDefault="00DD2D95" w:rsidP="00DD2D95">
      <w:pPr>
        <w:pStyle w:val="HChG"/>
      </w:pPr>
      <w:r>
        <w:rPr>
          <w:lang w:val="fr-FR"/>
        </w:rPr>
        <w:tab/>
      </w:r>
      <w:r w:rsidRPr="00DD2D95">
        <w:rPr>
          <w:lang w:val="fr-FR"/>
        </w:rPr>
        <w:t>4.</w:t>
      </w:r>
      <w:r w:rsidRPr="00DD2D95">
        <w:rPr>
          <w:lang w:val="fr-FR"/>
        </w:rPr>
        <w:tab/>
        <w:t xml:space="preserve">Application </w:t>
      </w:r>
    </w:p>
    <w:p w14:paraId="35428E4B" w14:textId="0EBA3069" w:rsidR="00DD2D95" w:rsidRPr="00DD2D95" w:rsidRDefault="00DD2D95" w:rsidP="00DD2D95">
      <w:pPr>
        <w:pStyle w:val="H1G"/>
      </w:pPr>
      <w:r>
        <w:rPr>
          <w:lang w:val="fr-FR"/>
        </w:rPr>
        <w:tab/>
      </w:r>
      <w:r w:rsidRPr="00DD2D95">
        <w:rPr>
          <w:lang w:val="fr-FR"/>
        </w:rPr>
        <w:t>a)</w:t>
      </w:r>
      <w:r w:rsidRPr="00DD2D95">
        <w:rPr>
          <w:lang w:val="fr-FR"/>
        </w:rPr>
        <w:tab/>
        <w:t xml:space="preserve">Élaboration éventuelle d’une liste de produits chimiques </w:t>
      </w:r>
      <w:r>
        <w:rPr>
          <w:lang w:val="fr-FR"/>
        </w:rPr>
        <w:br/>
      </w:r>
      <w:r w:rsidRPr="00DD2D95">
        <w:rPr>
          <w:lang w:val="fr-FR"/>
        </w:rPr>
        <w:t xml:space="preserve">classés conformément au SGH </w:t>
      </w:r>
    </w:p>
    <w:p w14:paraId="5559AD75" w14:textId="51AD81DE" w:rsidR="00DD2D95" w:rsidRPr="00DD2D95" w:rsidRDefault="00DD2D95" w:rsidP="00DD2D95">
      <w:pPr>
        <w:pStyle w:val="SingleTxtG"/>
        <w:ind w:firstLine="567"/>
      </w:pPr>
      <w:r w:rsidRPr="00DD2D95">
        <w:rPr>
          <w:lang w:val="fr-FR"/>
        </w:rPr>
        <w:t>Les experts du Canada et des États-Unis d’Amérique souhaiteront peut-être informer le Sous-Comité de l’avancement des travaux sur cette question depuis la quarante-deuxième session. Pour en savoir plus, on consultera le document ST/SG/AC.10/C.4/84, par.</w:t>
      </w:r>
      <w:r>
        <w:rPr>
          <w:lang w:val="fr-FR"/>
        </w:rPr>
        <w:t> </w:t>
      </w:r>
      <w:r w:rsidRPr="00DD2D95">
        <w:rPr>
          <w:lang w:val="fr-FR"/>
        </w:rPr>
        <w:t>48 à 52.</w:t>
      </w:r>
    </w:p>
    <w:p w14:paraId="6C605604" w14:textId="6E13F566" w:rsidR="00DD2D95" w:rsidRPr="00DD2D95" w:rsidRDefault="00DD2D95" w:rsidP="00DD2D95">
      <w:pPr>
        <w:pStyle w:val="H1G"/>
      </w:pPr>
      <w:r>
        <w:rPr>
          <w:lang w:val="fr-FR"/>
        </w:rPr>
        <w:tab/>
      </w:r>
      <w:r w:rsidRPr="00DD2D95">
        <w:rPr>
          <w:lang w:val="fr-FR"/>
        </w:rPr>
        <w:t>b)</w:t>
      </w:r>
      <w:r w:rsidRPr="00DD2D95">
        <w:rPr>
          <w:lang w:val="fr-FR"/>
        </w:rPr>
        <w:tab/>
        <w:t>Rapports relatifs au stade atteint dans l’application du SGH</w:t>
      </w:r>
    </w:p>
    <w:p w14:paraId="46D0C29A" w14:textId="77777777" w:rsidR="00DD2D95" w:rsidRPr="00DD2D95" w:rsidRDefault="00DD2D95" w:rsidP="00DD2D95">
      <w:pPr>
        <w:pStyle w:val="SingleTxtG"/>
        <w:ind w:firstLine="567"/>
      </w:pPr>
      <w:r w:rsidRPr="00DD2D95">
        <w:rPr>
          <w:lang w:val="fr-FR"/>
        </w:rPr>
        <w:t xml:space="preserve">Aucun document n’avait été soumis au titre de ce point de l’ordre du jour au moment de la rédaction du présent document. Les experts, observateurs et organisations internationales souhaiteront peut-être informer le Sous-Comité du stade atteint dans l’application du SGH dans leurs pays ou domaines d’activités respectifs. </w:t>
      </w:r>
    </w:p>
    <w:p w14:paraId="51C65E31" w14:textId="44CF7550" w:rsidR="00DD2D95" w:rsidRPr="00DD2D95" w:rsidRDefault="00DD2D95" w:rsidP="00DD2D95">
      <w:pPr>
        <w:pStyle w:val="H1G"/>
      </w:pPr>
      <w:r>
        <w:rPr>
          <w:lang w:val="fr-FR"/>
        </w:rPr>
        <w:tab/>
      </w:r>
      <w:r w:rsidRPr="00DD2D95">
        <w:rPr>
          <w:lang w:val="fr-FR"/>
        </w:rPr>
        <w:t>c)</w:t>
      </w:r>
      <w:r w:rsidRPr="00DD2D95">
        <w:rPr>
          <w:lang w:val="fr-FR"/>
        </w:rPr>
        <w:tab/>
      </w:r>
      <w:r w:rsidRPr="00DD2D95">
        <w:rPr>
          <w:lang w:val="fr-FR"/>
        </w:rPr>
        <w:tab/>
        <w:t>Coopération avec d’autres organes ou organisations internationales</w:t>
      </w:r>
    </w:p>
    <w:p w14:paraId="42186C3F" w14:textId="77777777" w:rsidR="00DD2D95" w:rsidRPr="00DD2D95" w:rsidRDefault="00DD2D95" w:rsidP="00DD2D95">
      <w:pPr>
        <w:pStyle w:val="SingleTxtG"/>
        <w:ind w:firstLine="567"/>
      </w:pPr>
      <w:r w:rsidRPr="00DD2D95">
        <w:rPr>
          <w:lang w:val="fr-FR"/>
        </w:rPr>
        <w:t xml:space="preserve">Aucun document n’avait été soumis au titre de ce point de l’ordre du jour au moment de la rédaction du présent document. </w:t>
      </w:r>
    </w:p>
    <w:p w14:paraId="3DFD7CB0" w14:textId="3AB55EB1" w:rsidR="00DD2D95" w:rsidRPr="00DD2D95" w:rsidRDefault="00DD2D95" w:rsidP="00DD2D95">
      <w:pPr>
        <w:pStyle w:val="H1G"/>
      </w:pPr>
      <w:r>
        <w:rPr>
          <w:lang w:val="fr-FR"/>
        </w:rPr>
        <w:tab/>
      </w:r>
      <w:r w:rsidRPr="00DD2D95">
        <w:rPr>
          <w:lang w:val="fr-FR"/>
        </w:rPr>
        <w:t>d)</w:t>
      </w:r>
      <w:r w:rsidRPr="00DD2D95">
        <w:rPr>
          <w:lang w:val="fr-FR"/>
        </w:rPr>
        <w:tab/>
      </w:r>
      <w:r w:rsidRPr="00DD2D95">
        <w:rPr>
          <w:lang w:val="fr-FR"/>
        </w:rPr>
        <w:tab/>
        <w:t>Autres questions</w:t>
      </w:r>
    </w:p>
    <w:p w14:paraId="40A53092" w14:textId="77777777" w:rsidR="00DD2D95" w:rsidRPr="00DD2D95" w:rsidRDefault="00DD2D95" w:rsidP="00DD2D95">
      <w:pPr>
        <w:pStyle w:val="SingleTxtG"/>
        <w:ind w:firstLine="567"/>
      </w:pPr>
      <w:r w:rsidRPr="00DD2D95">
        <w:rPr>
          <w:lang w:val="fr-FR"/>
        </w:rPr>
        <w:t xml:space="preserve">Aucun document n’avait été soumis au titre de ce point de l’ordre du jour au moment de la rédaction du présent document. </w:t>
      </w:r>
    </w:p>
    <w:p w14:paraId="1C453991" w14:textId="14D7A185" w:rsidR="00DD2D95" w:rsidRPr="00DD2D95" w:rsidRDefault="00DD2D95" w:rsidP="00DD2D95">
      <w:pPr>
        <w:pStyle w:val="HChG"/>
      </w:pPr>
      <w:r>
        <w:rPr>
          <w:lang w:val="fr-FR"/>
        </w:rPr>
        <w:tab/>
      </w:r>
      <w:r w:rsidRPr="00DD2D95">
        <w:rPr>
          <w:lang w:val="fr-FR"/>
        </w:rPr>
        <w:t>5.</w:t>
      </w:r>
      <w:r w:rsidRPr="00DD2D95">
        <w:rPr>
          <w:lang w:val="fr-FR"/>
        </w:rPr>
        <w:tab/>
        <w:t xml:space="preserve">Mise au point de directives </w:t>
      </w:r>
    </w:p>
    <w:p w14:paraId="26BE3210" w14:textId="76007214" w:rsidR="00DD2D95" w:rsidRPr="00DD2D95" w:rsidRDefault="00DD2D95" w:rsidP="00DD2D95">
      <w:pPr>
        <w:pStyle w:val="H1G"/>
      </w:pPr>
      <w:r>
        <w:rPr>
          <w:lang w:val="fr-FR"/>
        </w:rPr>
        <w:tab/>
      </w:r>
      <w:r w:rsidRPr="00DD2D95">
        <w:rPr>
          <w:lang w:val="fr-FR"/>
        </w:rPr>
        <w:t>a)</w:t>
      </w:r>
      <w:r w:rsidRPr="00DD2D95">
        <w:rPr>
          <w:lang w:val="fr-FR"/>
        </w:rPr>
        <w:tab/>
        <w:t>Harmonisation de l’annexe</w:t>
      </w:r>
      <w:r>
        <w:rPr>
          <w:lang w:val="fr-FR"/>
        </w:rPr>
        <w:t> </w:t>
      </w:r>
      <w:r w:rsidRPr="00DD2D95">
        <w:rPr>
          <w:lang w:val="fr-FR"/>
        </w:rPr>
        <w:t>9 (sect.</w:t>
      </w:r>
      <w:r>
        <w:rPr>
          <w:lang w:val="fr-FR"/>
        </w:rPr>
        <w:t> </w:t>
      </w:r>
      <w:r w:rsidRPr="00DD2D95">
        <w:rPr>
          <w:lang w:val="fr-FR"/>
        </w:rPr>
        <w:t>A9.7) et de l’annexe</w:t>
      </w:r>
      <w:r>
        <w:rPr>
          <w:lang w:val="fr-FR"/>
        </w:rPr>
        <w:t> </w:t>
      </w:r>
      <w:r w:rsidRPr="00DD2D95">
        <w:rPr>
          <w:lang w:val="fr-FR"/>
        </w:rPr>
        <w:t xml:space="preserve">10 </w:t>
      </w:r>
      <w:r>
        <w:rPr>
          <w:lang w:val="fr-FR"/>
        </w:rPr>
        <w:br/>
      </w:r>
      <w:r w:rsidRPr="00DD2D95">
        <w:rPr>
          <w:lang w:val="fr-FR"/>
        </w:rPr>
        <w:t>avec les critères du chapitre 4.1</w:t>
      </w:r>
    </w:p>
    <w:tbl>
      <w:tblPr>
        <w:tblStyle w:val="TableGrid"/>
        <w:tblW w:w="73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DD2D95" w:rsidRPr="00DD2D95" w14:paraId="00D1BBB7" w14:textId="77777777" w:rsidTr="00D972E7">
        <w:tc>
          <w:tcPr>
            <w:tcW w:w="2766" w:type="dxa"/>
          </w:tcPr>
          <w:p w14:paraId="6993671A" w14:textId="77777777" w:rsidR="00DD2D95" w:rsidRPr="00DD2D95" w:rsidRDefault="00DD2D95" w:rsidP="00D972E7">
            <w:pPr>
              <w:spacing w:before="40" w:after="40" w:line="240" w:lineRule="auto"/>
            </w:pPr>
            <w:r w:rsidRPr="00DD2D95">
              <w:rPr>
                <w:lang w:val="fr-FR"/>
              </w:rPr>
              <w:t>ST/SG/AC.10/C.4/2022/20 et document informel INF.6 (CIMM)</w:t>
            </w:r>
          </w:p>
        </w:tc>
        <w:tc>
          <w:tcPr>
            <w:tcW w:w="4604" w:type="dxa"/>
          </w:tcPr>
          <w:p w14:paraId="56E741BC" w14:textId="77777777" w:rsidR="00DD2D95" w:rsidRPr="00DD2D95" w:rsidRDefault="00DD2D95" w:rsidP="00D972E7">
            <w:pPr>
              <w:spacing w:before="40" w:after="40" w:line="240" w:lineRule="auto"/>
            </w:pPr>
            <w:r w:rsidRPr="00DD2D95">
              <w:rPr>
                <w:lang w:val="fr-FR"/>
              </w:rPr>
              <w:t>Révision de l’annexe 9 (sect. 9.7) et de l’annexe 10 du SGH pour l’harmonisation avec les critères du chapitre 4.1 et les orientations générales concernant les dangers pour l’environnement</w:t>
            </w:r>
          </w:p>
        </w:tc>
      </w:tr>
    </w:tbl>
    <w:p w14:paraId="091B1CF9" w14:textId="396E72EC" w:rsidR="00DD2D95" w:rsidRPr="00DD2D95" w:rsidRDefault="00DD2D95" w:rsidP="00DD2D95">
      <w:pPr>
        <w:pStyle w:val="H1G"/>
      </w:pPr>
      <w:r>
        <w:rPr>
          <w:lang w:val="fr-FR"/>
        </w:rPr>
        <w:tab/>
      </w:r>
      <w:r w:rsidRPr="00DD2D95">
        <w:rPr>
          <w:lang w:val="fr-FR"/>
        </w:rPr>
        <w:t>b)</w:t>
      </w:r>
      <w:r w:rsidRPr="00DD2D95">
        <w:rPr>
          <w:lang w:val="fr-FR"/>
        </w:rPr>
        <w:tab/>
        <w:t>Questions pratiques relatives au classement</w:t>
      </w:r>
    </w:p>
    <w:p w14:paraId="7033267E" w14:textId="22F050C3" w:rsidR="00DD2D95" w:rsidRPr="00DD2D95" w:rsidRDefault="00DD2D95" w:rsidP="00DD2D95">
      <w:pPr>
        <w:pStyle w:val="SingleTxtG"/>
        <w:ind w:firstLine="567"/>
      </w:pPr>
      <w:r w:rsidRPr="00DD2D95">
        <w:rPr>
          <w:lang w:val="fr-FR"/>
        </w:rPr>
        <w:t>Les propositions d’amendement au SGH relevant des points</w:t>
      </w:r>
      <w:r>
        <w:rPr>
          <w:lang w:val="fr-FR"/>
        </w:rPr>
        <w:t> </w:t>
      </w:r>
      <w:r w:rsidRPr="00DD2D95">
        <w:rPr>
          <w:lang w:val="fr-FR"/>
        </w:rPr>
        <w:t>1, 2 et 4 à 9 du programme de travail du groupe de travail par correspondance chargé des questions pratiques de classification seront examinées par le Sous-Comité au titre du point</w:t>
      </w:r>
      <w:r>
        <w:rPr>
          <w:lang w:val="fr-FR"/>
        </w:rPr>
        <w:t> </w:t>
      </w:r>
      <w:r w:rsidRPr="00DD2D95">
        <w:rPr>
          <w:lang w:val="fr-FR"/>
        </w:rPr>
        <w:t>3</w:t>
      </w:r>
      <w:r>
        <w:rPr>
          <w:lang w:val="fr-FR"/>
        </w:rPr>
        <w:t> </w:t>
      </w:r>
      <w:r w:rsidRPr="00DD2D95">
        <w:rPr>
          <w:lang w:val="fr-FR"/>
        </w:rPr>
        <w:t xml:space="preserve">f) de l’ordre du jour (voir le document ST/SG/AC.10/C.4/2022/21). </w:t>
      </w:r>
    </w:p>
    <w:p w14:paraId="7558914A" w14:textId="77777777" w:rsidR="00DD2D95" w:rsidRPr="00DD2D95" w:rsidRDefault="00DD2D95" w:rsidP="00DD2D95">
      <w:pPr>
        <w:pStyle w:val="SingleTxtG"/>
        <w:ind w:firstLine="567"/>
      </w:pPr>
      <w:r w:rsidRPr="00DD2D95">
        <w:rPr>
          <w:lang w:val="fr-FR"/>
        </w:rPr>
        <w:lastRenderedPageBreak/>
        <w:t xml:space="preserve">L’expert des États-Unis d’Amérique souhaitera peut-être informer le Sous-Comité de l’avancement des travaux du groupe sur les autres points du programme de travail. </w:t>
      </w:r>
    </w:p>
    <w:p w14:paraId="61CAC07D" w14:textId="71B8EC57" w:rsidR="00DD2D95" w:rsidRPr="00DD2D95" w:rsidRDefault="00DD2D95" w:rsidP="00DD2D95">
      <w:pPr>
        <w:pStyle w:val="H1G"/>
      </w:pPr>
      <w:r>
        <w:rPr>
          <w:lang w:val="fr-FR"/>
        </w:rPr>
        <w:tab/>
      </w:r>
      <w:r w:rsidRPr="00DD2D95">
        <w:rPr>
          <w:lang w:val="fr-FR"/>
        </w:rPr>
        <w:t>c)</w:t>
      </w:r>
      <w:r w:rsidRPr="00DD2D95">
        <w:rPr>
          <w:lang w:val="fr-FR"/>
        </w:rPr>
        <w:tab/>
        <w:t>Questions pratiques relatives à l’étiquetage</w:t>
      </w:r>
    </w:p>
    <w:p w14:paraId="3A4757F3" w14:textId="41366641" w:rsidR="00DD2D95" w:rsidRPr="00DD2D95" w:rsidRDefault="00DD2D95" w:rsidP="00DD2D95">
      <w:pPr>
        <w:pStyle w:val="SingleTxtG"/>
        <w:ind w:firstLine="567"/>
      </w:pPr>
      <w:r w:rsidRPr="00DD2D95">
        <w:rPr>
          <w:lang w:val="fr-FR"/>
        </w:rPr>
        <w:t>Aucun document n’avait été soumis au titre de ce point de l’ordre du jour au moment de la rédaction du présent document. Le représentant du Conseil européen de l’industrie chimique (Cefic) souhaitera sans doute informer le Sous-Comité de l’état d’avancement des travaux sur cette question. Pour en savoir plus, on consultera le document ST/SG/AC.10/C.4/82, par.</w:t>
      </w:r>
      <w:r>
        <w:rPr>
          <w:lang w:val="fr-FR"/>
        </w:rPr>
        <w:t> </w:t>
      </w:r>
      <w:r w:rsidRPr="00DD2D95">
        <w:rPr>
          <w:lang w:val="fr-FR"/>
        </w:rPr>
        <w:t>47 à 49.</w:t>
      </w:r>
    </w:p>
    <w:p w14:paraId="5E05C544" w14:textId="40A6E0BD" w:rsidR="00DD2D95" w:rsidRPr="00DD2D95" w:rsidRDefault="00DD2D95" w:rsidP="00DD2D95">
      <w:pPr>
        <w:pStyle w:val="H1G"/>
      </w:pPr>
      <w:r>
        <w:rPr>
          <w:lang w:val="fr-FR"/>
        </w:rPr>
        <w:tab/>
      </w:r>
      <w:r w:rsidRPr="00DD2D95">
        <w:rPr>
          <w:lang w:val="fr-FR"/>
        </w:rPr>
        <w:t>d)</w:t>
      </w:r>
      <w:r w:rsidRPr="00DD2D95">
        <w:rPr>
          <w:lang w:val="fr-FR"/>
        </w:rPr>
        <w:tab/>
      </w:r>
      <w:r w:rsidRPr="00DD2D95">
        <w:rPr>
          <w:lang w:val="fr-FR"/>
        </w:rPr>
        <w:tab/>
        <w:t>Autres questions</w:t>
      </w:r>
    </w:p>
    <w:p w14:paraId="1E6DA031" w14:textId="77777777" w:rsidR="00DD2D95" w:rsidRPr="00DD2D95" w:rsidRDefault="00DD2D95" w:rsidP="00DD2D95">
      <w:pPr>
        <w:pStyle w:val="SingleTxtG"/>
        <w:ind w:firstLine="567"/>
      </w:pPr>
      <w:r w:rsidRPr="00DD2D95">
        <w:rPr>
          <w:lang w:val="fr-FR"/>
        </w:rPr>
        <w:t xml:space="preserve">Aucun document n’avait été soumis au titre de ce point de l’ordre du jour au moment de la rédaction du présent document. </w:t>
      </w:r>
    </w:p>
    <w:p w14:paraId="6EA72D26" w14:textId="18BD0156" w:rsidR="00DD2D95" w:rsidRPr="00DD2D95" w:rsidRDefault="00DD2D95" w:rsidP="00DD2D95">
      <w:pPr>
        <w:pStyle w:val="HChG"/>
      </w:pPr>
      <w:r>
        <w:rPr>
          <w:lang w:val="fr-FR"/>
        </w:rPr>
        <w:tab/>
      </w:r>
      <w:r w:rsidRPr="00DD2D95">
        <w:rPr>
          <w:lang w:val="fr-FR"/>
        </w:rPr>
        <w:t>6.</w:t>
      </w:r>
      <w:r w:rsidRPr="00DD2D95">
        <w:rPr>
          <w:lang w:val="fr-FR"/>
        </w:rPr>
        <w:tab/>
        <w:t>Renforcement des capacités</w:t>
      </w:r>
    </w:p>
    <w:p w14:paraId="1E7BF13C" w14:textId="77777777" w:rsidR="00DD2D95" w:rsidRPr="00DD2D95" w:rsidRDefault="00DD2D95" w:rsidP="00DD2D95">
      <w:pPr>
        <w:pStyle w:val="SingleTxtG"/>
        <w:ind w:firstLine="567"/>
      </w:pPr>
      <w:r w:rsidRPr="00DD2D95">
        <w:rPr>
          <w:lang w:val="fr-FR"/>
        </w:rPr>
        <w:t>Les experts, les observateurs et les organisations internationales souhaiteront peut-être informer le Sous-Comité des éventuels projets et activités de renforcement des capacités menés en lien avec le SGH.</w:t>
      </w:r>
    </w:p>
    <w:p w14:paraId="13E249F7" w14:textId="6EAFDB3F" w:rsidR="00DD2D95" w:rsidRPr="00DD2D95" w:rsidRDefault="00DD2D95" w:rsidP="00DD2D95">
      <w:pPr>
        <w:pStyle w:val="HChG"/>
      </w:pPr>
      <w:r>
        <w:rPr>
          <w:lang w:val="fr-FR"/>
        </w:rPr>
        <w:tab/>
      </w:r>
      <w:r w:rsidRPr="00DD2D95">
        <w:rPr>
          <w:lang w:val="fr-FR"/>
        </w:rPr>
        <w:t>7.</w:t>
      </w:r>
      <w:r w:rsidRPr="00DD2D95">
        <w:rPr>
          <w:lang w:val="fr-FR"/>
        </w:rPr>
        <w:tab/>
        <w:t>Programme de travail pour la période biennale 2023-2024</w:t>
      </w:r>
    </w:p>
    <w:p w14:paraId="6B3C40ED" w14:textId="4D6109D9" w:rsidR="00DD2D95" w:rsidRPr="00DD2D95" w:rsidRDefault="00DD2D95" w:rsidP="00DD2D95">
      <w:pPr>
        <w:pStyle w:val="SingleTxtG"/>
      </w:pPr>
      <w:r w:rsidRPr="00DD2D95">
        <w:rPr>
          <w:b/>
          <w:bCs/>
          <w:i/>
          <w:iCs/>
          <w:lang w:val="fr-FR"/>
        </w:rPr>
        <w:t>Document de référence</w:t>
      </w:r>
      <w:r>
        <w:rPr>
          <w:lang w:val="fr-FR"/>
        </w:rPr>
        <w:t> </w:t>
      </w:r>
      <w:r w:rsidRPr="00DD2D95">
        <w:rPr>
          <w:lang w:val="fr-FR"/>
        </w:rPr>
        <w:t>: ST/SG/AC.10/C.4/78, annexe II</w:t>
      </w:r>
      <w:r w:rsidRPr="00DD2D95">
        <w:rPr>
          <w:rStyle w:val="FootnoteReference"/>
        </w:rPr>
        <w:footnoteReference w:id="3"/>
      </w:r>
      <w:r>
        <w:rPr>
          <w:lang w:val="fr-FR"/>
        </w:rPr>
        <w:t xml:space="preserve"> </w:t>
      </w:r>
      <w:r w:rsidRPr="00DD2D95">
        <w:rPr>
          <w:lang w:val="fr-FR"/>
        </w:rPr>
        <w:t>(Programme de travail du Sous</w:t>
      </w:r>
      <w:r>
        <w:rPr>
          <w:lang w:val="fr-FR"/>
        </w:rPr>
        <w:noBreakHyphen/>
      </w:r>
      <w:r w:rsidRPr="00DD2D95">
        <w:rPr>
          <w:lang w:val="fr-FR"/>
        </w:rPr>
        <w:t>Comité pour la période biennale 2021-2022)</w:t>
      </w:r>
    </w:p>
    <w:p w14:paraId="0193A6C8" w14:textId="77777777" w:rsidR="00DD2D95" w:rsidRPr="00DD2D95" w:rsidRDefault="00DD2D95" w:rsidP="00DD2D95">
      <w:pPr>
        <w:pStyle w:val="SingleTxtG"/>
        <w:ind w:firstLine="567"/>
      </w:pPr>
      <w:r w:rsidRPr="00DD2D95">
        <w:rPr>
          <w:lang w:val="fr-FR"/>
        </w:rPr>
        <w:t>Le Sous-Comité examinera l’état d’avancement des activités figurant dans son programme de travail pour 2021-2022 et étudiera les propositions pour 2023-2024.</w:t>
      </w:r>
    </w:p>
    <w:p w14:paraId="187202AD" w14:textId="2B8F11ED" w:rsidR="00DD2D95" w:rsidRPr="00DD2D95" w:rsidRDefault="00DD2D95" w:rsidP="00DD2D95">
      <w:pPr>
        <w:pStyle w:val="SingleTxtG"/>
        <w:ind w:firstLine="567"/>
      </w:pPr>
      <w:r w:rsidRPr="00DD2D95">
        <w:rPr>
          <w:lang w:val="fr-FR"/>
        </w:rPr>
        <w:t>À la quarante-deuxième session du Sous-Comité, il a été annoncé que les activités relatives à la mutagénicité sur les cellules germinales (voir ST/SG/AC.10/C.4/84, par.</w:t>
      </w:r>
      <w:r>
        <w:rPr>
          <w:lang w:val="fr-FR"/>
        </w:rPr>
        <w:t> </w:t>
      </w:r>
      <w:r w:rsidRPr="00DD2D95">
        <w:rPr>
          <w:lang w:val="fr-FR"/>
        </w:rPr>
        <w:t>34 à</w:t>
      </w:r>
      <w:r>
        <w:rPr>
          <w:lang w:val="fr-FR"/>
        </w:rPr>
        <w:t> </w:t>
      </w:r>
      <w:r w:rsidRPr="00DD2D95">
        <w:rPr>
          <w:lang w:val="fr-FR"/>
        </w:rPr>
        <w:t>36) et à l’utilisation de méthodes d’expérimentation non animales pour le classement relatif aux dangers pour la santé (voir ST/SG/AC.10/C.4/84, par.</w:t>
      </w:r>
      <w:r>
        <w:rPr>
          <w:lang w:val="fr-FR"/>
        </w:rPr>
        <w:t> </w:t>
      </w:r>
      <w:r w:rsidRPr="00DD2D95">
        <w:rPr>
          <w:lang w:val="fr-FR"/>
        </w:rPr>
        <w:t xml:space="preserve">31 à 33) pourraient devoir être reportées à la période biennale 2023-2024. </w:t>
      </w:r>
    </w:p>
    <w:p w14:paraId="68DD6D47" w14:textId="77777777" w:rsidR="00DD2D95" w:rsidRPr="00DD2D95" w:rsidRDefault="00DD2D95" w:rsidP="00DD2D95">
      <w:pPr>
        <w:pStyle w:val="SingleTxtG"/>
        <w:ind w:firstLine="567"/>
      </w:pPr>
      <w:r w:rsidRPr="00DD2D95">
        <w:rPr>
          <w:lang w:val="fr-FR"/>
        </w:rPr>
        <w:t>Des propositions actualisées portant sur les questions ci-dessus ou sur d’éventuelles autres questions pour lesquelles les travaux n’ont pu être achevés en 2021-2022 devraient être soumises au Sous-Comité pour examen.</w:t>
      </w:r>
    </w:p>
    <w:p w14:paraId="11B63E9C" w14:textId="77777777" w:rsidR="00DD2D95" w:rsidRPr="00DD2D95" w:rsidRDefault="00DD2D95" w:rsidP="00DD2D95">
      <w:pPr>
        <w:pStyle w:val="SingleTxtG"/>
        <w:ind w:firstLine="567"/>
      </w:pPr>
      <w:r w:rsidRPr="00DD2D95">
        <w:rPr>
          <w:lang w:val="fr-FR"/>
        </w:rPr>
        <w:t xml:space="preserve">Au moment de la rédaction du présent additif, le document suivant avait été soumis en vue de l’inscription d’un nouveau point dans le programme de travail : </w:t>
      </w:r>
    </w:p>
    <w:tbl>
      <w:tblPr>
        <w:tblStyle w:val="TableGrid"/>
        <w:tblW w:w="73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DD2D95" w:rsidRPr="00DD2D95" w14:paraId="069C95E4" w14:textId="77777777" w:rsidTr="00D972E7">
        <w:tc>
          <w:tcPr>
            <w:tcW w:w="2766" w:type="dxa"/>
          </w:tcPr>
          <w:p w14:paraId="178CA191" w14:textId="77777777" w:rsidR="00DD2D95" w:rsidRPr="00DD2D95" w:rsidRDefault="00DD2D95" w:rsidP="00D972E7">
            <w:pPr>
              <w:spacing w:before="40" w:after="40" w:line="240" w:lineRule="auto"/>
            </w:pPr>
            <w:r w:rsidRPr="00DD2D95">
              <w:rPr>
                <w:lang w:val="fr-FR"/>
              </w:rPr>
              <w:t>ST/SG/AC.10/C.4/2022/18 (Union européenne)</w:t>
            </w:r>
          </w:p>
        </w:tc>
        <w:tc>
          <w:tcPr>
            <w:tcW w:w="4604" w:type="dxa"/>
          </w:tcPr>
          <w:p w14:paraId="091F08AD" w14:textId="77777777" w:rsidR="00DD2D95" w:rsidRPr="00DD2D95" w:rsidRDefault="00DD2D95" w:rsidP="00D972E7">
            <w:pPr>
              <w:spacing w:before="40" w:after="40" w:line="240" w:lineRule="auto"/>
            </w:pPr>
            <w:r w:rsidRPr="00DD2D95">
              <w:rPr>
                <w:lang w:val="fr-FR"/>
              </w:rPr>
              <w:t>Proposition d’ajout, dans le programme de travail de la période biennale 2023-2024, de la question des classes de danger qui ne sont pas encore prises en compte dans le SGH</w:t>
            </w:r>
          </w:p>
        </w:tc>
      </w:tr>
    </w:tbl>
    <w:p w14:paraId="402EF26B" w14:textId="01E8E3AC" w:rsidR="00DD2D95" w:rsidRPr="00DD2D95" w:rsidRDefault="00DD2D95" w:rsidP="00DD2D95">
      <w:pPr>
        <w:pStyle w:val="HChG"/>
      </w:pPr>
      <w:r>
        <w:rPr>
          <w:lang w:val="fr-FR"/>
        </w:rPr>
        <w:tab/>
      </w:r>
      <w:r w:rsidRPr="00DD2D95">
        <w:rPr>
          <w:lang w:val="fr-FR"/>
        </w:rPr>
        <w:t>8.</w:t>
      </w:r>
      <w:r w:rsidRPr="00DD2D95">
        <w:rPr>
          <w:lang w:val="fr-FR"/>
        </w:rPr>
        <w:tab/>
        <w:t>Projet de résolution 2023/… du Conseil économique et social</w:t>
      </w:r>
    </w:p>
    <w:p w14:paraId="6416BB40" w14:textId="77777777" w:rsidR="00DD2D95" w:rsidRPr="00DD2D95" w:rsidRDefault="00DD2D95" w:rsidP="00DD2D95">
      <w:pPr>
        <w:pStyle w:val="SingleTxtG"/>
        <w:ind w:firstLine="567"/>
      </w:pPr>
      <w:r w:rsidRPr="00DD2D95">
        <w:rPr>
          <w:lang w:val="fr-FR"/>
        </w:rPr>
        <w:t>Le Sous-Comité pourra examiner un projet de résolution qui sera soumis au Conseil économique et social pour adoption à sa session de 2023 sur la base d’un projet établi par le secrétariat.</w:t>
      </w:r>
    </w:p>
    <w:p w14:paraId="571A71EC" w14:textId="00A84278" w:rsidR="00DD2D95" w:rsidRPr="00DD2D95" w:rsidRDefault="00DD2D95" w:rsidP="00DD2D95">
      <w:pPr>
        <w:pStyle w:val="HChG"/>
      </w:pPr>
      <w:r>
        <w:rPr>
          <w:lang w:val="fr-FR"/>
        </w:rPr>
        <w:lastRenderedPageBreak/>
        <w:tab/>
      </w:r>
      <w:r w:rsidRPr="00DD2D95">
        <w:rPr>
          <w:lang w:val="fr-FR"/>
        </w:rPr>
        <w:t>9.</w:t>
      </w:r>
      <w:r w:rsidRPr="00DD2D95">
        <w:rPr>
          <w:lang w:val="fr-FR"/>
        </w:rPr>
        <w:tab/>
        <w:t>Élection du Bureau pour l’exercice biennal 2023-2024</w:t>
      </w:r>
    </w:p>
    <w:p w14:paraId="2C914540" w14:textId="77777777" w:rsidR="00DD2D95" w:rsidRPr="00DD2D95" w:rsidRDefault="00DD2D95" w:rsidP="00DD2D95">
      <w:pPr>
        <w:pStyle w:val="SingleTxtG"/>
        <w:ind w:firstLine="567"/>
      </w:pPr>
      <w:r w:rsidRPr="00DD2D95">
        <w:rPr>
          <w:lang w:val="fr-FR"/>
        </w:rPr>
        <w:t>Conformément à l’usage, le Sous-Comité sera invité à élire son bureau pour l’exercice 2023-2024 parmi les représentants de ses pays membres.</w:t>
      </w:r>
    </w:p>
    <w:p w14:paraId="5C1A6BE9" w14:textId="778C2727" w:rsidR="00DD2D95" w:rsidRPr="00DD2D95" w:rsidRDefault="00DD2D95" w:rsidP="00DD2D95">
      <w:pPr>
        <w:pStyle w:val="HChG"/>
      </w:pPr>
      <w:r>
        <w:rPr>
          <w:lang w:val="fr-FR"/>
        </w:rPr>
        <w:tab/>
      </w:r>
      <w:r w:rsidRPr="00DD2D95">
        <w:rPr>
          <w:lang w:val="fr-FR"/>
        </w:rPr>
        <w:t>10.</w:t>
      </w:r>
      <w:r w:rsidRPr="00DD2D95">
        <w:rPr>
          <w:lang w:val="fr-FR"/>
        </w:rPr>
        <w:tab/>
        <w:t>Questions diverses</w:t>
      </w:r>
    </w:p>
    <w:p w14:paraId="7CAAA44E" w14:textId="2AAE32B6" w:rsidR="00DD2D95" w:rsidRPr="00DD2D95" w:rsidRDefault="00DD2D95" w:rsidP="00DD2D95">
      <w:pPr>
        <w:pStyle w:val="SingleTxtG"/>
        <w:ind w:firstLine="567"/>
      </w:pPr>
      <w:r w:rsidRPr="00DD2D95">
        <w:rPr>
          <w:lang w:val="fr-FR"/>
        </w:rPr>
        <w:t>Dans le cadre du suivi de l’examen des organes subsidiaires du Conseil économique et social effectué en 2022 et des débats tenus sur cette question à la quarante-deuxième session (voir ST/SG/AC.10/C.4/84, par.</w:t>
      </w:r>
      <w:r>
        <w:rPr>
          <w:lang w:val="fr-FR"/>
        </w:rPr>
        <w:t> </w:t>
      </w:r>
      <w:r w:rsidRPr="00DD2D95">
        <w:rPr>
          <w:lang w:val="fr-FR"/>
        </w:rPr>
        <w:t xml:space="preserve">74 et 75), le Sous-Comité sera invité à examiner les moyens d’harmoniser davantage ses travaux avec ceux des autres organes subsidiaires du Conseil pour faciliter l’action de celui-ci et l’exécution du Programme 2030. Dans un premier temps, le Sous-Comité pourrait envisager d’inscrire un point permanent à son ordre du jour pour 2023-2024 afin d’étudier cette question. </w:t>
      </w:r>
    </w:p>
    <w:p w14:paraId="396E3C4C" w14:textId="4A6EFFC4" w:rsidR="00DD2D95" w:rsidRPr="00DD2D95" w:rsidRDefault="00DD2D95" w:rsidP="00DD2D95">
      <w:pPr>
        <w:pStyle w:val="HChG"/>
      </w:pPr>
      <w:r>
        <w:rPr>
          <w:lang w:val="fr-FR"/>
        </w:rPr>
        <w:tab/>
      </w:r>
      <w:r w:rsidRPr="00DD2D95">
        <w:rPr>
          <w:lang w:val="fr-FR"/>
        </w:rPr>
        <w:t>11.</w:t>
      </w:r>
      <w:r w:rsidRPr="00DD2D95">
        <w:rPr>
          <w:lang w:val="fr-FR"/>
        </w:rPr>
        <w:tab/>
        <w:t>Adoption du rapport</w:t>
      </w:r>
    </w:p>
    <w:p w14:paraId="550C021B" w14:textId="56957AA6" w:rsidR="00DD2D95" w:rsidRDefault="00DD2D95" w:rsidP="00DD2D95">
      <w:pPr>
        <w:pStyle w:val="SingleTxtG"/>
        <w:ind w:firstLine="567"/>
        <w:rPr>
          <w:lang w:val="fr-FR"/>
        </w:rPr>
      </w:pPr>
      <w:r w:rsidRPr="00DD2D95">
        <w:rPr>
          <w:lang w:val="fr-FR"/>
        </w:rPr>
        <w:t>Conformément à l’usage, le Sous-Comité souhaitera peut-être adopter le rapport sur sa quarante-troisième session sur la base d’un projet établi par le secrétariat.</w:t>
      </w:r>
    </w:p>
    <w:p w14:paraId="3F8F1210" w14:textId="676454FD" w:rsidR="00DD2D95" w:rsidRPr="00DD2D95" w:rsidRDefault="00DD2D95" w:rsidP="00DD2D95">
      <w:pPr>
        <w:pStyle w:val="SingleTxtG"/>
        <w:spacing w:before="240" w:after="0"/>
        <w:jc w:val="center"/>
        <w:rPr>
          <w:u w:val="single"/>
        </w:rPr>
      </w:pPr>
      <w:r>
        <w:rPr>
          <w:u w:val="single"/>
        </w:rPr>
        <w:tab/>
      </w:r>
      <w:r>
        <w:rPr>
          <w:u w:val="single"/>
        </w:rPr>
        <w:tab/>
      </w:r>
      <w:r>
        <w:rPr>
          <w:u w:val="single"/>
        </w:rPr>
        <w:tab/>
      </w:r>
    </w:p>
    <w:sectPr w:rsidR="00DD2D95" w:rsidRPr="00DD2D95" w:rsidSect="003271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BB55" w14:textId="77777777" w:rsidR="00071C04" w:rsidRDefault="00071C04" w:rsidP="00F95C08">
      <w:pPr>
        <w:spacing w:line="240" w:lineRule="auto"/>
      </w:pPr>
    </w:p>
  </w:endnote>
  <w:endnote w:type="continuationSeparator" w:id="0">
    <w:p w14:paraId="5476B3A2" w14:textId="77777777" w:rsidR="00071C04" w:rsidRPr="00AC3823" w:rsidRDefault="00071C04" w:rsidP="00AC3823">
      <w:pPr>
        <w:pStyle w:val="Footer"/>
      </w:pPr>
    </w:p>
  </w:endnote>
  <w:endnote w:type="continuationNotice" w:id="1">
    <w:p w14:paraId="7CF3C97E" w14:textId="77777777" w:rsidR="00071C04" w:rsidRDefault="00071C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2696" w14:textId="33540FDD" w:rsidR="0032711E" w:rsidRPr="0032711E" w:rsidRDefault="0032711E" w:rsidP="0032711E">
    <w:pPr>
      <w:pStyle w:val="Footer"/>
      <w:tabs>
        <w:tab w:val="right" w:pos="9638"/>
      </w:tabs>
    </w:pPr>
    <w:r w:rsidRPr="0032711E">
      <w:rPr>
        <w:b/>
        <w:sz w:val="18"/>
      </w:rPr>
      <w:fldChar w:fldCharType="begin"/>
    </w:r>
    <w:r w:rsidRPr="0032711E">
      <w:rPr>
        <w:b/>
        <w:sz w:val="18"/>
      </w:rPr>
      <w:instrText xml:space="preserve"> PAGE  \* MERGEFORMAT </w:instrText>
    </w:r>
    <w:r w:rsidRPr="0032711E">
      <w:rPr>
        <w:b/>
        <w:sz w:val="18"/>
      </w:rPr>
      <w:fldChar w:fldCharType="separate"/>
    </w:r>
    <w:r w:rsidRPr="0032711E">
      <w:rPr>
        <w:b/>
        <w:noProof/>
        <w:sz w:val="18"/>
      </w:rPr>
      <w:t>2</w:t>
    </w:r>
    <w:r w:rsidRPr="0032711E">
      <w:rPr>
        <w:b/>
        <w:sz w:val="18"/>
      </w:rPr>
      <w:fldChar w:fldCharType="end"/>
    </w:r>
    <w:r>
      <w:rPr>
        <w:b/>
        <w:sz w:val="18"/>
      </w:rPr>
      <w:tab/>
    </w:r>
    <w:r>
      <w:t>GE.22-14927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7A10" w14:textId="7D9F271F" w:rsidR="0032711E" w:rsidRPr="0032711E" w:rsidRDefault="0032711E" w:rsidP="0032711E">
    <w:pPr>
      <w:pStyle w:val="Footer"/>
      <w:tabs>
        <w:tab w:val="right" w:pos="9638"/>
      </w:tabs>
      <w:rPr>
        <w:b/>
        <w:sz w:val="18"/>
      </w:rPr>
    </w:pPr>
    <w:r>
      <w:t>GE.22-14927</w:t>
    </w:r>
    <w:r>
      <w:tab/>
    </w:r>
    <w:r w:rsidRPr="0032711E">
      <w:rPr>
        <w:b/>
        <w:sz w:val="18"/>
      </w:rPr>
      <w:fldChar w:fldCharType="begin"/>
    </w:r>
    <w:r w:rsidRPr="0032711E">
      <w:rPr>
        <w:b/>
        <w:sz w:val="18"/>
      </w:rPr>
      <w:instrText xml:space="preserve"> PAGE  \* MERGEFORMAT </w:instrText>
    </w:r>
    <w:r w:rsidRPr="0032711E">
      <w:rPr>
        <w:b/>
        <w:sz w:val="18"/>
      </w:rPr>
      <w:fldChar w:fldCharType="separate"/>
    </w:r>
    <w:r w:rsidRPr="0032711E">
      <w:rPr>
        <w:b/>
        <w:noProof/>
        <w:sz w:val="18"/>
      </w:rPr>
      <w:t>3</w:t>
    </w:r>
    <w:r w:rsidRPr="003271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0227" w14:textId="0A7FF6A8" w:rsidR="0068456F" w:rsidRPr="0032711E" w:rsidRDefault="0032711E" w:rsidP="0032711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182375D" wp14:editId="7196364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14927  (</w:t>
    </w:r>
    <w:proofErr w:type="gramEnd"/>
    <w:r>
      <w:rPr>
        <w:sz w:val="20"/>
      </w:rPr>
      <w:t>F)</w:t>
    </w:r>
    <w:r>
      <w:rPr>
        <w:noProof/>
        <w:sz w:val="20"/>
      </w:rPr>
      <w:drawing>
        <wp:anchor distT="0" distB="0" distL="114300" distR="114300" simplePos="0" relativeHeight="251660288" behindDoc="0" locked="0" layoutInCell="1" allowOverlap="1" wp14:anchorId="78BD23E6" wp14:editId="452DF77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211022    211022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4F92" w14:textId="77777777" w:rsidR="00071C04" w:rsidRPr="00AC3823" w:rsidRDefault="00071C04" w:rsidP="00AC3823">
      <w:pPr>
        <w:pStyle w:val="Footer"/>
        <w:tabs>
          <w:tab w:val="right" w:pos="2155"/>
        </w:tabs>
        <w:spacing w:after="80" w:line="240" w:lineRule="atLeast"/>
        <w:ind w:left="680"/>
        <w:rPr>
          <w:u w:val="single"/>
        </w:rPr>
      </w:pPr>
      <w:r>
        <w:rPr>
          <w:u w:val="single"/>
        </w:rPr>
        <w:tab/>
      </w:r>
    </w:p>
  </w:footnote>
  <w:footnote w:type="continuationSeparator" w:id="0">
    <w:p w14:paraId="62010DB7" w14:textId="77777777" w:rsidR="00071C04" w:rsidRPr="00AC3823" w:rsidRDefault="00071C04" w:rsidP="00AC3823">
      <w:pPr>
        <w:pStyle w:val="Footer"/>
        <w:tabs>
          <w:tab w:val="right" w:pos="2155"/>
        </w:tabs>
        <w:spacing w:after="80" w:line="240" w:lineRule="atLeast"/>
        <w:ind w:left="680"/>
        <w:rPr>
          <w:u w:val="single"/>
        </w:rPr>
      </w:pPr>
      <w:r>
        <w:rPr>
          <w:u w:val="single"/>
        </w:rPr>
        <w:tab/>
      </w:r>
    </w:p>
  </w:footnote>
  <w:footnote w:type="continuationNotice" w:id="1">
    <w:p w14:paraId="6425496F" w14:textId="77777777" w:rsidR="00071C04" w:rsidRPr="00AC3823" w:rsidRDefault="00071C04">
      <w:pPr>
        <w:spacing w:line="240" w:lineRule="auto"/>
        <w:rPr>
          <w:sz w:val="2"/>
          <w:szCs w:val="2"/>
        </w:rPr>
      </w:pPr>
    </w:p>
  </w:footnote>
  <w:footnote w:id="2">
    <w:p w14:paraId="515D8EF9" w14:textId="3546D768" w:rsidR="00DD2D95" w:rsidRPr="00756B45" w:rsidRDefault="00DD2D95" w:rsidP="00DD2D95">
      <w:pPr>
        <w:pStyle w:val="FootnoteText"/>
        <w:spacing w:line="200" w:lineRule="exact"/>
      </w:pPr>
      <w:r>
        <w:rPr>
          <w:lang w:val="fr-FR"/>
        </w:rPr>
        <w:tab/>
      </w:r>
      <w:r w:rsidRPr="00553330">
        <w:rPr>
          <w:rStyle w:val="FootnoteReference"/>
          <w:sz w:val="20"/>
          <w:lang w:val="fr-FR"/>
        </w:rPr>
        <w:footnoteRef/>
      </w:r>
      <w:r>
        <w:rPr>
          <w:lang w:val="fr-FR"/>
        </w:rPr>
        <w:t xml:space="preserve"> </w:t>
      </w:r>
      <w:r>
        <w:rPr>
          <w:lang w:val="fr-FR"/>
        </w:rPr>
        <w:tab/>
        <w:t>Les représentantes et représentants contribuant aux travaux du Sous-Comité SGH qui ne participent habituellement pas aux travaux du Sous-Comité TMD sont invités à assister aux sessions du Sous</w:t>
      </w:r>
      <w:r>
        <w:rPr>
          <w:lang w:val="fr-FR"/>
        </w:rPr>
        <w:noBreakHyphen/>
        <w:t xml:space="preserve">Comité TMD quand celui-ci examine la question des dangers physiques en qualité de centre de liaison pour le SGH (voir ST/SG/AC.10/C.4/2, par. 43 b)). À sa soixante et unième session (28 novembre au 6 décembre 2022), le Sous-Comité TMD examinera des questions intéressant le Sous-Comité SGH. Tous les documents de la session sont disponibles en ligne à l’adresse suivante : https://unece.org/info/Transport/Dangerous-Goods/events/368910. Les représentantes et représentants au Sous-Comité SGH qui souhaiteraient participer aux travaux du Sous-Comité TMD sur toute question intéressant le Sous-Comité SGH sont invités à s’inscrire à la session du Sous-Comité TMD. </w:t>
      </w:r>
    </w:p>
  </w:footnote>
  <w:footnote w:id="3">
    <w:p w14:paraId="0D42D86D" w14:textId="35D52C7F" w:rsidR="00DD2D95" w:rsidRPr="00756B45" w:rsidRDefault="00DD2D95" w:rsidP="00DD2D95">
      <w:pPr>
        <w:pStyle w:val="FootnoteText"/>
        <w:rPr>
          <w:lang w:val="fr-FR"/>
        </w:rPr>
      </w:pPr>
      <w:r>
        <w:rPr>
          <w:lang w:val="fr-FR"/>
        </w:rPr>
        <w:tab/>
      </w:r>
      <w:r>
        <w:rPr>
          <w:rStyle w:val="FootnoteReference"/>
          <w:lang w:val="fr-FR"/>
        </w:rPr>
        <w:footnoteRef/>
      </w:r>
      <w:r>
        <w:rPr>
          <w:lang w:val="fr-FR"/>
        </w:rPr>
        <w:t xml:space="preserve"> </w:t>
      </w:r>
      <w:r>
        <w:rPr>
          <w:lang w:val="fr-FR"/>
        </w:rPr>
        <w:tab/>
        <w:t>https://unece.org/transport/documents/2021/01/reports/report-sub-committee-experts-globally-harmonized-system-0.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A9D1" w14:textId="0BA19F17" w:rsidR="0032711E" w:rsidRPr="0032711E" w:rsidRDefault="00034E08">
    <w:pPr>
      <w:pStyle w:val="Header"/>
    </w:pPr>
    <w:r>
      <w:fldChar w:fldCharType="begin"/>
    </w:r>
    <w:r>
      <w:instrText xml:space="preserve"> TITLE  \* MERGEFORMAT </w:instrText>
    </w:r>
    <w:r>
      <w:fldChar w:fldCharType="separate"/>
    </w:r>
    <w:r>
      <w:t>ST/SG/AC.10/C.4/85/Add.1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1A7D" w14:textId="68D71BCF" w:rsidR="0032711E" w:rsidRPr="0032711E" w:rsidRDefault="00034E08" w:rsidP="0032711E">
    <w:pPr>
      <w:pStyle w:val="Header"/>
      <w:jc w:val="right"/>
    </w:pPr>
    <w:r>
      <w:fldChar w:fldCharType="begin"/>
    </w:r>
    <w:r>
      <w:instrText xml:space="preserve"> TITLE  \* MERGEFORMAT </w:instrText>
    </w:r>
    <w:r>
      <w:fldChar w:fldCharType="separate"/>
    </w:r>
    <w:r>
      <w:t>ST/SG/AC.10/C.4/85/Add.1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04"/>
    <w:rsid w:val="00017F94"/>
    <w:rsid w:val="00023842"/>
    <w:rsid w:val="000305D3"/>
    <w:rsid w:val="000334F9"/>
    <w:rsid w:val="00034E08"/>
    <w:rsid w:val="00071C04"/>
    <w:rsid w:val="0007796D"/>
    <w:rsid w:val="000B7790"/>
    <w:rsid w:val="00111F2F"/>
    <w:rsid w:val="00132EA9"/>
    <w:rsid w:val="0014365E"/>
    <w:rsid w:val="00172E49"/>
    <w:rsid w:val="00176178"/>
    <w:rsid w:val="001F525A"/>
    <w:rsid w:val="00223272"/>
    <w:rsid w:val="0024779E"/>
    <w:rsid w:val="00283190"/>
    <w:rsid w:val="002832AC"/>
    <w:rsid w:val="002D7C93"/>
    <w:rsid w:val="0032711E"/>
    <w:rsid w:val="00441C3B"/>
    <w:rsid w:val="00446FE5"/>
    <w:rsid w:val="00452396"/>
    <w:rsid w:val="004E468C"/>
    <w:rsid w:val="005505B7"/>
    <w:rsid w:val="00573BE5"/>
    <w:rsid w:val="00584DC4"/>
    <w:rsid w:val="00586ED3"/>
    <w:rsid w:val="00596AA9"/>
    <w:rsid w:val="0068456F"/>
    <w:rsid w:val="006C38B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BA11FB"/>
    <w:rsid w:val="00C02897"/>
    <w:rsid w:val="00CD2681"/>
    <w:rsid w:val="00D3439C"/>
    <w:rsid w:val="00DB1831"/>
    <w:rsid w:val="00DD2D95"/>
    <w:rsid w:val="00DD3BFD"/>
    <w:rsid w:val="00DF6678"/>
    <w:rsid w:val="00EB3A3A"/>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9A810"/>
  <w15:docId w15:val="{8E7F68F2-3C40-466F-BFA5-15FD7AB5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ar">
    <w:name w:val="_ Single Txt_G Car"/>
    <w:link w:val="SingleTxtG"/>
    <w:rsid w:val="00DD2D9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1676</Words>
  <Characters>9558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ST/SG/AC.10/C.4/85/Add.1</vt:lpstr>
    </vt:vector>
  </TitlesOfParts>
  <Company>DCM</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ST/SG/AC.10/C.4/85/Add.1</dc:title>
  <dc:subject/>
  <dc:creator>Christine CHAUTAGNAT</dc:creator>
  <cp:keywords/>
  <cp:lastModifiedBy>Laurence Berthet</cp:lastModifiedBy>
  <cp:revision>3</cp:revision>
  <cp:lastPrinted>2022-10-21T09:56:00Z</cp:lastPrinted>
  <dcterms:created xsi:type="dcterms:W3CDTF">2022-10-21T09:56:00Z</dcterms:created>
  <dcterms:modified xsi:type="dcterms:W3CDTF">2022-10-21T09:56:00Z</dcterms:modified>
</cp:coreProperties>
</file>