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78522F9" w14:textId="77777777" w:rsidTr="00F01738">
        <w:trPr>
          <w:trHeight w:hRule="exact" w:val="851"/>
        </w:trPr>
        <w:tc>
          <w:tcPr>
            <w:tcW w:w="1276" w:type="dxa"/>
            <w:tcBorders>
              <w:bottom w:val="single" w:sz="4" w:space="0" w:color="auto"/>
            </w:tcBorders>
          </w:tcPr>
          <w:p w14:paraId="154E19DE" w14:textId="77777777" w:rsidR="00132EA9" w:rsidRPr="00DB58B5" w:rsidRDefault="00132EA9" w:rsidP="008D24B7"/>
        </w:tc>
        <w:tc>
          <w:tcPr>
            <w:tcW w:w="2268" w:type="dxa"/>
            <w:tcBorders>
              <w:bottom w:val="single" w:sz="4" w:space="0" w:color="auto"/>
            </w:tcBorders>
            <w:vAlign w:val="bottom"/>
          </w:tcPr>
          <w:p w14:paraId="704316F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8D3FC5B" w14:textId="50133093" w:rsidR="00132EA9" w:rsidRPr="00DB58B5" w:rsidRDefault="008D24B7" w:rsidP="008D24B7">
            <w:pPr>
              <w:jc w:val="right"/>
            </w:pPr>
            <w:r w:rsidRPr="008D24B7">
              <w:rPr>
                <w:sz w:val="40"/>
              </w:rPr>
              <w:t>ST</w:t>
            </w:r>
            <w:r>
              <w:t>/SG/AC</w:t>
            </w:r>
            <w:r w:rsidR="009E181B" w:rsidRPr="009E181B">
              <w:t>.</w:t>
            </w:r>
            <w:r>
              <w:t>10/C</w:t>
            </w:r>
            <w:r w:rsidR="009E181B" w:rsidRPr="009E181B">
              <w:t>.</w:t>
            </w:r>
            <w:r>
              <w:t>4/2022/19</w:t>
            </w:r>
          </w:p>
        </w:tc>
      </w:tr>
      <w:tr w:rsidR="00132EA9" w:rsidRPr="00DB58B5" w14:paraId="3CE9E0E2" w14:textId="77777777" w:rsidTr="00F01738">
        <w:trPr>
          <w:trHeight w:hRule="exact" w:val="2835"/>
        </w:trPr>
        <w:tc>
          <w:tcPr>
            <w:tcW w:w="1276" w:type="dxa"/>
            <w:tcBorders>
              <w:top w:val="single" w:sz="4" w:space="0" w:color="auto"/>
              <w:bottom w:val="single" w:sz="12" w:space="0" w:color="auto"/>
            </w:tcBorders>
          </w:tcPr>
          <w:p w14:paraId="299B8439" w14:textId="77777777" w:rsidR="00132EA9" w:rsidRPr="00DB58B5" w:rsidRDefault="00132EA9" w:rsidP="00F01738">
            <w:pPr>
              <w:spacing w:before="120"/>
              <w:jc w:val="center"/>
            </w:pPr>
            <w:r>
              <w:rPr>
                <w:noProof/>
                <w:lang w:eastAsia="fr-CH"/>
              </w:rPr>
              <w:drawing>
                <wp:inline distT="0" distB="0" distL="0" distR="0" wp14:anchorId="06BEFC76" wp14:editId="67E7F39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2C4969"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99A9258" w14:textId="7F29B7DD" w:rsidR="00132EA9" w:rsidRDefault="008D24B7" w:rsidP="00F01738">
            <w:pPr>
              <w:spacing w:before="240"/>
            </w:pPr>
            <w:proofErr w:type="spellStart"/>
            <w:r>
              <w:t>Distr</w:t>
            </w:r>
            <w:proofErr w:type="spellEnd"/>
            <w:r w:rsidR="009E181B" w:rsidRPr="009E181B">
              <w:t>.</w:t>
            </w:r>
            <w:r>
              <w:t xml:space="preserve"> </w:t>
            </w:r>
            <w:proofErr w:type="gramStart"/>
            <w:r>
              <w:t>générale</w:t>
            </w:r>
            <w:proofErr w:type="gramEnd"/>
          </w:p>
          <w:p w14:paraId="0E997B52" w14:textId="77777777" w:rsidR="008D24B7" w:rsidRDefault="008D24B7" w:rsidP="008D24B7">
            <w:pPr>
              <w:spacing w:line="240" w:lineRule="exact"/>
            </w:pPr>
            <w:r>
              <w:t>15 septembre 2022</w:t>
            </w:r>
          </w:p>
          <w:p w14:paraId="1EC61ABF" w14:textId="77777777" w:rsidR="008D24B7" w:rsidRDefault="008D24B7" w:rsidP="008D24B7">
            <w:pPr>
              <w:spacing w:line="240" w:lineRule="exact"/>
            </w:pPr>
            <w:r>
              <w:t>Français</w:t>
            </w:r>
          </w:p>
          <w:p w14:paraId="14091EA8" w14:textId="6C5E20DA" w:rsidR="008D24B7" w:rsidRPr="00DB58B5" w:rsidRDefault="008D24B7" w:rsidP="008D24B7">
            <w:pPr>
              <w:spacing w:line="240" w:lineRule="exact"/>
            </w:pPr>
            <w:r>
              <w:t>Original : anglais</w:t>
            </w:r>
          </w:p>
        </w:tc>
      </w:tr>
    </w:tbl>
    <w:p w14:paraId="11EB4571" w14:textId="49F0C213" w:rsidR="00B07435" w:rsidRPr="00B07435" w:rsidRDefault="00B07435" w:rsidP="00B07435">
      <w:pPr>
        <w:spacing w:before="120"/>
        <w:rPr>
          <w:b/>
          <w:sz w:val="24"/>
          <w:szCs w:val="24"/>
          <w:lang w:val="fr-FR"/>
        </w:rPr>
      </w:pPr>
      <w:r w:rsidRPr="00B07435">
        <w:rPr>
          <w:b/>
          <w:bCs/>
          <w:sz w:val="24"/>
          <w:szCs w:val="24"/>
          <w:lang w:val="fr-FR"/>
        </w:rPr>
        <w:t xml:space="preserve">Comité d’experts du transport des marchandises </w:t>
      </w:r>
      <w:r>
        <w:rPr>
          <w:b/>
          <w:bCs/>
          <w:sz w:val="24"/>
          <w:szCs w:val="24"/>
          <w:lang w:val="fr-FR"/>
        </w:rPr>
        <w:br/>
      </w:r>
      <w:r w:rsidRPr="00B07435">
        <w:rPr>
          <w:b/>
          <w:bCs/>
          <w:sz w:val="24"/>
          <w:szCs w:val="24"/>
          <w:lang w:val="fr-FR"/>
        </w:rPr>
        <w:t xml:space="preserve">dangereuses et du Système général harmonisé de </w:t>
      </w:r>
      <w:r>
        <w:rPr>
          <w:b/>
          <w:bCs/>
          <w:sz w:val="24"/>
          <w:szCs w:val="24"/>
          <w:lang w:val="fr-FR"/>
        </w:rPr>
        <w:br/>
      </w:r>
      <w:r w:rsidRPr="00B07435">
        <w:rPr>
          <w:b/>
          <w:bCs/>
          <w:sz w:val="24"/>
          <w:szCs w:val="24"/>
          <w:lang w:val="fr-FR"/>
        </w:rPr>
        <w:t>classification et d’étiquetage des produits chimiques</w:t>
      </w:r>
    </w:p>
    <w:p w14:paraId="09D3B1E2" w14:textId="6C1164EA" w:rsidR="00B07435" w:rsidRPr="001B335E" w:rsidRDefault="00B07435" w:rsidP="00B07435">
      <w:pPr>
        <w:spacing w:before="120"/>
        <w:rPr>
          <w:rFonts w:ascii="Helv" w:hAnsi="Helv" w:cs="Helv"/>
          <w:b/>
          <w:color w:val="000000"/>
          <w:lang w:val="fr-FR"/>
        </w:rPr>
      </w:pPr>
      <w:r w:rsidRPr="001B335E">
        <w:rPr>
          <w:b/>
          <w:bCs/>
          <w:lang w:val="fr-FR"/>
        </w:rPr>
        <w:t>Sous-Comité d</w:t>
      </w:r>
      <w:r>
        <w:rPr>
          <w:b/>
          <w:bCs/>
          <w:lang w:val="fr-FR"/>
        </w:rPr>
        <w:t>’</w:t>
      </w:r>
      <w:r w:rsidRPr="001B335E">
        <w:rPr>
          <w:b/>
          <w:bCs/>
          <w:lang w:val="fr-FR"/>
        </w:rPr>
        <w:t xml:space="preserve">experts du Système général harmonisé </w:t>
      </w:r>
      <w:r>
        <w:rPr>
          <w:b/>
          <w:bCs/>
          <w:lang w:val="fr-FR"/>
        </w:rPr>
        <w:br/>
      </w:r>
      <w:proofErr w:type="gramStart"/>
      <w:r w:rsidRPr="001B335E">
        <w:rPr>
          <w:b/>
          <w:bCs/>
          <w:lang w:val="fr-FR"/>
        </w:rPr>
        <w:t>de</w:t>
      </w:r>
      <w:proofErr w:type="gramEnd"/>
      <w:r w:rsidRPr="001B335E">
        <w:rPr>
          <w:b/>
          <w:bCs/>
          <w:lang w:val="fr-FR"/>
        </w:rPr>
        <w:t xml:space="preserve"> classification et d</w:t>
      </w:r>
      <w:r>
        <w:rPr>
          <w:b/>
          <w:bCs/>
          <w:lang w:val="fr-FR"/>
        </w:rPr>
        <w:t>’</w:t>
      </w:r>
      <w:r w:rsidRPr="001B335E">
        <w:rPr>
          <w:b/>
          <w:bCs/>
          <w:lang w:val="fr-FR"/>
        </w:rPr>
        <w:t>étiquetage des produits chimiques</w:t>
      </w:r>
    </w:p>
    <w:p w14:paraId="195BD690" w14:textId="77777777" w:rsidR="00B07435" w:rsidRPr="001B335E" w:rsidRDefault="00B07435" w:rsidP="00B07435">
      <w:pPr>
        <w:spacing w:before="120"/>
        <w:rPr>
          <w:b/>
          <w:lang w:val="fr-FR"/>
        </w:rPr>
      </w:pPr>
      <w:r w:rsidRPr="001B335E">
        <w:rPr>
          <w:b/>
          <w:bCs/>
          <w:lang w:val="fr-FR"/>
        </w:rPr>
        <w:t>Quarante-troisième session</w:t>
      </w:r>
    </w:p>
    <w:p w14:paraId="73431346" w14:textId="77777777" w:rsidR="00B07435" w:rsidRPr="001B335E" w:rsidRDefault="00B07435" w:rsidP="00B07435">
      <w:pPr>
        <w:rPr>
          <w:lang w:val="fr-FR"/>
        </w:rPr>
      </w:pPr>
      <w:r w:rsidRPr="001B335E">
        <w:rPr>
          <w:lang w:val="fr-FR"/>
        </w:rPr>
        <w:t xml:space="preserve">Genève, 7-9 décembre 2022 </w:t>
      </w:r>
    </w:p>
    <w:p w14:paraId="6F4750C6" w14:textId="77777777" w:rsidR="00B07435" w:rsidRPr="001B335E" w:rsidRDefault="00B07435" w:rsidP="00B07435">
      <w:pPr>
        <w:rPr>
          <w:lang w:val="fr-FR"/>
        </w:rPr>
      </w:pPr>
      <w:r w:rsidRPr="001B335E">
        <w:rPr>
          <w:lang w:val="fr-FR"/>
        </w:rPr>
        <w:t>Point 3 d) de l</w:t>
      </w:r>
      <w:r>
        <w:rPr>
          <w:lang w:val="fr-FR"/>
        </w:rPr>
        <w:t>’</w:t>
      </w:r>
      <w:r w:rsidRPr="001B335E">
        <w:rPr>
          <w:lang w:val="fr-FR"/>
        </w:rPr>
        <w:t>ordre du jour provisoire</w:t>
      </w:r>
    </w:p>
    <w:p w14:paraId="1DF2AEF2" w14:textId="3A0257D2" w:rsidR="00B07435" w:rsidRPr="001B335E" w:rsidRDefault="00B07435" w:rsidP="00B07435">
      <w:pPr>
        <w:pStyle w:val="SingleTxtG"/>
        <w:tabs>
          <w:tab w:val="left" w:pos="567"/>
          <w:tab w:val="left" w:pos="1134"/>
          <w:tab w:val="left" w:pos="3402"/>
          <w:tab w:val="left" w:pos="3969"/>
          <w:tab w:val="left" w:pos="4536"/>
          <w:tab w:val="left" w:pos="5103"/>
          <w:tab w:val="left" w:pos="5670"/>
          <w:tab w:val="left" w:pos="6237"/>
          <w:tab w:val="right" w:pos="8505"/>
        </w:tabs>
        <w:ind w:left="0"/>
        <w:jc w:val="left"/>
        <w:rPr>
          <w:b/>
          <w:bCs/>
          <w:lang w:val="fr-FR"/>
        </w:rPr>
      </w:pPr>
      <w:r w:rsidRPr="001B335E">
        <w:rPr>
          <w:b/>
          <w:bCs/>
          <w:lang w:val="fr-FR"/>
        </w:rPr>
        <w:t xml:space="preserve">Travaux relatifs au Système général harmonisé de classification </w:t>
      </w:r>
      <w:r>
        <w:rPr>
          <w:b/>
          <w:bCs/>
          <w:lang w:val="fr-FR"/>
        </w:rPr>
        <w:br/>
      </w:r>
      <w:r w:rsidRPr="001B335E">
        <w:rPr>
          <w:b/>
          <w:bCs/>
          <w:lang w:val="fr-FR"/>
        </w:rPr>
        <w:t>et d</w:t>
      </w:r>
      <w:r>
        <w:rPr>
          <w:b/>
          <w:bCs/>
          <w:lang w:val="fr-FR"/>
        </w:rPr>
        <w:t>’</w:t>
      </w:r>
      <w:r w:rsidRPr="001B335E">
        <w:rPr>
          <w:b/>
          <w:bCs/>
          <w:lang w:val="fr-FR"/>
        </w:rPr>
        <w:t xml:space="preserve">étiquetage des produits chimiques (ci-après SGH) : Classement </w:t>
      </w:r>
      <w:r>
        <w:rPr>
          <w:b/>
          <w:bCs/>
          <w:lang w:val="fr-FR"/>
        </w:rPr>
        <w:br/>
      </w:r>
      <w:r w:rsidRPr="001B335E">
        <w:rPr>
          <w:b/>
          <w:bCs/>
          <w:lang w:val="fr-FR"/>
        </w:rPr>
        <w:t>relatif à la sensibilisation cutanée en fonction des résultats de l</w:t>
      </w:r>
      <w:r>
        <w:rPr>
          <w:b/>
          <w:bCs/>
          <w:lang w:val="fr-FR"/>
        </w:rPr>
        <w:t>’</w:t>
      </w:r>
      <w:r w:rsidRPr="001B335E">
        <w:rPr>
          <w:b/>
          <w:bCs/>
          <w:lang w:val="fr-FR"/>
        </w:rPr>
        <w:t xml:space="preserve">essai </w:t>
      </w:r>
      <w:r>
        <w:rPr>
          <w:b/>
          <w:bCs/>
          <w:lang w:val="fr-FR"/>
        </w:rPr>
        <w:br/>
      </w:r>
      <w:r w:rsidRPr="001B335E">
        <w:rPr>
          <w:b/>
          <w:bCs/>
          <w:lang w:val="fr-FR"/>
        </w:rPr>
        <w:t xml:space="preserve">de stimulation locale des ganglions lymphatiques conformément </w:t>
      </w:r>
      <w:r>
        <w:rPr>
          <w:b/>
          <w:bCs/>
          <w:lang w:val="fr-FR"/>
        </w:rPr>
        <w:br/>
      </w:r>
      <w:r w:rsidRPr="001B335E">
        <w:rPr>
          <w:b/>
          <w:bCs/>
          <w:lang w:val="fr-FR"/>
        </w:rPr>
        <w:t>à la ligne directrice de l</w:t>
      </w:r>
      <w:r>
        <w:rPr>
          <w:b/>
          <w:bCs/>
          <w:lang w:val="fr-FR"/>
        </w:rPr>
        <w:t>’</w:t>
      </w:r>
      <w:r w:rsidRPr="001B335E">
        <w:rPr>
          <w:b/>
          <w:bCs/>
          <w:lang w:val="fr-FR"/>
        </w:rPr>
        <w:t>OCDE 442B</w:t>
      </w:r>
    </w:p>
    <w:p w14:paraId="022E4CDD" w14:textId="31DAA212" w:rsidR="00B07435" w:rsidRPr="001B335E" w:rsidRDefault="00B07435" w:rsidP="00B07435">
      <w:pPr>
        <w:pStyle w:val="HChG"/>
        <w:rPr>
          <w:color w:val="000000" w:themeColor="text1"/>
          <w:lang w:val="fr-FR"/>
        </w:rPr>
      </w:pPr>
      <w:r w:rsidRPr="001B335E">
        <w:rPr>
          <w:lang w:val="fr-FR"/>
        </w:rPr>
        <w:tab/>
      </w:r>
      <w:r>
        <w:rPr>
          <w:lang w:val="fr-FR"/>
        </w:rPr>
        <w:tab/>
      </w:r>
      <w:r>
        <w:rPr>
          <w:lang w:val="fr-FR"/>
        </w:rPr>
        <w:tab/>
      </w:r>
      <w:r w:rsidRPr="001B335E">
        <w:rPr>
          <w:lang w:val="fr-FR"/>
        </w:rPr>
        <w:t>Précisions sur les critères utilisés aux fins du classement relatif à la sensibilisation cutanée à l</w:t>
      </w:r>
      <w:r>
        <w:rPr>
          <w:lang w:val="fr-FR"/>
        </w:rPr>
        <w:t>’</w:t>
      </w:r>
      <w:r w:rsidRPr="001B335E">
        <w:rPr>
          <w:lang w:val="fr-FR"/>
        </w:rPr>
        <w:t>aide d</w:t>
      </w:r>
      <w:r>
        <w:rPr>
          <w:lang w:val="fr-FR"/>
        </w:rPr>
        <w:t>’</w:t>
      </w:r>
      <w:r w:rsidRPr="001B335E">
        <w:rPr>
          <w:lang w:val="fr-FR"/>
        </w:rPr>
        <w:t xml:space="preserve">études </w:t>
      </w:r>
      <w:r>
        <w:rPr>
          <w:lang w:val="fr-FR"/>
        </w:rPr>
        <w:br/>
      </w:r>
      <w:r w:rsidRPr="001B335E">
        <w:rPr>
          <w:lang w:val="fr-FR"/>
        </w:rPr>
        <w:t>sur les animaux</w:t>
      </w:r>
    </w:p>
    <w:p w14:paraId="454770AF" w14:textId="2B88591E" w:rsidR="00B07435" w:rsidRPr="001B335E" w:rsidRDefault="00B07435" w:rsidP="00B07435">
      <w:pPr>
        <w:pStyle w:val="H1G"/>
        <w:rPr>
          <w:color w:val="000000" w:themeColor="text1"/>
          <w:lang w:val="fr-FR"/>
        </w:rPr>
      </w:pPr>
      <w:r w:rsidRPr="001B335E">
        <w:rPr>
          <w:lang w:val="fr-FR"/>
        </w:rPr>
        <w:tab/>
      </w:r>
      <w:r w:rsidRPr="001B335E">
        <w:rPr>
          <w:lang w:val="fr-FR"/>
        </w:rPr>
        <w:tab/>
        <w:t>Communication de l</w:t>
      </w:r>
      <w:r>
        <w:rPr>
          <w:lang w:val="fr-FR"/>
        </w:rPr>
        <w:t>’</w:t>
      </w:r>
      <w:r w:rsidRPr="001B335E">
        <w:rPr>
          <w:lang w:val="fr-FR"/>
        </w:rPr>
        <w:t>expert du Japon</w:t>
      </w:r>
      <w:r w:rsidRPr="00B07435">
        <w:rPr>
          <w:rStyle w:val="FootnoteReference"/>
          <w:b w:val="0"/>
          <w:bCs/>
          <w:sz w:val="20"/>
          <w:vertAlign w:val="baseline"/>
          <w:lang w:val="fr-FR"/>
        </w:rPr>
        <w:footnoteReference w:customMarkFollows="1" w:id="2"/>
        <w:t>*</w:t>
      </w:r>
    </w:p>
    <w:p w14:paraId="60BABE78" w14:textId="77777777" w:rsidR="00B07435" w:rsidRPr="001B335E" w:rsidRDefault="00B07435" w:rsidP="00B07435">
      <w:pPr>
        <w:pStyle w:val="HChG"/>
        <w:rPr>
          <w:color w:val="000000" w:themeColor="text1"/>
          <w:lang w:val="fr-FR"/>
        </w:rPr>
      </w:pPr>
      <w:r w:rsidRPr="001B335E">
        <w:rPr>
          <w:lang w:val="fr-FR"/>
        </w:rPr>
        <w:tab/>
      </w:r>
      <w:r w:rsidRPr="001B335E">
        <w:rPr>
          <w:lang w:val="fr-FR"/>
        </w:rPr>
        <w:tab/>
        <w:t>Introduction</w:t>
      </w:r>
    </w:p>
    <w:p w14:paraId="7729EAB7" w14:textId="63480EA6" w:rsidR="00B07435" w:rsidRPr="001B335E" w:rsidRDefault="00B07435" w:rsidP="00B07435">
      <w:pPr>
        <w:pStyle w:val="SingleTxtG"/>
        <w:rPr>
          <w:lang w:val="fr-FR"/>
        </w:rPr>
      </w:pPr>
      <w:r w:rsidRPr="001B335E">
        <w:rPr>
          <w:lang w:val="fr-FR"/>
        </w:rPr>
        <w:t>1</w:t>
      </w:r>
      <w:r w:rsidR="009E181B" w:rsidRPr="009E181B">
        <w:rPr>
          <w:lang w:val="fr-FR"/>
        </w:rPr>
        <w:t>.</w:t>
      </w:r>
      <w:r w:rsidRPr="001B335E">
        <w:rPr>
          <w:lang w:val="fr-FR"/>
        </w:rPr>
        <w:tab/>
        <w:t>Le présent document rend compte des résultats des travaux que le Japon a menés pour préciser les critères utilisés aux fins du classement relatif à la sensibilisation cutanée à l</w:t>
      </w:r>
      <w:r>
        <w:rPr>
          <w:lang w:val="fr-FR"/>
        </w:rPr>
        <w:t>’</w:t>
      </w:r>
      <w:r w:rsidRPr="001B335E">
        <w:rPr>
          <w:lang w:val="fr-FR"/>
        </w:rPr>
        <w:t>aide d</w:t>
      </w:r>
      <w:r>
        <w:rPr>
          <w:lang w:val="fr-FR"/>
        </w:rPr>
        <w:t>’</w:t>
      </w:r>
      <w:r w:rsidRPr="001B335E">
        <w:rPr>
          <w:lang w:val="fr-FR"/>
        </w:rPr>
        <w:t>études sur les animaux</w:t>
      </w:r>
      <w:r w:rsidR="009E181B" w:rsidRPr="009E181B">
        <w:rPr>
          <w:lang w:val="fr-FR"/>
        </w:rPr>
        <w:t>.</w:t>
      </w:r>
      <w:r w:rsidRPr="001B335E">
        <w:rPr>
          <w:lang w:val="fr-FR"/>
        </w:rPr>
        <w:t xml:space="preserve"> Le Japon tient à remercier le secrétariat et tous les experts qui ont examiné sa proposition à ce sujet</w:t>
      </w:r>
      <w:r w:rsidR="009E181B" w:rsidRPr="009E181B">
        <w:rPr>
          <w:lang w:val="fr-FR"/>
        </w:rPr>
        <w:t>.</w:t>
      </w:r>
      <w:r w:rsidRPr="001B335E">
        <w:rPr>
          <w:lang w:val="fr-FR"/>
        </w:rPr>
        <w:t xml:space="preserve"> </w:t>
      </w:r>
    </w:p>
    <w:p w14:paraId="1E1E689E" w14:textId="1B4F058E" w:rsidR="00B07435" w:rsidRPr="001B335E" w:rsidRDefault="00B07435" w:rsidP="00B07435">
      <w:pPr>
        <w:pStyle w:val="HChG"/>
        <w:rPr>
          <w:rFonts w:eastAsia="MS PMincho"/>
          <w:color w:val="000000" w:themeColor="text1"/>
          <w:szCs w:val="28"/>
          <w:lang w:val="fr-FR"/>
        </w:rPr>
      </w:pPr>
      <w:r>
        <w:rPr>
          <w:lang w:val="fr-FR"/>
        </w:rPr>
        <w:tab/>
      </w:r>
      <w:r>
        <w:rPr>
          <w:lang w:val="fr-FR"/>
        </w:rPr>
        <w:tab/>
      </w:r>
      <w:r w:rsidRPr="001B335E">
        <w:rPr>
          <w:lang w:val="fr-FR"/>
        </w:rPr>
        <w:t>Examen</w:t>
      </w:r>
    </w:p>
    <w:p w14:paraId="0FA02BE0" w14:textId="533CEF2F" w:rsidR="00B07435" w:rsidRPr="001B335E" w:rsidRDefault="00B07435" w:rsidP="00B07435">
      <w:pPr>
        <w:pStyle w:val="SingleTxtG"/>
        <w:rPr>
          <w:color w:val="000000" w:themeColor="text1"/>
          <w:lang w:val="fr-FR"/>
        </w:rPr>
      </w:pPr>
      <w:r w:rsidRPr="001B335E">
        <w:rPr>
          <w:lang w:val="fr-FR"/>
        </w:rPr>
        <w:t>2</w:t>
      </w:r>
      <w:r w:rsidR="009E181B" w:rsidRPr="009E181B">
        <w:rPr>
          <w:lang w:val="fr-FR"/>
        </w:rPr>
        <w:t>.</w:t>
      </w:r>
      <w:r w:rsidRPr="001B335E">
        <w:rPr>
          <w:lang w:val="fr-FR"/>
        </w:rPr>
        <w:tab/>
        <w:t>Le chapitre 3</w:t>
      </w:r>
      <w:r w:rsidR="009E181B" w:rsidRPr="009E181B">
        <w:rPr>
          <w:lang w:val="fr-FR"/>
        </w:rPr>
        <w:t>.</w:t>
      </w:r>
      <w:r w:rsidRPr="001B335E">
        <w:rPr>
          <w:lang w:val="fr-FR"/>
        </w:rPr>
        <w:t>4 du Système général harmonisé de classification et d</w:t>
      </w:r>
      <w:r>
        <w:rPr>
          <w:lang w:val="fr-FR"/>
        </w:rPr>
        <w:t>’</w:t>
      </w:r>
      <w:r w:rsidRPr="001B335E">
        <w:rPr>
          <w:lang w:val="fr-FR"/>
        </w:rPr>
        <w:t>étiquetage des produits chimiques (SGH) comprend trois méthodes d</w:t>
      </w:r>
      <w:r>
        <w:rPr>
          <w:lang w:val="fr-FR"/>
        </w:rPr>
        <w:t>’</w:t>
      </w:r>
      <w:r w:rsidRPr="001B335E">
        <w:rPr>
          <w:lang w:val="fr-FR"/>
        </w:rPr>
        <w:t xml:space="preserve">essai portant sur la sensibilisation cutanée pour le classement des produits chimiques dans la catégorie 1 : deux épreuves prédictives sur cobaye (la méthode de maximisation sur le cobaye et la méthode de </w:t>
      </w:r>
      <w:proofErr w:type="spellStart"/>
      <w:r w:rsidRPr="001B335E">
        <w:rPr>
          <w:lang w:val="fr-FR"/>
        </w:rPr>
        <w:t>Buehler</w:t>
      </w:r>
      <w:proofErr w:type="spellEnd"/>
      <w:r w:rsidRPr="001B335E">
        <w:rPr>
          <w:lang w:val="fr-FR"/>
        </w:rPr>
        <w:t>), qui correspondent à la ligne directrice 406 de l</w:t>
      </w:r>
      <w:r>
        <w:rPr>
          <w:lang w:val="fr-FR"/>
        </w:rPr>
        <w:t>’</w:t>
      </w:r>
      <w:r w:rsidRPr="001B335E">
        <w:rPr>
          <w:lang w:val="fr-FR"/>
        </w:rPr>
        <w:t>Organisation de coopération et de développement économiques (OCDE), et l</w:t>
      </w:r>
      <w:r>
        <w:rPr>
          <w:lang w:val="fr-FR"/>
        </w:rPr>
        <w:t>’</w:t>
      </w:r>
      <w:r w:rsidRPr="001B335E">
        <w:rPr>
          <w:lang w:val="fr-FR"/>
        </w:rPr>
        <w:t xml:space="preserve">essai </w:t>
      </w:r>
      <w:proofErr w:type="spellStart"/>
      <w:r w:rsidRPr="001B335E">
        <w:rPr>
          <w:lang w:val="fr-FR"/>
        </w:rPr>
        <w:t>radioisotopique</w:t>
      </w:r>
      <w:proofErr w:type="spellEnd"/>
      <w:r w:rsidRPr="001B335E">
        <w:rPr>
          <w:lang w:val="fr-FR"/>
        </w:rPr>
        <w:t xml:space="preserve"> de stimulation locale des ganglions lymphatiques (ci-après ELGL), qui correspond à la ligne directrice 429 de l</w:t>
      </w:r>
      <w:r>
        <w:rPr>
          <w:lang w:val="fr-FR"/>
        </w:rPr>
        <w:t>’</w:t>
      </w:r>
      <w:r w:rsidRPr="001B335E">
        <w:rPr>
          <w:lang w:val="fr-FR"/>
        </w:rPr>
        <w:t>OCDE (OCDE, 2010)</w:t>
      </w:r>
      <w:r w:rsidR="009E181B" w:rsidRPr="009E181B">
        <w:rPr>
          <w:lang w:val="fr-FR"/>
        </w:rPr>
        <w:t>.</w:t>
      </w:r>
      <w:r w:rsidRPr="001B335E">
        <w:rPr>
          <w:lang w:val="fr-FR"/>
        </w:rPr>
        <w:t xml:space="preserve"> Ces trois méthodes peuvent aussi servir au classement des produits chimiques dans les sous-catégories</w:t>
      </w:r>
      <w:r w:rsidR="005C634A">
        <w:rPr>
          <w:lang w:val="fr-FR"/>
        </w:rPr>
        <w:t> </w:t>
      </w:r>
      <w:r w:rsidRPr="001B335E">
        <w:rPr>
          <w:lang w:val="fr-FR"/>
        </w:rPr>
        <w:t>1A et 1B du SGH, pour l</w:t>
      </w:r>
      <w:r>
        <w:rPr>
          <w:lang w:val="fr-FR"/>
        </w:rPr>
        <w:t>’</w:t>
      </w:r>
      <w:r w:rsidRPr="001B335E">
        <w:rPr>
          <w:lang w:val="fr-FR"/>
        </w:rPr>
        <w:t>information sur leur capacité de sensibilisation cutanée (Organisation des Nations Unies, 2021)</w:t>
      </w:r>
      <w:r w:rsidR="009E181B" w:rsidRPr="009E181B">
        <w:rPr>
          <w:lang w:val="fr-FR"/>
        </w:rPr>
        <w:t>.</w:t>
      </w:r>
    </w:p>
    <w:p w14:paraId="0EBFE5E1" w14:textId="77C5B701" w:rsidR="00B07435" w:rsidRPr="001B335E" w:rsidRDefault="00B07435" w:rsidP="00B07435">
      <w:pPr>
        <w:pStyle w:val="SingleTxtG"/>
        <w:rPr>
          <w:color w:val="000000" w:themeColor="text1"/>
          <w:lang w:val="fr-FR"/>
        </w:rPr>
      </w:pPr>
      <w:r w:rsidRPr="001B335E">
        <w:rPr>
          <w:lang w:val="fr-FR"/>
        </w:rPr>
        <w:lastRenderedPageBreak/>
        <w:t>3</w:t>
      </w:r>
      <w:r w:rsidR="009E181B" w:rsidRPr="009E181B">
        <w:rPr>
          <w:lang w:val="fr-FR"/>
        </w:rPr>
        <w:t>.</w:t>
      </w:r>
      <w:r w:rsidRPr="001B335E">
        <w:rPr>
          <w:lang w:val="fr-FR"/>
        </w:rPr>
        <w:tab/>
        <w:t xml:space="preserve">Il existe trois variantes non </w:t>
      </w:r>
      <w:proofErr w:type="spellStart"/>
      <w:r w:rsidRPr="001B335E">
        <w:rPr>
          <w:lang w:val="fr-FR"/>
        </w:rPr>
        <w:t>radioisotopiques</w:t>
      </w:r>
      <w:proofErr w:type="spellEnd"/>
      <w:r w:rsidRPr="001B335E">
        <w:rPr>
          <w:lang w:val="fr-FR"/>
        </w:rPr>
        <w:t xml:space="preserve"> de l</w:t>
      </w:r>
      <w:r>
        <w:rPr>
          <w:lang w:val="fr-FR"/>
        </w:rPr>
        <w:t>’</w:t>
      </w:r>
      <w:r w:rsidRPr="001B335E">
        <w:rPr>
          <w:lang w:val="fr-FR"/>
        </w:rPr>
        <w:t>ELGL (ligne directrice 429 de l</w:t>
      </w:r>
      <w:r>
        <w:rPr>
          <w:lang w:val="fr-FR"/>
        </w:rPr>
        <w:t>’</w:t>
      </w:r>
      <w:r w:rsidRPr="001B335E">
        <w:rPr>
          <w:lang w:val="fr-FR"/>
        </w:rPr>
        <w:t>OCDE), à savoir la méthode DA, qui correspond à la ligne directrice 442A de l</w:t>
      </w:r>
      <w:r>
        <w:rPr>
          <w:lang w:val="fr-FR"/>
        </w:rPr>
        <w:t>’</w:t>
      </w:r>
      <w:r w:rsidRPr="001B335E">
        <w:rPr>
          <w:lang w:val="fr-FR"/>
        </w:rPr>
        <w:t>OCDE, et les méthodes BrdU-ELISA et FCM, qui correspondent à la ligne directrice 442B de l</w:t>
      </w:r>
      <w:r>
        <w:rPr>
          <w:lang w:val="fr-FR"/>
        </w:rPr>
        <w:t>’</w:t>
      </w:r>
      <w:r w:rsidRPr="001B335E">
        <w:rPr>
          <w:lang w:val="fr-FR"/>
        </w:rPr>
        <w:t>OCDE (OCDE, 2018)</w:t>
      </w:r>
      <w:r w:rsidR="009E181B" w:rsidRPr="009E181B">
        <w:rPr>
          <w:lang w:val="fr-FR"/>
        </w:rPr>
        <w:t>.</w:t>
      </w:r>
      <w:r w:rsidRPr="001B335E">
        <w:rPr>
          <w:lang w:val="fr-FR"/>
        </w:rPr>
        <w:t xml:space="preserve"> Bien que ces variantes aient été validées scientifiquement pour la décision de classement dans la catégorie 1 du SGH ou de </w:t>
      </w:r>
      <w:proofErr w:type="gramStart"/>
      <w:r w:rsidRPr="001B335E">
        <w:rPr>
          <w:lang w:val="fr-FR"/>
        </w:rPr>
        <w:t>non classement</w:t>
      </w:r>
      <w:proofErr w:type="gramEnd"/>
      <w:r w:rsidRPr="001B335E">
        <w:rPr>
          <w:lang w:val="fr-FR"/>
        </w:rPr>
        <w:t>, leur applicabilité actuelle au classement en vertu du SGH n</w:t>
      </w:r>
      <w:r>
        <w:rPr>
          <w:lang w:val="fr-FR"/>
        </w:rPr>
        <w:t>’</w:t>
      </w:r>
      <w:r w:rsidRPr="001B335E">
        <w:rPr>
          <w:lang w:val="fr-FR"/>
        </w:rPr>
        <w:t>est pas clairement décrite dans cet instrument</w:t>
      </w:r>
      <w:r w:rsidR="009E181B" w:rsidRPr="009E181B">
        <w:rPr>
          <w:lang w:val="fr-FR"/>
        </w:rPr>
        <w:t>.</w:t>
      </w:r>
      <w:bookmarkStart w:id="0" w:name="_Hlk95747477"/>
      <w:bookmarkEnd w:id="0"/>
    </w:p>
    <w:p w14:paraId="72E2905F" w14:textId="1B3C4058" w:rsidR="00B07435" w:rsidRPr="001B335E" w:rsidRDefault="00B07435" w:rsidP="00B07435">
      <w:pPr>
        <w:pStyle w:val="SingleTxtG"/>
        <w:rPr>
          <w:color w:val="000000" w:themeColor="text1"/>
          <w:lang w:val="fr-FR"/>
        </w:rPr>
      </w:pPr>
      <w:r w:rsidRPr="001B335E">
        <w:rPr>
          <w:lang w:val="fr-FR"/>
        </w:rPr>
        <w:t>4</w:t>
      </w:r>
      <w:r w:rsidR="009E181B" w:rsidRPr="009E181B">
        <w:rPr>
          <w:lang w:val="fr-FR"/>
        </w:rPr>
        <w:t>.</w:t>
      </w:r>
      <w:r w:rsidRPr="001B335E">
        <w:rPr>
          <w:lang w:val="fr-FR"/>
        </w:rPr>
        <w:tab/>
        <w:t>En outre, des chercheurs japonais ont étudié l</w:t>
      </w:r>
      <w:r>
        <w:rPr>
          <w:lang w:val="fr-FR"/>
        </w:rPr>
        <w:t>’</w:t>
      </w:r>
      <w:r w:rsidRPr="001B335E">
        <w:rPr>
          <w:lang w:val="fr-FR"/>
        </w:rPr>
        <w:t>applicabilité des données issues de la méthode BrdU-ELISA au classement dans les sous-catégories du SGH et tenté de définir un critère optimal d</w:t>
      </w:r>
      <w:r>
        <w:rPr>
          <w:lang w:val="fr-FR"/>
        </w:rPr>
        <w:t>’</w:t>
      </w:r>
      <w:r w:rsidRPr="001B335E">
        <w:rPr>
          <w:lang w:val="fr-FR"/>
        </w:rPr>
        <w:t xml:space="preserve">affectation aux sous-catégories en question au moyen de cette méthode (Maeda et </w:t>
      </w:r>
      <w:proofErr w:type="spellStart"/>
      <w:r w:rsidRPr="001B335E">
        <w:rPr>
          <w:lang w:val="fr-FR"/>
        </w:rPr>
        <w:t>Takeyoshi</w:t>
      </w:r>
      <w:proofErr w:type="spellEnd"/>
      <w:r w:rsidRPr="001B335E">
        <w:rPr>
          <w:lang w:val="fr-FR"/>
        </w:rPr>
        <w:t>, 2019)</w:t>
      </w:r>
      <w:r w:rsidR="009E181B" w:rsidRPr="009E181B">
        <w:rPr>
          <w:lang w:val="fr-FR"/>
        </w:rPr>
        <w:t>.</w:t>
      </w:r>
      <w:r w:rsidRPr="001B335E">
        <w:rPr>
          <w:lang w:val="fr-FR"/>
        </w:rPr>
        <w:t xml:space="preserve"> Il a été confirmé que le nouveau critère ainsi établi était applicable à la souche de souris la plus communément utilisée (Kobayashi et al</w:t>
      </w:r>
      <w:r w:rsidR="009E181B" w:rsidRPr="009E181B">
        <w:rPr>
          <w:lang w:val="fr-FR"/>
        </w:rPr>
        <w:t>.</w:t>
      </w:r>
      <w:r w:rsidRPr="001B335E">
        <w:rPr>
          <w:lang w:val="fr-FR"/>
        </w:rPr>
        <w:t>, 2020)</w:t>
      </w:r>
      <w:r w:rsidR="009E181B" w:rsidRPr="009E181B">
        <w:rPr>
          <w:lang w:val="fr-FR"/>
        </w:rPr>
        <w:t>.</w:t>
      </w:r>
    </w:p>
    <w:p w14:paraId="78C99015" w14:textId="34FB07D5" w:rsidR="00B07435" w:rsidRPr="001B335E" w:rsidRDefault="00B07435" w:rsidP="00B07435">
      <w:pPr>
        <w:pStyle w:val="SingleTxtG"/>
        <w:jc w:val="center"/>
        <w:rPr>
          <w:color w:val="000000" w:themeColor="text1"/>
          <w:lang w:val="fr-FR"/>
        </w:rPr>
      </w:pPr>
      <w:r w:rsidRPr="001B335E">
        <w:rPr>
          <w:lang w:val="fr-FR"/>
        </w:rPr>
        <w:t xml:space="preserve">Tableau 1 : Nouveau critère de classement dans les sous-catégories du SGH </w:t>
      </w:r>
      <w:r>
        <w:rPr>
          <w:lang w:val="fr-FR"/>
        </w:rPr>
        <w:br/>
      </w:r>
      <w:r w:rsidRPr="001B335E">
        <w:rPr>
          <w:lang w:val="fr-FR"/>
        </w:rPr>
        <w:t>grâce à la méthode BrdU-ELISA</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56"/>
        <w:gridCol w:w="5214"/>
      </w:tblGrid>
      <w:tr w:rsidR="00B07435" w:rsidRPr="00B07435" w14:paraId="4B4DEC2B" w14:textId="77777777" w:rsidTr="00B07435">
        <w:trPr>
          <w:tblHeader/>
        </w:trPr>
        <w:tc>
          <w:tcPr>
            <w:tcW w:w="1691" w:type="dxa"/>
            <w:shd w:val="clear" w:color="auto" w:fill="auto"/>
            <w:vAlign w:val="bottom"/>
            <w:hideMark/>
          </w:tcPr>
          <w:p w14:paraId="67A97455" w14:textId="77777777" w:rsidR="00B07435" w:rsidRPr="00B07435" w:rsidRDefault="00B07435" w:rsidP="00B07435">
            <w:pPr>
              <w:suppressAutoHyphens w:val="0"/>
              <w:spacing w:before="60" w:after="60" w:line="220" w:lineRule="atLeast"/>
              <w:ind w:left="57" w:right="57"/>
              <w:jc w:val="center"/>
              <w:rPr>
                <w:iCs/>
                <w:lang w:val="fr-FR"/>
              </w:rPr>
            </w:pPr>
            <w:r w:rsidRPr="00B07435">
              <w:rPr>
                <w:iCs/>
                <w:lang w:val="fr-FR"/>
              </w:rPr>
              <w:t>Catégorie</w:t>
            </w:r>
          </w:p>
        </w:tc>
        <w:tc>
          <w:tcPr>
            <w:tcW w:w="4089" w:type="dxa"/>
            <w:shd w:val="clear" w:color="auto" w:fill="auto"/>
            <w:vAlign w:val="bottom"/>
            <w:hideMark/>
          </w:tcPr>
          <w:p w14:paraId="6AE0C0B6" w14:textId="77777777" w:rsidR="00B07435" w:rsidRPr="00B07435" w:rsidRDefault="00B07435" w:rsidP="00B07435">
            <w:pPr>
              <w:suppressAutoHyphens w:val="0"/>
              <w:spacing w:before="60" w:after="60" w:line="220" w:lineRule="atLeast"/>
              <w:ind w:left="57" w:right="57"/>
              <w:jc w:val="center"/>
              <w:rPr>
                <w:iCs/>
                <w:lang w:val="fr-FR"/>
              </w:rPr>
            </w:pPr>
            <w:r w:rsidRPr="00B07435">
              <w:rPr>
                <w:iCs/>
                <w:lang w:val="fr-FR"/>
              </w:rPr>
              <w:t>Critère</w:t>
            </w:r>
          </w:p>
        </w:tc>
      </w:tr>
      <w:tr w:rsidR="00B07435" w:rsidRPr="00B07435" w14:paraId="2EBCE838" w14:textId="77777777" w:rsidTr="00B07435">
        <w:tc>
          <w:tcPr>
            <w:tcW w:w="1691" w:type="dxa"/>
            <w:shd w:val="clear" w:color="auto" w:fill="auto"/>
            <w:hideMark/>
          </w:tcPr>
          <w:p w14:paraId="076A16C0" w14:textId="77777777" w:rsidR="00B07435" w:rsidRPr="00B07435" w:rsidRDefault="00B07435" w:rsidP="00B07435">
            <w:pPr>
              <w:suppressAutoHyphens w:val="0"/>
              <w:spacing w:before="60" w:after="60" w:line="220" w:lineRule="atLeast"/>
              <w:ind w:left="57" w:right="57"/>
              <w:jc w:val="center"/>
              <w:rPr>
                <w:sz w:val="18"/>
                <w:lang w:val="fr-FR"/>
              </w:rPr>
            </w:pPr>
            <w:r w:rsidRPr="00B07435">
              <w:rPr>
                <w:sz w:val="18"/>
                <w:lang w:val="fr-FR"/>
              </w:rPr>
              <w:t>1</w:t>
            </w:r>
          </w:p>
        </w:tc>
        <w:tc>
          <w:tcPr>
            <w:tcW w:w="4089" w:type="dxa"/>
            <w:shd w:val="clear" w:color="auto" w:fill="auto"/>
            <w:vAlign w:val="bottom"/>
            <w:hideMark/>
          </w:tcPr>
          <w:p w14:paraId="0BF77129" w14:textId="77777777" w:rsidR="00B07435" w:rsidRPr="00B07435" w:rsidRDefault="00B07435" w:rsidP="00B07435">
            <w:pPr>
              <w:suppressAutoHyphens w:val="0"/>
              <w:spacing w:before="60" w:after="60" w:line="220" w:lineRule="atLeast"/>
              <w:ind w:left="57" w:right="57"/>
              <w:jc w:val="center"/>
              <w:rPr>
                <w:sz w:val="18"/>
                <w:lang w:val="fr-FR"/>
              </w:rPr>
            </w:pPr>
            <w:r w:rsidRPr="00B07435">
              <w:rPr>
                <w:sz w:val="18"/>
                <w:lang w:val="fr-FR"/>
              </w:rPr>
              <w:t>IS ≥ 1,6</w:t>
            </w:r>
          </w:p>
        </w:tc>
      </w:tr>
      <w:tr w:rsidR="00B07435" w:rsidRPr="00B07435" w14:paraId="51B0D629" w14:textId="77777777" w:rsidTr="00B07435">
        <w:tc>
          <w:tcPr>
            <w:tcW w:w="1691" w:type="dxa"/>
            <w:shd w:val="clear" w:color="auto" w:fill="auto"/>
            <w:hideMark/>
          </w:tcPr>
          <w:p w14:paraId="20257A45" w14:textId="77777777" w:rsidR="00B07435" w:rsidRPr="00B07435" w:rsidRDefault="00B07435" w:rsidP="00B07435">
            <w:pPr>
              <w:suppressAutoHyphens w:val="0"/>
              <w:spacing w:before="60" w:after="60" w:line="220" w:lineRule="atLeast"/>
              <w:ind w:left="57" w:right="57"/>
              <w:jc w:val="center"/>
              <w:rPr>
                <w:sz w:val="18"/>
                <w:lang w:val="fr-FR"/>
              </w:rPr>
            </w:pPr>
            <w:r w:rsidRPr="00B07435">
              <w:rPr>
                <w:sz w:val="18"/>
                <w:lang w:val="fr-FR"/>
              </w:rPr>
              <w:t>1A</w:t>
            </w:r>
          </w:p>
        </w:tc>
        <w:tc>
          <w:tcPr>
            <w:tcW w:w="4089" w:type="dxa"/>
            <w:shd w:val="clear" w:color="auto" w:fill="auto"/>
            <w:vAlign w:val="bottom"/>
            <w:hideMark/>
          </w:tcPr>
          <w:p w14:paraId="58D07F4F" w14:textId="77777777" w:rsidR="00B07435" w:rsidRPr="00B07435" w:rsidRDefault="00B07435" w:rsidP="00B07435">
            <w:pPr>
              <w:suppressAutoHyphens w:val="0"/>
              <w:spacing w:before="60" w:after="60" w:line="220" w:lineRule="atLeast"/>
              <w:ind w:left="57" w:right="57"/>
              <w:jc w:val="center"/>
              <w:rPr>
                <w:sz w:val="18"/>
                <w:lang w:val="fr-FR"/>
              </w:rPr>
            </w:pPr>
            <w:r w:rsidRPr="00B07435">
              <w:rPr>
                <w:sz w:val="18"/>
                <w:lang w:val="fr-FR"/>
              </w:rPr>
              <w:t>Valeur CE1,6 ≤ 6 %</w:t>
            </w:r>
          </w:p>
        </w:tc>
      </w:tr>
      <w:tr w:rsidR="00B07435" w:rsidRPr="00B07435" w14:paraId="5A122464" w14:textId="77777777" w:rsidTr="00B07435">
        <w:tc>
          <w:tcPr>
            <w:tcW w:w="1691" w:type="dxa"/>
            <w:shd w:val="clear" w:color="auto" w:fill="auto"/>
            <w:hideMark/>
          </w:tcPr>
          <w:p w14:paraId="0814C248" w14:textId="77777777" w:rsidR="00B07435" w:rsidRPr="00B07435" w:rsidRDefault="00B07435" w:rsidP="00B07435">
            <w:pPr>
              <w:suppressAutoHyphens w:val="0"/>
              <w:spacing w:before="60" w:after="60" w:line="220" w:lineRule="atLeast"/>
              <w:ind w:left="57" w:right="57"/>
              <w:jc w:val="center"/>
              <w:rPr>
                <w:sz w:val="18"/>
                <w:lang w:val="fr-FR"/>
              </w:rPr>
            </w:pPr>
            <w:r w:rsidRPr="00B07435">
              <w:rPr>
                <w:sz w:val="18"/>
                <w:lang w:val="fr-FR"/>
              </w:rPr>
              <w:t>1B</w:t>
            </w:r>
          </w:p>
        </w:tc>
        <w:tc>
          <w:tcPr>
            <w:tcW w:w="4089" w:type="dxa"/>
            <w:shd w:val="clear" w:color="auto" w:fill="auto"/>
            <w:vAlign w:val="bottom"/>
            <w:hideMark/>
          </w:tcPr>
          <w:p w14:paraId="1F6E0067" w14:textId="77777777" w:rsidR="00B07435" w:rsidRPr="00B07435" w:rsidRDefault="00B07435" w:rsidP="00B07435">
            <w:pPr>
              <w:suppressAutoHyphens w:val="0"/>
              <w:spacing w:before="60" w:after="60" w:line="220" w:lineRule="atLeast"/>
              <w:ind w:left="57" w:right="57"/>
              <w:jc w:val="center"/>
              <w:rPr>
                <w:sz w:val="18"/>
                <w:lang w:val="fr-FR"/>
              </w:rPr>
            </w:pPr>
            <w:r w:rsidRPr="00B07435">
              <w:rPr>
                <w:sz w:val="18"/>
                <w:lang w:val="fr-FR"/>
              </w:rPr>
              <w:t>Valeur CE1,6 &gt; 6 %</w:t>
            </w:r>
          </w:p>
        </w:tc>
      </w:tr>
    </w:tbl>
    <w:p w14:paraId="050AFA48" w14:textId="11DD6259" w:rsidR="00B07435" w:rsidRPr="001B335E" w:rsidRDefault="00B07435" w:rsidP="00B07435">
      <w:pPr>
        <w:pStyle w:val="SingleTxtG"/>
        <w:spacing w:before="240"/>
        <w:rPr>
          <w:color w:val="000000" w:themeColor="text1"/>
          <w:lang w:val="fr-FR"/>
        </w:rPr>
      </w:pPr>
      <w:r w:rsidRPr="001B335E">
        <w:rPr>
          <w:lang w:val="fr-FR"/>
        </w:rPr>
        <w:t>5</w:t>
      </w:r>
      <w:r w:rsidR="009E181B" w:rsidRPr="009E181B">
        <w:rPr>
          <w:lang w:val="fr-FR"/>
        </w:rPr>
        <w:t>.</w:t>
      </w:r>
      <w:r w:rsidRPr="001B335E">
        <w:rPr>
          <w:lang w:val="fr-FR"/>
        </w:rPr>
        <w:tab/>
        <w:t>À la trente-neuvième session du Sous-Comité, le Japon a proposé d</w:t>
      </w:r>
      <w:r>
        <w:rPr>
          <w:lang w:val="fr-FR"/>
        </w:rPr>
        <w:t>’</w:t>
      </w:r>
      <w:r w:rsidRPr="001B335E">
        <w:rPr>
          <w:lang w:val="fr-FR"/>
        </w:rPr>
        <w:t>intégrer le nouveau critère susmentionné dans le chapitre 3</w:t>
      </w:r>
      <w:r w:rsidR="009E181B" w:rsidRPr="009E181B">
        <w:rPr>
          <w:lang w:val="fr-FR"/>
        </w:rPr>
        <w:t>.</w:t>
      </w:r>
      <w:r w:rsidRPr="001B335E">
        <w:rPr>
          <w:lang w:val="fr-FR"/>
        </w:rPr>
        <w:t>4</w:t>
      </w:r>
      <w:r w:rsidR="009E181B" w:rsidRPr="009E181B">
        <w:rPr>
          <w:lang w:val="fr-FR"/>
        </w:rPr>
        <w:t>.</w:t>
      </w:r>
      <w:r w:rsidRPr="001B335E">
        <w:rPr>
          <w:lang w:val="fr-FR"/>
        </w:rPr>
        <w:t xml:space="preserve"> Le Sous-Comité a décidé d</w:t>
      </w:r>
      <w:r>
        <w:rPr>
          <w:lang w:val="fr-FR"/>
        </w:rPr>
        <w:t>’</w:t>
      </w:r>
      <w:r w:rsidRPr="001B335E">
        <w:rPr>
          <w:lang w:val="fr-FR"/>
        </w:rPr>
        <w:t>inscrire la question dans son programme de travail pour la période biennale 2021-2022, puis le Japon a mené des travaux en coordination avec les travaux du Royaume-Uni et des Pays-Bas</w:t>
      </w:r>
      <w:r w:rsidR="009E181B" w:rsidRPr="009E181B">
        <w:rPr>
          <w:lang w:val="fr-FR"/>
        </w:rPr>
        <w:t>.</w:t>
      </w:r>
    </w:p>
    <w:p w14:paraId="1130497E" w14:textId="5F93E0BE" w:rsidR="00B07435" w:rsidRPr="001B335E" w:rsidRDefault="00B07435" w:rsidP="00B07435">
      <w:pPr>
        <w:pStyle w:val="SingleTxtG"/>
        <w:rPr>
          <w:color w:val="000000" w:themeColor="text1"/>
          <w:lang w:val="fr-FR"/>
        </w:rPr>
      </w:pPr>
      <w:r w:rsidRPr="001B335E">
        <w:rPr>
          <w:lang w:val="fr-FR"/>
        </w:rPr>
        <w:t>6</w:t>
      </w:r>
      <w:r w:rsidR="009E181B" w:rsidRPr="009E181B">
        <w:rPr>
          <w:lang w:val="fr-FR"/>
        </w:rPr>
        <w:t>.</w:t>
      </w:r>
      <w:r w:rsidRPr="001B335E">
        <w:rPr>
          <w:lang w:val="fr-FR"/>
        </w:rPr>
        <w:tab/>
        <w:t>En parallèle, le secrétariat de l</w:t>
      </w:r>
      <w:r>
        <w:rPr>
          <w:lang w:val="fr-FR"/>
        </w:rPr>
        <w:t>’</w:t>
      </w:r>
      <w:r w:rsidRPr="001B335E">
        <w:rPr>
          <w:lang w:val="fr-FR"/>
        </w:rPr>
        <w:t>OCDE a bien voulu coordonner l</w:t>
      </w:r>
      <w:r>
        <w:rPr>
          <w:lang w:val="fr-FR"/>
        </w:rPr>
        <w:t>’</w:t>
      </w:r>
      <w:r w:rsidRPr="001B335E">
        <w:rPr>
          <w:lang w:val="fr-FR"/>
        </w:rPr>
        <w:t>examen par des pairs du bien-fondé, de la validité et de l</w:t>
      </w:r>
      <w:r>
        <w:rPr>
          <w:lang w:val="fr-FR"/>
        </w:rPr>
        <w:t>’</w:t>
      </w:r>
      <w:r w:rsidRPr="001B335E">
        <w:rPr>
          <w:lang w:val="fr-FR"/>
        </w:rPr>
        <w:t>applicabilité du critère proposé, mené de juin à octobre 2021 par cinq membres du groupe d</w:t>
      </w:r>
      <w:r>
        <w:rPr>
          <w:lang w:val="fr-FR"/>
        </w:rPr>
        <w:t>’</w:t>
      </w:r>
      <w:r w:rsidRPr="001B335E">
        <w:rPr>
          <w:lang w:val="fr-FR"/>
        </w:rPr>
        <w:t>experts de l</w:t>
      </w:r>
      <w:r>
        <w:rPr>
          <w:lang w:val="fr-FR"/>
        </w:rPr>
        <w:t>’</w:t>
      </w:r>
      <w:r w:rsidRPr="001B335E">
        <w:rPr>
          <w:lang w:val="fr-FR"/>
        </w:rPr>
        <w:t>OCDE sur la sensibilisation cutanée</w:t>
      </w:r>
      <w:r w:rsidR="009E181B" w:rsidRPr="009E181B">
        <w:rPr>
          <w:lang w:val="fr-FR"/>
        </w:rPr>
        <w:t>.</w:t>
      </w:r>
      <w:r w:rsidRPr="001B335E">
        <w:rPr>
          <w:lang w:val="fr-FR"/>
        </w:rPr>
        <w:t xml:space="preserve"> Ce groupe a conclu que les </w:t>
      </w:r>
      <w:r>
        <w:rPr>
          <w:lang w:val="fr-FR"/>
        </w:rPr>
        <w:t>sources</w:t>
      </w:r>
      <w:r w:rsidRPr="001B335E">
        <w:rPr>
          <w:lang w:val="fr-FR"/>
        </w:rPr>
        <w:t xml:space="preserve"> ayant servi à l</w:t>
      </w:r>
      <w:r>
        <w:rPr>
          <w:lang w:val="fr-FR"/>
        </w:rPr>
        <w:t>’</w:t>
      </w:r>
      <w:r w:rsidRPr="001B335E">
        <w:rPr>
          <w:lang w:val="fr-FR"/>
        </w:rPr>
        <w:t>élaboration du critère proposé répondaient aux principes de validation énoncés dans le document d</w:t>
      </w:r>
      <w:r>
        <w:rPr>
          <w:lang w:val="fr-FR"/>
        </w:rPr>
        <w:t>’</w:t>
      </w:r>
      <w:r w:rsidRPr="001B335E">
        <w:rPr>
          <w:lang w:val="fr-FR"/>
        </w:rPr>
        <w:t xml:space="preserve">orientation </w:t>
      </w:r>
      <w:r w:rsidR="005C634A" w:rsidRPr="005C634A">
        <w:rPr>
          <w:rFonts w:eastAsia="MS Mincho"/>
          <w:lang w:val="fr-FR"/>
        </w:rPr>
        <w:t>n</w:t>
      </w:r>
      <w:r w:rsidR="005C634A" w:rsidRPr="005C634A">
        <w:rPr>
          <w:rFonts w:eastAsia="MS Mincho"/>
          <w:vertAlign w:val="superscript"/>
          <w:lang w:val="fr-FR"/>
        </w:rPr>
        <w:t>o</w:t>
      </w:r>
      <w:r w:rsidR="005C634A">
        <w:rPr>
          <w:lang w:val="fr-FR"/>
        </w:rPr>
        <w:t> </w:t>
      </w:r>
      <w:r w:rsidRPr="001B335E">
        <w:rPr>
          <w:lang w:val="fr-FR"/>
        </w:rPr>
        <w:t>34 de l</w:t>
      </w:r>
      <w:r>
        <w:rPr>
          <w:lang w:val="fr-FR"/>
        </w:rPr>
        <w:t>’</w:t>
      </w:r>
      <w:r w:rsidRPr="001B335E">
        <w:rPr>
          <w:lang w:val="fr-FR"/>
        </w:rPr>
        <w:t>OCDE</w:t>
      </w:r>
      <w:r w:rsidR="009E181B" w:rsidRPr="009E181B">
        <w:rPr>
          <w:lang w:val="fr-FR"/>
        </w:rPr>
        <w:t>.</w:t>
      </w:r>
    </w:p>
    <w:p w14:paraId="04801622" w14:textId="0485F6D8" w:rsidR="00B07435" w:rsidRPr="001B335E" w:rsidRDefault="00B07435" w:rsidP="00B07435">
      <w:pPr>
        <w:pStyle w:val="SingleTxtG"/>
        <w:rPr>
          <w:color w:val="000000" w:themeColor="text1"/>
          <w:lang w:val="fr-FR"/>
        </w:rPr>
      </w:pPr>
      <w:r w:rsidRPr="001B335E">
        <w:rPr>
          <w:lang w:val="fr-FR"/>
        </w:rPr>
        <w:t>7</w:t>
      </w:r>
      <w:r w:rsidR="009E181B" w:rsidRPr="009E181B">
        <w:rPr>
          <w:lang w:val="fr-FR"/>
        </w:rPr>
        <w:t>.</w:t>
      </w:r>
      <w:r w:rsidRPr="001B335E">
        <w:rPr>
          <w:lang w:val="fr-FR"/>
        </w:rPr>
        <w:tab/>
        <w:t xml:space="preserve">En outre, les chercheurs japonais ont utilisé le portail </w:t>
      </w:r>
      <w:proofErr w:type="spellStart"/>
      <w:r w:rsidRPr="001B335E">
        <w:rPr>
          <w:lang w:val="fr-FR"/>
        </w:rPr>
        <w:t>eChemPortal</w:t>
      </w:r>
      <w:proofErr w:type="spellEnd"/>
      <w:r w:rsidRPr="001B335E">
        <w:rPr>
          <w:lang w:val="fr-FR"/>
        </w:rPr>
        <w:t xml:space="preserve"> de l</w:t>
      </w:r>
      <w:r>
        <w:rPr>
          <w:lang w:val="fr-FR"/>
        </w:rPr>
        <w:t>’</w:t>
      </w:r>
      <w:r w:rsidRPr="001B335E">
        <w:rPr>
          <w:lang w:val="fr-FR"/>
        </w:rPr>
        <w:t>OCDE pour recueillir des données issues d</w:t>
      </w:r>
      <w:r>
        <w:rPr>
          <w:lang w:val="fr-FR"/>
        </w:rPr>
        <w:t>’</w:t>
      </w:r>
      <w:r w:rsidRPr="001B335E">
        <w:rPr>
          <w:lang w:val="fr-FR"/>
        </w:rPr>
        <w:t>essais de sensibilisation cutanée obtenues par la méthode BrdU-ELISA et collectées au titre du règlement concernant l</w:t>
      </w:r>
      <w:r>
        <w:rPr>
          <w:lang w:val="fr-FR"/>
        </w:rPr>
        <w:t>’</w:t>
      </w:r>
      <w:r w:rsidRPr="001B335E">
        <w:rPr>
          <w:lang w:val="fr-FR"/>
        </w:rPr>
        <w:t>enregistrement, l</w:t>
      </w:r>
      <w:r>
        <w:rPr>
          <w:lang w:val="fr-FR"/>
        </w:rPr>
        <w:t>’</w:t>
      </w:r>
      <w:r w:rsidRPr="001B335E">
        <w:rPr>
          <w:lang w:val="fr-FR"/>
        </w:rPr>
        <w:t>évaluation et l</w:t>
      </w:r>
      <w:r>
        <w:rPr>
          <w:lang w:val="fr-FR"/>
        </w:rPr>
        <w:t>’</w:t>
      </w:r>
      <w:r w:rsidRPr="001B335E">
        <w:rPr>
          <w:lang w:val="fr-FR"/>
        </w:rPr>
        <w:t>autorisation des substances chimiques, ainsi que les restrictions applicables à ces substances (REACH) (</w:t>
      </w:r>
      <w:proofErr w:type="spellStart"/>
      <w:r w:rsidRPr="001B335E">
        <w:rPr>
          <w:lang w:val="fr-FR"/>
        </w:rPr>
        <w:t>Takeyoshi</w:t>
      </w:r>
      <w:proofErr w:type="spellEnd"/>
      <w:r w:rsidRPr="001B335E">
        <w:rPr>
          <w:lang w:val="fr-FR"/>
        </w:rPr>
        <w:t xml:space="preserve"> et Nara, 2021), et ils ont constaté que les critères de sous</w:t>
      </w:r>
      <w:r w:rsidR="00E3798C">
        <w:rPr>
          <w:lang w:val="fr-FR"/>
        </w:rPr>
        <w:noBreakHyphen/>
      </w:r>
      <w:r w:rsidRPr="001B335E">
        <w:rPr>
          <w:lang w:val="fr-FR"/>
        </w:rPr>
        <w:t>catégorisation en vigueur pour l</w:t>
      </w:r>
      <w:r>
        <w:rPr>
          <w:lang w:val="fr-FR"/>
        </w:rPr>
        <w:t>’</w:t>
      </w:r>
      <w:r w:rsidRPr="001B335E">
        <w:rPr>
          <w:lang w:val="fr-FR"/>
        </w:rPr>
        <w:t xml:space="preserve">ELGL </w:t>
      </w:r>
      <w:proofErr w:type="spellStart"/>
      <w:r w:rsidRPr="001B335E">
        <w:rPr>
          <w:lang w:val="fr-FR"/>
        </w:rPr>
        <w:t>radioisotopique</w:t>
      </w:r>
      <w:proofErr w:type="spellEnd"/>
      <w:r w:rsidRPr="001B335E">
        <w:rPr>
          <w:lang w:val="fr-FR"/>
        </w:rPr>
        <w:t xml:space="preserve"> n</w:t>
      </w:r>
      <w:r>
        <w:rPr>
          <w:lang w:val="fr-FR"/>
        </w:rPr>
        <w:t>’</w:t>
      </w:r>
      <w:r w:rsidRPr="001B335E">
        <w:rPr>
          <w:lang w:val="fr-FR"/>
        </w:rPr>
        <w:t>étaient pas appliqués correctement aux données obtenues avec la méthode BrdU-ELISA, pour une concentration efficace CE1,6 avec un seuil de 2 %</w:t>
      </w:r>
      <w:r w:rsidR="009E181B" w:rsidRPr="009E181B">
        <w:rPr>
          <w:lang w:val="fr-FR"/>
        </w:rPr>
        <w:t>.</w:t>
      </w:r>
      <w:r w:rsidRPr="001B335E">
        <w:rPr>
          <w:lang w:val="fr-FR"/>
        </w:rPr>
        <w:t xml:space="preserve"> Ces travaux ont révélé que le potentiel de sensibilisation prévisible de certains produits chimiques avait pu être sous-estimé sur la base de la plage allant de 2 à 6 % pour la valeur CE1,6</w:t>
      </w:r>
      <w:r w:rsidR="009E181B" w:rsidRPr="009E181B">
        <w:rPr>
          <w:lang w:val="fr-FR"/>
        </w:rPr>
        <w:t>.</w:t>
      </w:r>
      <w:r w:rsidRPr="001B335E">
        <w:rPr>
          <w:lang w:val="fr-FR"/>
        </w:rPr>
        <w:t xml:space="preserve"> Afin d</w:t>
      </w:r>
      <w:r>
        <w:rPr>
          <w:lang w:val="fr-FR"/>
        </w:rPr>
        <w:t>’</w:t>
      </w:r>
      <w:r w:rsidRPr="001B335E">
        <w:rPr>
          <w:lang w:val="fr-FR"/>
        </w:rPr>
        <w:t>éviter que les critères du SGH soient mal appliqués et que les dangers des produits chimiques soient communiqués de façon incorrecte, il serait souhaitable de réviser rapidement cet instrument en fonction des besoins</w:t>
      </w:r>
      <w:r w:rsidR="009E181B" w:rsidRPr="009E181B">
        <w:rPr>
          <w:lang w:val="fr-FR"/>
        </w:rPr>
        <w:t>.</w:t>
      </w:r>
      <w:r w:rsidRPr="001B335E">
        <w:rPr>
          <w:lang w:val="fr-FR"/>
        </w:rPr>
        <w:t xml:space="preserve"> Par ailleurs, l</w:t>
      </w:r>
      <w:r>
        <w:rPr>
          <w:lang w:val="fr-FR"/>
        </w:rPr>
        <w:t>’</w:t>
      </w:r>
      <w:r w:rsidRPr="001B335E">
        <w:rPr>
          <w:lang w:val="fr-FR"/>
        </w:rPr>
        <w:t>application du critère de sous-catégorisation permettra d</w:t>
      </w:r>
      <w:r>
        <w:rPr>
          <w:lang w:val="fr-FR"/>
        </w:rPr>
        <w:t>’</w:t>
      </w:r>
      <w:r w:rsidRPr="001B335E">
        <w:rPr>
          <w:lang w:val="fr-FR"/>
        </w:rPr>
        <w:t>utiliser les données issues des essais BrdU-ELISA pour classer correctement les produits chimiques</w:t>
      </w:r>
      <w:r w:rsidR="009E181B" w:rsidRPr="009E181B">
        <w:rPr>
          <w:lang w:val="fr-FR"/>
        </w:rPr>
        <w:t>.</w:t>
      </w:r>
    </w:p>
    <w:p w14:paraId="40DDC209" w14:textId="309ED28B" w:rsidR="00B07435" w:rsidRPr="001B335E" w:rsidRDefault="00B07435" w:rsidP="00B07435">
      <w:pPr>
        <w:pStyle w:val="SingleTxtG"/>
        <w:rPr>
          <w:lang w:val="fr-FR"/>
        </w:rPr>
      </w:pPr>
      <w:r w:rsidRPr="001B335E">
        <w:rPr>
          <w:lang w:val="fr-FR"/>
        </w:rPr>
        <w:t>8</w:t>
      </w:r>
      <w:r w:rsidR="009E181B" w:rsidRPr="009E181B">
        <w:rPr>
          <w:lang w:val="fr-FR"/>
        </w:rPr>
        <w:t>.</w:t>
      </w:r>
      <w:r w:rsidRPr="001B335E">
        <w:rPr>
          <w:lang w:val="fr-FR"/>
        </w:rPr>
        <w:tab/>
        <w:t>À la quarante-deuxième session du Sous-Comité, plusieurs pays ont évoqué la possibilité d</w:t>
      </w:r>
      <w:r>
        <w:rPr>
          <w:lang w:val="fr-FR"/>
        </w:rPr>
        <w:t>’</w:t>
      </w:r>
      <w:r w:rsidRPr="001B335E">
        <w:rPr>
          <w:lang w:val="fr-FR"/>
        </w:rPr>
        <w:t xml:space="preserve">intégrer le critère de sous-catégorisation lié à la méthode </w:t>
      </w:r>
      <w:proofErr w:type="spellStart"/>
      <w:r w:rsidRPr="001B335E">
        <w:rPr>
          <w:lang w:val="fr-FR"/>
        </w:rPr>
        <w:t>BrDU</w:t>
      </w:r>
      <w:proofErr w:type="spellEnd"/>
      <w:r w:rsidRPr="001B335E">
        <w:rPr>
          <w:lang w:val="fr-FR"/>
        </w:rPr>
        <w:t>-ELISA dans la ligne directrice 442B de l</w:t>
      </w:r>
      <w:r>
        <w:rPr>
          <w:lang w:val="fr-FR"/>
        </w:rPr>
        <w:t>’</w:t>
      </w:r>
      <w:r w:rsidRPr="001B335E">
        <w:rPr>
          <w:lang w:val="fr-FR"/>
        </w:rPr>
        <w:t>OCDE</w:t>
      </w:r>
      <w:r w:rsidR="009E181B" w:rsidRPr="009E181B">
        <w:rPr>
          <w:lang w:val="fr-FR"/>
        </w:rPr>
        <w:t>.</w:t>
      </w:r>
      <w:r w:rsidRPr="001B335E">
        <w:rPr>
          <w:lang w:val="fr-FR"/>
        </w:rPr>
        <w:t xml:space="preserve"> Le Japon s</w:t>
      </w:r>
      <w:r>
        <w:rPr>
          <w:lang w:val="fr-FR"/>
        </w:rPr>
        <w:t>’</w:t>
      </w:r>
      <w:r w:rsidRPr="001B335E">
        <w:rPr>
          <w:lang w:val="fr-FR"/>
        </w:rPr>
        <w:t>est donc enquis de la procédure de révision des lignes directrices pour les essais auprès du secrétariat de l</w:t>
      </w:r>
      <w:r>
        <w:rPr>
          <w:lang w:val="fr-FR"/>
        </w:rPr>
        <w:t>’</w:t>
      </w:r>
      <w:r w:rsidRPr="001B335E">
        <w:rPr>
          <w:lang w:val="fr-FR"/>
        </w:rPr>
        <w:t>OCDE et a confirmé que l</w:t>
      </w:r>
      <w:r>
        <w:rPr>
          <w:lang w:val="fr-FR"/>
        </w:rPr>
        <w:t>’</w:t>
      </w:r>
      <w:r w:rsidRPr="001B335E">
        <w:rPr>
          <w:lang w:val="fr-FR"/>
        </w:rPr>
        <w:t>ajout du critère était bel et bien envisagé, faisant toutefois observer qu</w:t>
      </w:r>
      <w:r>
        <w:rPr>
          <w:lang w:val="fr-FR"/>
        </w:rPr>
        <w:t>’</w:t>
      </w:r>
      <w:r w:rsidRPr="001B335E">
        <w:rPr>
          <w:lang w:val="fr-FR"/>
        </w:rPr>
        <w:t>il fallait tenir compte des incidences que ce critère pouvait avoir sur d</w:t>
      </w:r>
      <w:r>
        <w:rPr>
          <w:lang w:val="fr-FR"/>
        </w:rPr>
        <w:t>’</w:t>
      </w:r>
      <w:r w:rsidRPr="001B335E">
        <w:rPr>
          <w:lang w:val="fr-FR"/>
        </w:rPr>
        <w:t>autres lignes directrices</w:t>
      </w:r>
      <w:r w:rsidR="009E181B" w:rsidRPr="009E181B">
        <w:rPr>
          <w:lang w:val="fr-FR"/>
        </w:rPr>
        <w:t>.</w:t>
      </w:r>
      <w:r w:rsidRPr="001B335E">
        <w:rPr>
          <w:lang w:val="fr-FR"/>
        </w:rPr>
        <w:t xml:space="preserve"> En outre, comme </w:t>
      </w:r>
      <w:proofErr w:type="gramStart"/>
      <w:r w:rsidRPr="001B335E">
        <w:rPr>
          <w:lang w:val="fr-FR"/>
        </w:rPr>
        <w:t>suite aux</w:t>
      </w:r>
      <w:proofErr w:type="gramEnd"/>
      <w:r w:rsidRPr="001B335E">
        <w:rPr>
          <w:lang w:val="fr-FR"/>
        </w:rPr>
        <w:t xml:space="preserve"> observations des experts concernant l</w:t>
      </w:r>
      <w:r>
        <w:rPr>
          <w:lang w:val="fr-FR"/>
        </w:rPr>
        <w:t>’</w:t>
      </w:r>
      <w:r w:rsidRPr="001B335E">
        <w:rPr>
          <w:lang w:val="fr-FR"/>
        </w:rPr>
        <w:t>acceptation internationale des critères de sous</w:t>
      </w:r>
      <w:r w:rsidR="00E3798C">
        <w:rPr>
          <w:lang w:val="fr-FR"/>
        </w:rPr>
        <w:noBreakHyphen/>
      </w:r>
      <w:r w:rsidRPr="001B335E">
        <w:rPr>
          <w:lang w:val="fr-FR"/>
        </w:rPr>
        <w:t>catégorisation, il a été décidé d</w:t>
      </w:r>
      <w:r>
        <w:rPr>
          <w:lang w:val="fr-FR"/>
        </w:rPr>
        <w:t>’</w:t>
      </w:r>
      <w:r w:rsidRPr="001B335E">
        <w:rPr>
          <w:lang w:val="fr-FR"/>
        </w:rPr>
        <w:t>ajouter le nota suivant, destiné à donner des explications relatives à la description des critères de sous-catégorisation dans les lignes directrices de l</w:t>
      </w:r>
      <w:r>
        <w:rPr>
          <w:lang w:val="fr-FR"/>
        </w:rPr>
        <w:t>’</w:t>
      </w:r>
      <w:r w:rsidRPr="001B335E">
        <w:rPr>
          <w:lang w:val="fr-FR"/>
        </w:rPr>
        <w:t>OCDE pour les essais :</w:t>
      </w:r>
      <w:bookmarkStart w:id="1" w:name="_Hlk111625303"/>
    </w:p>
    <w:p w14:paraId="1669A924" w14:textId="1C367B88" w:rsidR="00B07435" w:rsidRPr="001B335E" w:rsidRDefault="00B07435" w:rsidP="00B07435">
      <w:pPr>
        <w:pStyle w:val="SingleTxtG"/>
        <w:keepNext/>
        <w:keepLines/>
        <w:rPr>
          <w:color w:val="000000" w:themeColor="text1"/>
          <w:lang w:val="fr-FR"/>
        </w:rPr>
      </w:pPr>
      <w:r w:rsidRPr="00012DF1">
        <w:rPr>
          <w:lang w:val="fr-FR"/>
        </w:rPr>
        <w:t>« </w:t>
      </w:r>
      <w:r w:rsidRPr="001B335E">
        <w:rPr>
          <w:b/>
          <w:bCs/>
          <w:i/>
          <w:iCs/>
          <w:lang w:val="fr-FR"/>
        </w:rPr>
        <w:t>Bien qu</w:t>
      </w:r>
      <w:r>
        <w:rPr>
          <w:b/>
          <w:bCs/>
          <w:i/>
          <w:iCs/>
          <w:lang w:val="fr-FR"/>
        </w:rPr>
        <w:t>’</w:t>
      </w:r>
      <w:r w:rsidRPr="001B335E">
        <w:rPr>
          <w:b/>
          <w:bCs/>
          <w:i/>
          <w:iCs/>
          <w:lang w:val="fr-FR"/>
        </w:rPr>
        <w:t>aucun critère de sous-catégorisation n</w:t>
      </w:r>
      <w:r>
        <w:rPr>
          <w:b/>
          <w:bCs/>
          <w:i/>
          <w:iCs/>
          <w:lang w:val="fr-FR"/>
        </w:rPr>
        <w:t>’</w:t>
      </w:r>
      <w:r w:rsidRPr="001B335E">
        <w:rPr>
          <w:b/>
          <w:bCs/>
          <w:i/>
          <w:iCs/>
          <w:lang w:val="fr-FR"/>
        </w:rPr>
        <w:t>ait pour l</w:t>
      </w:r>
      <w:r>
        <w:rPr>
          <w:b/>
          <w:bCs/>
          <w:i/>
          <w:iCs/>
          <w:lang w:val="fr-FR"/>
        </w:rPr>
        <w:t>’</w:t>
      </w:r>
      <w:r w:rsidRPr="001B335E">
        <w:rPr>
          <w:b/>
          <w:bCs/>
          <w:i/>
          <w:iCs/>
          <w:lang w:val="fr-FR"/>
        </w:rPr>
        <w:t>instant été défini dans les lignes directrices de l</w:t>
      </w:r>
      <w:r>
        <w:rPr>
          <w:b/>
          <w:bCs/>
          <w:i/>
          <w:iCs/>
          <w:lang w:val="fr-FR"/>
        </w:rPr>
        <w:t>’</w:t>
      </w:r>
      <w:r w:rsidRPr="001B335E">
        <w:rPr>
          <w:b/>
          <w:bCs/>
          <w:i/>
          <w:iCs/>
          <w:lang w:val="fr-FR"/>
        </w:rPr>
        <w:t xml:space="preserve">OCDE pour les </w:t>
      </w:r>
      <w:r w:rsidRPr="009E181B">
        <w:rPr>
          <w:b/>
          <w:bCs/>
          <w:i/>
          <w:iCs/>
          <w:lang w:val="fr-FR"/>
        </w:rPr>
        <w:t xml:space="preserve">essais </w:t>
      </w:r>
      <w:r w:rsidR="00012DF1" w:rsidRPr="009E181B">
        <w:rPr>
          <w:rFonts w:eastAsia="MS Mincho"/>
          <w:b/>
          <w:bCs/>
          <w:i/>
          <w:iCs/>
          <w:lang w:val="fr-FR"/>
        </w:rPr>
        <w:t>n</w:t>
      </w:r>
      <w:r w:rsidR="00012DF1" w:rsidRPr="009E181B">
        <w:rPr>
          <w:rFonts w:eastAsia="MS Mincho"/>
          <w:b/>
          <w:bCs/>
          <w:i/>
          <w:iCs/>
          <w:vertAlign w:val="superscript"/>
          <w:lang w:val="fr-FR"/>
        </w:rPr>
        <w:t>os</w:t>
      </w:r>
      <w:r w:rsidR="00012DF1" w:rsidRPr="009E181B">
        <w:rPr>
          <w:b/>
          <w:bCs/>
          <w:i/>
          <w:iCs/>
          <w:lang w:val="fr-FR"/>
        </w:rPr>
        <w:t> </w:t>
      </w:r>
      <w:r w:rsidRPr="009E181B">
        <w:rPr>
          <w:b/>
          <w:bCs/>
          <w:i/>
          <w:iCs/>
          <w:lang w:val="fr-FR"/>
        </w:rPr>
        <w:t>406,</w:t>
      </w:r>
      <w:r w:rsidRPr="001B335E">
        <w:rPr>
          <w:b/>
          <w:bCs/>
          <w:i/>
          <w:iCs/>
          <w:lang w:val="fr-FR"/>
        </w:rPr>
        <w:t xml:space="preserve"> 429 et 442B, des critères de sous</w:t>
      </w:r>
      <w:r w:rsidR="00AE340D">
        <w:rPr>
          <w:b/>
          <w:bCs/>
          <w:i/>
          <w:iCs/>
          <w:lang w:val="fr-FR"/>
        </w:rPr>
        <w:noBreakHyphen/>
      </w:r>
      <w:proofErr w:type="gramStart"/>
      <w:r w:rsidRPr="001B335E">
        <w:rPr>
          <w:b/>
          <w:bCs/>
          <w:i/>
          <w:iCs/>
          <w:lang w:val="fr-FR"/>
        </w:rPr>
        <w:t>catégorisation validés</w:t>
      </w:r>
      <w:proofErr w:type="gramEnd"/>
      <w:r w:rsidRPr="001B335E">
        <w:rPr>
          <w:b/>
          <w:bCs/>
          <w:i/>
          <w:iCs/>
          <w:lang w:val="fr-FR"/>
        </w:rPr>
        <w:t xml:space="preserve"> peuvent être acceptés par certaines autorités compétentes</w:t>
      </w:r>
      <w:r w:rsidR="009E181B" w:rsidRPr="009E181B">
        <w:rPr>
          <w:b/>
          <w:bCs/>
          <w:i/>
          <w:iCs/>
          <w:lang w:val="fr-FR"/>
        </w:rPr>
        <w:t>.</w:t>
      </w:r>
      <w:r w:rsidRPr="001B335E">
        <w:rPr>
          <w:lang w:val="fr-FR"/>
        </w:rPr>
        <w:t xml:space="preserve"> </w:t>
      </w:r>
      <w:r w:rsidRPr="001B335E">
        <w:rPr>
          <w:b/>
          <w:bCs/>
          <w:i/>
          <w:iCs/>
          <w:lang w:val="fr-FR"/>
        </w:rPr>
        <w:t>Une autorité compétente peut décider des éventuels critères de sous-catégorisation à appliquer à ces méthodes d</w:t>
      </w:r>
      <w:r>
        <w:rPr>
          <w:b/>
          <w:bCs/>
          <w:i/>
          <w:iCs/>
          <w:lang w:val="fr-FR"/>
        </w:rPr>
        <w:t>’</w:t>
      </w:r>
      <w:r w:rsidRPr="001B335E">
        <w:rPr>
          <w:b/>
          <w:bCs/>
          <w:i/>
          <w:iCs/>
          <w:lang w:val="fr-FR"/>
        </w:rPr>
        <w:t>essai</w:t>
      </w:r>
      <w:r w:rsidR="009E181B" w:rsidRPr="009E181B">
        <w:rPr>
          <w:b/>
          <w:bCs/>
          <w:i/>
          <w:iCs/>
          <w:lang w:val="fr-FR"/>
        </w:rPr>
        <w:t>.</w:t>
      </w:r>
      <w:r w:rsidRPr="001B335E">
        <w:rPr>
          <w:b/>
          <w:bCs/>
          <w:i/>
          <w:iCs/>
          <w:lang w:val="fr-FR"/>
        </w:rPr>
        <w:t> </w:t>
      </w:r>
      <w:r w:rsidRPr="00012DF1">
        <w:rPr>
          <w:lang w:val="fr-FR"/>
        </w:rPr>
        <w:t>»</w:t>
      </w:r>
      <w:r w:rsidR="00012DF1" w:rsidRPr="00AE340D">
        <w:rPr>
          <w:lang w:val="fr-FR"/>
        </w:rPr>
        <w:t>.</w:t>
      </w:r>
    </w:p>
    <w:p w14:paraId="6E8A83B2" w14:textId="6D01867E" w:rsidR="00B07435" w:rsidRPr="001B335E" w:rsidRDefault="00B07435" w:rsidP="00B07435">
      <w:pPr>
        <w:pStyle w:val="SingleTxtG"/>
        <w:rPr>
          <w:color w:val="000000" w:themeColor="text1"/>
          <w:lang w:val="fr-FR"/>
        </w:rPr>
      </w:pPr>
      <w:r w:rsidRPr="001B335E">
        <w:rPr>
          <w:lang w:val="fr-FR"/>
        </w:rPr>
        <w:t>9</w:t>
      </w:r>
      <w:r w:rsidR="009E181B" w:rsidRPr="009E181B">
        <w:rPr>
          <w:lang w:val="fr-FR"/>
        </w:rPr>
        <w:t>.</w:t>
      </w:r>
      <w:r w:rsidRPr="001B335E">
        <w:rPr>
          <w:lang w:val="fr-FR"/>
        </w:rPr>
        <w:tab/>
        <w:t>Par ailleurs, comme les valeurs de concentration efficace utilisées dans le cadre des critères de sous-catégorisation de l</w:t>
      </w:r>
      <w:r>
        <w:rPr>
          <w:lang w:val="fr-FR"/>
        </w:rPr>
        <w:t>’</w:t>
      </w:r>
      <w:r w:rsidRPr="001B335E">
        <w:rPr>
          <w:lang w:val="fr-FR"/>
        </w:rPr>
        <w:t>ELGL ne sont pas définies dans les lignes directrices de l</w:t>
      </w:r>
      <w:r>
        <w:rPr>
          <w:lang w:val="fr-FR"/>
        </w:rPr>
        <w:t>’</w:t>
      </w:r>
      <w:r w:rsidRPr="001B335E">
        <w:rPr>
          <w:lang w:val="fr-FR"/>
        </w:rPr>
        <w:t>OCDE pour les essais correspondantes ni au chapitre 3</w:t>
      </w:r>
      <w:r w:rsidR="009E181B" w:rsidRPr="009E181B">
        <w:rPr>
          <w:lang w:val="fr-FR"/>
        </w:rPr>
        <w:t>.</w:t>
      </w:r>
      <w:r w:rsidRPr="001B335E">
        <w:rPr>
          <w:lang w:val="fr-FR"/>
        </w:rPr>
        <w:t>4 du SGH, un nota explicatif a été ajouté sous les tableaux</w:t>
      </w:r>
      <w:r w:rsidR="009E181B" w:rsidRPr="009E181B">
        <w:rPr>
          <w:lang w:val="fr-FR"/>
        </w:rPr>
        <w:t>.</w:t>
      </w:r>
    </w:p>
    <w:bookmarkEnd w:id="1"/>
    <w:p w14:paraId="52EB37A7" w14:textId="21F34AE4" w:rsidR="00B07435" w:rsidRPr="001B335E" w:rsidRDefault="00B07435" w:rsidP="00B07435">
      <w:pPr>
        <w:pStyle w:val="SingleTxtG"/>
        <w:rPr>
          <w:color w:val="000000" w:themeColor="text1"/>
          <w:lang w:val="fr-FR"/>
        </w:rPr>
      </w:pPr>
      <w:r w:rsidRPr="001B335E">
        <w:rPr>
          <w:lang w:val="fr-FR"/>
        </w:rPr>
        <w:t>10</w:t>
      </w:r>
      <w:r w:rsidR="009E181B" w:rsidRPr="009E181B">
        <w:rPr>
          <w:lang w:val="fr-FR"/>
        </w:rPr>
        <w:t>.</w:t>
      </w:r>
      <w:r w:rsidRPr="001B335E">
        <w:rPr>
          <w:lang w:val="fr-FR"/>
        </w:rPr>
        <w:tab/>
        <w:t xml:space="preserve">Sur la base des variantes non </w:t>
      </w:r>
      <w:proofErr w:type="spellStart"/>
      <w:r w:rsidRPr="001B335E">
        <w:rPr>
          <w:lang w:val="fr-FR"/>
        </w:rPr>
        <w:t>radioisotopiques</w:t>
      </w:r>
      <w:proofErr w:type="spellEnd"/>
      <w:r w:rsidRPr="001B335E">
        <w:rPr>
          <w:lang w:val="fr-FR"/>
        </w:rPr>
        <w:t xml:space="preserve"> de l</w:t>
      </w:r>
      <w:r>
        <w:rPr>
          <w:lang w:val="fr-FR"/>
        </w:rPr>
        <w:t>’</w:t>
      </w:r>
      <w:r w:rsidRPr="001B335E">
        <w:rPr>
          <w:lang w:val="fr-FR"/>
        </w:rPr>
        <w:t>ELGL susmentionnées, telles qu</w:t>
      </w:r>
      <w:r>
        <w:rPr>
          <w:lang w:val="fr-FR"/>
        </w:rPr>
        <w:t>’</w:t>
      </w:r>
      <w:r w:rsidRPr="001B335E">
        <w:rPr>
          <w:lang w:val="fr-FR"/>
        </w:rPr>
        <w:t>énumérées dans les lignes directrices 442A et B de l</w:t>
      </w:r>
      <w:r>
        <w:rPr>
          <w:lang w:val="fr-FR"/>
        </w:rPr>
        <w:t>’</w:t>
      </w:r>
      <w:r w:rsidRPr="001B335E">
        <w:rPr>
          <w:lang w:val="fr-FR"/>
        </w:rPr>
        <w:t>OCDE, il est proposé d</w:t>
      </w:r>
      <w:r>
        <w:rPr>
          <w:lang w:val="fr-FR"/>
        </w:rPr>
        <w:t>’</w:t>
      </w:r>
      <w:r w:rsidRPr="001B335E">
        <w:rPr>
          <w:lang w:val="fr-FR"/>
        </w:rPr>
        <w:t>ajouter les descriptions des critères correspondant à ces méthodes, ainsi que du critère de sous</w:t>
      </w:r>
      <w:r w:rsidR="00AE340D">
        <w:rPr>
          <w:lang w:val="fr-FR"/>
        </w:rPr>
        <w:noBreakHyphen/>
      </w:r>
      <w:proofErr w:type="gramStart"/>
      <w:r w:rsidRPr="001B335E">
        <w:rPr>
          <w:lang w:val="fr-FR"/>
        </w:rPr>
        <w:t>catégorisation issu</w:t>
      </w:r>
      <w:proofErr w:type="gramEnd"/>
      <w:r w:rsidRPr="001B335E">
        <w:rPr>
          <w:lang w:val="fr-FR"/>
        </w:rPr>
        <w:t xml:space="preserve"> des données obtenues avec la méthode BrdU-ELISA figurant dans la ligne directrice 442B de l</w:t>
      </w:r>
      <w:r>
        <w:rPr>
          <w:lang w:val="fr-FR"/>
        </w:rPr>
        <w:t>’</w:t>
      </w:r>
      <w:r w:rsidRPr="001B335E">
        <w:rPr>
          <w:lang w:val="fr-FR"/>
        </w:rPr>
        <w:t>OCDE</w:t>
      </w:r>
      <w:r w:rsidR="009E181B" w:rsidRPr="009E181B">
        <w:rPr>
          <w:lang w:val="fr-FR"/>
        </w:rPr>
        <w:t>.</w:t>
      </w:r>
      <w:r w:rsidRPr="001B335E">
        <w:rPr>
          <w:lang w:val="fr-FR"/>
        </w:rPr>
        <w:t xml:space="preserve"> On améliorera ainsi la pertinence du classement des produits chimiques dans les différentes catégories du SGH au moyen des variantes non </w:t>
      </w:r>
      <w:proofErr w:type="spellStart"/>
      <w:r w:rsidRPr="001B335E">
        <w:rPr>
          <w:lang w:val="fr-FR"/>
        </w:rPr>
        <w:t>radioisotopiques</w:t>
      </w:r>
      <w:proofErr w:type="spellEnd"/>
      <w:r w:rsidRPr="001B335E">
        <w:rPr>
          <w:lang w:val="fr-FR"/>
        </w:rPr>
        <w:t xml:space="preserve"> de l</w:t>
      </w:r>
      <w:r>
        <w:rPr>
          <w:lang w:val="fr-FR"/>
        </w:rPr>
        <w:t>’</w:t>
      </w:r>
      <w:r w:rsidRPr="001B335E">
        <w:rPr>
          <w:lang w:val="fr-FR"/>
        </w:rPr>
        <w:t>ELGL, et l</w:t>
      </w:r>
      <w:r>
        <w:rPr>
          <w:lang w:val="fr-FR"/>
        </w:rPr>
        <w:t>’</w:t>
      </w:r>
      <w:r w:rsidRPr="001B335E">
        <w:rPr>
          <w:lang w:val="fr-FR"/>
        </w:rPr>
        <w:t>affectation aux sous-catégories 1A et 1B au moyen de la méthode BrdU-ELISA</w:t>
      </w:r>
      <w:r w:rsidR="009E181B" w:rsidRPr="009E181B">
        <w:rPr>
          <w:lang w:val="fr-FR"/>
        </w:rPr>
        <w:t>.</w:t>
      </w:r>
      <w:r w:rsidRPr="001B335E">
        <w:rPr>
          <w:lang w:val="fr-FR"/>
        </w:rPr>
        <w:t xml:space="preserve"> On évitera en outre que les critères du SGH soient mal appliqués et les dangers des produits chimiques incorrectement communiqués</w:t>
      </w:r>
      <w:r w:rsidR="009E181B" w:rsidRPr="009E181B">
        <w:rPr>
          <w:lang w:val="fr-FR"/>
        </w:rPr>
        <w:t>.</w:t>
      </w:r>
    </w:p>
    <w:p w14:paraId="24C2E267" w14:textId="7E842181" w:rsidR="00B07435" w:rsidRPr="001B335E" w:rsidRDefault="00B07435" w:rsidP="00B07435">
      <w:pPr>
        <w:pStyle w:val="SingleTxtG"/>
        <w:rPr>
          <w:u w:val="single"/>
          <w:lang w:val="fr-FR"/>
        </w:rPr>
      </w:pPr>
      <w:r w:rsidRPr="001B335E">
        <w:rPr>
          <w:lang w:val="fr-FR"/>
        </w:rPr>
        <w:t>11</w:t>
      </w:r>
      <w:r w:rsidR="009E181B" w:rsidRPr="009E181B">
        <w:rPr>
          <w:lang w:val="fr-FR"/>
        </w:rPr>
        <w:t>.</w:t>
      </w:r>
      <w:r w:rsidRPr="001B335E">
        <w:rPr>
          <w:lang w:val="fr-FR"/>
        </w:rPr>
        <w:tab/>
        <w:t>Afin de rendre les choses plus claires pour le classement des sensibilisants cutanés dans la catégorie 1 au moyen d</w:t>
      </w:r>
      <w:r>
        <w:rPr>
          <w:lang w:val="fr-FR"/>
        </w:rPr>
        <w:t>’</w:t>
      </w:r>
      <w:r w:rsidRPr="001B335E">
        <w:rPr>
          <w:lang w:val="fr-FR"/>
        </w:rPr>
        <w:t>études chez l</w:t>
      </w:r>
      <w:r>
        <w:rPr>
          <w:lang w:val="fr-FR"/>
        </w:rPr>
        <w:t>’</w:t>
      </w:r>
      <w:r w:rsidRPr="001B335E">
        <w:rPr>
          <w:lang w:val="fr-FR"/>
        </w:rPr>
        <w:t>animal, il est proposé de modifier comme suit le paragraphe 3</w:t>
      </w:r>
      <w:r w:rsidR="009E181B" w:rsidRPr="009E181B">
        <w:rPr>
          <w:lang w:val="fr-FR"/>
        </w:rPr>
        <w:t>.</w:t>
      </w:r>
      <w:r w:rsidRPr="001B335E">
        <w:rPr>
          <w:lang w:val="fr-FR"/>
        </w:rPr>
        <w:t>4</w:t>
      </w:r>
      <w:r w:rsidR="009E181B" w:rsidRPr="009E181B">
        <w:rPr>
          <w:lang w:val="fr-FR"/>
        </w:rPr>
        <w:t>.</w:t>
      </w:r>
      <w:r w:rsidRPr="001B335E">
        <w:rPr>
          <w:lang w:val="fr-FR"/>
        </w:rPr>
        <w:t>2</w:t>
      </w:r>
      <w:r w:rsidR="009E181B" w:rsidRPr="009E181B">
        <w:rPr>
          <w:lang w:val="fr-FR"/>
        </w:rPr>
        <w:t>.</w:t>
      </w:r>
      <w:r w:rsidRPr="001B335E">
        <w:rPr>
          <w:lang w:val="fr-FR"/>
        </w:rPr>
        <w:t>2</w:t>
      </w:r>
      <w:r w:rsidR="009E181B" w:rsidRPr="009E181B">
        <w:rPr>
          <w:lang w:val="fr-FR"/>
        </w:rPr>
        <w:t>.</w:t>
      </w:r>
      <w:r w:rsidRPr="001B335E">
        <w:rPr>
          <w:lang w:val="fr-FR"/>
        </w:rPr>
        <w:t>3</w:t>
      </w:r>
      <w:r w:rsidR="009E181B" w:rsidRPr="009E181B">
        <w:rPr>
          <w:lang w:val="fr-FR"/>
        </w:rPr>
        <w:t>.</w:t>
      </w:r>
      <w:r w:rsidRPr="001B335E">
        <w:rPr>
          <w:lang w:val="fr-FR"/>
        </w:rPr>
        <w:t xml:space="preserve">1 du SGH (les ajouts au texte actuel figurent en caractères </w:t>
      </w:r>
      <w:r w:rsidRPr="001B335E">
        <w:rPr>
          <w:b/>
          <w:bCs/>
          <w:u w:val="single"/>
          <w:lang w:val="fr-FR"/>
        </w:rPr>
        <w:t>gras soulignés</w:t>
      </w:r>
      <w:r w:rsidRPr="001B335E">
        <w:rPr>
          <w:lang w:val="fr-FR"/>
        </w:rPr>
        <w:t>) :</w:t>
      </w:r>
    </w:p>
    <w:p w14:paraId="63745000" w14:textId="19C43D6B" w:rsidR="00B07435" w:rsidRPr="001B335E" w:rsidRDefault="00B07435" w:rsidP="00B07435">
      <w:pPr>
        <w:spacing w:before="216" w:line="240" w:lineRule="exact"/>
        <w:ind w:left="1701" w:right="1134"/>
        <w:jc w:val="both"/>
        <w:rPr>
          <w:color w:val="000000" w:themeColor="text1"/>
          <w:sz w:val="19"/>
          <w:lang w:val="fr-FR"/>
        </w:rPr>
      </w:pPr>
      <w:r w:rsidRPr="001B335E">
        <w:rPr>
          <w:lang w:val="fr-FR"/>
        </w:rPr>
        <w:t>« 3</w:t>
      </w:r>
      <w:r w:rsidR="009E181B" w:rsidRPr="009E181B">
        <w:rPr>
          <w:lang w:val="fr-FR"/>
        </w:rPr>
        <w:t>.</w:t>
      </w:r>
      <w:r w:rsidRPr="001B335E">
        <w:rPr>
          <w:lang w:val="fr-FR"/>
        </w:rPr>
        <w:t>4</w:t>
      </w:r>
      <w:r w:rsidR="009E181B" w:rsidRPr="009E181B">
        <w:rPr>
          <w:lang w:val="fr-FR"/>
        </w:rPr>
        <w:t>.</w:t>
      </w:r>
      <w:r w:rsidRPr="001B335E">
        <w:rPr>
          <w:lang w:val="fr-FR"/>
        </w:rPr>
        <w:t>2</w:t>
      </w:r>
      <w:r w:rsidR="009E181B" w:rsidRPr="009E181B">
        <w:rPr>
          <w:lang w:val="fr-FR"/>
        </w:rPr>
        <w:t>.</w:t>
      </w:r>
      <w:r w:rsidRPr="001B335E">
        <w:rPr>
          <w:lang w:val="fr-FR"/>
        </w:rPr>
        <w:t>2</w:t>
      </w:r>
      <w:r w:rsidR="009E181B" w:rsidRPr="009E181B">
        <w:rPr>
          <w:lang w:val="fr-FR"/>
        </w:rPr>
        <w:t>.</w:t>
      </w:r>
      <w:r w:rsidRPr="001B335E">
        <w:rPr>
          <w:lang w:val="fr-FR"/>
        </w:rPr>
        <w:t>3</w:t>
      </w:r>
      <w:r w:rsidR="009E181B" w:rsidRPr="009E181B">
        <w:rPr>
          <w:lang w:val="fr-FR"/>
        </w:rPr>
        <w:t>.</w:t>
      </w:r>
      <w:r w:rsidRPr="001B335E">
        <w:rPr>
          <w:lang w:val="fr-FR"/>
        </w:rPr>
        <w:t>1</w:t>
      </w:r>
      <w:r w:rsidRPr="001B335E">
        <w:rPr>
          <w:lang w:val="fr-FR"/>
        </w:rPr>
        <w:tab/>
        <w:t>Pour la catégorie 1, lorsqu</w:t>
      </w:r>
      <w:r>
        <w:rPr>
          <w:lang w:val="fr-FR"/>
        </w:rPr>
        <w:t>’</w:t>
      </w:r>
      <w:r w:rsidRPr="001B335E">
        <w:rPr>
          <w:lang w:val="fr-FR"/>
        </w:rPr>
        <w:t>on utilise une méthode d</w:t>
      </w:r>
      <w:r>
        <w:rPr>
          <w:lang w:val="fr-FR"/>
        </w:rPr>
        <w:t>’</w:t>
      </w:r>
      <w:r w:rsidRPr="001B335E">
        <w:rPr>
          <w:lang w:val="fr-FR"/>
        </w:rPr>
        <w:t>essai avec adjuvant pour la sensibilisation cutanée, le test est considéré comme positif si au moins 30 pour cent des animaux réagissent</w:t>
      </w:r>
      <w:r w:rsidR="009E181B" w:rsidRPr="009E181B">
        <w:rPr>
          <w:lang w:val="fr-FR"/>
        </w:rPr>
        <w:t>.</w:t>
      </w:r>
      <w:r w:rsidRPr="001B335E">
        <w:rPr>
          <w:lang w:val="fr-FR"/>
        </w:rPr>
        <w:t xml:space="preserve"> Avec une méthode d</w:t>
      </w:r>
      <w:r>
        <w:rPr>
          <w:lang w:val="fr-FR"/>
        </w:rPr>
        <w:t>’</w:t>
      </w:r>
      <w:r w:rsidRPr="001B335E">
        <w:rPr>
          <w:lang w:val="fr-FR"/>
        </w:rPr>
        <w:t>essai sur le cobaye sans adjuvant, le test est considéré comme positif si au moins 15 pour cent des animaux réagissent</w:t>
      </w:r>
      <w:r w:rsidR="009E181B" w:rsidRPr="009E181B">
        <w:rPr>
          <w:lang w:val="fr-FR"/>
        </w:rPr>
        <w:t>.</w:t>
      </w:r>
      <w:r w:rsidRPr="001B335E">
        <w:rPr>
          <w:lang w:val="fr-FR"/>
        </w:rPr>
        <w:t xml:space="preserve"> Pour la catégorie 1, un indice de stimulation de trois ou plus est considéré comme une réaction positive à l</w:t>
      </w:r>
      <w:r>
        <w:rPr>
          <w:lang w:val="fr-FR"/>
        </w:rPr>
        <w:t>’</w:t>
      </w:r>
      <w:r w:rsidRPr="001B335E">
        <w:rPr>
          <w:lang w:val="fr-FR"/>
        </w:rPr>
        <w:t xml:space="preserve">essai </w:t>
      </w:r>
      <w:proofErr w:type="spellStart"/>
      <w:r w:rsidRPr="001B335E">
        <w:rPr>
          <w:b/>
          <w:bCs/>
          <w:u w:val="single"/>
          <w:lang w:val="fr-FR"/>
        </w:rPr>
        <w:t>radioisotopique</w:t>
      </w:r>
      <w:proofErr w:type="spellEnd"/>
      <w:r w:rsidRPr="001B335E">
        <w:rPr>
          <w:b/>
          <w:bCs/>
          <w:u w:val="single"/>
          <w:lang w:val="fr-FR"/>
        </w:rPr>
        <w:t xml:space="preserve"> </w:t>
      </w:r>
      <w:r w:rsidRPr="001B335E">
        <w:rPr>
          <w:lang w:val="fr-FR"/>
        </w:rPr>
        <w:t xml:space="preserve">de stimulation locale des ganglions lymphatiques </w:t>
      </w:r>
      <w:r w:rsidRPr="001B335E">
        <w:rPr>
          <w:b/>
          <w:bCs/>
          <w:u w:val="single"/>
          <w:lang w:val="fr-FR"/>
        </w:rPr>
        <w:t>(ELGL)</w:t>
      </w:r>
      <w:r w:rsidR="009E181B" w:rsidRPr="009E181B">
        <w:rPr>
          <w:lang w:val="fr-FR"/>
        </w:rPr>
        <w:t>.</w:t>
      </w:r>
      <w:r w:rsidRPr="00AE340D">
        <w:rPr>
          <w:u w:val="single"/>
          <w:lang w:val="fr-FR"/>
        </w:rPr>
        <w:t xml:space="preserve"> </w:t>
      </w:r>
      <w:r w:rsidRPr="001B335E">
        <w:rPr>
          <w:b/>
          <w:bCs/>
          <w:u w:val="single"/>
          <w:lang w:val="fr-FR"/>
        </w:rPr>
        <w:t>Pour les variantes non radioactives de l</w:t>
      </w:r>
      <w:r>
        <w:rPr>
          <w:b/>
          <w:bCs/>
          <w:u w:val="single"/>
          <w:lang w:val="fr-FR"/>
        </w:rPr>
        <w:t>’</w:t>
      </w:r>
      <w:r w:rsidRPr="001B335E">
        <w:rPr>
          <w:b/>
          <w:bCs/>
          <w:u w:val="single"/>
          <w:lang w:val="fr-FR"/>
        </w:rPr>
        <w:t>ELGL, un indice de stimulation supérieur ou égal à 1,8 pour la méthode DA, à 1,6 pour la méthode BrdU-ELISA, et à 2,7 ou plus pour la méthode BrdU-FCM est considéré comme positif</w:t>
      </w:r>
      <w:r w:rsidR="009E181B" w:rsidRPr="009E181B">
        <w:rPr>
          <w:b/>
          <w:bCs/>
          <w:u w:val="single"/>
          <w:lang w:val="fr-FR"/>
        </w:rPr>
        <w:t>.</w:t>
      </w:r>
      <w:r w:rsidRPr="001B335E">
        <w:rPr>
          <w:lang w:val="fr-FR"/>
        </w:rPr>
        <w:t xml:space="preserve"> Les méthodes d</w:t>
      </w:r>
      <w:r>
        <w:rPr>
          <w:lang w:val="fr-FR"/>
        </w:rPr>
        <w:t>’</w:t>
      </w:r>
      <w:r w:rsidRPr="001B335E">
        <w:rPr>
          <w:lang w:val="fr-FR"/>
        </w:rPr>
        <w:t xml:space="preserve">essai de la sensibilisation cutanée sont décrites dans les lignes </w:t>
      </w:r>
      <w:r w:rsidRPr="009E181B">
        <w:rPr>
          <w:lang w:val="fr-FR"/>
        </w:rPr>
        <w:t xml:space="preserve">directrices </w:t>
      </w:r>
      <w:r w:rsidR="00AE340D" w:rsidRPr="009E181B">
        <w:rPr>
          <w:rFonts w:eastAsia="MS Mincho"/>
          <w:lang w:val="fr-FR"/>
        </w:rPr>
        <w:t>n</w:t>
      </w:r>
      <w:r w:rsidR="00AE340D" w:rsidRPr="009E181B">
        <w:rPr>
          <w:rFonts w:eastAsia="MS Mincho"/>
          <w:vertAlign w:val="superscript"/>
          <w:lang w:val="fr-FR"/>
        </w:rPr>
        <w:t>os</w:t>
      </w:r>
      <w:r w:rsidR="00AE340D" w:rsidRPr="009E181B">
        <w:rPr>
          <w:lang w:val="fr-FR"/>
        </w:rPr>
        <w:t> </w:t>
      </w:r>
      <w:r w:rsidRPr="009E181B">
        <w:rPr>
          <w:lang w:val="fr-FR"/>
        </w:rPr>
        <w:t>406 (</w:t>
      </w:r>
      <w:r w:rsidRPr="001B335E">
        <w:rPr>
          <w:lang w:val="fr-FR"/>
        </w:rPr>
        <w:t xml:space="preserve">essai de maximisation sur le cobaye et essai de </w:t>
      </w:r>
      <w:proofErr w:type="spellStart"/>
      <w:r w:rsidRPr="001B335E">
        <w:rPr>
          <w:lang w:val="fr-FR"/>
        </w:rPr>
        <w:t>Buehler</w:t>
      </w:r>
      <w:proofErr w:type="spellEnd"/>
      <w:r w:rsidRPr="001B335E">
        <w:rPr>
          <w:lang w:val="fr-FR"/>
        </w:rPr>
        <w:t xml:space="preserve"> sur le cobaye) et 429</w:t>
      </w:r>
      <w:r w:rsidRPr="001B335E">
        <w:rPr>
          <w:b/>
          <w:bCs/>
          <w:u w:val="single"/>
          <w:lang w:val="fr-FR"/>
        </w:rPr>
        <w:t>/442A/442B (essai de stimulation locale des ganglions lymphatiques)</w:t>
      </w:r>
      <w:r w:rsidRPr="001B335E">
        <w:rPr>
          <w:lang w:val="fr-FR"/>
        </w:rPr>
        <w:t xml:space="preserve"> de l</w:t>
      </w:r>
      <w:r>
        <w:rPr>
          <w:lang w:val="fr-FR"/>
        </w:rPr>
        <w:t>’</w:t>
      </w:r>
      <w:r w:rsidRPr="001B335E">
        <w:rPr>
          <w:lang w:val="fr-FR"/>
        </w:rPr>
        <w:t>OCDE</w:t>
      </w:r>
      <w:r w:rsidR="009E181B" w:rsidRPr="009E181B">
        <w:rPr>
          <w:lang w:val="fr-FR"/>
        </w:rPr>
        <w:t>.</w:t>
      </w:r>
      <w:r w:rsidRPr="001B335E">
        <w:rPr>
          <w:lang w:val="fr-FR"/>
        </w:rPr>
        <w:t xml:space="preserve"> D</w:t>
      </w:r>
      <w:r>
        <w:rPr>
          <w:lang w:val="fr-FR"/>
        </w:rPr>
        <w:t>’</w:t>
      </w:r>
      <w:r w:rsidRPr="001B335E">
        <w:rPr>
          <w:lang w:val="fr-FR"/>
        </w:rPr>
        <w:t>autres méthodes peuvent être utilisées, à condition qu</w:t>
      </w:r>
      <w:r>
        <w:rPr>
          <w:lang w:val="fr-FR"/>
        </w:rPr>
        <w:t>’</w:t>
      </w:r>
      <w:r w:rsidRPr="001B335E">
        <w:rPr>
          <w:lang w:val="fr-FR"/>
        </w:rPr>
        <w:t>elles soient correctement validées et justifiées du point de vue scientifique</w:t>
      </w:r>
      <w:r w:rsidR="009E181B" w:rsidRPr="009E181B">
        <w:rPr>
          <w:lang w:val="fr-FR"/>
        </w:rPr>
        <w:t>.</w:t>
      </w:r>
      <w:r w:rsidRPr="001B335E">
        <w:rPr>
          <w:lang w:val="fr-FR"/>
        </w:rPr>
        <w:t xml:space="preserve"> Le test de tuméfaction de l</w:t>
      </w:r>
      <w:r>
        <w:rPr>
          <w:lang w:val="fr-FR"/>
        </w:rPr>
        <w:t>’</w:t>
      </w:r>
      <w:r w:rsidRPr="001B335E">
        <w:rPr>
          <w:lang w:val="fr-FR"/>
        </w:rPr>
        <w:t>oreille de la souris (MEST) est un test de dépistage fiable pour détecter les sensibilisants modérés à forts et peut constituer la première étape de l</w:t>
      </w:r>
      <w:r>
        <w:rPr>
          <w:lang w:val="fr-FR"/>
        </w:rPr>
        <w:t>’</w:t>
      </w:r>
      <w:r w:rsidRPr="001B335E">
        <w:rPr>
          <w:lang w:val="fr-FR"/>
        </w:rPr>
        <w:t>évaluation du pouvoir sensibilisant sur la peau</w:t>
      </w:r>
      <w:r w:rsidR="009E181B" w:rsidRPr="009E181B">
        <w:rPr>
          <w:lang w:val="fr-FR"/>
        </w:rPr>
        <w:t>.</w:t>
      </w:r>
      <w:r w:rsidRPr="001B335E">
        <w:rPr>
          <w:lang w:val="fr-FR"/>
        </w:rPr>
        <w:t> »</w:t>
      </w:r>
      <w:r w:rsidR="009E181B" w:rsidRPr="009E181B">
        <w:rPr>
          <w:lang w:val="fr-FR"/>
        </w:rPr>
        <w:t>.</w:t>
      </w:r>
      <w:bookmarkStart w:id="2" w:name="_Hlk98840877"/>
    </w:p>
    <w:bookmarkEnd w:id="2"/>
    <w:p w14:paraId="002DEDE4" w14:textId="35349545" w:rsidR="00B07435" w:rsidRPr="001B335E" w:rsidRDefault="00B07435" w:rsidP="00B07435">
      <w:pPr>
        <w:spacing w:before="216" w:line="240" w:lineRule="exact"/>
        <w:ind w:left="1134" w:right="1134"/>
        <w:jc w:val="both"/>
        <w:rPr>
          <w:color w:val="000000" w:themeColor="text1"/>
          <w:sz w:val="19"/>
          <w:lang w:val="fr-FR"/>
        </w:rPr>
      </w:pPr>
      <w:r w:rsidRPr="001B335E">
        <w:rPr>
          <w:lang w:val="fr-FR"/>
        </w:rPr>
        <w:t>12</w:t>
      </w:r>
      <w:r w:rsidR="009E181B" w:rsidRPr="009E181B">
        <w:rPr>
          <w:lang w:val="fr-FR"/>
        </w:rPr>
        <w:t>.</w:t>
      </w:r>
      <w:r w:rsidRPr="001B335E">
        <w:rPr>
          <w:lang w:val="fr-FR"/>
        </w:rPr>
        <w:tab/>
        <w:t>Il a été jugé judicieux de présenter ces informations sous forme de tableau de façon à faciliter les travaux de classement et l</w:t>
      </w:r>
      <w:r>
        <w:rPr>
          <w:lang w:val="fr-FR"/>
        </w:rPr>
        <w:t>’</w:t>
      </w:r>
      <w:r w:rsidRPr="001B335E">
        <w:rPr>
          <w:lang w:val="fr-FR"/>
        </w:rPr>
        <w:t>utilisation du SGH</w:t>
      </w:r>
      <w:r w:rsidR="009E181B" w:rsidRPr="009E181B">
        <w:rPr>
          <w:lang w:val="fr-FR"/>
        </w:rPr>
        <w:t>.</w:t>
      </w:r>
      <w:r w:rsidRPr="001B335E">
        <w:rPr>
          <w:lang w:val="fr-FR"/>
        </w:rPr>
        <w:t xml:space="preserve"> C</w:t>
      </w:r>
      <w:r>
        <w:rPr>
          <w:lang w:val="fr-FR"/>
        </w:rPr>
        <w:t>’</w:t>
      </w:r>
      <w:r w:rsidRPr="001B335E">
        <w:rPr>
          <w:lang w:val="fr-FR"/>
        </w:rPr>
        <w:t>est pourquoi il est proposé d</w:t>
      </w:r>
      <w:r>
        <w:rPr>
          <w:lang w:val="fr-FR"/>
        </w:rPr>
        <w:t>’</w:t>
      </w:r>
      <w:r w:rsidRPr="001B335E">
        <w:rPr>
          <w:lang w:val="fr-FR"/>
        </w:rPr>
        <w:t>ajouter le nouveau tableau</w:t>
      </w:r>
      <w:r w:rsidR="00AE340D">
        <w:rPr>
          <w:lang w:val="fr-FR"/>
        </w:rPr>
        <w:t> </w:t>
      </w:r>
      <w:r w:rsidRPr="001B335E">
        <w:rPr>
          <w:lang w:val="fr-FR"/>
        </w:rPr>
        <w:t>3</w:t>
      </w:r>
      <w:r w:rsidR="009E181B" w:rsidRPr="009E181B">
        <w:rPr>
          <w:lang w:val="fr-FR"/>
        </w:rPr>
        <w:t>.</w:t>
      </w:r>
      <w:r w:rsidRPr="001B335E">
        <w:rPr>
          <w:lang w:val="fr-FR"/>
        </w:rPr>
        <w:t>4</w:t>
      </w:r>
      <w:r w:rsidR="009E181B" w:rsidRPr="009E181B">
        <w:rPr>
          <w:lang w:val="fr-FR"/>
        </w:rPr>
        <w:t>.</w:t>
      </w:r>
      <w:r w:rsidRPr="001B335E">
        <w:rPr>
          <w:lang w:val="fr-FR"/>
        </w:rPr>
        <w:t>3, intitulé « Résultats des essais sur l</w:t>
      </w:r>
      <w:r>
        <w:rPr>
          <w:lang w:val="fr-FR"/>
        </w:rPr>
        <w:t>’</w:t>
      </w:r>
      <w:r w:rsidRPr="001B335E">
        <w:rPr>
          <w:lang w:val="fr-FR"/>
        </w:rPr>
        <w:t>animal pour la catégorie 1 » et libellé comme suit :</w:t>
      </w:r>
    </w:p>
    <w:p w14:paraId="7D0BE7CA" w14:textId="533CF4B0" w:rsidR="00B07435" w:rsidRPr="001B335E" w:rsidRDefault="00B07435" w:rsidP="00012DF1">
      <w:pPr>
        <w:pStyle w:val="SingleTxtG"/>
        <w:keepNext/>
        <w:spacing w:before="240"/>
        <w:jc w:val="center"/>
        <w:rPr>
          <w:b/>
          <w:bCs/>
          <w:lang w:val="fr-FR"/>
        </w:rPr>
      </w:pPr>
      <w:r w:rsidRPr="001B335E">
        <w:rPr>
          <w:lang w:val="fr-FR"/>
        </w:rPr>
        <w:t xml:space="preserve">« </w:t>
      </w:r>
      <w:r w:rsidRPr="001B335E">
        <w:rPr>
          <w:b/>
          <w:bCs/>
          <w:lang w:val="fr-FR"/>
        </w:rPr>
        <w:t>Tableau 3</w:t>
      </w:r>
      <w:r w:rsidR="009E181B" w:rsidRPr="009E181B">
        <w:rPr>
          <w:b/>
          <w:bCs/>
          <w:lang w:val="fr-FR"/>
        </w:rPr>
        <w:t>.</w:t>
      </w:r>
      <w:r w:rsidRPr="001B335E">
        <w:rPr>
          <w:b/>
          <w:bCs/>
          <w:lang w:val="fr-FR"/>
        </w:rPr>
        <w:t>4</w:t>
      </w:r>
      <w:r w:rsidR="009E181B" w:rsidRPr="009E181B">
        <w:rPr>
          <w:b/>
          <w:bCs/>
          <w:lang w:val="fr-FR"/>
        </w:rPr>
        <w:t>.</w:t>
      </w:r>
      <w:r w:rsidRPr="001B335E">
        <w:rPr>
          <w:b/>
          <w:bCs/>
          <w:lang w:val="fr-FR"/>
        </w:rPr>
        <w:t>3 Résultats des essais sur l</w:t>
      </w:r>
      <w:r>
        <w:rPr>
          <w:b/>
          <w:bCs/>
          <w:lang w:val="fr-FR"/>
        </w:rPr>
        <w:t>’</w:t>
      </w:r>
      <w:r w:rsidRPr="001B335E">
        <w:rPr>
          <w:b/>
          <w:bCs/>
          <w:lang w:val="fr-FR"/>
        </w:rPr>
        <w:t>animal pour la catégorie 1</w:t>
      </w:r>
    </w:p>
    <w:tbl>
      <w:tblPr>
        <w:tblW w:w="8504" w:type="dxa"/>
        <w:tblInd w:w="1134" w:type="dxa"/>
        <w:tblLayout w:type="fixed"/>
        <w:tblCellMar>
          <w:left w:w="0" w:type="dxa"/>
          <w:right w:w="0" w:type="dxa"/>
        </w:tblCellMar>
        <w:tblLook w:val="0000" w:firstRow="0" w:lastRow="0" w:firstColumn="0" w:lastColumn="0" w:noHBand="0" w:noVBand="0"/>
      </w:tblPr>
      <w:tblGrid>
        <w:gridCol w:w="3823"/>
        <w:gridCol w:w="4681"/>
      </w:tblGrid>
      <w:tr w:rsidR="00B07435" w:rsidRPr="001B335E" w14:paraId="755DED30" w14:textId="77777777" w:rsidTr="00012DF1">
        <w:tc>
          <w:tcPr>
            <w:tcW w:w="3823" w:type="dxa"/>
            <w:tcBorders>
              <w:top w:val="single" w:sz="4" w:space="0" w:color="000000"/>
              <w:left w:val="single" w:sz="4" w:space="0" w:color="000000"/>
              <w:bottom w:val="single" w:sz="4" w:space="0" w:color="000000"/>
              <w:right w:val="single" w:sz="4" w:space="0" w:color="000000"/>
            </w:tcBorders>
            <w:vAlign w:val="center"/>
          </w:tcPr>
          <w:p w14:paraId="4CC837C7" w14:textId="77777777" w:rsidR="00B07435" w:rsidRPr="001B335E" w:rsidRDefault="00B07435" w:rsidP="00012DF1">
            <w:pPr>
              <w:keepNext/>
              <w:spacing w:before="60" w:after="60" w:line="220" w:lineRule="atLeast"/>
              <w:ind w:left="57" w:right="57"/>
              <w:jc w:val="center"/>
              <w:rPr>
                <w:rFonts w:eastAsia="MS PMincho"/>
                <w:b/>
                <w:bCs/>
                <w:color w:val="000000" w:themeColor="text1"/>
                <w:sz w:val="19"/>
                <w:szCs w:val="19"/>
                <w:u w:val="single"/>
                <w:lang w:val="fr-FR"/>
              </w:rPr>
            </w:pPr>
            <w:r w:rsidRPr="001B335E">
              <w:rPr>
                <w:b/>
                <w:bCs/>
                <w:u w:val="single"/>
                <w:lang w:val="fr-FR"/>
              </w:rPr>
              <w:t>Essai</w:t>
            </w:r>
          </w:p>
        </w:tc>
        <w:tc>
          <w:tcPr>
            <w:tcW w:w="4681" w:type="dxa"/>
            <w:tcBorders>
              <w:top w:val="single" w:sz="4" w:space="0" w:color="000000"/>
              <w:left w:val="single" w:sz="4" w:space="0" w:color="000000"/>
              <w:bottom w:val="single" w:sz="4" w:space="0" w:color="000000"/>
              <w:right w:val="single" w:sz="4" w:space="0" w:color="000000"/>
            </w:tcBorders>
            <w:vAlign w:val="center"/>
          </w:tcPr>
          <w:p w14:paraId="3810BE36" w14:textId="77777777" w:rsidR="00B07435" w:rsidRPr="001B335E" w:rsidRDefault="00B07435" w:rsidP="00012DF1">
            <w:pPr>
              <w:keepNext/>
              <w:spacing w:before="60" w:after="60" w:line="220" w:lineRule="atLeast"/>
              <w:ind w:left="57" w:right="57"/>
              <w:jc w:val="center"/>
              <w:rPr>
                <w:rFonts w:eastAsia="MS PMincho"/>
                <w:b/>
                <w:bCs/>
                <w:color w:val="000000" w:themeColor="text1"/>
                <w:sz w:val="19"/>
                <w:szCs w:val="19"/>
                <w:u w:val="single"/>
                <w:lang w:val="fr-FR"/>
              </w:rPr>
            </w:pPr>
            <w:r w:rsidRPr="001B335E">
              <w:rPr>
                <w:b/>
                <w:bCs/>
                <w:u w:val="single"/>
                <w:lang w:val="fr-FR"/>
              </w:rPr>
              <w:t>Critères</w:t>
            </w:r>
          </w:p>
        </w:tc>
      </w:tr>
      <w:tr w:rsidR="00B07435" w:rsidRPr="001B335E" w14:paraId="37F16CFA" w14:textId="77777777" w:rsidTr="00012DF1">
        <w:tc>
          <w:tcPr>
            <w:tcW w:w="3823" w:type="dxa"/>
            <w:tcBorders>
              <w:top w:val="single" w:sz="4" w:space="0" w:color="000000"/>
              <w:left w:val="single" w:sz="4" w:space="0" w:color="000000"/>
              <w:bottom w:val="single" w:sz="4" w:space="0" w:color="000000"/>
              <w:right w:val="single" w:sz="4" w:space="0" w:color="000000"/>
            </w:tcBorders>
            <w:vAlign w:val="center"/>
          </w:tcPr>
          <w:p w14:paraId="2F6146E5" w14:textId="77777777" w:rsidR="00B07435" w:rsidRPr="001B335E" w:rsidRDefault="00B07435" w:rsidP="00012DF1">
            <w:pPr>
              <w:keepNext/>
              <w:spacing w:before="60" w:after="60" w:line="220" w:lineRule="atLeast"/>
              <w:ind w:left="57" w:right="57"/>
              <w:rPr>
                <w:rFonts w:eastAsia="MS PMincho"/>
                <w:b/>
                <w:bCs/>
                <w:color w:val="000000" w:themeColor="text1"/>
                <w:sz w:val="19"/>
                <w:szCs w:val="19"/>
                <w:u w:val="single"/>
                <w:lang w:val="fr-FR"/>
              </w:rPr>
            </w:pPr>
            <w:r w:rsidRPr="001B335E">
              <w:rPr>
                <w:b/>
                <w:bCs/>
                <w:u w:val="single"/>
                <w:lang w:val="fr-FR"/>
              </w:rPr>
              <w:t>Essai de stimulation locale des ganglions lymphatiques</w:t>
            </w:r>
          </w:p>
        </w:tc>
        <w:tc>
          <w:tcPr>
            <w:tcW w:w="4681" w:type="dxa"/>
            <w:tcBorders>
              <w:top w:val="single" w:sz="4" w:space="0" w:color="000000"/>
              <w:left w:val="single" w:sz="4" w:space="0" w:color="000000"/>
              <w:bottom w:val="single" w:sz="4" w:space="0" w:color="000000"/>
              <w:right w:val="single" w:sz="4" w:space="0" w:color="000000"/>
            </w:tcBorders>
          </w:tcPr>
          <w:p w14:paraId="41E98DCB" w14:textId="77777777" w:rsidR="00B07435" w:rsidRPr="001B335E" w:rsidRDefault="00B07435" w:rsidP="00012DF1">
            <w:pPr>
              <w:keepNext/>
              <w:spacing w:before="60" w:after="60" w:line="220" w:lineRule="atLeast"/>
              <w:ind w:left="57" w:right="57"/>
              <w:rPr>
                <w:rFonts w:eastAsia="MS PMincho"/>
                <w:b/>
                <w:bCs/>
                <w:color w:val="000000" w:themeColor="text1"/>
                <w:sz w:val="19"/>
                <w:szCs w:val="19"/>
                <w:u w:val="single"/>
                <w:lang w:val="fr-FR"/>
              </w:rPr>
            </w:pPr>
            <w:r w:rsidRPr="001B335E">
              <w:rPr>
                <w:b/>
                <w:bCs/>
                <w:u w:val="single"/>
                <w:lang w:val="fr-FR"/>
              </w:rPr>
              <w:t>Indice de stimulation ≥ 3</w:t>
            </w:r>
          </w:p>
        </w:tc>
      </w:tr>
      <w:tr w:rsidR="00B07435" w:rsidRPr="001B335E" w14:paraId="6F5E44E1" w14:textId="77777777" w:rsidTr="00012DF1">
        <w:tc>
          <w:tcPr>
            <w:tcW w:w="3823" w:type="dxa"/>
            <w:tcBorders>
              <w:top w:val="single" w:sz="4" w:space="0" w:color="000000"/>
              <w:left w:val="single" w:sz="4" w:space="0" w:color="000000"/>
              <w:bottom w:val="single" w:sz="4" w:space="0" w:color="000000"/>
              <w:right w:val="single" w:sz="4" w:space="0" w:color="000000"/>
            </w:tcBorders>
            <w:vAlign w:val="center"/>
          </w:tcPr>
          <w:p w14:paraId="43EE908E" w14:textId="77777777" w:rsidR="00B07435" w:rsidRPr="001B335E" w:rsidRDefault="00B07435" w:rsidP="00012DF1">
            <w:pPr>
              <w:keepNext/>
              <w:spacing w:before="60" w:after="60" w:line="220" w:lineRule="atLeast"/>
              <w:ind w:left="57" w:right="57"/>
              <w:rPr>
                <w:rFonts w:eastAsia="MS PMincho"/>
                <w:b/>
                <w:bCs/>
                <w:color w:val="000000" w:themeColor="text1"/>
                <w:sz w:val="19"/>
                <w:szCs w:val="19"/>
                <w:u w:val="single"/>
                <w:lang w:val="fr-FR"/>
              </w:rPr>
            </w:pPr>
            <w:r w:rsidRPr="001B335E">
              <w:rPr>
                <w:b/>
                <w:bCs/>
                <w:u w:val="single"/>
                <w:lang w:val="fr-FR"/>
              </w:rPr>
              <w:t>Essai de stimulation locale des ganglions lymphatiques, méthode DA</w:t>
            </w:r>
          </w:p>
        </w:tc>
        <w:tc>
          <w:tcPr>
            <w:tcW w:w="4681" w:type="dxa"/>
            <w:tcBorders>
              <w:top w:val="single" w:sz="4" w:space="0" w:color="000000"/>
              <w:left w:val="single" w:sz="4" w:space="0" w:color="000000"/>
              <w:bottom w:val="single" w:sz="4" w:space="0" w:color="000000"/>
              <w:right w:val="single" w:sz="4" w:space="0" w:color="000000"/>
            </w:tcBorders>
          </w:tcPr>
          <w:p w14:paraId="322C7A58" w14:textId="77777777" w:rsidR="00B07435" w:rsidRPr="001B335E" w:rsidRDefault="00B07435" w:rsidP="00012DF1">
            <w:pPr>
              <w:keepNext/>
              <w:spacing w:before="60" w:after="60" w:line="220" w:lineRule="atLeast"/>
              <w:ind w:left="57" w:right="57"/>
              <w:rPr>
                <w:rFonts w:eastAsia="MS PMincho"/>
                <w:b/>
                <w:bCs/>
                <w:color w:val="000000" w:themeColor="text1"/>
                <w:spacing w:val="-8"/>
                <w:sz w:val="19"/>
                <w:szCs w:val="19"/>
                <w:u w:val="single"/>
                <w:lang w:val="fr-FR"/>
              </w:rPr>
            </w:pPr>
            <w:r w:rsidRPr="001B335E">
              <w:rPr>
                <w:b/>
                <w:bCs/>
                <w:u w:val="single"/>
                <w:lang w:val="fr-FR"/>
              </w:rPr>
              <w:t>Indice de stimulation ≥ 1,8</w:t>
            </w:r>
          </w:p>
        </w:tc>
      </w:tr>
      <w:tr w:rsidR="00B07435" w:rsidRPr="001B335E" w14:paraId="2923E099" w14:textId="77777777" w:rsidTr="00012DF1">
        <w:tc>
          <w:tcPr>
            <w:tcW w:w="3823" w:type="dxa"/>
            <w:tcBorders>
              <w:top w:val="single" w:sz="4" w:space="0" w:color="000000"/>
              <w:left w:val="single" w:sz="4" w:space="0" w:color="000000"/>
              <w:bottom w:val="single" w:sz="4" w:space="0" w:color="000000"/>
              <w:right w:val="single" w:sz="4" w:space="0" w:color="000000"/>
            </w:tcBorders>
            <w:vAlign w:val="center"/>
          </w:tcPr>
          <w:p w14:paraId="0E854D73" w14:textId="77777777" w:rsidR="00B07435" w:rsidRPr="001B335E" w:rsidRDefault="00B07435" w:rsidP="00012DF1">
            <w:pPr>
              <w:keepNext/>
              <w:spacing w:before="60" w:after="60" w:line="220" w:lineRule="atLeast"/>
              <w:ind w:left="57" w:right="57"/>
              <w:rPr>
                <w:rFonts w:eastAsia="MS PMincho"/>
                <w:b/>
                <w:bCs/>
                <w:color w:val="000000" w:themeColor="text1"/>
                <w:sz w:val="19"/>
                <w:szCs w:val="19"/>
                <w:u w:val="single"/>
                <w:lang w:val="fr-FR"/>
              </w:rPr>
            </w:pPr>
            <w:r w:rsidRPr="001B335E">
              <w:rPr>
                <w:b/>
                <w:bCs/>
                <w:u w:val="single"/>
                <w:lang w:val="fr-FR"/>
              </w:rPr>
              <w:t>Essai de stimulation locale des ganglions lymphatiques, méthode BrdU-ELISA</w:t>
            </w:r>
          </w:p>
        </w:tc>
        <w:tc>
          <w:tcPr>
            <w:tcW w:w="4681" w:type="dxa"/>
            <w:tcBorders>
              <w:top w:val="single" w:sz="4" w:space="0" w:color="000000"/>
              <w:left w:val="single" w:sz="4" w:space="0" w:color="000000"/>
              <w:bottom w:val="single" w:sz="4" w:space="0" w:color="000000"/>
              <w:right w:val="single" w:sz="4" w:space="0" w:color="000000"/>
            </w:tcBorders>
          </w:tcPr>
          <w:p w14:paraId="2AF8E2DC" w14:textId="77777777" w:rsidR="00B07435" w:rsidRPr="001B335E" w:rsidRDefault="00B07435" w:rsidP="00012DF1">
            <w:pPr>
              <w:keepNext/>
              <w:spacing w:before="60" w:after="60" w:line="220" w:lineRule="atLeast"/>
              <w:ind w:left="57" w:right="57"/>
              <w:rPr>
                <w:rFonts w:eastAsia="MS PMincho"/>
                <w:b/>
                <w:bCs/>
                <w:color w:val="000000" w:themeColor="text1"/>
                <w:spacing w:val="-8"/>
                <w:sz w:val="19"/>
                <w:szCs w:val="19"/>
                <w:u w:val="single"/>
                <w:lang w:val="fr-FR"/>
              </w:rPr>
            </w:pPr>
            <w:r w:rsidRPr="001B335E">
              <w:rPr>
                <w:b/>
                <w:bCs/>
                <w:u w:val="single"/>
                <w:lang w:val="fr-FR"/>
              </w:rPr>
              <w:t>IS ≥ 1,6</w:t>
            </w:r>
          </w:p>
        </w:tc>
      </w:tr>
      <w:tr w:rsidR="00B07435" w:rsidRPr="001B335E" w14:paraId="3E5F8032" w14:textId="77777777" w:rsidTr="00012DF1">
        <w:tc>
          <w:tcPr>
            <w:tcW w:w="3823" w:type="dxa"/>
            <w:tcBorders>
              <w:top w:val="single" w:sz="4" w:space="0" w:color="000000"/>
              <w:left w:val="single" w:sz="4" w:space="0" w:color="000000"/>
              <w:bottom w:val="single" w:sz="4" w:space="0" w:color="000000"/>
              <w:right w:val="single" w:sz="4" w:space="0" w:color="000000"/>
            </w:tcBorders>
            <w:vAlign w:val="center"/>
          </w:tcPr>
          <w:p w14:paraId="606C1CC8" w14:textId="77777777" w:rsidR="00B07435" w:rsidRPr="001B335E" w:rsidRDefault="00B07435" w:rsidP="00B07435">
            <w:pPr>
              <w:spacing w:before="60" w:after="60" w:line="220" w:lineRule="atLeast"/>
              <w:ind w:left="57" w:right="57"/>
              <w:rPr>
                <w:rFonts w:eastAsia="MS PMincho"/>
                <w:b/>
                <w:bCs/>
                <w:color w:val="000000" w:themeColor="text1"/>
                <w:sz w:val="19"/>
                <w:szCs w:val="19"/>
                <w:u w:val="single"/>
                <w:lang w:val="fr-FR"/>
              </w:rPr>
            </w:pPr>
            <w:r w:rsidRPr="001B335E">
              <w:rPr>
                <w:b/>
                <w:bCs/>
                <w:u w:val="single"/>
                <w:lang w:val="fr-FR"/>
              </w:rPr>
              <w:t>Essai de stimulation locale des ganglions lymphatiques, méthode BrdU-FCM</w:t>
            </w:r>
          </w:p>
        </w:tc>
        <w:tc>
          <w:tcPr>
            <w:tcW w:w="4681" w:type="dxa"/>
            <w:tcBorders>
              <w:top w:val="single" w:sz="4" w:space="0" w:color="000000"/>
              <w:left w:val="single" w:sz="4" w:space="0" w:color="000000"/>
              <w:bottom w:val="single" w:sz="4" w:space="0" w:color="000000"/>
              <w:right w:val="single" w:sz="4" w:space="0" w:color="000000"/>
            </w:tcBorders>
          </w:tcPr>
          <w:p w14:paraId="2E98FE46" w14:textId="77777777" w:rsidR="00B07435" w:rsidRPr="001B335E" w:rsidRDefault="00B07435" w:rsidP="00B07435">
            <w:pPr>
              <w:spacing w:before="60" w:after="60" w:line="220" w:lineRule="atLeast"/>
              <w:ind w:left="57" w:right="57"/>
              <w:rPr>
                <w:rFonts w:eastAsia="MS PMincho"/>
                <w:b/>
                <w:bCs/>
                <w:color w:val="000000" w:themeColor="text1"/>
                <w:sz w:val="19"/>
                <w:szCs w:val="19"/>
                <w:u w:val="single"/>
                <w:lang w:val="fr-FR"/>
              </w:rPr>
            </w:pPr>
            <w:r w:rsidRPr="001B335E">
              <w:rPr>
                <w:b/>
                <w:bCs/>
                <w:u w:val="single"/>
                <w:lang w:val="fr-FR"/>
              </w:rPr>
              <w:t>Indice de stimulation ≥ 2,7</w:t>
            </w:r>
          </w:p>
        </w:tc>
      </w:tr>
      <w:tr w:rsidR="00B07435" w:rsidRPr="00DB4588" w14:paraId="1D1EA75A" w14:textId="77777777" w:rsidTr="00012DF1">
        <w:tc>
          <w:tcPr>
            <w:tcW w:w="3823" w:type="dxa"/>
            <w:tcBorders>
              <w:top w:val="single" w:sz="4" w:space="0" w:color="000000"/>
              <w:left w:val="single" w:sz="4" w:space="0" w:color="000000"/>
              <w:bottom w:val="single" w:sz="4" w:space="0" w:color="000000"/>
              <w:right w:val="single" w:sz="4" w:space="0" w:color="000000"/>
            </w:tcBorders>
            <w:vAlign w:val="center"/>
          </w:tcPr>
          <w:p w14:paraId="70C5E3EA" w14:textId="77777777" w:rsidR="00B07435" w:rsidRPr="001B335E" w:rsidRDefault="00B07435" w:rsidP="00B07435">
            <w:pPr>
              <w:spacing w:before="60" w:after="60" w:line="220" w:lineRule="atLeast"/>
              <w:ind w:left="57" w:right="57"/>
              <w:rPr>
                <w:rFonts w:eastAsia="MS PMincho"/>
                <w:b/>
                <w:bCs/>
                <w:color w:val="000000" w:themeColor="text1"/>
                <w:sz w:val="19"/>
                <w:szCs w:val="19"/>
                <w:u w:val="single"/>
                <w:lang w:val="fr-FR"/>
              </w:rPr>
            </w:pPr>
            <w:r w:rsidRPr="001B335E">
              <w:rPr>
                <w:b/>
                <w:bCs/>
                <w:u w:val="single"/>
                <w:lang w:val="fr-FR"/>
              </w:rPr>
              <w:t>Méthode d</w:t>
            </w:r>
            <w:r>
              <w:rPr>
                <w:b/>
                <w:bCs/>
                <w:u w:val="single"/>
                <w:lang w:val="fr-FR"/>
              </w:rPr>
              <w:t>’</w:t>
            </w:r>
            <w:r w:rsidRPr="001B335E">
              <w:rPr>
                <w:b/>
                <w:bCs/>
                <w:u w:val="single"/>
                <w:lang w:val="fr-FR"/>
              </w:rPr>
              <w:t>essai sur cobaye avec adjuvant</w:t>
            </w:r>
          </w:p>
        </w:tc>
        <w:tc>
          <w:tcPr>
            <w:tcW w:w="4681" w:type="dxa"/>
            <w:tcBorders>
              <w:top w:val="single" w:sz="4" w:space="0" w:color="000000"/>
              <w:left w:val="single" w:sz="4" w:space="0" w:color="000000"/>
              <w:bottom w:val="single" w:sz="4" w:space="0" w:color="000000"/>
              <w:right w:val="single" w:sz="4" w:space="0" w:color="000000"/>
            </w:tcBorders>
          </w:tcPr>
          <w:p w14:paraId="72C57B78" w14:textId="77777777" w:rsidR="00B07435" w:rsidRPr="001B335E" w:rsidRDefault="00B07435" w:rsidP="00B07435">
            <w:pPr>
              <w:spacing w:before="60" w:after="60" w:line="220" w:lineRule="atLeast"/>
              <w:ind w:left="57" w:right="57"/>
              <w:rPr>
                <w:rFonts w:eastAsia="MS PMincho"/>
                <w:b/>
                <w:bCs/>
                <w:color w:val="000000" w:themeColor="text1"/>
                <w:spacing w:val="-5"/>
                <w:sz w:val="19"/>
                <w:szCs w:val="19"/>
                <w:u w:val="single"/>
                <w:lang w:val="fr-FR"/>
              </w:rPr>
            </w:pPr>
            <w:r w:rsidRPr="001B335E">
              <w:rPr>
                <w:b/>
                <w:bCs/>
                <w:u w:val="single"/>
                <w:lang w:val="fr-FR"/>
              </w:rPr>
              <w:t>≥ 30 % réagissent à toute dose d</w:t>
            </w:r>
            <w:r>
              <w:rPr>
                <w:b/>
                <w:bCs/>
                <w:u w:val="single"/>
                <w:lang w:val="fr-FR"/>
              </w:rPr>
              <w:t>’</w:t>
            </w:r>
            <w:r w:rsidRPr="001B335E">
              <w:rPr>
                <w:b/>
                <w:bCs/>
                <w:u w:val="single"/>
                <w:lang w:val="fr-FR"/>
              </w:rPr>
              <w:t>induction intradermique</w:t>
            </w:r>
          </w:p>
        </w:tc>
      </w:tr>
      <w:tr w:rsidR="00B07435" w:rsidRPr="00DB4588" w14:paraId="09E9F227" w14:textId="77777777" w:rsidTr="00012DF1">
        <w:tc>
          <w:tcPr>
            <w:tcW w:w="3823" w:type="dxa"/>
            <w:tcBorders>
              <w:top w:val="single" w:sz="4" w:space="0" w:color="000000"/>
              <w:left w:val="single" w:sz="4" w:space="0" w:color="000000"/>
              <w:bottom w:val="single" w:sz="4" w:space="0" w:color="000000"/>
              <w:right w:val="single" w:sz="4" w:space="0" w:color="000000"/>
            </w:tcBorders>
            <w:vAlign w:val="center"/>
          </w:tcPr>
          <w:p w14:paraId="3C06EBCE" w14:textId="77777777" w:rsidR="00B07435" w:rsidRPr="001B335E" w:rsidRDefault="00B07435" w:rsidP="00B07435">
            <w:pPr>
              <w:spacing w:before="60" w:after="60" w:line="220" w:lineRule="atLeast"/>
              <w:ind w:left="57" w:right="57"/>
              <w:rPr>
                <w:rFonts w:eastAsia="MS PMincho"/>
                <w:b/>
                <w:bCs/>
                <w:color w:val="000000" w:themeColor="text1"/>
                <w:sz w:val="19"/>
                <w:szCs w:val="19"/>
                <w:u w:val="single"/>
                <w:lang w:val="fr-FR"/>
              </w:rPr>
            </w:pPr>
            <w:r w:rsidRPr="001B335E">
              <w:rPr>
                <w:b/>
                <w:bCs/>
                <w:u w:val="single"/>
                <w:lang w:val="fr-FR"/>
              </w:rPr>
              <w:t>Méthode d</w:t>
            </w:r>
            <w:r>
              <w:rPr>
                <w:b/>
                <w:bCs/>
                <w:u w:val="single"/>
                <w:lang w:val="fr-FR"/>
              </w:rPr>
              <w:t>’</w:t>
            </w:r>
            <w:r w:rsidRPr="001B335E">
              <w:rPr>
                <w:b/>
                <w:bCs/>
                <w:u w:val="single"/>
                <w:lang w:val="fr-FR"/>
              </w:rPr>
              <w:t>essai sur cobaye sans adjuvant</w:t>
            </w:r>
          </w:p>
        </w:tc>
        <w:tc>
          <w:tcPr>
            <w:tcW w:w="4681" w:type="dxa"/>
            <w:tcBorders>
              <w:top w:val="single" w:sz="4" w:space="0" w:color="000000"/>
              <w:left w:val="single" w:sz="4" w:space="0" w:color="000000"/>
              <w:bottom w:val="single" w:sz="4" w:space="0" w:color="000000"/>
              <w:right w:val="single" w:sz="4" w:space="0" w:color="000000"/>
            </w:tcBorders>
          </w:tcPr>
          <w:p w14:paraId="70911BF1" w14:textId="77777777" w:rsidR="00B07435" w:rsidRPr="001B335E" w:rsidRDefault="00B07435" w:rsidP="00B07435">
            <w:pPr>
              <w:spacing w:before="60" w:after="60" w:line="220" w:lineRule="atLeast"/>
              <w:ind w:left="57" w:right="57"/>
              <w:rPr>
                <w:rFonts w:eastAsia="MS PMincho"/>
                <w:b/>
                <w:bCs/>
                <w:color w:val="000000" w:themeColor="text1"/>
                <w:spacing w:val="-4"/>
                <w:sz w:val="19"/>
                <w:szCs w:val="19"/>
                <w:u w:val="single"/>
                <w:lang w:val="fr-FR"/>
              </w:rPr>
            </w:pPr>
            <w:r w:rsidRPr="001B335E">
              <w:rPr>
                <w:b/>
                <w:bCs/>
                <w:u w:val="single"/>
                <w:lang w:val="fr-FR"/>
              </w:rPr>
              <w:t>≥ 15 % réagissent à toute dose d</w:t>
            </w:r>
            <w:r>
              <w:rPr>
                <w:b/>
                <w:bCs/>
                <w:u w:val="single"/>
                <w:lang w:val="fr-FR"/>
              </w:rPr>
              <w:t>’</w:t>
            </w:r>
            <w:r w:rsidRPr="001B335E">
              <w:rPr>
                <w:b/>
                <w:bCs/>
                <w:u w:val="single"/>
                <w:lang w:val="fr-FR"/>
              </w:rPr>
              <w:t>induction locale</w:t>
            </w:r>
          </w:p>
        </w:tc>
      </w:tr>
    </w:tbl>
    <w:p w14:paraId="6EFB708C" w14:textId="56DA083B" w:rsidR="00B07435" w:rsidRPr="001B335E" w:rsidRDefault="00B07435" w:rsidP="00B07435">
      <w:pPr>
        <w:spacing w:before="240" w:after="120" w:line="240" w:lineRule="exact"/>
        <w:ind w:left="1134" w:right="1134"/>
        <w:jc w:val="both"/>
        <w:rPr>
          <w:color w:val="000000" w:themeColor="text1"/>
          <w:spacing w:val="-6"/>
          <w:sz w:val="19"/>
          <w:lang w:val="fr-FR"/>
        </w:rPr>
      </w:pPr>
      <w:r w:rsidRPr="001B335E">
        <w:rPr>
          <w:lang w:val="fr-FR"/>
        </w:rPr>
        <w:t>13</w:t>
      </w:r>
      <w:r w:rsidR="009E181B" w:rsidRPr="009E181B">
        <w:rPr>
          <w:lang w:val="fr-FR"/>
        </w:rPr>
        <w:t>.</w:t>
      </w:r>
      <w:r w:rsidRPr="001B335E">
        <w:rPr>
          <w:lang w:val="fr-FR"/>
        </w:rPr>
        <w:tab/>
        <w:t>L</w:t>
      </w:r>
      <w:r>
        <w:rPr>
          <w:lang w:val="fr-FR"/>
        </w:rPr>
        <w:t>’</w:t>
      </w:r>
      <w:r w:rsidRPr="001B335E">
        <w:rPr>
          <w:lang w:val="fr-FR"/>
        </w:rPr>
        <w:t>ajout de ce nouveau tableau entraîne d</w:t>
      </w:r>
      <w:r>
        <w:rPr>
          <w:lang w:val="fr-FR"/>
        </w:rPr>
        <w:t>’</w:t>
      </w:r>
      <w:r w:rsidRPr="001B335E">
        <w:rPr>
          <w:lang w:val="fr-FR"/>
        </w:rPr>
        <w:t>autres modifications, à savoir la renumérotation des tableaux 3</w:t>
      </w:r>
      <w:r w:rsidR="009E181B" w:rsidRPr="009E181B">
        <w:rPr>
          <w:lang w:val="fr-FR"/>
        </w:rPr>
        <w:t>.</w:t>
      </w:r>
      <w:r w:rsidRPr="001B335E">
        <w:rPr>
          <w:lang w:val="fr-FR"/>
        </w:rPr>
        <w:t>4</w:t>
      </w:r>
      <w:r w:rsidR="009E181B" w:rsidRPr="009E181B">
        <w:rPr>
          <w:lang w:val="fr-FR"/>
        </w:rPr>
        <w:t>.</w:t>
      </w:r>
      <w:r w:rsidRPr="001B335E">
        <w:rPr>
          <w:lang w:val="fr-FR"/>
        </w:rPr>
        <w:t>3, 3</w:t>
      </w:r>
      <w:r w:rsidR="009E181B" w:rsidRPr="009E181B">
        <w:rPr>
          <w:lang w:val="fr-FR"/>
        </w:rPr>
        <w:t>.</w:t>
      </w:r>
      <w:r w:rsidRPr="001B335E">
        <w:rPr>
          <w:lang w:val="fr-FR"/>
        </w:rPr>
        <w:t>4</w:t>
      </w:r>
      <w:r w:rsidR="009E181B" w:rsidRPr="009E181B">
        <w:rPr>
          <w:lang w:val="fr-FR"/>
        </w:rPr>
        <w:t>.</w:t>
      </w:r>
      <w:r w:rsidRPr="001B335E">
        <w:rPr>
          <w:lang w:val="fr-FR"/>
        </w:rPr>
        <w:t>4, 3</w:t>
      </w:r>
      <w:r w:rsidR="009E181B" w:rsidRPr="009E181B">
        <w:rPr>
          <w:lang w:val="fr-FR"/>
        </w:rPr>
        <w:t>.</w:t>
      </w:r>
      <w:r w:rsidRPr="001B335E">
        <w:rPr>
          <w:lang w:val="fr-FR"/>
        </w:rPr>
        <w:t>4</w:t>
      </w:r>
      <w:r w:rsidR="009E181B" w:rsidRPr="009E181B">
        <w:rPr>
          <w:lang w:val="fr-FR"/>
        </w:rPr>
        <w:t>.</w:t>
      </w:r>
      <w:r w:rsidRPr="001B335E">
        <w:rPr>
          <w:lang w:val="fr-FR"/>
        </w:rPr>
        <w:t>5 et 3</w:t>
      </w:r>
      <w:r w:rsidR="009E181B" w:rsidRPr="009E181B">
        <w:rPr>
          <w:lang w:val="fr-FR"/>
        </w:rPr>
        <w:t>.</w:t>
      </w:r>
      <w:r w:rsidRPr="001B335E">
        <w:rPr>
          <w:lang w:val="fr-FR"/>
        </w:rPr>
        <w:t>4</w:t>
      </w:r>
      <w:r w:rsidR="009E181B" w:rsidRPr="009E181B">
        <w:rPr>
          <w:lang w:val="fr-FR"/>
        </w:rPr>
        <w:t>.</w:t>
      </w:r>
      <w:r w:rsidRPr="001B335E">
        <w:rPr>
          <w:lang w:val="fr-FR"/>
        </w:rPr>
        <w:t xml:space="preserve">6 ainsi que des renvois correspondants figurant : </w:t>
      </w:r>
    </w:p>
    <w:p w14:paraId="3F199568" w14:textId="44648B12" w:rsidR="00B07435" w:rsidRPr="001B335E" w:rsidRDefault="00B07435" w:rsidP="00B07435">
      <w:pPr>
        <w:pStyle w:val="Bullet1G"/>
        <w:numPr>
          <w:ilvl w:val="0"/>
          <w:numId w:val="17"/>
        </w:numPr>
        <w:rPr>
          <w:lang w:val="fr-FR"/>
        </w:rPr>
      </w:pPr>
      <w:r>
        <w:rPr>
          <w:lang w:val="fr-FR"/>
        </w:rPr>
        <w:t>A</w:t>
      </w:r>
      <w:r w:rsidRPr="001B335E">
        <w:rPr>
          <w:lang w:val="fr-FR"/>
        </w:rPr>
        <w:t>u paragraphe 3</w:t>
      </w:r>
      <w:r w:rsidR="009E181B" w:rsidRPr="009E181B">
        <w:rPr>
          <w:lang w:val="fr-FR"/>
        </w:rPr>
        <w:t>.</w:t>
      </w:r>
      <w:r w:rsidRPr="001B335E">
        <w:rPr>
          <w:lang w:val="fr-FR"/>
        </w:rPr>
        <w:t>4</w:t>
      </w:r>
      <w:r w:rsidR="009E181B" w:rsidRPr="009E181B">
        <w:rPr>
          <w:lang w:val="fr-FR"/>
        </w:rPr>
        <w:t>.</w:t>
      </w:r>
      <w:r w:rsidRPr="001B335E">
        <w:rPr>
          <w:lang w:val="fr-FR"/>
        </w:rPr>
        <w:t>2</w:t>
      </w:r>
      <w:r w:rsidR="009E181B" w:rsidRPr="009E181B">
        <w:rPr>
          <w:lang w:val="fr-FR"/>
        </w:rPr>
        <w:t>.</w:t>
      </w:r>
      <w:r w:rsidRPr="001B335E">
        <w:rPr>
          <w:lang w:val="fr-FR"/>
        </w:rPr>
        <w:t>2</w:t>
      </w:r>
      <w:r w:rsidR="009E181B" w:rsidRPr="009E181B">
        <w:rPr>
          <w:lang w:val="fr-FR"/>
        </w:rPr>
        <w:t>.</w:t>
      </w:r>
      <w:r w:rsidRPr="001B335E">
        <w:rPr>
          <w:lang w:val="fr-FR"/>
        </w:rPr>
        <w:t>3</w:t>
      </w:r>
      <w:r w:rsidR="009E181B" w:rsidRPr="009E181B">
        <w:rPr>
          <w:lang w:val="fr-FR"/>
        </w:rPr>
        <w:t>.</w:t>
      </w:r>
      <w:r w:rsidRPr="001B335E">
        <w:rPr>
          <w:lang w:val="fr-FR"/>
        </w:rPr>
        <w:t>2 (lequel renvoie actuellement au tableau 3</w:t>
      </w:r>
      <w:r w:rsidR="009E181B" w:rsidRPr="009E181B">
        <w:rPr>
          <w:lang w:val="fr-FR"/>
        </w:rPr>
        <w:t>.</w:t>
      </w:r>
      <w:r w:rsidRPr="001B335E">
        <w:rPr>
          <w:lang w:val="fr-FR"/>
        </w:rPr>
        <w:t>4</w:t>
      </w:r>
      <w:r w:rsidR="009E181B" w:rsidRPr="009E181B">
        <w:rPr>
          <w:lang w:val="fr-FR"/>
        </w:rPr>
        <w:t>.</w:t>
      </w:r>
      <w:r w:rsidRPr="001B335E">
        <w:rPr>
          <w:lang w:val="fr-FR"/>
        </w:rPr>
        <w:t>3) ;</w:t>
      </w:r>
      <w:bookmarkStart w:id="3" w:name="_Hlk112317833"/>
      <w:bookmarkEnd w:id="3"/>
    </w:p>
    <w:p w14:paraId="53859C02" w14:textId="1E27F1E5" w:rsidR="00B07435" w:rsidRPr="001B335E" w:rsidRDefault="00B07435" w:rsidP="00B07435">
      <w:pPr>
        <w:pStyle w:val="Bullet1G"/>
        <w:numPr>
          <w:ilvl w:val="0"/>
          <w:numId w:val="17"/>
        </w:numPr>
        <w:rPr>
          <w:lang w:val="fr-FR"/>
        </w:rPr>
      </w:pPr>
      <w:r>
        <w:rPr>
          <w:lang w:val="fr-FR"/>
        </w:rPr>
        <w:t>A</w:t>
      </w:r>
      <w:r w:rsidRPr="001B335E">
        <w:rPr>
          <w:lang w:val="fr-FR"/>
        </w:rPr>
        <w:t>u paragraphe 3</w:t>
      </w:r>
      <w:r w:rsidR="009E181B" w:rsidRPr="009E181B">
        <w:rPr>
          <w:lang w:val="fr-FR"/>
        </w:rPr>
        <w:t>.</w:t>
      </w:r>
      <w:r w:rsidRPr="001B335E">
        <w:rPr>
          <w:lang w:val="fr-FR"/>
        </w:rPr>
        <w:t>4</w:t>
      </w:r>
      <w:r w:rsidR="009E181B" w:rsidRPr="009E181B">
        <w:rPr>
          <w:lang w:val="fr-FR"/>
        </w:rPr>
        <w:t>.</w:t>
      </w:r>
      <w:r w:rsidRPr="001B335E">
        <w:rPr>
          <w:lang w:val="fr-FR"/>
        </w:rPr>
        <w:t>2</w:t>
      </w:r>
      <w:r w:rsidR="009E181B" w:rsidRPr="009E181B">
        <w:rPr>
          <w:lang w:val="fr-FR"/>
        </w:rPr>
        <w:t>.</w:t>
      </w:r>
      <w:r w:rsidRPr="001B335E">
        <w:rPr>
          <w:lang w:val="fr-FR"/>
        </w:rPr>
        <w:t>2</w:t>
      </w:r>
      <w:r w:rsidR="009E181B" w:rsidRPr="009E181B">
        <w:rPr>
          <w:lang w:val="fr-FR"/>
        </w:rPr>
        <w:t>.</w:t>
      </w:r>
      <w:r w:rsidRPr="001B335E">
        <w:rPr>
          <w:lang w:val="fr-FR"/>
        </w:rPr>
        <w:t>3</w:t>
      </w:r>
      <w:r w:rsidR="009E181B" w:rsidRPr="009E181B">
        <w:rPr>
          <w:lang w:val="fr-FR"/>
        </w:rPr>
        <w:t>.</w:t>
      </w:r>
      <w:r w:rsidRPr="001B335E">
        <w:rPr>
          <w:lang w:val="fr-FR"/>
        </w:rPr>
        <w:t>3 (lequel renvoie actuellement au tableau 3</w:t>
      </w:r>
      <w:r w:rsidR="009E181B" w:rsidRPr="009E181B">
        <w:rPr>
          <w:lang w:val="fr-FR"/>
        </w:rPr>
        <w:t>.</w:t>
      </w:r>
      <w:r w:rsidRPr="001B335E">
        <w:rPr>
          <w:lang w:val="fr-FR"/>
        </w:rPr>
        <w:t>4</w:t>
      </w:r>
      <w:r w:rsidR="009E181B" w:rsidRPr="009E181B">
        <w:rPr>
          <w:lang w:val="fr-FR"/>
        </w:rPr>
        <w:t>.</w:t>
      </w:r>
      <w:r w:rsidRPr="001B335E">
        <w:rPr>
          <w:lang w:val="fr-FR"/>
        </w:rPr>
        <w:t>4) ;</w:t>
      </w:r>
    </w:p>
    <w:p w14:paraId="47BEE1C7" w14:textId="24FE81B0" w:rsidR="00B07435" w:rsidRPr="001B335E" w:rsidRDefault="00B07435" w:rsidP="00B07435">
      <w:pPr>
        <w:pStyle w:val="Bullet1G"/>
        <w:numPr>
          <w:ilvl w:val="0"/>
          <w:numId w:val="17"/>
        </w:numPr>
        <w:rPr>
          <w:lang w:val="fr-FR"/>
        </w:rPr>
      </w:pPr>
      <w:r>
        <w:rPr>
          <w:lang w:val="fr-FR"/>
        </w:rPr>
        <w:t>A</w:t>
      </w:r>
      <w:r w:rsidRPr="001B335E">
        <w:rPr>
          <w:lang w:val="fr-FR"/>
        </w:rPr>
        <w:t>u paragraphe 3</w:t>
      </w:r>
      <w:r w:rsidR="009E181B" w:rsidRPr="009E181B">
        <w:rPr>
          <w:lang w:val="fr-FR"/>
        </w:rPr>
        <w:t>.</w:t>
      </w:r>
      <w:r w:rsidRPr="001B335E">
        <w:rPr>
          <w:lang w:val="fr-FR"/>
        </w:rPr>
        <w:t>4</w:t>
      </w:r>
      <w:r w:rsidR="009E181B" w:rsidRPr="009E181B">
        <w:rPr>
          <w:lang w:val="fr-FR"/>
        </w:rPr>
        <w:t>.</w:t>
      </w:r>
      <w:r w:rsidRPr="001B335E">
        <w:rPr>
          <w:lang w:val="fr-FR"/>
        </w:rPr>
        <w:t>3</w:t>
      </w:r>
      <w:r w:rsidR="009E181B" w:rsidRPr="009E181B">
        <w:rPr>
          <w:lang w:val="fr-FR"/>
        </w:rPr>
        <w:t>.</w:t>
      </w:r>
      <w:r w:rsidRPr="001B335E">
        <w:rPr>
          <w:lang w:val="fr-FR"/>
        </w:rPr>
        <w:t>1 (lequel renvoie actuellement au tableau 3</w:t>
      </w:r>
      <w:r w:rsidR="009E181B" w:rsidRPr="009E181B">
        <w:rPr>
          <w:lang w:val="fr-FR"/>
        </w:rPr>
        <w:t>.</w:t>
      </w:r>
      <w:r w:rsidRPr="001B335E">
        <w:rPr>
          <w:lang w:val="fr-FR"/>
        </w:rPr>
        <w:t>4</w:t>
      </w:r>
      <w:r w:rsidR="009E181B" w:rsidRPr="009E181B">
        <w:rPr>
          <w:lang w:val="fr-FR"/>
        </w:rPr>
        <w:t>.</w:t>
      </w:r>
      <w:r w:rsidRPr="001B335E">
        <w:rPr>
          <w:lang w:val="fr-FR"/>
        </w:rPr>
        <w:t>5) ;</w:t>
      </w:r>
    </w:p>
    <w:p w14:paraId="00E85C19" w14:textId="5648CA33" w:rsidR="00B07435" w:rsidRPr="001B335E" w:rsidRDefault="00B07435" w:rsidP="00B07435">
      <w:pPr>
        <w:pStyle w:val="Bullet1G"/>
        <w:numPr>
          <w:ilvl w:val="0"/>
          <w:numId w:val="17"/>
        </w:numPr>
        <w:rPr>
          <w:lang w:val="fr-FR"/>
        </w:rPr>
      </w:pPr>
      <w:r>
        <w:rPr>
          <w:lang w:val="fr-FR"/>
        </w:rPr>
        <w:t>À</w:t>
      </w:r>
      <w:r w:rsidRPr="001B335E">
        <w:rPr>
          <w:lang w:val="fr-FR"/>
        </w:rPr>
        <w:t xml:space="preserve"> la section 3</w:t>
      </w:r>
      <w:r w:rsidR="009E181B" w:rsidRPr="009E181B">
        <w:rPr>
          <w:lang w:val="fr-FR"/>
        </w:rPr>
        <w:t>.</w:t>
      </w:r>
      <w:r w:rsidRPr="001B335E">
        <w:rPr>
          <w:lang w:val="fr-FR"/>
        </w:rPr>
        <w:t>4</w:t>
      </w:r>
      <w:r w:rsidR="009E181B" w:rsidRPr="009E181B">
        <w:rPr>
          <w:lang w:val="fr-FR"/>
        </w:rPr>
        <w:t>.</w:t>
      </w:r>
      <w:r w:rsidRPr="001B335E">
        <w:rPr>
          <w:lang w:val="fr-FR"/>
        </w:rPr>
        <w:t>3</w:t>
      </w:r>
      <w:r w:rsidR="009E181B" w:rsidRPr="009E181B">
        <w:rPr>
          <w:lang w:val="fr-FR"/>
        </w:rPr>
        <w:t>.</w:t>
      </w:r>
      <w:r w:rsidRPr="001B335E">
        <w:rPr>
          <w:lang w:val="fr-FR"/>
        </w:rPr>
        <w:t>3 (laquelle renvoie actuellement au tableau 3</w:t>
      </w:r>
      <w:r w:rsidR="009E181B" w:rsidRPr="009E181B">
        <w:rPr>
          <w:lang w:val="fr-FR"/>
        </w:rPr>
        <w:t>.</w:t>
      </w:r>
      <w:r w:rsidRPr="001B335E">
        <w:rPr>
          <w:lang w:val="fr-FR"/>
        </w:rPr>
        <w:t>4</w:t>
      </w:r>
      <w:r w:rsidR="009E181B" w:rsidRPr="009E181B">
        <w:rPr>
          <w:lang w:val="fr-FR"/>
        </w:rPr>
        <w:t>.</w:t>
      </w:r>
      <w:r w:rsidRPr="001B335E">
        <w:rPr>
          <w:lang w:val="fr-FR"/>
        </w:rPr>
        <w:t>5) ;</w:t>
      </w:r>
      <w:bookmarkStart w:id="4" w:name="_Hlk112318709"/>
      <w:bookmarkEnd w:id="4"/>
    </w:p>
    <w:p w14:paraId="6D21E586" w14:textId="641227AE" w:rsidR="00B07435" w:rsidRPr="001B335E" w:rsidRDefault="00B07435" w:rsidP="00B07435">
      <w:pPr>
        <w:pStyle w:val="Bullet1G"/>
        <w:numPr>
          <w:ilvl w:val="0"/>
          <w:numId w:val="17"/>
        </w:numPr>
        <w:rPr>
          <w:lang w:val="fr-FR"/>
        </w:rPr>
      </w:pPr>
      <w:r>
        <w:rPr>
          <w:lang w:val="fr-FR"/>
        </w:rPr>
        <w:t>A</w:t>
      </w:r>
      <w:r w:rsidRPr="001B335E">
        <w:rPr>
          <w:lang w:val="fr-FR"/>
        </w:rPr>
        <w:t>u paragraphe 3</w:t>
      </w:r>
      <w:r w:rsidR="009E181B" w:rsidRPr="009E181B">
        <w:rPr>
          <w:lang w:val="fr-FR"/>
        </w:rPr>
        <w:t>.</w:t>
      </w:r>
      <w:r w:rsidRPr="001B335E">
        <w:rPr>
          <w:lang w:val="fr-FR"/>
        </w:rPr>
        <w:t>4</w:t>
      </w:r>
      <w:r w:rsidR="009E181B" w:rsidRPr="009E181B">
        <w:rPr>
          <w:lang w:val="fr-FR"/>
        </w:rPr>
        <w:t>.</w:t>
      </w:r>
      <w:r w:rsidRPr="001B335E">
        <w:rPr>
          <w:lang w:val="fr-FR"/>
        </w:rPr>
        <w:t>4</w:t>
      </w:r>
      <w:r w:rsidR="009E181B" w:rsidRPr="009E181B">
        <w:rPr>
          <w:lang w:val="fr-FR"/>
        </w:rPr>
        <w:t>.</w:t>
      </w:r>
      <w:r w:rsidRPr="001B335E">
        <w:rPr>
          <w:lang w:val="fr-FR"/>
        </w:rPr>
        <w:t>1 (lequel renvoie actuellement au tableau 3</w:t>
      </w:r>
      <w:r w:rsidR="009E181B" w:rsidRPr="009E181B">
        <w:rPr>
          <w:lang w:val="fr-FR"/>
        </w:rPr>
        <w:t>.</w:t>
      </w:r>
      <w:r w:rsidRPr="001B335E">
        <w:rPr>
          <w:lang w:val="fr-FR"/>
        </w:rPr>
        <w:t>4</w:t>
      </w:r>
      <w:r w:rsidR="009E181B" w:rsidRPr="009E181B">
        <w:rPr>
          <w:lang w:val="fr-FR"/>
        </w:rPr>
        <w:t>.</w:t>
      </w:r>
      <w:r w:rsidRPr="001B335E">
        <w:rPr>
          <w:lang w:val="fr-FR"/>
        </w:rPr>
        <w:t>5) ;</w:t>
      </w:r>
    </w:p>
    <w:p w14:paraId="486F3998" w14:textId="482C2F4A" w:rsidR="00B07435" w:rsidRPr="001B335E" w:rsidRDefault="00B07435" w:rsidP="00B07435">
      <w:pPr>
        <w:pStyle w:val="Bullet1G"/>
        <w:numPr>
          <w:ilvl w:val="0"/>
          <w:numId w:val="17"/>
        </w:numPr>
        <w:rPr>
          <w:lang w:val="fr-FR"/>
        </w:rPr>
      </w:pPr>
      <w:r>
        <w:rPr>
          <w:lang w:val="fr-FR"/>
        </w:rPr>
        <w:t>A</w:t>
      </w:r>
      <w:r w:rsidRPr="001B335E">
        <w:rPr>
          <w:lang w:val="fr-FR"/>
        </w:rPr>
        <w:t>u paragraphe 3</w:t>
      </w:r>
      <w:r w:rsidR="009E181B" w:rsidRPr="009E181B">
        <w:rPr>
          <w:lang w:val="fr-FR"/>
        </w:rPr>
        <w:t>.</w:t>
      </w:r>
      <w:r w:rsidRPr="001B335E">
        <w:rPr>
          <w:lang w:val="fr-FR"/>
        </w:rPr>
        <w:t>4</w:t>
      </w:r>
      <w:r w:rsidR="009E181B" w:rsidRPr="009E181B">
        <w:rPr>
          <w:lang w:val="fr-FR"/>
        </w:rPr>
        <w:t>.</w:t>
      </w:r>
      <w:r w:rsidRPr="001B335E">
        <w:rPr>
          <w:lang w:val="fr-FR"/>
        </w:rPr>
        <w:t>4</w:t>
      </w:r>
      <w:r w:rsidR="009E181B" w:rsidRPr="009E181B">
        <w:rPr>
          <w:lang w:val="fr-FR"/>
        </w:rPr>
        <w:t>.</w:t>
      </w:r>
      <w:r w:rsidRPr="001B335E">
        <w:rPr>
          <w:lang w:val="fr-FR"/>
        </w:rPr>
        <w:t>2 (lequel renvoie actuellement au tableau 3</w:t>
      </w:r>
      <w:r w:rsidR="009E181B" w:rsidRPr="009E181B">
        <w:rPr>
          <w:lang w:val="fr-FR"/>
        </w:rPr>
        <w:t>.</w:t>
      </w:r>
      <w:r w:rsidRPr="001B335E">
        <w:rPr>
          <w:lang w:val="fr-FR"/>
        </w:rPr>
        <w:t>4</w:t>
      </w:r>
      <w:r w:rsidR="009E181B" w:rsidRPr="009E181B">
        <w:rPr>
          <w:lang w:val="fr-FR"/>
        </w:rPr>
        <w:t>.</w:t>
      </w:r>
      <w:r w:rsidRPr="001B335E">
        <w:rPr>
          <w:lang w:val="fr-FR"/>
        </w:rPr>
        <w:t>5) ;</w:t>
      </w:r>
    </w:p>
    <w:p w14:paraId="6E016198" w14:textId="09546179" w:rsidR="00B07435" w:rsidRPr="001B335E" w:rsidRDefault="00B07435" w:rsidP="00B07435">
      <w:pPr>
        <w:pStyle w:val="Bullet1G"/>
        <w:numPr>
          <w:ilvl w:val="0"/>
          <w:numId w:val="17"/>
        </w:numPr>
        <w:rPr>
          <w:lang w:val="fr-FR"/>
        </w:rPr>
      </w:pPr>
      <w:r>
        <w:rPr>
          <w:lang w:val="fr-FR"/>
        </w:rPr>
        <w:t>D</w:t>
      </w:r>
      <w:r w:rsidRPr="001B335E">
        <w:rPr>
          <w:lang w:val="fr-FR"/>
        </w:rPr>
        <w:t>ans les diagrammes de décision 3</w:t>
      </w:r>
      <w:r w:rsidR="009E181B" w:rsidRPr="009E181B">
        <w:rPr>
          <w:lang w:val="fr-FR"/>
        </w:rPr>
        <w:t>.</w:t>
      </w:r>
      <w:r w:rsidRPr="001B335E">
        <w:rPr>
          <w:lang w:val="fr-FR"/>
        </w:rPr>
        <w:t>4</w:t>
      </w:r>
      <w:r w:rsidR="009E181B" w:rsidRPr="009E181B">
        <w:rPr>
          <w:lang w:val="fr-FR"/>
        </w:rPr>
        <w:t>.</w:t>
      </w:r>
      <w:r w:rsidRPr="001B335E">
        <w:rPr>
          <w:lang w:val="fr-FR"/>
        </w:rPr>
        <w:t>1 et 3</w:t>
      </w:r>
      <w:r w:rsidR="009E181B" w:rsidRPr="009E181B">
        <w:rPr>
          <w:lang w:val="fr-FR"/>
        </w:rPr>
        <w:t>.</w:t>
      </w:r>
      <w:r w:rsidRPr="001B335E">
        <w:rPr>
          <w:lang w:val="fr-FR"/>
        </w:rPr>
        <w:t>4</w:t>
      </w:r>
      <w:r w:rsidR="009E181B" w:rsidRPr="009E181B">
        <w:rPr>
          <w:lang w:val="fr-FR"/>
        </w:rPr>
        <w:t>.</w:t>
      </w:r>
      <w:r w:rsidRPr="001B335E">
        <w:rPr>
          <w:lang w:val="fr-FR"/>
        </w:rPr>
        <w:t>2 (lesquels renvoient actuellement au tableau 3</w:t>
      </w:r>
      <w:r w:rsidR="009E181B" w:rsidRPr="009E181B">
        <w:rPr>
          <w:lang w:val="fr-FR"/>
        </w:rPr>
        <w:t>.</w:t>
      </w:r>
      <w:r w:rsidRPr="001B335E">
        <w:rPr>
          <w:lang w:val="fr-FR"/>
        </w:rPr>
        <w:t>4</w:t>
      </w:r>
      <w:r w:rsidR="009E181B" w:rsidRPr="009E181B">
        <w:rPr>
          <w:lang w:val="fr-FR"/>
        </w:rPr>
        <w:t>.</w:t>
      </w:r>
      <w:r w:rsidRPr="001B335E">
        <w:rPr>
          <w:lang w:val="fr-FR"/>
        </w:rPr>
        <w:t>5)</w:t>
      </w:r>
      <w:r w:rsidR="009E181B" w:rsidRPr="009E181B">
        <w:rPr>
          <w:lang w:val="fr-FR"/>
        </w:rPr>
        <w:t>.</w:t>
      </w:r>
    </w:p>
    <w:p w14:paraId="4609FB34" w14:textId="06C91E21" w:rsidR="00B07435" w:rsidRPr="001B335E" w:rsidRDefault="00B07435" w:rsidP="00B07435">
      <w:pPr>
        <w:pStyle w:val="SingleTxtG"/>
        <w:rPr>
          <w:lang w:val="fr-FR"/>
        </w:rPr>
      </w:pPr>
      <w:r w:rsidRPr="001B335E">
        <w:rPr>
          <w:lang w:val="fr-FR"/>
        </w:rPr>
        <w:t>14</w:t>
      </w:r>
      <w:r w:rsidR="009E181B" w:rsidRPr="009E181B">
        <w:rPr>
          <w:lang w:val="fr-FR"/>
        </w:rPr>
        <w:t>.</w:t>
      </w:r>
      <w:r w:rsidRPr="001B335E">
        <w:rPr>
          <w:lang w:val="fr-FR"/>
        </w:rPr>
        <w:tab/>
        <w:t>En ce qui concerne les tableaux relatifs aux résultats des essais sur l</w:t>
      </w:r>
      <w:r>
        <w:rPr>
          <w:lang w:val="fr-FR"/>
        </w:rPr>
        <w:t>’</w:t>
      </w:r>
      <w:r w:rsidRPr="001B335E">
        <w:rPr>
          <w:lang w:val="fr-FR"/>
        </w:rPr>
        <w:t>animal pour les sous-catégories 1A et 1B, il est proposé d</w:t>
      </w:r>
      <w:r>
        <w:rPr>
          <w:lang w:val="fr-FR"/>
        </w:rPr>
        <w:t>’</w:t>
      </w:r>
      <w:r w:rsidRPr="001B335E">
        <w:rPr>
          <w:lang w:val="fr-FR"/>
        </w:rPr>
        <w:t>ajouter de nouveaux critères correspondant à la méthode BrdU-ELISA, comme suit :</w:t>
      </w:r>
    </w:p>
    <w:p w14:paraId="07F6E4D1" w14:textId="77777777" w:rsidR="00B07435" w:rsidRPr="001B335E" w:rsidRDefault="00B07435" w:rsidP="00B07435">
      <w:pPr>
        <w:pStyle w:val="Bullet1G"/>
        <w:numPr>
          <w:ilvl w:val="0"/>
          <w:numId w:val="17"/>
        </w:numPr>
        <w:rPr>
          <w:lang w:val="fr-FR"/>
        </w:rPr>
      </w:pPr>
      <w:r w:rsidRPr="001B335E">
        <w:rPr>
          <w:lang w:val="fr-FR"/>
        </w:rPr>
        <w:t>Résultats des essais sur l</w:t>
      </w:r>
      <w:r>
        <w:rPr>
          <w:lang w:val="fr-FR"/>
        </w:rPr>
        <w:t>’</w:t>
      </w:r>
      <w:r w:rsidRPr="001B335E">
        <w:rPr>
          <w:lang w:val="fr-FR"/>
        </w:rPr>
        <w:t>animal pour la sous-catégorie 1A :</w:t>
      </w:r>
    </w:p>
    <w:tbl>
      <w:tblPr>
        <w:tblW w:w="7370" w:type="dxa"/>
        <w:jc w:val="center"/>
        <w:tblLayout w:type="fixed"/>
        <w:tblCellMar>
          <w:left w:w="0" w:type="dxa"/>
          <w:right w:w="0" w:type="dxa"/>
        </w:tblCellMar>
        <w:tblLook w:val="0000" w:firstRow="0" w:lastRow="0" w:firstColumn="0" w:lastColumn="0" w:noHBand="0" w:noVBand="0"/>
      </w:tblPr>
      <w:tblGrid>
        <w:gridCol w:w="3823"/>
        <w:gridCol w:w="3547"/>
      </w:tblGrid>
      <w:tr w:rsidR="00B07435" w:rsidRPr="001B335E" w14:paraId="0A81E47D" w14:textId="77777777" w:rsidTr="00012DF1">
        <w:trPr>
          <w:jc w:val="center"/>
        </w:trPr>
        <w:tc>
          <w:tcPr>
            <w:tcW w:w="3823" w:type="dxa"/>
            <w:tcBorders>
              <w:top w:val="single" w:sz="4" w:space="0" w:color="000000"/>
              <w:left w:val="single" w:sz="4" w:space="0" w:color="000000"/>
              <w:bottom w:val="single" w:sz="4" w:space="0" w:color="000000"/>
              <w:right w:val="single" w:sz="4" w:space="0" w:color="000000"/>
            </w:tcBorders>
            <w:vAlign w:val="center"/>
          </w:tcPr>
          <w:p w14:paraId="25B4E11F" w14:textId="77777777" w:rsidR="00B07435" w:rsidRPr="001B335E" w:rsidRDefault="00B07435" w:rsidP="00B07435">
            <w:pPr>
              <w:spacing w:before="60" w:after="60" w:line="220" w:lineRule="atLeast"/>
              <w:ind w:left="57" w:right="57"/>
              <w:jc w:val="center"/>
              <w:rPr>
                <w:color w:val="000000" w:themeColor="text1"/>
                <w:sz w:val="19"/>
                <w:lang w:val="fr-FR"/>
              </w:rPr>
            </w:pPr>
            <w:r w:rsidRPr="001B335E">
              <w:rPr>
                <w:lang w:val="fr-FR"/>
              </w:rPr>
              <w:t>Essai</w:t>
            </w:r>
          </w:p>
        </w:tc>
        <w:tc>
          <w:tcPr>
            <w:tcW w:w="3547" w:type="dxa"/>
            <w:tcBorders>
              <w:top w:val="single" w:sz="4" w:space="0" w:color="000000"/>
              <w:left w:val="single" w:sz="4" w:space="0" w:color="000000"/>
              <w:bottom w:val="single" w:sz="4" w:space="0" w:color="000000"/>
              <w:right w:val="single" w:sz="4" w:space="0" w:color="000000"/>
            </w:tcBorders>
            <w:vAlign w:val="center"/>
          </w:tcPr>
          <w:p w14:paraId="272D28C5" w14:textId="77777777" w:rsidR="00B07435" w:rsidRPr="001B335E" w:rsidRDefault="00B07435" w:rsidP="00B07435">
            <w:pPr>
              <w:spacing w:before="60" w:after="60" w:line="220" w:lineRule="atLeast"/>
              <w:ind w:left="57" w:right="57"/>
              <w:jc w:val="center"/>
              <w:rPr>
                <w:color w:val="000000" w:themeColor="text1"/>
                <w:sz w:val="19"/>
                <w:lang w:val="fr-FR"/>
              </w:rPr>
            </w:pPr>
            <w:r w:rsidRPr="001B335E">
              <w:rPr>
                <w:lang w:val="fr-FR"/>
              </w:rPr>
              <w:t>Critères</w:t>
            </w:r>
          </w:p>
        </w:tc>
      </w:tr>
      <w:tr w:rsidR="00B07435" w:rsidRPr="001B335E" w14:paraId="2197C8BA" w14:textId="77777777" w:rsidTr="00012DF1">
        <w:trPr>
          <w:jc w:val="center"/>
        </w:trPr>
        <w:tc>
          <w:tcPr>
            <w:tcW w:w="3823" w:type="dxa"/>
            <w:tcBorders>
              <w:top w:val="single" w:sz="4" w:space="0" w:color="000000"/>
              <w:left w:val="single" w:sz="4" w:space="0" w:color="000000"/>
              <w:bottom w:val="single" w:sz="4" w:space="0" w:color="000000"/>
              <w:right w:val="single" w:sz="4" w:space="0" w:color="000000"/>
            </w:tcBorders>
          </w:tcPr>
          <w:p w14:paraId="3427377F" w14:textId="77777777" w:rsidR="00B07435" w:rsidRPr="001B335E" w:rsidRDefault="00B07435" w:rsidP="00B07435">
            <w:pPr>
              <w:spacing w:before="60" w:after="60" w:line="220" w:lineRule="atLeast"/>
              <w:ind w:left="57" w:right="57"/>
              <w:rPr>
                <w:b/>
                <w:bCs/>
                <w:color w:val="000000" w:themeColor="text1"/>
                <w:sz w:val="19"/>
                <w:u w:val="single"/>
                <w:lang w:val="fr-FR"/>
              </w:rPr>
            </w:pPr>
            <w:r w:rsidRPr="001B335E">
              <w:rPr>
                <w:b/>
                <w:bCs/>
                <w:u w:val="single"/>
                <w:lang w:val="fr-FR"/>
              </w:rPr>
              <w:t>Essai de stimulation locale des ganglions lymphatiques, méthode BrdU-ELISA</w:t>
            </w:r>
          </w:p>
        </w:tc>
        <w:tc>
          <w:tcPr>
            <w:tcW w:w="3547" w:type="dxa"/>
            <w:tcBorders>
              <w:top w:val="single" w:sz="4" w:space="0" w:color="000000"/>
              <w:left w:val="single" w:sz="4" w:space="0" w:color="000000"/>
              <w:bottom w:val="single" w:sz="4" w:space="0" w:color="000000"/>
              <w:right w:val="single" w:sz="4" w:space="0" w:color="000000"/>
            </w:tcBorders>
          </w:tcPr>
          <w:p w14:paraId="5F88E3CB" w14:textId="77777777" w:rsidR="00B07435" w:rsidRPr="001B335E" w:rsidRDefault="00B07435" w:rsidP="00B07435">
            <w:pPr>
              <w:spacing w:before="60" w:after="60" w:line="220" w:lineRule="atLeast"/>
              <w:ind w:left="57" w:right="57"/>
              <w:rPr>
                <w:b/>
                <w:bCs/>
                <w:color w:val="000000" w:themeColor="text1"/>
                <w:spacing w:val="-8"/>
                <w:sz w:val="19"/>
                <w:u w:val="single"/>
                <w:lang w:val="fr-FR"/>
              </w:rPr>
            </w:pPr>
            <w:r w:rsidRPr="001B335E">
              <w:rPr>
                <w:b/>
                <w:bCs/>
                <w:u w:val="single"/>
                <w:lang w:val="fr-FR"/>
              </w:rPr>
              <w:t>Valeur CE1,6 ≤ 6 %</w:t>
            </w:r>
          </w:p>
        </w:tc>
      </w:tr>
    </w:tbl>
    <w:p w14:paraId="56FC4336" w14:textId="77777777" w:rsidR="00B07435" w:rsidRPr="001B335E" w:rsidRDefault="00B07435" w:rsidP="00B07435">
      <w:pPr>
        <w:pStyle w:val="Bullet1G"/>
        <w:keepNext/>
        <w:keepLines/>
        <w:numPr>
          <w:ilvl w:val="0"/>
          <w:numId w:val="17"/>
        </w:numPr>
        <w:spacing w:before="240"/>
        <w:rPr>
          <w:lang w:val="fr-FR"/>
        </w:rPr>
      </w:pPr>
      <w:r w:rsidRPr="001B335E">
        <w:rPr>
          <w:lang w:val="fr-FR"/>
        </w:rPr>
        <w:t>Résultats des essais sur l</w:t>
      </w:r>
      <w:r>
        <w:rPr>
          <w:lang w:val="fr-FR"/>
        </w:rPr>
        <w:t>’</w:t>
      </w:r>
      <w:r w:rsidRPr="001B335E">
        <w:rPr>
          <w:lang w:val="fr-FR"/>
        </w:rPr>
        <w:t>animal pour la sous-catégorie 1B :</w:t>
      </w:r>
    </w:p>
    <w:tbl>
      <w:tblPr>
        <w:tblW w:w="7370" w:type="dxa"/>
        <w:jc w:val="center"/>
        <w:tblLayout w:type="fixed"/>
        <w:tblCellMar>
          <w:left w:w="0" w:type="dxa"/>
          <w:right w:w="0" w:type="dxa"/>
        </w:tblCellMar>
        <w:tblLook w:val="0000" w:firstRow="0" w:lastRow="0" w:firstColumn="0" w:lastColumn="0" w:noHBand="0" w:noVBand="0"/>
      </w:tblPr>
      <w:tblGrid>
        <w:gridCol w:w="3831"/>
        <w:gridCol w:w="3539"/>
      </w:tblGrid>
      <w:tr w:rsidR="00B07435" w:rsidRPr="001B335E" w14:paraId="399DE8F0" w14:textId="77777777" w:rsidTr="00012DF1">
        <w:trPr>
          <w:jc w:val="center"/>
        </w:trPr>
        <w:tc>
          <w:tcPr>
            <w:tcW w:w="3831" w:type="dxa"/>
            <w:tcBorders>
              <w:top w:val="single" w:sz="4" w:space="0" w:color="000000"/>
              <w:left w:val="single" w:sz="4" w:space="0" w:color="000000"/>
              <w:bottom w:val="single" w:sz="4" w:space="0" w:color="000000"/>
              <w:right w:val="single" w:sz="4" w:space="0" w:color="000000"/>
            </w:tcBorders>
            <w:vAlign w:val="center"/>
          </w:tcPr>
          <w:p w14:paraId="26AB5EF0" w14:textId="77777777" w:rsidR="00B07435" w:rsidRPr="001B335E" w:rsidRDefault="00B07435" w:rsidP="00B07435">
            <w:pPr>
              <w:spacing w:before="60" w:after="60" w:line="220" w:lineRule="atLeast"/>
              <w:ind w:left="57" w:right="57"/>
              <w:jc w:val="center"/>
              <w:rPr>
                <w:color w:val="000000" w:themeColor="text1"/>
                <w:sz w:val="19"/>
                <w:lang w:val="fr-FR"/>
              </w:rPr>
            </w:pPr>
            <w:r w:rsidRPr="001B335E">
              <w:rPr>
                <w:lang w:val="fr-FR"/>
              </w:rPr>
              <w:t>Essai</w:t>
            </w:r>
          </w:p>
        </w:tc>
        <w:tc>
          <w:tcPr>
            <w:tcW w:w="3539" w:type="dxa"/>
            <w:tcBorders>
              <w:top w:val="single" w:sz="4" w:space="0" w:color="000000"/>
              <w:left w:val="single" w:sz="4" w:space="0" w:color="000000"/>
              <w:bottom w:val="single" w:sz="4" w:space="0" w:color="000000"/>
              <w:right w:val="single" w:sz="4" w:space="0" w:color="000000"/>
            </w:tcBorders>
            <w:vAlign w:val="center"/>
          </w:tcPr>
          <w:p w14:paraId="1765DB61" w14:textId="77777777" w:rsidR="00B07435" w:rsidRPr="001B335E" w:rsidRDefault="00B07435" w:rsidP="00B07435">
            <w:pPr>
              <w:spacing w:before="60" w:after="60" w:line="220" w:lineRule="atLeast"/>
              <w:ind w:left="57" w:right="57"/>
              <w:jc w:val="center"/>
              <w:rPr>
                <w:color w:val="000000" w:themeColor="text1"/>
                <w:sz w:val="19"/>
                <w:lang w:val="fr-FR"/>
              </w:rPr>
            </w:pPr>
            <w:r w:rsidRPr="001B335E">
              <w:rPr>
                <w:lang w:val="fr-FR"/>
              </w:rPr>
              <w:t>Critères</w:t>
            </w:r>
          </w:p>
        </w:tc>
      </w:tr>
      <w:tr w:rsidR="00B07435" w:rsidRPr="001B335E" w14:paraId="3F805D54" w14:textId="77777777" w:rsidTr="00012DF1">
        <w:trPr>
          <w:jc w:val="center"/>
        </w:trPr>
        <w:tc>
          <w:tcPr>
            <w:tcW w:w="3831" w:type="dxa"/>
            <w:tcBorders>
              <w:top w:val="single" w:sz="4" w:space="0" w:color="000000"/>
              <w:left w:val="single" w:sz="4" w:space="0" w:color="000000"/>
              <w:bottom w:val="single" w:sz="4" w:space="0" w:color="000000"/>
              <w:right w:val="single" w:sz="4" w:space="0" w:color="000000"/>
            </w:tcBorders>
          </w:tcPr>
          <w:p w14:paraId="79FE0AB6" w14:textId="77777777" w:rsidR="00B07435" w:rsidRPr="001B335E" w:rsidRDefault="00B07435" w:rsidP="00B07435">
            <w:pPr>
              <w:spacing w:before="60" w:after="60" w:line="220" w:lineRule="atLeast"/>
              <w:ind w:left="57" w:right="57"/>
              <w:rPr>
                <w:b/>
                <w:bCs/>
                <w:color w:val="000000" w:themeColor="text1"/>
                <w:sz w:val="19"/>
                <w:u w:val="single"/>
                <w:lang w:val="fr-FR"/>
              </w:rPr>
            </w:pPr>
            <w:r w:rsidRPr="001B335E">
              <w:rPr>
                <w:b/>
                <w:bCs/>
                <w:u w:val="single"/>
                <w:lang w:val="fr-FR"/>
              </w:rPr>
              <w:t>Essai de stimulation locale des ganglions lymphatiques, méthode BrdU-ELISA</w:t>
            </w:r>
          </w:p>
        </w:tc>
        <w:tc>
          <w:tcPr>
            <w:tcW w:w="3539" w:type="dxa"/>
            <w:tcBorders>
              <w:top w:val="single" w:sz="4" w:space="0" w:color="000000"/>
              <w:left w:val="single" w:sz="4" w:space="0" w:color="000000"/>
              <w:bottom w:val="single" w:sz="4" w:space="0" w:color="000000"/>
              <w:right w:val="single" w:sz="4" w:space="0" w:color="000000"/>
            </w:tcBorders>
          </w:tcPr>
          <w:p w14:paraId="21EDEBEB" w14:textId="77777777" w:rsidR="00B07435" w:rsidRPr="001B335E" w:rsidRDefault="00B07435" w:rsidP="00B07435">
            <w:pPr>
              <w:spacing w:before="60" w:after="60" w:line="220" w:lineRule="atLeast"/>
              <w:ind w:left="57" w:right="57"/>
              <w:rPr>
                <w:b/>
                <w:bCs/>
                <w:color w:val="000000" w:themeColor="text1"/>
                <w:spacing w:val="-8"/>
                <w:sz w:val="19"/>
                <w:u w:val="single"/>
                <w:lang w:val="fr-FR"/>
              </w:rPr>
            </w:pPr>
            <w:r w:rsidRPr="001B335E">
              <w:rPr>
                <w:b/>
                <w:bCs/>
                <w:u w:val="single"/>
                <w:lang w:val="fr-FR"/>
              </w:rPr>
              <w:t>Valeur CE1,6 &gt; 6 %</w:t>
            </w:r>
          </w:p>
        </w:tc>
      </w:tr>
    </w:tbl>
    <w:p w14:paraId="3A8939E1" w14:textId="40A0FF91" w:rsidR="00B07435" w:rsidRPr="001B335E" w:rsidRDefault="00B07435" w:rsidP="00B07435">
      <w:pPr>
        <w:pStyle w:val="Bullet1G"/>
        <w:numPr>
          <w:ilvl w:val="0"/>
          <w:numId w:val="17"/>
        </w:numPr>
        <w:spacing w:before="240"/>
        <w:rPr>
          <w:lang w:val="fr-FR"/>
        </w:rPr>
      </w:pPr>
      <w:r w:rsidRPr="001B335E">
        <w:rPr>
          <w:lang w:val="fr-FR"/>
        </w:rPr>
        <w:t>En outre, il est proposé d</w:t>
      </w:r>
      <w:r>
        <w:rPr>
          <w:lang w:val="fr-FR"/>
        </w:rPr>
        <w:t>’</w:t>
      </w:r>
      <w:r w:rsidRPr="001B335E">
        <w:rPr>
          <w:lang w:val="fr-FR"/>
        </w:rPr>
        <w:t>ajouter, sous chacun de ces tableaux, un nota destiné à préciser qu</w:t>
      </w:r>
      <w:r>
        <w:rPr>
          <w:lang w:val="fr-FR"/>
        </w:rPr>
        <w:t>’</w:t>
      </w:r>
      <w:r w:rsidRPr="001B335E">
        <w:rPr>
          <w:lang w:val="fr-FR"/>
        </w:rPr>
        <w:t>il n</w:t>
      </w:r>
      <w:r>
        <w:rPr>
          <w:lang w:val="fr-FR"/>
        </w:rPr>
        <w:t>’</w:t>
      </w:r>
      <w:r w:rsidRPr="001B335E">
        <w:rPr>
          <w:lang w:val="fr-FR"/>
        </w:rPr>
        <w:t>existe actuellement aucun critère validé et accepté au niveau international permettant de classer des sensibilisants cutanés dans une sous-catégorie pour les méthodes d</w:t>
      </w:r>
      <w:r>
        <w:rPr>
          <w:lang w:val="fr-FR"/>
        </w:rPr>
        <w:t>’</w:t>
      </w:r>
      <w:r w:rsidRPr="001B335E">
        <w:rPr>
          <w:lang w:val="fr-FR"/>
        </w:rPr>
        <w:t>ELGL DA et BrdU-FCM, comme expliqué aux paragraphes 17 et 18, afin que l</w:t>
      </w:r>
      <w:r>
        <w:rPr>
          <w:lang w:val="fr-FR"/>
        </w:rPr>
        <w:t>’</w:t>
      </w:r>
      <w:r w:rsidRPr="001B335E">
        <w:rPr>
          <w:lang w:val="fr-FR"/>
        </w:rPr>
        <w:t>application de ces méthodes ne donne pas lieu à une sous</w:t>
      </w:r>
      <w:r w:rsidR="00AE340D">
        <w:rPr>
          <w:lang w:val="fr-FR"/>
        </w:rPr>
        <w:noBreakHyphen/>
      </w:r>
      <w:r w:rsidRPr="001B335E">
        <w:rPr>
          <w:lang w:val="fr-FR"/>
        </w:rPr>
        <w:t>catégorisation incorrecte</w:t>
      </w:r>
      <w:r w:rsidR="009E181B" w:rsidRPr="009E181B">
        <w:rPr>
          <w:lang w:val="fr-FR"/>
        </w:rPr>
        <w:t>.</w:t>
      </w:r>
    </w:p>
    <w:p w14:paraId="3D7E48D3" w14:textId="572AAA63" w:rsidR="00B07435" w:rsidRPr="001B335E" w:rsidRDefault="00012DF1" w:rsidP="00012DF1">
      <w:pPr>
        <w:pStyle w:val="HChG"/>
        <w:rPr>
          <w:color w:val="000000" w:themeColor="text1"/>
          <w:szCs w:val="28"/>
          <w:lang w:val="fr-FR"/>
        </w:rPr>
      </w:pPr>
      <w:r>
        <w:rPr>
          <w:lang w:val="fr-FR"/>
        </w:rPr>
        <w:tab/>
      </w:r>
      <w:r>
        <w:rPr>
          <w:lang w:val="fr-FR"/>
        </w:rPr>
        <w:tab/>
      </w:r>
      <w:r w:rsidR="00B07435" w:rsidRPr="001B335E">
        <w:rPr>
          <w:lang w:val="fr-FR"/>
        </w:rPr>
        <w:t>Modifications qu</w:t>
      </w:r>
      <w:r w:rsidR="00B07435">
        <w:rPr>
          <w:lang w:val="fr-FR"/>
        </w:rPr>
        <w:t>’</w:t>
      </w:r>
      <w:r w:rsidR="00B07435" w:rsidRPr="001B335E">
        <w:rPr>
          <w:lang w:val="fr-FR"/>
        </w:rPr>
        <w:t>il est proposé d</w:t>
      </w:r>
      <w:r w:rsidR="00B07435">
        <w:rPr>
          <w:lang w:val="fr-FR"/>
        </w:rPr>
        <w:t>’</w:t>
      </w:r>
      <w:r w:rsidR="00B07435" w:rsidRPr="001B335E">
        <w:rPr>
          <w:lang w:val="fr-FR"/>
        </w:rPr>
        <w:t>apporter à la section</w:t>
      </w:r>
      <w:r>
        <w:rPr>
          <w:lang w:val="fr-FR"/>
        </w:rPr>
        <w:t> </w:t>
      </w:r>
      <w:r w:rsidR="00B07435" w:rsidRPr="001B335E">
        <w:rPr>
          <w:lang w:val="fr-FR"/>
        </w:rPr>
        <w:t>3</w:t>
      </w:r>
      <w:r w:rsidR="009E181B" w:rsidRPr="009E181B">
        <w:rPr>
          <w:lang w:val="fr-FR"/>
        </w:rPr>
        <w:t>.</w:t>
      </w:r>
      <w:r w:rsidR="00B07435" w:rsidRPr="001B335E">
        <w:rPr>
          <w:lang w:val="fr-FR"/>
        </w:rPr>
        <w:t>4</w:t>
      </w:r>
      <w:r w:rsidR="009E181B" w:rsidRPr="009E181B">
        <w:rPr>
          <w:lang w:val="fr-FR"/>
        </w:rPr>
        <w:t>.</w:t>
      </w:r>
      <w:r w:rsidR="00B07435" w:rsidRPr="001B335E">
        <w:rPr>
          <w:lang w:val="fr-FR"/>
        </w:rPr>
        <w:t>2</w:t>
      </w:r>
      <w:r w:rsidR="009E181B" w:rsidRPr="009E181B">
        <w:rPr>
          <w:lang w:val="fr-FR"/>
        </w:rPr>
        <w:t>.</w:t>
      </w:r>
      <w:r w:rsidR="00B07435" w:rsidRPr="001B335E">
        <w:rPr>
          <w:lang w:val="fr-FR"/>
        </w:rPr>
        <w:t>2</w:t>
      </w:r>
      <w:r w:rsidR="009E181B" w:rsidRPr="009E181B">
        <w:rPr>
          <w:lang w:val="fr-FR"/>
        </w:rPr>
        <w:t>.</w:t>
      </w:r>
      <w:r w:rsidR="00B07435" w:rsidRPr="001B335E">
        <w:rPr>
          <w:lang w:val="fr-FR"/>
        </w:rPr>
        <w:t>3, intitulée « Études animales »</w:t>
      </w:r>
    </w:p>
    <w:p w14:paraId="30BCA98F" w14:textId="6C137AE7" w:rsidR="00B07435" w:rsidRPr="001B335E" w:rsidRDefault="00B07435" w:rsidP="00B07435">
      <w:pPr>
        <w:pStyle w:val="SingleTxtG"/>
        <w:rPr>
          <w:lang w:val="fr-FR"/>
        </w:rPr>
      </w:pPr>
      <w:r w:rsidRPr="001B335E">
        <w:rPr>
          <w:lang w:val="fr-FR"/>
        </w:rPr>
        <w:t>15</w:t>
      </w:r>
      <w:r w:rsidR="009E181B" w:rsidRPr="009E181B">
        <w:rPr>
          <w:lang w:val="fr-FR"/>
        </w:rPr>
        <w:t>.</w:t>
      </w:r>
      <w:r w:rsidRPr="001B335E">
        <w:rPr>
          <w:lang w:val="fr-FR"/>
        </w:rPr>
        <w:tab/>
        <w:t>Modifier le paragraphe 3</w:t>
      </w:r>
      <w:r w:rsidR="009E181B" w:rsidRPr="009E181B">
        <w:rPr>
          <w:lang w:val="fr-FR"/>
        </w:rPr>
        <w:t>.</w:t>
      </w:r>
      <w:r w:rsidRPr="001B335E">
        <w:rPr>
          <w:lang w:val="fr-FR"/>
        </w:rPr>
        <w:t>4</w:t>
      </w:r>
      <w:r w:rsidR="009E181B" w:rsidRPr="009E181B">
        <w:rPr>
          <w:lang w:val="fr-FR"/>
        </w:rPr>
        <w:t>.</w:t>
      </w:r>
      <w:r w:rsidRPr="001B335E">
        <w:rPr>
          <w:lang w:val="fr-FR"/>
        </w:rPr>
        <w:t>2</w:t>
      </w:r>
      <w:r w:rsidR="009E181B" w:rsidRPr="009E181B">
        <w:rPr>
          <w:lang w:val="fr-FR"/>
        </w:rPr>
        <w:t>.</w:t>
      </w:r>
      <w:r w:rsidRPr="001B335E">
        <w:rPr>
          <w:lang w:val="fr-FR"/>
        </w:rPr>
        <w:t>2</w:t>
      </w:r>
      <w:r w:rsidR="009E181B" w:rsidRPr="009E181B">
        <w:rPr>
          <w:lang w:val="fr-FR"/>
        </w:rPr>
        <w:t>.</w:t>
      </w:r>
      <w:r w:rsidRPr="001B335E">
        <w:rPr>
          <w:lang w:val="fr-FR"/>
        </w:rPr>
        <w:t>3</w:t>
      </w:r>
      <w:r w:rsidR="009E181B" w:rsidRPr="009E181B">
        <w:rPr>
          <w:lang w:val="fr-FR"/>
        </w:rPr>
        <w:t>.</w:t>
      </w:r>
      <w:r w:rsidRPr="001B335E">
        <w:rPr>
          <w:lang w:val="fr-FR"/>
        </w:rPr>
        <w:t>1 comme suit :</w:t>
      </w:r>
    </w:p>
    <w:p w14:paraId="50C1A3CC" w14:textId="6541B17D" w:rsidR="00B07435" w:rsidRPr="001B335E" w:rsidRDefault="00B07435" w:rsidP="00B07435">
      <w:pPr>
        <w:pStyle w:val="SingleTxtG"/>
        <w:ind w:left="1701"/>
        <w:rPr>
          <w:lang w:val="fr-FR"/>
        </w:rPr>
      </w:pPr>
      <w:r w:rsidRPr="001B335E">
        <w:rPr>
          <w:lang w:val="fr-FR"/>
        </w:rPr>
        <w:t>« 3</w:t>
      </w:r>
      <w:r w:rsidR="009E181B" w:rsidRPr="009E181B">
        <w:rPr>
          <w:lang w:val="fr-FR"/>
        </w:rPr>
        <w:t>.</w:t>
      </w:r>
      <w:r w:rsidRPr="001B335E">
        <w:rPr>
          <w:lang w:val="fr-FR"/>
        </w:rPr>
        <w:t>4</w:t>
      </w:r>
      <w:r w:rsidR="009E181B" w:rsidRPr="009E181B">
        <w:rPr>
          <w:lang w:val="fr-FR"/>
        </w:rPr>
        <w:t>.</w:t>
      </w:r>
      <w:r w:rsidRPr="001B335E">
        <w:rPr>
          <w:lang w:val="fr-FR"/>
        </w:rPr>
        <w:t>2</w:t>
      </w:r>
      <w:r w:rsidR="009E181B" w:rsidRPr="009E181B">
        <w:rPr>
          <w:lang w:val="fr-FR"/>
        </w:rPr>
        <w:t>.</w:t>
      </w:r>
      <w:r w:rsidRPr="001B335E">
        <w:rPr>
          <w:lang w:val="fr-FR"/>
        </w:rPr>
        <w:t>2</w:t>
      </w:r>
      <w:r w:rsidR="009E181B" w:rsidRPr="009E181B">
        <w:rPr>
          <w:lang w:val="fr-FR"/>
        </w:rPr>
        <w:t>.</w:t>
      </w:r>
      <w:r w:rsidRPr="001B335E">
        <w:rPr>
          <w:lang w:val="fr-FR"/>
        </w:rPr>
        <w:t>3</w:t>
      </w:r>
      <w:r w:rsidR="009E181B" w:rsidRPr="009E181B">
        <w:rPr>
          <w:lang w:val="fr-FR"/>
        </w:rPr>
        <w:t>.</w:t>
      </w:r>
      <w:r w:rsidRPr="001B335E">
        <w:rPr>
          <w:lang w:val="fr-FR"/>
        </w:rPr>
        <w:t xml:space="preserve">1 </w:t>
      </w:r>
      <w:r w:rsidRPr="001B335E">
        <w:rPr>
          <w:lang w:val="fr-FR"/>
        </w:rPr>
        <w:tab/>
        <w:t>Pour la catégorie 1, lorsqu</w:t>
      </w:r>
      <w:r>
        <w:rPr>
          <w:lang w:val="fr-FR"/>
        </w:rPr>
        <w:t>’</w:t>
      </w:r>
      <w:r w:rsidRPr="001B335E">
        <w:rPr>
          <w:lang w:val="fr-FR"/>
        </w:rPr>
        <w:t>on utilise une méthode d</w:t>
      </w:r>
      <w:r>
        <w:rPr>
          <w:lang w:val="fr-FR"/>
        </w:rPr>
        <w:t>’</w:t>
      </w:r>
      <w:r w:rsidRPr="001B335E">
        <w:rPr>
          <w:lang w:val="fr-FR"/>
        </w:rPr>
        <w:t>essai avec adjuvant pour la sensibilisation cutanée, le test est considéré comme positif si au moins 30 pour cent des animaux réagissent</w:t>
      </w:r>
      <w:r w:rsidR="009E181B" w:rsidRPr="009E181B">
        <w:rPr>
          <w:lang w:val="fr-FR"/>
        </w:rPr>
        <w:t>.</w:t>
      </w:r>
      <w:r w:rsidRPr="001B335E">
        <w:rPr>
          <w:lang w:val="fr-FR"/>
        </w:rPr>
        <w:t xml:space="preserve"> Avec une méthode d</w:t>
      </w:r>
      <w:r>
        <w:rPr>
          <w:lang w:val="fr-FR"/>
        </w:rPr>
        <w:t>’</w:t>
      </w:r>
      <w:r w:rsidRPr="001B335E">
        <w:rPr>
          <w:lang w:val="fr-FR"/>
        </w:rPr>
        <w:t>essai sur le cobaye sans adjuvant, le test est considéré comme positif si au moins 15 pour cent des animaux réagissent</w:t>
      </w:r>
      <w:r w:rsidR="009E181B" w:rsidRPr="009E181B">
        <w:rPr>
          <w:lang w:val="fr-FR"/>
        </w:rPr>
        <w:t>.</w:t>
      </w:r>
      <w:r w:rsidRPr="001B335E">
        <w:rPr>
          <w:lang w:val="fr-FR"/>
        </w:rPr>
        <w:t xml:space="preserve"> Pour la catégorie 1, un indice de stimulation de trois ou plus est considéré comme une réaction positive à l</w:t>
      </w:r>
      <w:r>
        <w:rPr>
          <w:lang w:val="fr-FR"/>
        </w:rPr>
        <w:t>’</w:t>
      </w:r>
      <w:r w:rsidRPr="001B335E">
        <w:rPr>
          <w:lang w:val="fr-FR"/>
        </w:rPr>
        <w:t xml:space="preserve">essai </w:t>
      </w:r>
      <w:proofErr w:type="spellStart"/>
      <w:r w:rsidRPr="001B335E">
        <w:rPr>
          <w:b/>
          <w:bCs/>
          <w:u w:val="single"/>
          <w:lang w:val="fr-FR"/>
        </w:rPr>
        <w:t>radioisotopique</w:t>
      </w:r>
      <w:proofErr w:type="spellEnd"/>
      <w:r w:rsidRPr="001B335E">
        <w:rPr>
          <w:b/>
          <w:bCs/>
          <w:u w:val="single"/>
          <w:lang w:val="fr-FR"/>
        </w:rPr>
        <w:t xml:space="preserve"> </w:t>
      </w:r>
      <w:r w:rsidRPr="001B335E">
        <w:rPr>
          <w:lang w:val="fr-FR"/>
        </w:rPr>
        <w:t xml:space="preserve">de stimulation locale des ganglions lymphatiques </w:t>
      </w:r>
      <w:r w:rsidRPr="001B335E">
        <w:rPr>
          <w:b/>
          <w:bCs/>
          <w:u w:val="single"/>
          <w:lang w:val="fr-FR"/>
        </w:rPr>
        <w:t>(ELGL)</w:t>
      </w:r>
      <w:r w:rsidR="009E181B" w:rsidRPr="009E181B">
        <w:rPr>
          <w:lang w:val="fr-FR"/>
        </w:rPr>
        <w:t>.</w:t>
      </w:r>
      <w:r w:rsidRPr="00AE340D">
        <w:rPr>
          <w:u w:val="single"/>
          <w:lang w:val="fr-FR"/>
        </w:rPr>
        <w:t xml:space="preserve"> </w:t>
      </w:r>
      <w:r w:rsidRPr="001B335E">
        <w:rPr>
          <w:b/>
          <w:bCs/>
          <w:u w:val="single"/>
          <w:lang w:val="fr-FR"/>
        </w:rPr>
        <w:t>Pour les variantes non radioactives de l</w:t>
      </w:r>
      <w:r>
        <w:rPr>
          <w:b/>
          <w:bCs/>
          <w:u w:val="single"/>
          <w:lang w:val="fr-FR"/>
        </w:rPr>
        <w:t>’</w:t>
      </w:r>
      <w:r w:rsidRPr="001B335E">
        <w:rPr>
          <w:b/>
          <w:bCs/>
          <w:u w:val="single"/>
          <w:lang w:val="fr-FR"/>
        </w:rPr>
        <w:t>ELGL, un indice de stimulation supérieur ou égal à 1,8 pour la méthode DA, à 1,6 pour la méthode BrdU-ELISA, et à 2,7 ou plus pour la méthode BrdU-FCM est considéré comme positif</w:t>
      </w:r>
      <w:r w:rsidR="009E181B" w:rsidRPr="009E181B">
        <w:rPr>
          <w:b/>
          <w:bCs/>
          <w:u w:val="single"/>
          <w:lang w:val="fr-FR"/>
        </w:rPr>
        <w:t>.</w:t>
      </w:r>
      <w:r w:rsidRPr="001B335E">
        <w:rPr>
          <w:lang w:val="fr-FR"/>
        </w:rPr>
        <w:t xml:space="preserve"> Les méthodes d</w:t>
      </w:r>
      <w:r>
        <w:rPr>
          <w:lang w:val="fr-FR"/>
        </w:rPr>
        <w:t>’</w:t>
      </w:r>
      <w:r w:rsidRPr="001B335E">
        <w:rPr>
          <w:lang w:val="fr-FR"/>
        </w:rPr>
        <w:t xml:space="preserve">essai de la sensibilisation cutanée sont décrites dans les lignes directrices </w:t>
      </w:r>
      <w:r w:rsidR="00AE340D" w:rsidRPr="00AE340D">
        <w:rPr>
          <w:rFonts w:eastAsia="MS Mincho"/>
          <w:lang w:val="fr-FR"/>
        </w:rPr>
        <w:t>n</w:t>
      </w:r>
      <w:r w:rsidR="00AE340D" w:rsidRPr="00AE340D">
        <w:rPr>
          <w:rFonts w:eastAsia="MS Mincho"/>
          <w:vertAlign w:val="superscript"/>
          <w:lang w:val="fr-FR"/>
        </w:rPr>
        <w:t>o</w:t>
      </w:r>
      <w:r w:rsidR="00AE340D">
        <w:rPr>
          <w:rFonts w:eastAsia="MS Mincho"/>
          <w:vertAlign w:val="superscript"/>
          <w:lang w:val="fr-FR"/>
        </w:rPr>
        <w:t>s</w:t>
      </w:r>
      <w:r w:rsidR="00AE340D">
        <w:rPr>
          <w:lang w:val="fr-FR"/>
        </w:rPr>
        <w:t> </w:t>
      </w:r>
      <w:r w:rsidRPr="001B335E">
        <w:rPr>
          <w:lang w:val="fr-FR"/>
        </w:rPr>
        <w:t xml:space="preserve">406 (essai de maximisation sur le cobaye et essai de </w:t>
      </w:r>
      <w:proofErr w:type="spellStart"/>
      <w:r w:rsidRPr="001B335E">
        <w:rPr>
          <w:lang w:val="fr-FR"/>
        </w:rPr>
        <w:t>Buehler</w:t>
      </w:r>
      <w:proofErr w:type="spellEnd"/>
      <w:r w:rsidRPr="001B335E">
        <w:rPr>
          <w:lang w:val="fr-FR"/>
        </w:rPr>
        <w:t xml:space="preserve"> sur le cobaye) et 429</w:t>
      </w:r>
      <w:r w:rsidRPr="001B335E">
        <w:rPr>
          <w:b/>
          <w:bCs/>
          <w:u w:val="single"/>
          <w:lang w:val="fr-FR"/>
        </w:rPr>
        <w:t>/442A/442B (essai de stimulation locale des ganglions lymphatiques)</w:t>
      </w:r>
      <w:r w:rsidRPr="001B335E">
        <w:rPr>
          <w:lang w:val="fr-FR"/>
        </w:rPr>
        <w:t xml:space="preserve"> de l</w:t>
      </w:r>
      <w:r>
        <w:rPr>
          <w:lang w:val="fr-FR"/>
        </w:rPr>
        <w:t>’</w:t>
      </w:r>
      <w:r w:rsidRPr="001B335E">
        <w:rPr>
          <w:lang w:val="fr-FR"/>
        </w:rPr>
        <w:t>OCDE</w:t>
      </w:r>
      <w:r w:rsidR="009E181B" w:rsidRPr="009E181B">
        <w:rPr>
          <w:lang w:val="fr-FR"/>
        </w:rPr>
        <w:t>.</w:t>
      </w:r>
      <w:r w:rsidRPr="001B335E">
        <w:rPr>
          <w:lang w:val="fr-FR"/>
        </w:rPr>
        <w:t xml:space="preserve"> D</w:t>
      </w:r>
      <w:r>
        <w:rPr>
          <w:lang w:val="fr-FR"/>
        </w:rPr>
        <w:t>’</w:t>
      </w:r>
      <w:r w:rsidRPr="001B335E">
        <w:rPr>
          <w:lang w:val="fr-FR"/>
        </w:rPr>
        <w:t>autres méthodes peuvent être utilisées, à condition qu</w:t>
      </w:r>
      <w:r>
        <w:rPr>
          <w:lang w:val="fr-FR"/>
        </w:rPr>
        <w:t>’</w:t>
      </w:r>
      <w:r w:rsidRPr="001B335E">
        <w:rPr>
          <w:lang w:val="fr-FR"/>
        </w:rPr>
        <w:t>elles soient correctement validées et justifiées du point de vue scientifique</w:t>
      </w:r>
      <w:r w:rsidR="009E181B" w:rsidRPr="009E181B">
        <w:rPr>
          <w:lang w:val="fr-FR"/>
        </w:rPr>
        <w:t>.</w:t>
      </w:r>
      <w:r w:rsidRPr="001B335E">
        <w:rPr>
          <w:lang w:val="fr-FR"/>
        </w:rPr>
        <w:t xml:space="preserve"> Le test de tuméfaction de l</w:t>
      </w:r>
      <w:r>
        <w:rPr>
          <w:lang w:val="fr-FR"/>
        </w:rPr>
        <w:t>’</w:t>
      </w:r>
      <w:r w:rsidRPr="001B335E">
        <w:rPr>
          <w:lang w:val="fr-FR"/>
        </w:rPr>
        <w:t>oreille de la souris (MEST) est un test de dépistage fiable pour détecter les sensibilisants modérés à forts et peut constituer la première étape de l</w:t>
      </w:r>
      <w:r>
        <w:rPr>
          <w:lang w:val="fr-FR"/>
        </w:rPr>
        <w:t>’</w:t>
      </w:r>
      <w:r w:rsidRPr="001B335E">
        <w:rPr>
          <w:lang w:val="fr-FR"/>
        </w:rPr>
        <w:t>évaluation du pouvoir sensibilisant sur la peau</w:t>
      </w:r>
      <w:r w:rsidR="009E181B" w:rsidRPr="009E181B">
        <w:rPr>
          <w:lang w:val="fr-FR"/>
        </w:rPr>
        <w:t>.</w:t>
      </w:r>
      <w:r w:rsidRPr="001B335E">
        <w:rPr>
          <w:lang w:val="fr-FR"/>
        </w:rPr>
        <w:t> »</w:t>
      </w:r>
      <w:r w:rsidR="009E181B" w:rsidRPr="009E181B">
        <w:rPr>
          <w:lang w:val="fr-FR"/>
        </w:rPr>
        <w:t>.</w:t>
      </w:r>
    </w:p>
    <w:p w14:paraId="2FB5A293" w14:textId="4956C149" w:rsidR="00B07435" w:rsidRPr="001B335E" w:rsidRDefault="00B07435" w:rsidP="00B07435">
      <w:pPr>
        <w:pStyle w:val="SingleTxtG"/>
        <w:spacing w:before="240"/>
        <w:rPr>
          <w:sz w:val="19"/>
          <w:lang w:val="fr-FR"/>
        </w:rPr>
      </w:pPr>
      <w:r w:rsidRPr="001B335E">
        <w:rPr>
          <w:lang w:val="fr-FR"/>
        </w:rPr>
        <w:t>16</w:t>
      </w:r>
      <w:r w:rsidR="009E181B" w:rsidRPr="009E181B">
        <w:rPr>
          <w:lang w:val="fr-FR"/>
        </w:rPr>
        <w:t>.</w:t>
      </w:r>
      <w:r w:rsidRPr="001B335E">
        <w:rPr>
          <w:lang w:val="fr-FR"/>
        </w:rPr>
        <w:tab/>
        <w:t>Après le paragraphe 3</w:t>
      </w:r>
      <w:r w:rsidR="009E181B" w:rsidRPr="009E181B">
        <w:rPr>
          <w:lang w:val="fr-FR"/>
        </w:rPr>
        <w:t>.</w:t>
      </w:r>
      <w:r w:rsidRPr="001B335E">
        <w:rPr>
          <w:lang w:val="fr-FR"/>
        </w:rPr>
        <w:t>4</w:t>
      </w:r>
      <w:r w:rsidR="009E181B" w:rsidRPr="009E181B">
        <w:rPr>
          <w:lang w:val="fr-FR"/>
        </w:rPr>
        <w:t>.</w:t>
      </w:r>
      <w:r w:rsidRPr="001B335E">
        <w:rPr>
          <w:lang w:val="fr-FR"/>
        </w:rPr>
        <w:t>2</w:t>
      </w:r>
      <w:r w:rsidR="009E181B" w:rsidRPr="009E181B">
        <w:rPr>
          <w:lang w:val="fr-FR"/>
        </w:rPr>
        <w:t>.</w:t>
      </w:r>
      <w:r w:rsidRPr="001B335E">
        <w:rPr>
          <w:lang w:val="fr-FR"/>
        </w:rPr>
        <w:t>2</w:t>
      </w:r>
      <w:r w:rsidR="009E181B" w:rsidRPr="009E181B">
        <w:rPr>
          <w:lang w:val="fr-FR"/>
        </w:rPr>
        <w:t>.</w:t>
      </w:r>
      <w:r w:rsidRPr="001B335E">
        <w:rPr>
          <w:lang w:val="fr-FR"/>
        </w:rPr>
        <w:t>3</w:t>
      </w:r>
      <w:r w:rsidR="009E181B" w:rsidRPr="009E181B">
        <w:rPr>
          <w:lang w:val="fr-FR"/>
        </w:rPr>
        <w:t>.</w:t>
      </w:r>
      <w:r w:rsidRPr="001B335E">
        <w:rPr>
          <w:lang w:val="fr-FR"/>
        </w:rPr>
        <w:t>1, ajouter le nouveau tableau suivant :</w:t>
      </w:r>
    </w:p>
    <w:p w14:paraId="662AB698" w14:textId="68EE96BC" w:rsidR="00B07435" w:rsidRPr="001B335E" w:rsidRDefault="00B07435" w:rsidP="00B07435">
      <w:pPr>
        <w:spacing w:before="216" w:after="120" w:line="240" w:lineRule="exact"/>
        <w:jc w:val="center"/>
        <w:rPr>
          <w:b/>
          <w:bCs/>
          <w:color w:val="000000" w:themeColor="text1"/>
          <w:sz w:val="19"/>
          <w:u w:val="single"/>
          <w:lang w:val="fr-FR"/>
        </w:rPr>
      </w:pPr>
      <w:r w:rsidRPr="001B335E">
        <w:rPr>
          <w:lang w:val="fr-FR"/>
        </w:rPr>
        <w:t xml:space="preserve">« </w:t>
      </w:r>
      <w:r w:rsidRPr="001B335E">
        <w:rPr>
          <w:b/>
          <w:bCs/>
          <w:u w:val="single"/>
          <w:lang w:val="fr-FR"/>
        </w:rPr>
        <w:t>Tableau 3</w:t>
      </w:r>
      <w:r w:rsidR="009E181B" w:rsidRPr="009E181B">
        <w:rPr>
          <w:b/>
          <w:bCs/>
          <w:u w:val="single"/>
          <w:lang w:val="fr-FR"/>
        </w:rPr>
        <w:t>.</w:t>
      </w:r>
      <w:r w:rsidRPr="001B335E">
        <w:rPr>
          <w:b/>
          <w:bCs/>
          <w:u w:val="single"/>
          <w:lang w:val="fr-FR"/>
        </w:rPr>
        <w:t>4</w:t>
      </w:r>
      <w:r w:rsidR="009E181B" w:rsidRPr="009E181B">
        <w:rPr>
          <w:b/>
          <w:bCs/>
          <w:u w:val="single"/>
          <w:lang w:val="fr-FR"/>
        </w:rPr>
        <w:t>.</w:t>
      </w:r>
      <w:r w:rsidRPr="001B335E">
        <w:rPr>
          <w:b/>
          <w:bCs/>
          <w:u w:val="single"/>
          <w:lang w:val="fr-FR"/>
        </w:rPr>
        <w:t>3 Résultats des essais sur l</w:t>
      </w:r>
      <w:r>
        <w:rPr>
          <w:b/>
          <w:bCs/>
          <w:u w:val="single"/>
          <w:lang w:val="fr-FR"/>
        </w:rPr>
        <w:t>’</w:t>
      </w:r>
      <w:r w:rsidRPr="001B335E">
        <w:rPr>
          <w:b/>
          <w:bCs/>
          <w:u w:val="single"/>
          <w:lang w:val="fr-FR"/>
        </w:rPr>
        <w:t>animal pour la catégorie 1</w:t>
      </w:r>
    </w:p>
    <w:tbl>
      <w:tblPr>
        <w:tblW w:w="8504" w:type="dxa"/>
        <w:tblInd w:w="1134" w:type="dxa"/>
        <w:tblLayout w:type="fixed"/>
        <w:tblCellMar>
          <w:left w:w="0" w:type="dxa"/>
          <w:right w:w="0" w:type="dxa"/>
        </w:tblCellMar>
        <w:tblLook w:val="0000" w:firstRow="0" w:lastRow="0" w:firstColumn="0" w:lastColumn="0" w:noHBand="0" w:noVBand="0"/>
      </w:tblPr>
      <w:tblGrid>
        <w:gridCol w:w="4018"/>
        <w:gridCol w:w="4486"/>
      </w:tblGrid>
      <w:tr w:rsidR="00B07435" w:rsidRPr="001B335E" w14:paraId="26E9E73E" w14:textId="77777777" w:rsidTr="00B07435">
        <w:tc>
          <w:tcPr>
            <w:tcW w:w="3482" w:type="dxa"/>
            <w:tcBorders>
              <w:top w:val="single" w:sz="4" w:space="0" w:color="000000"/>
              <w:left w:val="single" w:sz="4" w:space="0" w:color="000000"/>
              <w:bottom w:val="single" w:sz="4" w:space="0" w:color="000000"/>
              <w:right w:val="single" w:sz="4" w:space="0" w:color="000000"/>
            </w:tcBorders>
            <w:vAlign w:val="center"/>
          </w:tcPr>
          <w:p w14:paraId="0FABD337" w14:textId="77777777" w:rsidR="00B07435" w:rsidRPr="001B335E" w:rsidRDefault="00B07435" w:rsidP="00AE340D">
            <w:pPr>
              <w:spacing w:before="60" w:after="60" w:line="220" w:lineRule="atLeast"/>
              <w:ind w:left="57" w:right="57"/>
              <w:jc w:val="center"/>
              <w:rPr>
                <w:rFonts w:eastAsia="MS PMincho"/>
                <w:b/>
                <w:bCs/>
                <w:color w:val="000000" w:themeColor="text1"/>
                <w:sz w:val="19"/>
                <w:u w:val="single"/>
                <w:lang w:val="fr-FR"/>
              </w:rPr>
            </w:pPr>
            <w:r w:rsidRPr="001B335E">
              <w:rPr>
                <w:b/>
                <w:bCs/>
                <w:u w:val="single"/>
                <w:lang w:val="fr-FR"/>
              </w:rPr>
              <w:t>Essai</w:t>
            </w:r>
          </w:p>
        </w:tc>
        <w:tc>
          <w:tcPr>
            <w:tcW w:w="3888" w:type="dxa"/>
            <w:tcBorders>
              <w:top w:val="single" w:sz="4" w:space="0" w:color="000000"/>
              <w:left w:val="single" w:sz="4" w:space="0" w:color="000000"/>
              <w:bottom w:val="single" w:sz="4" w:space="0" w:color="000000"/>
              <w:right w:val="single" w:sz="4" w:space="0" w:color="000000"/>
            </w:tcBorders>
            <w:vAlign w:val="center"/>
          </w:tcPr>
          <w:p w14:paraId="4DD2B155" w14:textId="77777777" w:rsidR="00B07435" w:rsidRPr="001B335E" w:rsidRDefault="00B07435" w:rsidP="00AE340D">
            <w:pPr>
              <w:spacing w:before="60" w:after="60" w:line="220" w:lineRule="atLeast"/>
              <w:ind w:left="57" w:right="57"/>
              <w:jc w:val="center"/>
              <w:rPr>
                <w:rFonts w:eastAsia="MS PMincho"/>
                <w:b/>
                <w:bCs/>
                <w:color w:val="000000" w:themeColor="text1"/>
                <w:sz w:val="19"/>
                <w:u w:val="single"/>
                <w:lang w:val="fr-FR"/>
              </w:rPr>
            </w:pPr>
            <w:r w:rsidRPr="001B335E">
              <w:rPr>
                <w:b/>
                <w:bCs/>
                <w:u w:val="single"/>
                <w:lang w:val="fr-FR"/>
              </w:rPr>
              <w:t>Critères</w:t>
            </w:r>
          </w:p>
        </w:tc>
      </w:tr>
      <w:tr w:rsidR="00B07435" w:rsidRPr="001B335E" w14:paraId="3E5127B9" w14:textId="77777777" w:rsidTr="00B07435">
        <w:tc>
          <w:tcPr>
            <w:tcW w:w="3482" w:type="dxa"/>
            <w:tcBorders>
              <w:top w:val="single" w:sz="4" w:space="0" w:color="000000"/>
              <w:left w:val="single" w:sz="4" w:space="0" w:color="000000"/>
              <w:bottom w:val="single" w:sz="4" w:space="0" w:color="000000"/>
              <w:right w:val="single" w:sz="4" w:space="0" w:color="000000"/>
            </w:tcBorders>
          </w:tcPr>
          <w:p w14:paraId="7658F56F" w14:textId="77777777" w:rsidR="00B07435" w:rsidRPr="001B335E" w:rsidRDefault="00B07435" w:rsidP="00B07435">
            <w:pPr>
              <w:spacing w:before="60" w:after="60" w:line="220" w:lineRule="atLeast"/>
              <w:ind w:left="57" w:right="57"/>
              <w:rPr>
                <w:rFonts w:eastAsia="MS PMincho"/>
                <w:b/>
                <w:bCs/>
                <w:color w:val="000000" w:themeColor="text1"/>
                <w:sz w:val="19"/>
                <w:u w:val="single"/>
                <w:lang w:val="fr-FR"/>
              </w:rPr>
            </w:pPr>
            <w:r w:rsidRPr="001B335E">
              <w:rPr>
                <w:b/>
                <w:bCs/>
                <w:u w:val="single"/>
                <w:lang w:val="fr-FR"/>
              </w:rPr>
              <w:t>Essai de stimulation locale des ganglions lymphatiques</w:t>
            </w:r>
          </w:p>
        </w:tc>
        <w:tc>
          <w:tcPr>
            <w:tcW w:w="3888" w:type="dxa"/>
            <w:tcBorders>
              <w:top w:val="single" w:sz="4" w:space="0" w:color="000000"/>
              <w:left w:val="single" w:sz="4" w:space="0" w:color="000000"/>
              <w:bottom w:val="single" w:sz="4" w:space="0" w:color="000000"/>
              <w:right w:val="single" w:sz="4" w:space="0" w:color="000000"/>
            </w:tcBorders>
          </w:tcPr>
          <w:p w14:paraId="4DCCA134" w14:textId="77777777" w:rsidR="00B07435" w:rsidRPr="001B335E" w:rsidRDefault="00B07435" w:rsidP="00B07435">
            <w:pPr>
              <w:spacing w:before="60" w:after="60" w:line="220" w:lineRule="atLeast"/>
              <w:ind w:left="57" w:right="57"/>
              <w:rPr>
                <w:rFonts w:eastAsia="MS PMincho"/>
                <w:b/>
                <w:bCs/>
                <w:color w:val="000000" w:themeColor="text1"/>
                <w:sz w:val="19"/>
                <w:u w:val="single"/>
                <w:lang w:val="fr-FR"/>
              </w:rPr>
            </w:pPr>
            <w:r w:rsidRPr="001B335E">
              <w:rPr>
                <w:b/>
                <w:bCs/>
                <w:u w:val="single"/>
                <w:lang w:val="fr-FR"/>
              </w:rPr>
              <w:t>Indice de stimulation ≥ 3</w:t>
            </w:r>
          </w:p>
        </w:tc>
      </w:tr>
      <w:tr w:rsidR="00B07435" w:rsidRPr="001B335E" w14:paraId="09170C7A" w14:textId="77777777" w:rsidTr="00B07435">
        <w:tc>
          <w:tcPr>
            <w:tcW w:w="3482" w:type="dxa"/>
            <w:tcBorders>
              <w:top w:val="single" w:sz="4" w:space="0" w:color="000000"/>
              <w:left w:val="single" w:sz="4" w:space="0" w:color="000000"/>
              <w:bottom w:val="single" w:sz="4" w:space="0" w:color="000000"/>
              <w:right w:val="single" w:sz="4" w:space="0" w:color="000000"/>
            </w:tcBorders>
          </w:tcPr>
          <w:p w14:paraId="4A6DCA42" w14:textId="77777777" w:rsidR="00B07435" w:rsidRPr="001B335E" w:rsidRDefault="00B07435" w:rsidP="00B07435">
            <w:pPr>
              <w:spacing w:before="60" w:after="60" w:line="220" w:lineRule="atLeast"/>
              <w:ind w:left="57" w:right="57"/>
              <w:rPr>
                <w:rFonts w:eastAsia="MS PMincho"/>
                <w:b/>
                <w:bCs/>
                <w:color w:val="000000" w:themeColor="text1"/>
                <w:sz w:val="19"/>
                <w:u w:val="single"/>
                <w:lang w:val="fr-FR"/>
              </w:rPr>
            </w:pPr>
            <w:r w:rsidRPr="001B335E">
              <w:rPr>
                <w:b/>
                <w:bCs/>
                <w:u w:val="single"/>
                <w:lang w:val="fr-FR"/>
              </w:rPr>
              <w:t>Essai de stimulation locale des ganglions lymphatiques, méthode DA</w:t>
            </w:r>
          </w:p>
        </w:tc>
        <w:tc>
          <w:tcPr>
            <w:tcW w:w="3888" w:type="dxa"/>
            <w:tcBorders>
              <w:top w:val="single" w:sz="4" w:space="0" w:color="000000"/>
              <w:left w:val="single" w:sz="4" w:space="0" w:color="000000"/>
              <w:bottom w:val="single" w:sz="4" w:space="0" w:color="000000"/>
              <w:right w:val="single" w:sz="4" w:space="0" w:color="000000"/>
            </w:tcBorders>
          </w:tcPr>
          <w:p w14:paraId="70F52EF3" w14:textId="77777777" w:rsidR="00B07435" w:rsidRPr="001B335E" w:rsidRDefault="00B07435" w:rsidP="00B07435">
            <w:pPr>
              <w:spacing w:before="60" w:after="60" w:line="220" w:lineRule="atLeast"/>
              <w:ind w:left="57" w:right="57"/>
              <w:rPr>
                <w:rFonts w:eastAsia="MS PMincho"/>
                <w:b/>
                <w:bCs/>
                <w:color w:val="000000" w:themeColor="text1"/>
                <w:spacing w:val="-8"/>
                <w:sz w:val="19"/>
                <w:u w:val="single"/>
                <w:lang w:val="fr-FR"/>
              </w:rPr>
            </w:pPr>
            <w:r w:rsidRPr="001B335E">
              <w:rPr>
                <w:b/>
                <w:bCs/>
                <w:u w:val="single"/>
                <w:lang w:val="fr-FR"/>
              </w:rPr>
              <w:t>Indice de stimulation ≥ 1,8</w:t>
            </w:r>
          </w:p>
        </w:tc>
      </w:tr>
      <w:tr w:rsidR="00B07435" w:rsidRPr="001B335E" w14:paraId="2DCA4FDE" w14:textId="77777777" w:rsidTr="00B07435">
        <w:tc>
          <w:tcPr>
            <w:tcW w:w="3482" w:type="dxa"/>
            <w:tcBorders>
              <w:top w:val="single" w:sz="4" w:space="0" w:color="000000"/>
              <w:left w:val="single" w:sz="4" w:space="0" w:color="000000"/>
              <w:bottom w:val="single" w:sz="4" w:space="0" w:color="000000"/>
              <w:right w:val="single" w:sz="4" w:space="0" w:color="000000"/>
            </w:tcBorders>
          </w:tcPr>
          <w:p w14:paraId="544662E2" w14:textId="77777777" w:rsidR="00B07435" w:rsidRPr="001B335E" w:rsidRDefault="00B07435" w:rsidP="00B07435">
            <w:pPr>
              <w:spacing w:before="60" w:after="60" w:line="220" w:lineRule="atLeast"/>
              <w:ind w:left="57" w:right="57"/>
              <w:rPr>
                <w:rFonts w:eastAsia="MS PMincho"/>
                <w:b/>
                <w:bCs/>
                <w:color w:val="000000" w:themeColor="text1"/>
                <w:sz w:val="19"/>
                <w:u w:val="single"/>
                <w:lang w:val="fr-FR"/>
              </w:rPr>
            </w:pPr>
            <w:r w:rsidRPr="001B335E">
              <w:rPr>
                <w:b/>
                <w:bCs/>
                <w:u w:val="single"/>
                <w:lang w:val="fr-FR"/>
              </w:rPr>
              <w:t>Essai de stimulation locale des ganglions lymphatiques, méthode BrdU-ELISA</w:t>
            </w:r>
          </w:p>
        </w:tc>
        <w:tc>
          <w:tcPr>
            <w:tcW w:w="3888" w:type="dxa"/>
            <w:tcBorders>
              <w:top w:val="single" w:sz="4" w:space="0" w:color="000000"/>
              <w:left w:val="single" w:sz="4" w:space="0" w:color="000000"/>
              <w:bottom w:val="single" w:sz="4" w:space="0" w:color="000000"/>
              <w:right w:val="single" w:sz="4" w:space="0" w:color="000000"/>
            </w:tcBorders>
          </w:tcPr>
          <w:p w14:paraId="2B4C6BA4" w14:textId="77777777" w:rsidR="00B07435" w:rsidRPr="001B335E" w:rsidRDefault="00B07435" w:rsidP="00B07435">
            <w:pPr>
              <w:spacing w:before="60" w:after="60" w:line="220" w:lineRule="atLeast"/>
              <w:ind w:left="57" w:right="57"/>
              <w:rPr>
                <w:rFonts w:eastAsia="MS PMincho"/>
                <w:b/>
                <w:bCs/>
                <w:color w:val="000000" w:themeColor="text1"/>
                <w:spacing w:val="-8"/>
                <w:sz w:val="19"/>
                <w:u w:val="single"/>
                <w:lang w:val="fr-FR"/>
              </w:rPr>
            </w:pPr>
            <w:r w:rsidRPr="001B335E">
              <w:rPr>
                <w:b/>
                <w:bCs/>
                <w:u w:val="single"/>
                <w:lang w:val="fr-FR"/>
              </w:rPr>
              <w:t>IS ≥ 1,6</w:t>
            </w:r>
          </w:p>
        </w:tc>
      </w:tr>
      <w:tr w:rsidR="00B07435" w:rsidRPr="001B335E" w14:paraId="5EBBBB04" w14:textId="77777777" w:rsidTr="00B07435">
        <w:tc>
          <w:tcPr>
            <w:tcW w:w="3482" w:type="dxa"/>
            <w:tcBorders>
              <w:top w:val="single" w:sz="4" w:space="0" w:color="000000"/>
              <w:left w:val="single" w:sz="4" w:space="0" w:color="000000"/>
              <w:bottom w:val="single" w:sz="4" w:space="0" w:color="000000"/>
              <w:right w:val="single" w:sz="4" w:space="0" w:color="000000"/>
            </w:tcBorders>
          </w:tcPr>
          <w:p w14:paraId="4566B098" w14:textId="77777777" w:rsidR="00B07435" w:rsidRPr="001B335E" w:rsidRDefault="00B07435" w:rsidP="00B07435">
            <w:pPr>
              <w:spacing w:before="60" w:after="60" w:line="220" w:lineRule="atLeast"/>
              <w:ind w:left="57" w:right="57"/>
              <w:rPr>
                <w:rFonts w:eastAsia="MS PMincho"/>
                <w:b/>
                <w:bCs/>
                <w:color w:val="000000" w:themeColor="text1"/>
                <w:sz w:val="19"/>
                <w:u w:val="single"/>
                <w:lang w:val="fr-FR"/>
              </w:rPr>
            </w:pPr>
            <w:r w:rsidRPr="001B335E">
              <w:rPr>
                <w:b/>
                <w:bCs/>
                <w:u w:val="single"/>
                <w:lang w:val="fr-FR"/>
              </w:rPr>
              <w:t>Essai de stimulation locale des ganglions lymphatiques, méthode BrdU-FCM</w:t>
            </w:r>
          </w:p>
        </w:tc>
        <w:tc>
          <w:tcPr>
            <w:tcW w:w="3888" w:type="dxa"/>
            <w:tcBorders>
              <w:top w:val="single" w:sz="4" w:space="0" w:color="000000"/>
              <w:left w:val="single" w:sz="4" w:space="0" w:color="000000"/>
              <w:bottom w:val="single" w:sz="4" w:space="0" w:color="000000"/>
              <w:right w:val="single" w:sz="4" w:space="0" w:color="000000"/>
            </w:tcBorders>
          </w:tcPr>
          <w:p w14:paraId="0F9192DC" w14:textId="77777777" w:rsidR="00B07435" w:rsidRPr="001B335E" w:rsidRDefault="00B07435" w:rsidP="00B07435">
            <w:pPr>
              <w:spacing w:before="60" w:after="60" w:line="220" w:lineRule="atLeast"/>
              <w:ind w:left="57" w:right="57"/>
              <w:rPr>
                <w:rFonts w:eastAsia="MS PMincho"/>
                <w:b/>
                <w:bCs/>
                <w:color w:val="000000" w:themeColor="text1"/>
                <w:sz w:val="19"/>
                <w:u w:val="single"/>
                <w:lang w:val="fr-FR"/>
              </w:rPr>
            </w:pPr>
            <w:r w:rsidRPr="001B335E">
              <w:rPr>
                <w:b/>
                <w:bCs/>
                <w:u w:val="single"/>
                <w:lang w:val="fr-FR"/>
              </w:rPr>
              <w:t>Indice de stimulation ≥ 2,7</w:t>
            </w:r>
          </w:p>
        </w:tc>
      </w:tr>
      <w:tr w:rsidR="00B07435" w:rsidRPr="00DB4588" w14:paraId="17FCF5CD" w14:textId="77777777" w:rsidTr="00B07435">
        <w:tc>
          <w:tcPr>
            <w:tcW w:w="3482" w:type="dxa"/>
            <w:tcBorders>
              <w:top w:val="single" w:sz="4" w:space="0" w:color="000000"/>
              <w:left w:val="single" w:sz="4" w:space="0" w:color="000000"/>
              <w:bottom w:val="single" w:sz="4" w:space="0" w:color="000000"/>
              <w:right w:val="single" w:sz="4" w:space="0" w:color="000000"/>
            </w:tcBorders>
          </w:tcPr>
          <w:p w14:paraId="63027206" w14:textId="77777777" w:rsidR="00B07435" w:rsidRPr="001B335E" w:rsidRDefault="00B07435" w:rsidP="00B07435">
            <w:pPr>
              <w:spacing w:before="60" w:after="60" w:line="220" w:lineRule="atLeast"/>
              <w:ind w:left="57" w:right="57"/>
              <w:rPr>
                <w:rFonts w:eastAsia="MS PMincho"/>
                <w:b/>
                <w:bCs/>
                <w:color w:val="000000" w:themeColor="text1"/>
                <w:sz w:val="19"/>
                <w:u w:val="single"/>
                <w:lang w:val="fr-FR"/>
              </w:rPr>
            </w:pPr>
            <w:r w:rsidRPr="001B335E">
              <w:rPr>
                <w:b/>
                <w:bCs/>
                <w:u w:val="single"/>
                <w:lang w:val="fr-FR"/>
              </w:rPr>
              <w:t>Méthode d</w:t>
            </w:r>
            <w:r>
              <w:rPr>
                <w:b/>
                <w:bCs/>
                <w:u w:val="single"/>
                <w:lang w:val="fr-FR"/>
              </w:rPr>
              <w:t>’</w:t>
            </w:r>
            <w:r w:rsidRPr="001B335E">
              <w:rPr>
                <w:b/>
                <w:bCs/>
                <w:u w:val="single"/>
                <w:lang w:val="fr-FR"/>
              </w:rPr>
              <w:t>essai sur cobaye avec adjuvant</w:t>
            </w:r>
            <w:r w:rsidRPr="001B335E">
              <w:rPr>
                <w:lang w:val="fr-FR"/>
              </w:rPr>
              <w:t xml:space="preserve"> </w:t>
            </w:r>
          </w:p>
        </w:tc>
        <w:tc>
          <w:tcPr>
            <w:tcW w:w="3888" w:type="dxa"/>
            <w:tcBorders>
              <w:top w:val="single" w:sz="4" w:space="0" w:color="000000"/>
              <w:left w:val="single" w:sz="4" w:space="0" w:color="000000"/>
              <w:bottom w:val="single" w:sz="4" w:space="0" w:color="000000"/>
              <w:right w:val="single" w:sz="4" w:space="0" w:color="000000"/>
            </w:tcBorders>
          </w:tcPr>
          <w:p w14:paraId="6FDD4DC2" w14:textId="6D97448C" w:rsidR="00B07435" w:rsidRPr="001B335E" w:rsidRDefault="00B07435" w:rsidP="00B07435">
            <w:pPr>
              <w:spacing w:before="60" w:after="60" w:line="220" w:lineRule="atLeast"/>
              <w:ind w:left="57" w:right="57"/>
              <w:rPr>
                <w:rFonts w:eastAsia="MS PMincho"/>
                <w:b/>
                <w:bCs/>
                <w:color w:val="000000" w:themeColor="text1"/>
                <w:spacing w:val="-5"/>
                <w:sz w:val="19"/>
                <w:u w:val="single"/>
                <w:lang w:val="fr-FR"/>
              </w:rPr>
            </w:pPr>
            <w:r w:rsidRPr="001B335E">
              <w:rPr>
                <w:b/>
                <w:bCs/>
                <w:u w:val="single"/>
                <w:lang w:val="fr-FR"/>
              </w:rPr>
              <w:t>≥30 % réagissent à toute dose d</w:t>
            </w:r>
            <w:r>
              <w:rPr>
                <w:b/>
                <w:bCs/>
                <w:u w:val="single"/>
                <w:lang w:val="fr-FR"/>
              </w:rPr>
              <w:t>’</w:t>
            </w:r>
            <w:r w:rsidRPr="001B335E">
              <w:rPr>
                <w:b/>
                <w:bCs/>
                <w:u w:val="single"/>
                <w:lang w:val="fr-FR"/>
              </w:rPr>
              <w:t>induction intradermique</w:t>
            </w:r>
          </w:p>
        </w:tc>
      </w:tr>
      <w:tr w:rsidR="00B07435" w:rsidRPr="00DB4588" w14:paraId="72E354AE" w14:textId="77777777" w:rsidTr="00B07435">
        <w:tc>
          <w:tcPr>
            <w:tcW w:w="3482" w:type="dxa"/>
            <w:tcBorders>
              <w:top w:val="single" w:sz="4" w:space="0" w:color="000000"/>
              <w:left w:val="single" w:sz="4" w:space="0" w:color="000000"/>
              <w:bottom w:val="single" w:sz="4" w:space="0" w:color="000000"/>
              <w:right w:val="single" w:sz="4" w:space="0" w:color="000000"/>
            </w:tcBorders>
          </w:tcPr>
          <w:p w14:paraId="5E6E89B8" w14:textId="77777777" w:rsidR="00B07435" w:rsidRPr="001B335E" w:rsidRDefault="00B07435" w:rsidP="00B07435">
            <w:pPr>
              <w:spacing w:before="60" w:after="60" w:line="220" w:lineRule="atLeast"/>
              <w:ind w:left="57" w:right="57"/>
              <w:rPr>
                <w:rFonts w:eastAsia="MS PMincho"/>
                <w:b/>
                <w:bCs/>
                <w:color w:val="000000" w:themeColor="text1"/>
                <w:sz w:val="19"/>
                <w:u w:val="single"/>
                <w:lang w:val="fr-FR"/>
              </w:rPr>
            </w:pPr>
            <w:r w:rsidRPr="001B335E">
              <w:rPr>
                <w:b/>
                <w:bCs/>
                <w:u w:val="single"/>
                <w:lang w:val="fr-FR"/>
              </w:rPr>
              <w:t>Méthode d</w:t>
            </w:r>
            <w:r>
              <w:rPr>
                <w:b/>
                <w:bCs/>
                <w:u w:val="single"/>
                <w:lang w:val="fr-FR"/>
              </w:rPr>
              <w:t>’</w:t>
            </w:r>
            <w:r w:rsidRPr="001B335E">
              <w:rPr>
                <w:b/>
                <w:bCs/>
                <w:u w:val="single"/>
                <w:lang w:val="fr-FR"/>
              </w:rPr>
              <w:t>essai sur cobaye sans adjuvant</w:t>
            </w:r>
            <w:r w:rsidRPr="001B335E">
              <w:rPr>
                <w:lang w:val="fr-FR"/>
              </w:rPr>
              <w:t xml:space="preserve"> </w:t>
            </w:r>
          </w:p>
        </w:tc>
        <w:tc>
          <w:tcPr>
            <w:tcW w:w="3888" w:type="dxa"/>
            <w:tcBorders>
              <w:top w:val="single" w:sz="4" w:space="0" w:color="000000"/>
              <w:left w:val="single" w:sz="4" w:space="0" w:color="000000"/>
              <w:bottom w:val="single" w:sz="4" w:space="0" w:color="000000"/>
              <w:right w:val="single" w:sz="4" w:space="0" w:color="000000"/>
            </w:tcBorders>
          </w:tcPr>
          <w:p w14:paraId="51A6464A" w14:textId="5F2DAC4A" w:rsidR="00B07435" w:rsidRPr="001B335E" w:rsidRDefault="00B07435" w:rsidP="00B07435">
            <w:pPr>
              <w:spacing w:before="60" w:after="60" w:line="220" w:lineRule="atLeast"/>
              <w:ind w:left="57" w:right="57"/>
              <w:rPr>
                <w:rFonts w:eastAsia="MS PMincho"/>
                <w:b/>
                <w:bCs/>
                <w:color w:val="000000" w:themeColor="text1"/>
                <w:spacing w:val="-4"/>
                <w:sz w:val="19"/>
                <w:u w:val="single"/>
                <w:lang w:val="fr-FR"/>
              </w:rPr>
            </w:pPr>
            <w:r w:rsidRPr="001B335E">
              <w:rPr>
                <w:b/>
                <w:bCs/>
                <w:u w:val="single"/>
                <w:lang w:val="fr-FR"/>
              </w:rPr>
              <w:t>≥15 % réagissent à toute dose d</w:t>
            </w:r>
            <w:r>
              <w:rPr>
                <w:b/>
                <w:bCs/>
                <w:u w:val="single"/>
                <w:lang w:val="fr-FR"/>
              </w:rPr>
              <w:t>’</w:t>
            </w:r>
            <w:r w:rsidRPr="001B335E">
              <w:rPr>
                <w:b/>
                <w:bCs/>
                <w:u w:val="single"/>
                <w:lang w:val="fr-FR"/>
              </w:rPr>
              <w:t>induction locale</w:t>
            </w:r>
          </w:p>
        </w:tc>
      </w:tr>
    </w:tbl>
    <w:p w14:paraId="16348236" w14:textId="07DCC01B" w:rsidR="00B07435" w:rsidRDefault="00B07435" w:rsidP="00B07435">
      <w:pPr>
        <w:pStyle w:val="SingleTxtG"/>
        <w:spacing w:before="120"/>
        <w:jc w:val="right"/>
        <w:rPr>
          <w:lang w:val="fr-FR"/>
        </w:rPr>
      </w:pPr>
      <w:r>
        <w:rPr>
          <w:lang w:val="fr-FR"/>
        </w:rPr>
        <w:t> »</w:t>
      </w:r>
      <w:r w:rsidR="009E181B" w:rsidRPr="009E181B">
        <w:rPr>
          <w:lang w:val="fr-FR"/>
        </w:rPr>
        <w:t>.</w:t>
      </w:r>
    </w:p>
    <w:p w14:paraId="777413C7" w14:textId="598DD393" w:rsidR="00B07435" w:rsidRPr="001B335E" w:rsidRDefault="00B07435" w:rsidP="00B07435">
      <w:pPr>
        <w:pStyle w:val="SingleTxtG"/>
        <w:spacing w:before="120"/>
        <w:rPr>
          <w:color w:val="000000" w:themeColor="text1"/>
          <w:lang w:val="fr-FR"/>
        </w:rPr>
      </w:pPr>
      <w:r w:rsidRPr="001B335E">
        <w:rPr>
          <w:lang w:val="fr-FR"/>
        </w:rPr>
        <w:t>17</w:t>
      </w:r>
      <w:r w:rsidR="009E181B" w:rsidRPr="009E181B">
        <w:rPr>
          <w:lang w:val="fr-FR"/>
        </w:rPr>
        <w:t>.</w:t>
      </w:r>
      <w:r w:rsidRPr="001B335E">
        <w:rPr>
          <w:lang w:val="fr-FR"/>
        </w:rPr>
        <w:tab/>
        <w:t>Au paragraphe 3</w:t>
      </w:r>
      <w:r w:rsidR="009E181B" w:rsidRPr="009E181B">
        <w:rPr>
          <w:lang w:val="fr-FR"/>
        </w:rPr>
        <w:t>.</w:t>
      </w:r>
      <w:r w:rsidRPr="001B335E">
        <w:rPr>
          <w:lang w:val="fr-FR"/>
        </w:rPr>
        <w:t>4</w:t>
      </w:r>
      <w:r w:rsidR="009E181B" w:rsidRPr="009E181B">
        <w:rPr>
          <w:lang w:val="fr-FR"/>
        </w:rPr>
        <w:t>.</w:t>
      </w:r>
      <w:r w:rsidRPr="001B335E">
        <w:rPr>
          <w:lang w:val="fr-FR"/>
        </w:rPr>
        <w:t>2</w:t>
      </w:r>
      <w:r w:rsidR="009E181B" w:rsidRPr="009E181B">
        <w:rPr>
          <w:lang w:val="fr-FR"/>
        </w:rPr>
        <w:t>.</w:t>
      </w:r>
      <w:r w:rsidRPr="001B335E">
        <w:rPr>
          <w:lang w:val="fr-FR"/>
        </w:rPr>
        <w:t>2</w:t>
      </w:r>
      <w:r w:rsidR="009E181B" w:rsidRPr="009E181B">
        <w:rPr>
          <w:lang w:val="fr-FR"/>
        </w:rPr>
        <w:t>.</w:t>
      </w:r>
      <w:r w:rsidRPr="001B335E">
        <w:rPr>
          <w:lang w:val="fr-FR"/>
        </w:rPr>
        <w:t>3</w:t>
      </w:r>
      <w:r w:rsidR="009E181B" w:rsidRPr="009E181B">
        <w:rPr>
          <w:lang w:val="fr-FR"/>
        </w:rPr>
        <w:t>.</w:t>
      </w:r>
      <w:r w:rsidRPr="001B335E">
        <w:rPr>
          <w:lang w:val="fr-FR"/>
        </w:rPr>
        <w:t xml:space="preserve">2 : </w:t>
      </w:r>
    </w:p>
    <w:p w14:paraId="3B27A20B" w14:textId="0EF8B5E7" w:rsidR="00B07435" w:rsidRPr="001B335E" w:rsidRDefault="00B07435" w:rsidP="00B07435">
      <w:pPr>
        <w:pStyle w:val="SingleTxtG"/>
        <w:rPr>
          <w:lang w:val="fr-FR"/>
        </w:rPr>
      </w:pPr>
      <w:r w:rsidRPr="001B335E">
        <w:rPr>
          <w:lang w:val="fr-FR"/>
        </w:rPr>
        <w:tab/>
        <w:t>Remplacer « tableau 3</w:t>
      </w:r>
      <w:r w:rsidR="009E181B" w:rsidRPr="009E181B">
        <w:rPr>
          <w:lang w:val="fr-FR"/>
        </w:rPr>
        <w:t>.</w:t>
      </w:r>
      <w:r w:rsidRPr="001B335E">
        <w:rPr>
          <w:lang w:val="fr-FR"/>
        </w:rPr>
        <w:t>4</w:t>
      </w:r>
      <w:r w:rsidR="009E181B" w:rsidRPr="009E181B">
        <w:rPr>
          <w:lang w:val="fr-FR"/>
        </w:rPr>
        <w:t>.</w:t>
      </w:r>
      <w:r w:rsidRPr="001B335E">
        <w:rPr>
          <w:lang w:val="fr-FR"/>
        </w:rPr>
        <w:t>3 » par « tableau 3</w:t>
      </w:r>
      <w:r w:rsidR="009E181B" w:rsidRPr="009E181B">
        <w:rPr>
          <w:lang w:val="fr-FR"/>
        </w:rPr>
        <w:t>.</w:t>
      </w:r>
      <w:r w:rsidRPr="001B335E">
        <w:rPr>
          <w:lang w:val="fr-FR"/>
        </w:rPr>
        <w:t>4</w:t>
      </w:r>
      <w:r w:rsidR="009E181B" w:rsidRPr="009E181B">
        <w:rPr>
          <w:lang w:val="fr-FR"/>
        </w:rPr>
        <w:t>.</w:t>
      </w:r>
      <w:r w:rsidRPr="001B335E">
        <w:rPr>
          <w:lang w:val="fr-FR"/>
        </w:rPr>
        <w:t>4 » dans le libellé du paragraphe et dans le titre du tableau « Résultats des essais sur l</w:t>
      </w:r>
      <w:r>
        <w:rPr>
          <w:lang w:val="fr-FR"/>
        </w:rPr>
        <w:t>’</w:t>
      </w:r>
      <w:r w:rsidRPr="001B335E">
        <w:rPr>
          <w:lang w:val="fr-FR"/>
        </w:rPr>
        <w:t>animal pour la sous-catégorie 1A »</w:t>
      </w:r>
      <w:r w:rsidR="009E181B" w:rsidRPr="009E181B">
        <w:rPr>
          <w:lang w:val="fr-FR"/>
        </w:rPr>
        <w:t>.</w:t>
      </w:r>
    </w:p>
    <w:p w14:paraId="7A80576F" w14:textId="6DB7A1A7" w:rsidR="00B07435" w:rsidRPr="001B335E" w:rsidRDefault="00B07435" w:rsidP="001B09AC">
      <w:pPr>
        <w:pStyle w:val="SingleTxtG"/>
        <w:spacing w:before="120"/>
        <w:ind w:left="1701"/>
        <w:rPr>
          <w:color w:val="000000" w:themeColor="text1"/>
          <w:lang w:val="fr-FR"/>
        </w:rPr>
      </w:pPr>
      <w:r w:rsidRPr="001B335E">
        <w:rPr>
          <w:lang w:val="fr-FR"/>
        </w:rPr>
        <w:t xml:space="preserve">Dans la première colonne (« Essai »), sous la rubrique « Essai de stimulation locale des ganglions lymphatiques », ajouter une nouvelle rubrique « </w:t>
      </w:r>
      <w:r w:rsidRPr="001B335E">
        <w:rPr>
          <w:b/>
          <w:bCs/>
          <w:u w:val="single"/>
          <w:lang w:val="fr-FR"/>
        </w:rPr>
        <w:t>Essai de stimulation locale des ganglions lymphatiques : BrdU-ELISA</w:t>
      </w:r>
      <w:r w:rsidRPr="001B335E">
        <w:rPr>
          <w:lang w:val="fr-FR"/>
        </w:rPr>
        <w:t xml:space="preserve"> »</w:t>
      </w:r>
      <w:r w:rsidR="009E181B" w:rsidRPr="009E181B">
        <w:rPr>
          <w:lang w:val="fr-FR"/>
        </w:rPr>
        <w:t>.</w:t>
      </w:r>
    </w:p>
    <w:p w14:paraId="28A73C8E" w14:textId="6DFC0CA9" w:rsidR="00B07435" w:rsidRPr="001B335E" w:rsidRDefault="00B07435" w:rsidP="001B09AC">
      <w:pPr>
        <w:pStyle w:val="SingleTxtG"/>
        <w:spacing w:before="120"/>
        <w:ind w:left="1701"/>
        <w:rPr>
          <w:color w:val="000000" w:themeColor="text1"/>
          <w:lang w:val="fr-FR"/>
        </w:rPr>
      </w:pPr>
      <w:r w:rsidRPr="001B335E">
        <w:rPr>
          <w:lang w:val="fr-FR"/>
        </w:rPr>
        <w:t xml:space="preserve">Dans la deuxième colonne (« Critères »), pour la nouvelle rubrique « </w:t>
      </w:r>
      <w:r w:rsidRPr="001B335E">
        <w:rPr>
          <w:b/>
          <w:bCs/>
          <w:u w:val="single"/>
          <w:lang w:val="fr-FR"/>
        </w:rPr>
        <w:t>Essai de stimulation locale des ganglions lymphatiques : BrdU-ELISA</w:t>
      </w:r>
      <w:r w:rsidRPr="001B335E">
        <w:rPr>
          <w:lang w:val="fr-FR"/>
        </w:rPr>
        <w:t xml:space="preserve"> », ajouter « </w:t>
      </w:r>
      <w:r w:rsidRPr="001B335E">
        <w:rPr>
          <w:b/>
          <w:bCs/>
          <w:u w:val="single"/>
          <w:lang w:val="fr-FR"/>
        </w:rPr>
        <w:t>Valeur CE1,6 ≤ 6 %</w:t>
      </w:r>
      <w:r w:rsidRPr="001B335E">
        <w:rPr>
          <w:lang w:val="fr-FR"/>
        </w:rPr>
        <w:t xml:space="preserve"> »</w:t>
      </w:r>
      <w:r w:rsidR="009E181B" w:rsidRPr="009E181B">
        <w:rPr>
          <w:lang w:val="fr-FR"/>
        </w:rPr>
        <w:t>.</w:t>
      </w:r>
    </w:p>
    <w:p w14:paraId="32CAD78C" w14:textId="395A5AA4" w:rsidR="00B07435" w:rsidRPr="001B335E" w:rsidRDefault="00B07435" w:rsidP="00B07435">
      <w:pPr>
        <w:pStyle w:val="SingleTxtG"/>
        <w:spacing w:before="120"/>
        <w:ind w:left="1701"/>
        <w:rPr>
          <w:color w:val="000000" w:themeColor="text1"/>
          <w:lang w:val="fr-FR"/>
        </w:rPr>
      </w:pPr>
      <w:r w:rsidRPr="001B335E">
        <w:rPr>
          <w:lang w:val="fr-FR"/>
        </w:rPr>
        <w:t>Sous le nouveau tableau 3</w:t>
      </w:r>
      <w:r w:rsidR="009E181B" w:rsidRPr="009E181B">
        <w:rPr>
          <w:lang w:val="fr-FR"/>
        </w:rPr>
        <w:t>.</w:t>
      </w:r>
      <w:r w:rsidRPr="001B335E">
        <w:rPr>
          <w:lang w:val="fr-FR"/>
        </w:rPr>
        <w:t>4</w:t>
      </w:r>
      <w:r w:rsidR="009E181B" w:rsidRPr="009E181B">
        <w:rPr>
          <w:lang w:val="fr-FR"/>
        </w:rPr>
        <w:t>.</w:t>
      </w:r>
      <w:r w:rsidRPr="001B335E">
        <w:rPr>
          <w:lang w:val="fr-FR"/>
        </w:rPr>
        <w:t>4, ajouter le nota suivant :</w:t>
      </w:r>
    </w:p>
    <w:p w14:paraId="2ABBE609" w14:textId="68B358A0" w:rsidR="00B07435" w:rsidRPr="001B335E" w:rsidRDefault="00B07435" w:rsidP="00B07435">
      <w:pPr>
        <w:pStyle w:val="SingleTxtG"/>
        <w:spacing w:before="120"/>
        <w:ind w:left="1985"/>
        <w:rPr>
          <w:u w:val="single"/>
          <w:lang w:val="fr-FR"/>
        </w:rPr>
      </w:pPr>
      <w:r w:rsidRPr="001B335E">
        <w:rPr>
          <w:lang w:val="fr-FR"/>
        </w:rPr>
        <w:t>« </w:t>
      </w:r>
      <w:r w:rsidRPr="001B335E">
        <w:rPr>
          <w:b/>
          <w:bCs/>
          <w:i/>
          <w:iCs/>
          <w:u w:val="single"/>
          <w:lang w:val="fr-FR"/>
        </w:rPr>
        <w:t>Nota : Les valeurs CE3 et CE1,6 sont des estimations de la concentration d</w:t>
      </w:r>
      <w:r>
        <w:rPr>
          <w:b/>
          <w:bCs/>
          <w:i/>
          <w:iCs/>
          <w:u w:val="single"/>
          <w:lang w:val="fr-FR"/>
        </w:rPr>
        <w:t>’</w:t>
      </w:r>
      <w:r w:rsidRPr="001B335E">
        <w:rPr>
          <w:b/>
          <w:bCs/>
          <w:i/>
          <w:iCs/>
          <w:u w:val="single"/>
          <w:lang w:val="fr-FR"/>
        </w:rPr>
        <w:t>un produit chimique censée provoquer une réponse positive pour chaque méthode d</w:t>
      </w:r>
      <w:r>
        <w:rPr>
          <w:b/>
          <w:bCs/>
          <w:i/>
          <w:iCs/>
          <w:u w:val="single"/>
          <w:lang w:val="fr-FR"/>
        </w:rPr>
        <w:t>’</w:t>
      </w:r>
      <w:r w:rsidRPr="001B335E">
        <w:rPr>
          <w:b/>
          <w:bCs/>
          <w:i/>
          <w:iCs/>
          <w:u w:val="single"/>
          <w:lang w:val="fr-FR"/>
        </w:rPr>
        <w:t>essai</w:t>
      </w:r>
      <w:r w:rsidR="009E181B" w:rsidRPr="009E181B">
        <w:rPr>
          <w:b/>
          <w:bCs/>
          <w:i/>
          <w:iCs/>
          <w:u w:val="single"/>
          <w:lang w:val="fr-FR"/>
        </w:rPr>
        <w:t>.</w:t>
      </w:r>
    </w:p>
    <w:p w14:paraId="0574A863" w14:textId="09378D83" w:rsidR="00B07435" w:rsidRPr="001B335E" w:rsidRDefault="00B07435" w:rsidP="00B07435">
      <w:pPr>
        <w:pStyle w:val="SingleTxtG"/>
        <w:spacing w:before="120"/>
        <w:ind w:left="1985"/>
        <w:rPr>
          <w:b/>
          <w:bCs/>
          <w:i/>
          <w:iCs/>
          <w:color w:val="000000" w:themeColor="text1"/>
          <w:spacing w:val="-6"/>
          <w:sz w:val="19"/>
          <w:szCs w:val="19"/>
          <w:u w:val="single"/>
          <w:lang w:val="fr-FR"/>
        </w:rPr>
      </w:pPr>
      <w:r w:rsidRPr="001B335E">
        <w:rPr>
          <w:b/>
          <w:bCs/>
          <w:i/>
          <w:iCs/>
          <w:u w:val="single"/>
          <w:lang w:val="fr-FR"/>
        </w:rPr>
        <w:t>Bien qu</w:t>
      </w:r>
      <w:r>
        <w:rPr>
          <w:b/>
          <w:bCs/>
          <w:i/>
          <w:iCs/>
          <w:u w:val="single"/>
          <w:lang w:val="fr-FR"/>
        </w:rPr>
        <w:t>’</w:t>
      </w:r>
      <w:r w:rsidRPr="001B335E">
        <w:rPr>
          <w:b/>
          <w:bCs/>
          <w:i/>
          <w:iCs/>
          <w:u w:val="single"/>
          <w:lang w:val="fr-FR"/>
        </w:rPr>
        <w:t>aucun critère de sous-catégorisation n</w:t>
      </w:r>
      <w:r>
        <w:rPr>
          <w:b/>
          <w:bCs/>
          <w:i/>
          <w:iCs/>
          <w:u w:val="single"/>
          <w:lang w:val="fr-FR"/>
        </w:rPr>
        <w:t>’</w:t>
      </w:r>
      <w:r w:rsidRPr="001B335E">
        <w:rPr>
          <w:b/>
          <w:bCs/>
          <w:i/>
          <w:iCs/>
          <w:u w:val="single"/>
          <w:lang w:val="fr-FR"/>
        </w:rPr>
        <w:t>ait pour l</w:t>
      </w:r>
      <w:r>
        <w:rPr>
          <w:b/>
          <w:bCs/>
          <w:i/>
          <w:iCs/>
          <w:u w:val="single"/>
          <w:lang w:val="fr-FR"/>
        </w:rPr>
        <w:t>’</w:t>
      </w:r>
      <w:r w:rsidRPr="001B335E">
        <w:rPr>
          <w:b/>
          <w:bCs/>
          <w:i/>
          <w:iCs/>
          <w:u w:val="single"/>
          <w:lang w:val="fr-FR"/>
        </w:rPr>
        <w:t>instant été défini dans les lignes directrices de l</w:t>
      </w:r>
      <w:r>
        <w:rPr>
          <w:b/>
          <w:bCs/>
          <w:i/>
          <w:iCs/>
          <w:u w:val="single"/>
          <w:lang w:val="fr-FR"/>
        </w:rPr>
        <w:t>’</w:t>
      </w:r>
      <w:r w:rsidRPr="001B335E">
        <w:rPr>
          <w:b/>
          <w:bCs/>
          <w:i/>
          <w:iCs/>
          <w:u w:val="single"/>
          <w:lang w:val="fr-FR"/>
        </w:rPr>
        <w:t xml:space="preserve">OCDE pour les </w:t>
      </w:r>
      <w:r w:rsidRPr="009E181B">
        <w:rPr>
          <w:b/>
          <w:bCs/>
          <w:i/>
          <w:iCs/>
          <w:u w:val="single"/>
          <w:lang w:val="fr-FR"/>
        </w:rPr>
        <w:t xml:space="preserve">essais </w:t>
      </w:r>
      <w:r w:rsidR="00AE340D" w:rsidRPr="009E181B">
        <w:rPr>
          <w:rFonts w:eastAsia="MS Mincho"/>
          <w:b/>
          <w:bCs/>
          <w:i/>
          <w:iCs/>
          <w:u w:val="single"/>
          <w:lang w:val="fr-FR"/>
        </w:rPr>
        <w:t>n</w:t>
      </w:r>
      <w:r w:rsidR="00AE340D" w:rsidRPr="009E181B">
        <w:rPr>
          <w:rFonts w:eastAsia="MS Mincho"/>
          <w:b/>
          <w:bCs/>
          <w:i/>
          <w:iCs/>
          <w:u w:val="single"/>
          <w:vertAlign w:val="superscript"/>
          <w:lang w:val="fr-FR"/>
        </w:rPr>
        <w:t>os</w:t>
      </w:r>
      <w:r w:rsidR="00AE340D" w:rsidRPr="009E181B">
        <w:rPr>
          <w:b/>
          <w:bCs/>
          <w:i/>
          <w:iCs/>
          <w:u w:val="single"/>
          <w:lang w:val="fr-FR"/>
        </w:rPr>
        <w:t> </w:t>
      </w:r>
      <w:r w:rsidRPr="009E181B">
        <w:rPr>
          <w:b/>
          <w:bCs/>
          <w:i/>
          <w:iCs/>
          <w:u w:val="single"/>
          <w:lang w:val="fr-FR"/>
        </w:rPr>
        <w:t>406,</w:t>
      </w:r>
      <w:r w:rsidRPr="001B335E">
        <w:rPr>
          <w:b/>
          <w:bCs/>
          <w:i/>
          <w:iCs/>
          <w:u w:val="single"/>
          <w:lang w:val="fr-FR"/>
        </w:rPr>
        <w:t xml:space="preserve"> 429 et 442B, des critères de sous-catégorisation validés peuvent être acceptés par certaines autorités compétentes</w:t>
      </w:r>
      <w:r w:rsidR="009E181B" w:rsidRPr="009E181B">
        <w:rPr>
          <w:b/>
          <w:bCs/>
          <w:i/>
          <w:iCs/>
          <w:u w:val="single"/>
          <w:lang w:val="fr-FR"/>
        </w:rPr>
        <w:t>.</w:t>
      </w:r>
      <w:r w:rsidRPr="00AE340D">
        <w:rPr>
          <w:u w:val="single"/>
          <w:lang w:val="fr-FR"/>
        </w:rPr>
        <w:t xml:space="preserve"> </w:t>
      </w:r>
      <w:r w:rsidRPr="001B335E">
        <w:rPr>
          <w:b/>
          <w:bCs/>
          <w:i/>
          <w:iCs/>
          <w:u w:val="single"/>
          <w:lang w:val="fr-FR"/>
        </w:rPr>
        <w:t>Une autorité compétente peut décider des éventuels critères de classification à appliquer à ces méthodes d</w:t>
      </w:r>
      <w:r>
        <w:rPr>
          <w:b/>
          <w:bCs/>
          <w:i/>
          <w:iCs/>
          <w:u w:val="single"/>
          <w:lang w:val="fr-FR"/>
        </w:rPr>
        <w:t>’</w:t>
      </w:r>
      <w:r w:rsidRPr="001B335E">
        <w:rPr>
          <w:b/>
          <w:bCs/>
          <w:i/>
          <w:iCs/>
          <w:u w:val="single"/>
          <w:lang w:val="fr-FR"/>
        </w:rPr>
        <w:t>essai</w:t>
      </w:r>
      <w:r w:rsidR="009E181B" w:rsidRPr="009E181B">
        <w:rPr>
          <w:b/>
          <w:bCs/>
          <w:i/>
          <w:iCs/>
          <w:u w:val="single"/>
          <w:lang w:val="fr-FR"/>
        </w:rPr>
        <w:t>.</w:t>
      </w:r>
    </w:p>
    <w:p w14:paraId="676C8B85" w14:textId="4D4B30DF" w:rsidR="00B07435" w:rsidRPr="001B335E" w:rsidRDefault="00B07435" w:rsidP="00B07435">
      <w:pPr>
        <w:pStyle w:val="SingleTxtG"/>
        <w:spacing w:before="120"/>
        <w:ind w:left="1985"/>
        <w:rPr>
          <w:color w:val="000000" w:themeColor="text1"/>
          <w:sz w:val="19"/>
          <w:szCs w:val="19"/>
          <w:lang w:val="fr-FR"/>
        </w:rPr>
      </w:pPr>
      <w:r w:rsidRPr="001B335E">
        <w:rPr>
          <w:b/>
          <w:bCs/>
          <w:i/>
          <w:iCs/>
          <w:u w:val="single"/>
          <w:lang w:val="fr-FR"/>
        </w:rPr>
        <w:t>Pour la méthode DA et la méthode BrdU-FCM, il n</w:t>
      </w:r>
      <w:r>
        <w:rPr>
          <w:b/>
          <w:bCs/>
          <w:i/>
          <w:iCs/>
          <w:u w:val="single"/>
          <w:lang w:val="fr-FR"/>
        </w:rPr>
        <w:t>’</w:t>
      </w:r>
      <w:r w:rsidRPr="001B335E">
        <w:rPr>
          <w:b/>
          <w:bCs/>
          <w:i/>
          <w:iCs/>
          <w:u w:val="single"/>
          <w:lang w:val="fr-FR"/>
        </w:rPr>
        <w:t>existe actuellement aucun critère validé et accepté au niveau international permettant de classer des sensibilisants cutanés dans une sous-catégorie</w:t>
      </w:r>
      <w:r w:rsidR="009E181B" w:rsidRPr="009E181B">
        <w:rPr>
          <w:b/>
          <w:bCs/>
          <w:i/>
          <w:iCs/>
          <w:u w:val="single"/>
          <w:lang w:val="fr-FR"/>
        </w:rPr>
        <w:t>.</w:t>
      </w:r>
      <w:r w:rsidRPr="00AE340D">
        <w:rPr>
          <w:u w:val="single"/>
          <w:lang w:val="fr-FR"/>
        </w:rPr>
        <w:t xml:space="preserve"> </w:t>
      </w:r>
      <w:r w:rsidRPr="001B335E">
        <w:rPr>
          <w:b/>
          <w:bCs/>
          <w:i/>
          <w:iCs/>
          <w:u w:val="single"/>
          <w:lang w:val="fr-FR"/>
        </w:rPr>
        <w:t>Par conséquent, on ne peut utiliser ces méthodes d</w:t>
      </w:r>
      <w:r>
        <w:rPr>
          <w:b/>
          <w:bCs/>
          <w:i/>
          <w:iCs/>
          <w:u w:val="single"/>
          <w:lang w:val="fr-FR"/>
        </w:rPr>
        <w:t>’</w:t>
      </w:r>
      <w:r w:rsidRPr="001B335E">
        <w:rPr>
          <w:b/>
          <w:bCs/>
          <w:i/>
          <w:iCs/>
          <w:u w:val="single"/>
          <w:lang w:val="fr-FR"/>
        </w:rPr>
        <w:t>essai que pour conclure qu</w:t>
      </w:r>
      <w:r>
        <w:rPr>
          <w:b/>
          <w:bCs/>
          <w:i/>
          <w:iCs/>
          <w:u w:val="single"/>
          <w:lang w:val="fr-FR"/>
        </w:rPr>
        <w:t>’</w:t>
      </w:r>
      <w:r w:rsidRPr="001B335E">
        <w:rPr>
          <w:b/>
          <w:bCs/>
          <w:i/>
          <w:iCs/>
          <w:u w:val="single"/>
          <w:lang w:val="fr-FR"/>
        </w:rPr>
        <w:t>il convient de classer la substance concernée dans la catégorie 1 ou de ne la classer dans aucune catégorie</w:t>
      </w:r>
      <w:r w:rsidR="009E181B" w:rsidRPr="009E181B">
        <w:rPr>
          <w:b/>
          <w:bCs/>
          <w:i/>
          <w:iCs/>
          <w:u w:val="single"/>
          <w:lang w:val="fr-FR"/>
        </w:rPr>
        <w:t>.</w:t>
      </w:r>
      <w:r w:rsidRPr="001B335E">
        <w:rPr>
          <w:lang w:val="fr-FR"/>
        </w:rPr>
        <w:t> »</w:t>
      </w:r>
      <w:r w:rsidR="009E181B" w:rsidRPr="009E181B">
        <w:rPr>
          <w:lang w:val="fr-FR"/>
        </w:rPr>
        <w:t>.</w:t>
      </w:r>
    </w:p>
    <w:p w14:paraId="4A3157F0" w14:textId="6843BC06" w:rsidR="00B07435" w:rsidRPr="001B335E" w:rsidRDefault="00B07435" w:rsidP="001B09AC">
      <w:pPr>
        <w:pStyle w:val="SingleTxtG"/>
        <w:keepNext/>
        <w:spacing w:before="120"/>
        <w:rPr>
          <w:color w:val="000000" w:themeColor="text1"/>
          <w:lang w:val="fr-FR"/>
        </w:rPr>
      </w:pPr>
      <w:r w:rsidRPr="001B335E">
        <w:rPr>
          <w:lang w:val="fr-FR"/>
        </w:rPr>
        <w:t>18</w:t>
      </w:r>
      <w:r w:rsidR="009E181B" w:rsidRPr="009E181B">
        <w:rPr>
          <w:lang w:val="fr-FR"/>
        </w:rPr>
        <w:t>.</w:t>
      </w:r>
      <w:r w:rsidRPr="001B335E">
        <w:rPr>
          <w:lang w:val="fr-FR"/>
        </w:rPr>
        <w:tab/>
        <w:t>Au paragraphe 3</w:t>
      </w:r>
      <w:r w:rsidR="009E181B" w:rsidRPr="009E181B">
        <w:rPr>
          <w:lang w:val="fr-FR"/>
        </w:rPr>
        <w:t>.</w:t>
      </w:r>
      <w:r w:rsidRPr="001B335E">
        <w:rPr>
          <w:lang w:val="fr-FR"/>
        </w:rPr>
        <w:t>4</w:t>
      </w:r>
      <w:r w:rsidR="009E181B" w:rsidRPr="009E181B">
        <w:rPr>
          <w:lang w:val="fr-FR"/>
        </w:rPr>
        <w:t>.</w:t>
      </w:r>
      <w:r w:rsidRPr="001B335E">
        <w:rPr>
          <w:lang w:val="fr-FR"/>
        </w:rPr>
        <w:t>2</w:t>
      </w:r>
      <w:r w:rsidR="009E181B" w:rsidRPr="009E181B">
        <w:rPr>
          <w:lang w:val="fr-FR"/>
        </w:rPr>
        <w:t>.</w:t>
      </w:r>
      <w:r w:rsidRPr="001B335E">
        <w:rPr>
          <w:lang w:val="fr-FR"/>
        </w:rPr>
        <w:t>2</w:t>
      </w:r>
      <w:r w:rsidR="009E181B" w:rsidRPr="009E181B">
        <w:rPr>
          <w:lang w:val="fr-FR"/>
        </w:rPr>
        <w:t>.</w:t>
      </w:r>
      <w:r w:rsidRPr="001B335E">
        <w:rPr>
          <w:lang w:val="fr-FR"/>
        </w:rPr>
        <w:t>3</w:t>
      </w:r>
      <w:r w:rsidR="009E181B" w:rsidRPr="009E181B">
        <w:rPr>
          <w:lang w:val="fr-FR"/>
        </w:rPr>
        <w:t>.</w:t>
      </w:r>
      <w:r w:rsidRPr="001B335E">
        <w:rPr>
          <w:lang w:val="fr-FR"/>
        </w:rPr>
        <w:t xml:space="preserve">3 : </w:t>
      </w:r>
    </w:p>
    <w:p w14:paraId="62077E3B" w14:textId="40D90013" w:rsidR="00B07435" w:rsidRPr="001B335E" w:rsidRDefault="00B07435" w:rsidP="001B09AC">
      <w:pPr>
        <w:pStyle w:val="SingleTxtG"/>
        <w:spacing w:before="120"/>
        <w:ind w:left="1701"/>
        <w:rPr>
          <w:color w:val="000000" w:themeColor="text1"/>
          <w:lang w:val="fr-FR"/>
        </w:rPr>
      </w:pPr>
      <w:r w:rsidRPr="001B335E">
        <w:rPr>
          <w:lang w:val="fr-FR"/>
        </w:rPr>
        <w:t>Remplacer « tableau 3</w:t>
      </w:r>
      <w:r w:rsidR="009E181B" w:rsidRPr="009E181B">
        <w:rPr>
          <w:lang w:val="fr-FR"/>
        </w:rPr>
        <w:t>.</w:t>
      </w:r>
      <w:r w:rsidRPr="001B335E">
        <w:rPr>
          <w:lang w:val="fr-FR"/>
        </w:rPr>
        <w:t>4</w:t>
      </w:r>
      <w:r w:rsidR="009E181B" w:rsidRPr="009E181B">
        <w:rPr>
          <w:lang w:val="fr-FR"/>
        </w:rPr>
        <w:t>.</w:t>
      </w:r>
      <w:r w:rsidRPr="001B335E">
        <w:rPr>
          <w:lang w:val="fr-FR"/>
        </w:rPr>
        <w:t xml:space="preserve">4 » par « </w:t>
      </w:r>
      <w:r w:rsidRPr="001B335E">
        <w:rPr>
          <w:b/>
          <w:bCs/>
          <w:u w:val="single"/>
          <w:lang w:val="fr-FR"/>
        </w:rPr>
        <w:t>tableau 3</w:t>
      </w:r>
      <w:r w:rsidR="009E181B" w:rsidRPr="009E181B">
        <w:rPr>
          <w:b/>
          <w:bCs/>
          <w:u w:val="single"/>
          <w:lang w:val="fr-FR"/>
        </w:rPr>
        <w:t>.</w:t>
      </w:r>
      <w:r w:rsidRPr="001B335E">
        <w:rPr>
          <w:b/>
          <w:bCs/>
          <w:u w:val="single"/>
          <w:lang w:val="fr-FR"/>
        </w:rPr>
        <w:t>4</w:t>
      </w:r>
      <w:r w:rsidR="009E181B" w:rsidRPr="009E181B">
        <w:rPr>
          <w:b/>
          <w:bCs/>
          <w:u w:val="single"/>
          <w:lang w:val="fr-FR"/>
        </w:rPr>
        <w:t>.</w:t>
      </w:r>
      <w:r w:rsidRPr="001B335E">
        <w:rPr>
          <w:b/>
          <w:bCs/>
          <w:u w:val="single"/>
          <w:lang w:val="fr-FR"/>
        </w:rPr>
        <w:t>5</w:t>
      </w:r>
      <w:r w:rsidRPr="001B335E">
        <w:rPr>
          <w:lang w:val="fr-FR"/>
        </w:rPr>
        <w:t xml:space="preserve"> » dans la phrase et dans le titre du tableau « Résultats des essais sur l</w:t>
      </w:r>
      <w:r>
        <w:rPr>
          <w:lang w:val="fr-FR"/>
        </w:rPr>
        <w:t>’</w:t>
      </w:r>
      <w:r w:rsidRPr="001B335E">
        <w:rPr>
          <w:lang w:val="fr-FR"/>
        </w:rPr>
        <w:t>animal pour la sous-catégorie 1B »</w:t>
      </w:r>
      <w:r w:rsidR="009E181B" w:rsidRPr="009E181B">
        <w:rPr>
          <w:lang w:val="fr-FR"/>
        </w:rPr>
        <w:t>.</w:t>
      </w:r>
    </w:p>
    <w:p w14:paraId="54829ACA" w14:textId="61C70A6C" w:rsidR="00B07435" w:rsidRPr="001B335E" w:rsidRDefault="00B07435" w:rsidP="001B09AC">
      <w:pPr>
        <w:pStyle w:val="SingleTxtG"/>
        <w:spacing w:before="120"/>
        <w:ind w:left="1701"/>
        <w:rPr>
          <w:color w:val="000000" w:themeColor="text1"/>
          <w:lang w:val="fr-FR"/>
        </w:rPr>
      </w:pPr>
      <w:r w:rsidRPr="001B335E">
        <w:rPr>
          <w:lang w:val="fr-FR"/>
        </w:rPr>
        <w:t xml:space="preserve">Dans la première colonne (« Essai »), sous la rubrique « Essai de stimulation locale des ganglions lymphatiques », ajouter une nouvelle rubrique « </w:t>
      </w:r>
      <w:r w:rsidRPr="001B335E">
        <w:rPr>
          <w:b/>
          <w:bCs/>
          <w:u w:val="single"/>
          <w:lang w:val="fr-FR"/>
        </w:rPr>
        <w:t>Essai de stimulation locale des ganglions lymphatiques : BrdU-ELISA</w:t>
      </w:r>
      <w:r w:rsidRPr="001B335E">
        <w:rPr>
          <w:lang w:val="fr-FR"/>
        </w:rPr>
        <w:t xml:space="preserve"> »</w:t>
      </w:r>
      <w:r w:rsidR="009E181B" w:rsidRPr="009E181B">
        <w:rPr>
          <w:lang w:val="fr-FR"/>
        </w:rPr>
        <w:t>.</w:t>
      </w:r>
    </w:p>
    <w:p w14:paraId="31790CCD" w14:textId="71CE873E" w:rsidR="00B07435" w:rsidRPr="001B335E" w:rsidRDefault="00B07435" w:rsidP="001B09AC">
      <w:pPr>
        <w:pStyle w:val="SingleTxtG"/>
        <w:spacing w:before="120"/>
        <w:ind w:left="1701"/>
        <w:rPr>
          <w:color w:val="000000" w:themeColor="text1"/>
          <w:lang w:val="fr-FR"/>
        </w:rPr>
      </w:pPr>
      <w:r w:rsidRPr="001B335E">
        <w:rPr>
          <w:lang w:val="fr-FR"/>
        </w:rPr>
        <w:t xml:space="preserve">Dans la deuxième colonne (« Critères »), pour la nouvelle rubrique « </w:t>
      </w:r>
      <w:r w:rsidRPr="001B335E">
        <w:rPr>
          <w:b/>
          <w:bCs/>
          <w:u w:val="single"/>
          <w:lang w:val="fr-FR"/>
        </w:rPr>
        <w:t>Essai de stimulation locale des ganglions lymphatiques, méthode BrdU-ELISA</w:t>
      </w:r>
      <w:r w:rsidRPr="001B335E">
        <w:rPr>
          <w:lang w:val="fr-FR"/>
        </w:rPr>
        <w:t xml:space="preserve"> », ajouter « </w:t>
      </w:r>
      <w:r w:rsidRPr="001B335E">
        <w:rPr>
          <w:b/>
          <w:bCs/>
          <w:u w:val="single"/>
          <w:lang w:val="fr-FR"/>
        </w:rPr>
        <w:t>Valeur CE1,6 &gt; 6 %</w:t>
      </w:r>
      <w:r w:rsidRPr="001B335E">
        <w:rPr>
          <w:lang w:val="fr-FR"/>
        </w:rPr>
        <w:t xml:space="preserve"> »</w:t>
      </w:r>
      <w:r w:rsidR="009E181B" w:rsidRPr="009E181B">
        <w:rPr>
          <w:lang w:val="fr-FR"/>
        </w:rPr>
        <w:t>.</w:t>
      </w:r>
    </w:p>
    <w:p w14:paraId="0BECF103" w14:textId="43D867CD" w:rsidR="00B07435" w:rsidRPr="001B335E" w:rsidRDefault="00B07435" w:rsidP="00B07435">
      <w:pPr>
        <w:pStyle w:val="SingleTxtG"/>
        <w:spacing w:before="120"/>
        <w:ind w:left="1701"/>
        <w:rPr>
          <w:color w:val="000000" w:themeColor="text1"/>
          <w:lang w:val="fr-FR"/>
        </w:rPr>
      </w:pPr>
      <w:r w:rsidRPr="001B335E">
        <w:rPr>
          <w:lang w:val="fr-FR"/>
        </w:rPr>
        <w:t>Sous le nouveau tableau 3</w:t>
      </w:r>
      <w:r w:rsidR="009E181B" w:rsidRPr="009E181B">
        <w:rPr>
          <w:lang w:val="fr-FR"/>
        </w:rPr>
        <w:t>.</w:t>
      </w:r>
      <w:r w:rsidRPr="001B335E">
        <w:rPr>
          <w:lang w:val="fr-FR"/>
        </w:rPr>
        <w:t>4</w:t>
      </w:r>
      <w:r w:rsidR="009E181B" w:rsidRPr="009E181B">
        <w:rPr>
          <w:lang w:val="fr-FR"/>
        </w:rPr>
        <w:t>.</w:t>
      </w:r>
      <w:r w:rsidRPr="001B335E">
        <w:rPr>
          <w:lang w:val="fr-FR"/>
        </w:rPr>
        <w:t>5, ajouter le nota suivant :</w:t>
      </w:r>
    </w:p>
    <w:p w14:paraId="1BE6C015" w14:textId="53F712F3" w:rsidR="00B07435" w:rsidRPr="001B335E" w:rsidRDefault="00B07435" w:rsidP="00B07435">
      <w:pPr>
        <w:pStyle w:val="SingleTxtG"/>
        <w:spacing w:before="120"/>
        <w:ind w:left="1985"/>
        <w:rPr>
          <w:lang w:val="fr-FR"/>
        </w:rPr>
      </w:pPr>
      <w:bookmarkStart w:id="5" w:name="_Hlk112226090"/>
      <w:r w:rsidRPr="001B335E">
        <w:rPr>
          <w:lang w:val="fr-FR"/>
        </w:rPr>
        <w:t xml:space="preserve">« </w:t>
      </w:r>
      <w:r w:rsidRPr="001B335E">
        <w:rPr>
          <w:b/>
          <w:bCs/>
          <w:i/>
          <w:iCs/>
          <w:u w:val="single"/>
          <w:lang w:val="fr-FR"/>
        </w:rPr>
        <w:t>Nota : Les valeurs CE3 et CE1,6 sont des estimations de la concentration d</w:t>
      </w:r>
      <w:r>
        <w:rPr>
          <w:b/>
          <w:bCs/>
          <w:i/>
          <w:iCs/>
          <w:u w:val="single"/>
          <w:lang w:val="fr-FR"/>
        </w:rPr>
        <w:t>’</w:t>
      </w:r>
      <w:r w:rsidRPr="001B335E">
        <w:rPr>
          <w:b/>
          <w:bCs/>
          <w:i/>
          <w:iCs/>
          <w:u w:val="single"/>
          <w:lang w:val="fr-FR"/>
        </w:rPr>
        <w:t>un produit chimique censée provoquer une réponse positive pour chaque méthode d</w:t>
      </w:r>
      <w:r>
        <w:rPr>
          <w:b/>
          <w:bCs/>
          <w:i/>
          <w:iCs/>
          <w:u w:val="single"/>
          <w:lang w:val="fr-FR"/>
        </w:rPr>
        <w:t>’</w:t>
      </w:r>
      <w:r w:rsidRPr="001B335E">
        <w:rPr>
          <w:b/>
          <w:bCs/>
          <w:i/>
          <w:iCs/>
          <w:u w:val="single"/>
          <w:lang w:val="fr-FR"/>
        </w:rPr>
        <w:t>essai</w:t>
      </w:r>
      <w:r w:rsidR="009E181B" w:rsidRPr="009E181B">
        <w:rPr>
          <w:b/>
          <w:bCs/>
          <w:i/>
          <w:iCs/>
          <w:u w:val="single"/>
          <w:lang w:val="fr-FR"/>
        </w:rPr>
        <w:t>.</w:t>
      </w:r>
    </w:p>
    <w:p w14:paraId="7E639DBF" w14:textId="341EE39B" w:rsidR="00B07435" w:rsidRPr="001B335E" w:rsidRDefault="00B07435" w:rsidP="00B07435">
      <w:pPr>
        <w:pStyle w:val="SingleTxtG"/>
        <w:spacing w:before="120"/>
        <w:ind w:left="1985"/>
        <w:rPr>
          <w:color w:val="000000" w:themeColor="text1"/>
          <w:sz w:val="19"/>
          <w:szCs w:val="19"/>
          <w:lang w:val="fr-FR"/>
        </w:rPr>
      </w:pPr>
      <w:r w:rsidRPr="001B335E">
        <w:rPr>
          <w:b/>
          <w:bCs/>
          <w:i/>
          <w:iCs/>
          <w:u w:val="single"/>
          <w:lang w:val="fr-FR"/>
        </w:rPr>
        <w:t>Bien qu</w:t>
      </w:r>
      <w:r>
        <w:rPr>
          <w:b/>
          <w:bCs/>
          <w:i/>
          <w:iCs/>
          <w:u w:val="single"/>
          <w:lang w:val="fr-FR"/>
        </w:rPr>
        <w:t>’</w:t>
      </w:r>
      <w:r w:rsidRPr="001B335E">
        <w:rPr>
          <w:b/>
          <w:bCs/>
          <w:i/>
          <w:iCs/>
          <w:u w:val="single"/>
          <w:lang w:val="fr-FR"/>
        </w:rPr>
        <w:t>aucun critère de sous-catégorisation n</w:t>
      </w:r>
      <w:r>
        <w:rPr>
          <w:b/>
          <w:bCs/>
          <w:i/>
          <w:iCs/>
          <w:u w:val="single"/>
          <w:lang w:val="fr-FR"/>
        </w:rPr>
        <w:t>’</w:t>
      </w:r>
      <w:r w:rsidRPr="001B335E">
        <w:rPr>
          <w:b/>
          <w:bCs/>
          <w:i/>
          <w:iCs/>
          <w:u w:val="single"/>
          <w:lang w:val="fr-FR"/>
        </w:rPr>
        <w:t>ait pour l</w:t>
      </w:r>
      <w:r>
        <w:rPr>
          <w:b/>
          <w:bCs/>
          <w:i/>
          <w:iCs/>
          <w:u w:val="single"/>
          <w:lang w:val="fr-FR"/>
        </w:rPr>
        <w:t>’</w:t>
      </w:r>
      <w:r w:rsidRPr="001B335E">
        <w:rPr>
          <w:b/>
          <w:bCs/>
          <w:i/>
          <w:iCs/>
          <w:u w:val="single"/>
          <w:lang w:val="fr-FR"/>
        </w:rPr>
        <w:t>instant été défini dans les lignes directrices de l</w:t>
      </w:r>
      <w:r>
        <w:rPr>
          <w:b/>
          <w:bCs/>
          <w:i/>
          <w:iCs/>
          <w:u w:val="single"/>
          <w:lang w:val="fr-FR"/>
        </w:rPr>
        <w:t>’</w:t>
      </w:r>
      <w:r w:rsidRPr="001B335E">
        <w:rPr>
          <w:b/>
          <w:bCs/>
          <w:i/>
          <w:iCs/>
          <w:u w:val="single"/>
          <w:lang w:val="fr-FR"/>
        </w:rPr>
        <w:t xml:space="preserve">OCDE pour les </w:t>
      </w:r>
      <w:r w:rsidRPr="009E181B">
        <w:rPr>
          <w:b/>
          <w:bCs/>
          <w:i/>
          <w:iCs/>
          <w:u w:val="single"/>
          <w:lang w:val="fr-FR"/>
        </w:rPr>
        <w:t xml:space="preserve">essais </w:t>
      </w:r>
      <w:r w:rsidR="00AE340D" w:rsidRPr="009E181B">
        <w:rPr>
          <w:rFonts w:eastAsia="MS Mincho"/>
          <w:b/>
          <w:bCs/>
          <w:i/>
          <w:iCs/>
          <w:u w:val="single"/>
          <w:lang w:val="fr-FR"/>
        </w:rPr>
        <w:t>n</w:t>
      </w:r>
      <w:r w:rsidR="00AE340D" w:rsidRPr="009E181B">
        <w:rPr>
          <w:rFonts w:eastAsia="MS Mincho"/>
          <w:b/>
          <w:bCs/>
          <w:i/>
          <w:iCs/>
          <w:u w:val="single"/>
          <w:vertAlign w:val="superscript"/>
          <w:lang w:val="fr-FR"/>
        </w:rPr>
        <w:t>os</w:t>
      </w:r>
      <w:r w:rsidR="00AE340D" w:rsidRPr="009E181B">
        <w:rPr>
          <w:b/>
          <w:bCs/>
          <w:i/>
          <w:iCs/>
          <w:u w:val="single"/>
          <w:lang w:val="fr-FR"/>
        </w:rPr>
        <w:t> </w:t>
      </w:r>
      <w:r w:rsidRPr="009E181B">
        <w:rPr>
          <w:b/>
          <w:bCs/>
          <w:i/>
          <w:iCs/>
          <w:u w:val="single"/>
          <w:lang w:val="fr-FR"/>
        </w:rPr>
        <w:t>406, 429 et 442B, des critères de sous-catégorisation validés peuvent être acceptés par</w:t>
      </w:r>
      <w:r w:rsidRPr="001B335E">
        <w:rPr>
          <w:b/>
          <w:bCs/>
          <w:i/>
          <w:iCs/>
          <w:u w:val="single"/>
          <w:lang w:val="fr-FR"/>
        </w:rPr>
        <w:t xml:space="preserve"> certaines autorités compétentes</w:t>
      </w:r>
      <w:r w:rsidR="009E181B" w:rsidRPr="009E181B">
        <w:rPr>
          <w:b/>
          <w:bCs/>
          <w:i/>
          <w:iCs/>
          <w:u w:val="single"/>
          <w:lang w:val="fr-FR"/>
        </w:rPr>
        <w:t>.</w:t>
      </w:r>
      <w:r w:rsidRPr="00AE340D">
        <w:rPr>
          <w:u w:val="single"/>
          <w:lang w:val="fr-FR"/>
        </w:rPr>
        <w:t xml:space="preserve"> </w:t>
      </w:r>
      <w:r w:rsidRPr="001B335E">
        <w:rPr>
          <w:b/>
          <w:bCs/>
          <w:i/>
          <w:iCs/>
          <w:u w:val="single"/>
          <w:lang w:val="fr-FR"/>
        </w:rPr>
        <w:t>Une autorité compétente peut décider des éventuels critères de classification à appliquer à ces méthodes d</w:t>
      </w:r>
      <w:r>
        <w:rPr>
          <w:b/>
          <w:bCs/>
          <w:i/>
          <w:iCs/>
          <w:u w:val="single"/>
          <w:lang w:val="fr-FR"/>
        </w:rPr>
        <w:t>’</w:t>
      </w:r>
      <w:r w:rsidRPr="001B335E">
        <w:rPr>
          <w:b/>
          <w:bCs/>
          <w:i/>
          <w:iCs/>
          <w:u w:val="single"/>
          <w:lang w:val="fr-FR"/>
        </w:rPr>
        <w:t>essai</w:t>
      </w:r>
      <w:r w:rsidR="009E181B" w:rsidRPr="009E181B">
        <w:rPr>
          <w:b/>
          <w:bCs/>
          <w:i/>
          <w:iCs/>
          <w:u w:val="single"/>
          <w:lang w:val="fr-FR"/>
        </w:rPr>
        <w:t>.</w:t>
      </w:r>
    </w:p>
    <w:p w14:paraId="4EA7AA76" w14:textId="513DA38F" w:rsidR="00B07435" w:rsidRPr="001B335E" w:rsidRDefault="00B07435" w:rsidP="00B07435">
      <w:pPr>
        <w:pStyle w:val="SingleTxtG"/>
        <w:spacing w:before="120"/>
        <w:ind w:left="1985"/>
        <w:rPr>
          <w:b/>
          <w:bCs/>
          <w:i/>
          <w:iCs/>
          <w:color w:val="000000" w:themeColor="text1"/>
          <w:spacing w:val="-6"/>
          <w:sz w:val="19"/>
          <w:szCs w:val="19"/>
          <w:u w:val="single"/>
          <w:lang w:val="fr-FR"/>
        </w:rPr>
      </w:pPr>
      <w:r w:rsidRPr="001B335E">
        <w:rPr>
          <w:b/>
          <w:bCs/>
          <w:i/>
          <w:iCs/>
          <w:u w:val="single"/>
          <w:lang w:val="fr-FR"/>
        </w:rPr>
        <w:t>Pour la méthode DA et la méthode BrdU-FCM, il n</w:t>
      </w:r>
      <w:r>
        <w:rPr>
          <w:b/>
          <w:bCs/>
          <w:i/>
          <w:iCs/>
          <w:u w:val="single"/>
          <w:lang w:val="fr-FR"/>
        </w:rPr>
        <w:t>’</w:t>
      </w:r>
      <w:r w:rsidRPr="001B335E">
        <w:rPr>
          <w:b/>
          <w:bCs/>
          <w:i/>
          <w:iCs/>
          <w:u w:val="single"/>
          <w:lang w:val="fr-FR"/>
        </w:rPr>
        <w:t>existe actuellement aucun critère validé et accepté au niveau international permettant de classer des sensibilisants cutanés dans une sous-catégorie</w:t>
      </w:r>
      <w:r w:rsidR="009E181B" w:rsidRPr="009E181B">
        <w:rPr>
          <w:b/>
          <w:bCs/>
          <w:i/>
          <w:iCs/>
          <w:u w:val="single"/>
          <w:lang w:val="fr-FR"/>
        </w:rPr>
        <w:t>.</w:t>
      </w:r>
      <w:r w:rsidRPr="00012DF1">
        <w:rPr>
          <w:u w:val="single"/>
          <w:lang w:val="fr-FR"/>
        </w:rPr>
        <w:t xml:space="preserve"> </w:t>
      </w:r>
      <w:r w:rsidRPr="001B335E">
        <w:rPr>
          <w:b/>
          <w:bCs/>
          <w:i/>
          <w:iCs/>
          <w:u w:val="single"/>
          <w:lang w:val="fr-FR"/>
        </w:rPr>
        <w:t>Par conséquent, on ne peut utiliser ces méthodes d</w:t>
      </w:r>
      <w:r>
        <w:rPr>
          <w:b/>
          <w:bCs/>
          <w:i/>
          <w:iCs/>
          <w:u w:val="single"/>
          <w:lang w:val="fr-FR"/>
        </w:rPr>
        <w:t>’</w:t>
      </w:r>
      <w:r w:rsidRPr="001B335E">
        <w:rPr>
          <w:b/>
          <w:bCs/>
          <w:i/>
          <w:iCs/>
          <w:u w:val="single"/>
          <w:lang w:val="fr-FR"/>
        </w:rPr>
        <w:t>essai que pour conclure qu</w:t>
      </w:r>
      <w:r>
        <w:rPr>
          <w:b/>
          <w:bCs/>
          <w:i/>
          <w:iCs/>
          <w:u w:val="single"/>
          <w:lang w:val="fr-FR"/>
        </w:rPr>
        <w:t>’</w:t>
      </w:r>
      <w:r w:rsidRPr="001B335E">
        <w:rPr>
          <w:b/>
          <w:bCs/>
          <w:i/>
          <w:iCs/>
          <w:u w:val="single"/>
          <w:lang w:val="fr-FR"/>
        </w:rPr>
        <w:t>il convient de classer la substance concernée dans la catégorie 1 ou de ne la classer dans aucune catégorie</w:t>
      </w:r>
      <w:r w:rsidR="009E181B" w:rsidRPr="009E181B">
        <w:rPr>
          <w:b/>
          <w:bCs/>
          <w:i/>
          <w:iCs/>
          <w:u w:val="single"/>
          <w:lang w:val="fr-FR"/>
        </w:rPr>
        <w:t>.</w:t>
      </w:r>
      <w:r w:rsidRPr="001B335E">
        <w:rPr>
          <w:b/>
          <w:bCs/>
          <w:i/>
          <w:iCs/>
          <w:u w:val="single"/>
          <w:lang w:val="fr-FR"/>
        </w:rPr>
        <w:t> </w:t>
      </w:r>
      <w:r w:rsidRPr="00012DF1">
        <w:rPr>
          <w:b/>
          <w:bCs/>
          <w:u w:val="single"/>
          <w:lang w:val="fr-FR"/>
        </w:rPr>
        <w:t>»</w:t>
      </w:r>
      <w:r w:rsidR="009E181B" w:rsidRPr="009E181B">
        <w:rPr>
          <w:b/>
          <w:bCs/>
          <w:u w:val="single"/>
          <w:lang w:val="fr-FR"/>
        </w:rPr>
        <w:t>.</w:t>
      </w:r>
      <w:r w:rsidRPr="001B335E">
        <w:rPr>
          <w:lang w:val="fr-FR"/>
        </w:rPr>
        <w:t xml:space="preserve"> </w:t>
      </w:r>
    </w:p>
    <w:bookmarkEnd w:id="5"/>
    <w:p w14:paraId="1143574C" w14:textId="10F9A144" w:rsidR="00B07435" w:rsidRPr="001B335E" w:rsidRDefault="00B07435" w:rsidP="00B07435">
      <w:pPr>
        <w:pStyle w:val="SingleTxtG"/>
        <w:spacing w:before="120"/>
        <w:ind w:left="1701" w:hanging="567"/>
        <w:rPr>
          <w:color w:val="000000" w:themeColor="text1"/>
          <w:lang w:val="fr-FR"/>
        </w:rPr>
      </w:pPr>
      <w:r w:rsidRPr="001B335E">
        <w:rPr>
          <w:lang w:val="fr-FR"/>
        </w:rPr>
        <w:t>19</w:t>
      </w:r>
      <w:r w:rsidR="009E181B" w:rsidRPr="009E181B">
        <w:rPr>
          <w:lang w:val="fr-FR"/>
        </w:rPr>
        <w:t>.</w:t>
      </w:r>
      <w:r w:rsidRPr="001B335E">
        <w:rPr>
          <w:lang w:val="fr-FR"/>
        </w:rPr>
        <w:tab/>
        <w:t>Au paragraphe 3</w:t>
      </w:r>
      <w:r w:rsidR="009E181B" w:rsidRPr="009E181B">
        <w:rPr>
          <w:lang w:val="fr-FR"/>
        </w:rPr>
        <w:t>.</w:t>
      </w:r>
      <w:r w:rsidRPr="001B335E">
        <w:rPr>
          <w:lang w:val="fr-FR"/>
        </w:rPr>
        <w:t>4</w:t>
      </w:r>
      <w:r w:rsidR="009E181B" w:rsidRPr="009E181B">
        <w:rPr>
          <w:lang w:val="fr-FR"/>
        </w:rPr>
        <w:t>.</w:t>
      </w:r>
      <w:r w:rsidRPr="001B335E">
        <w:rPr>
          <w:lang w:val="fr-FR"/>
        </w:rPr>
        <w:t>3</w:t>
      </w:r>
      <w:r w:rsidR="009E181B" w:rsidRPr="009E181B">
        <w:rPr>
          <w:lang w:val="fr-FR"/>
        </w:rPr>
        <w:t>.</w:t>
      </w:r>
      <w:r w:rsidRPr="001B335E">
        <w:rPr>
          <w:lang w:val="fr-FR"/>
        </w:rPr>
        <w:t>1, remplacer « tableau 3</w:t>
      </w:r>
      <w:r w:rsidR="009E181B" w:rsidRPr="009E181B">
        <w:rPr>
          <w:lang w:val="fr-FR"/>
        </w:rPr>
        <w:t>.</w:t>
      </w:r>
      <w:r w:rsidRPr="001B335E">
        <w:rPr>
          <w:lang w:val="fr-FR"/>
        </w:rPr>
        <w:t>4</w:t>
      </w:r>
      <w:r w:rsidR="009E181B" w:rsidRPr="009E181B">
        <w:rPr>
          <w:lang w:val="fr-FR"/>
        </w:rPr>
        <w:t>.</w:t>
      </w:r>
      <w:r w:rsidRPr="001B335E">
        <w:rPr>
          <w:lang w:val="fr-FR"/>
        </w:rPr>
        <w:t>5 » par « </w:t>
      </w:r>
      <w:r w:rsidRPr="001B335E">
        <w:rPr>
          <w:b/>
          <w:bCs/>
          <w:u w:val="single"/>
          <w:lang w:val="fr-FR"/>
        </w:rPr>
        <w:t>tableau 3</w:t>
      </w:r>
      <w:r w:rsidR="009E181B" w:rsidRPr="009E181B">
        <w:rPr>
          <w:b/>
          <w:bCs/>
          <w:u w:val="single"/>
          <w:lang w:val="fr-FR"/>
        </w:rPr>
        <w:t>.</w:t>
      </w:r>
      <w:r w:rsidRPr="001B335E">
        <w:rPr>
          <w:b/>
          <w:bCs/>
          <w:u w:val="single"/>
          <w:lang w:val="fr-FR"/>
        </w:rPr>
        <w:t>4</w:t>
      </w:r>
      <w:r w:rsidR="009E181B" w:rsidRPr="009E181B">
        <w:rPr>
          <w:b/>
          <w:bCs/>
          <w:u w:val="single"/>
          <w:lang w:val="fr-FR"/>
        </w:rPr>
        <w:t>.</w:t>
      </w:r>
      <w:r w:rsidRPr="001B335E">
        <w:rPr>
          <w:b/>
          <w:bCs/>
          <w:u w:val="single"/>
          <w:lang w:val="fr-FR"/>
        </w:rPr>
        <w:t>6</w:t>
      </w:r>
      <w:r w:rsidRPr="001B335E">
        <w:rPr>
          <w:lang w:val="fr-FR"/>
        </w:rPr>
        <w:t> » dans la dernière phrase</w:t>
      </w:r>
      <w:r w:rsidR="009E181B" w:rsidRPr="009E181B">
        <w:rPr>
          <w:lang w:val="fr-FR"/>
        </w:rPr>
        <w:t>.</w:t>
      </w:r>
    </w:p>
    <w:p w14:paraId="5F78BDB3" w14:textId="11A61CBC" w:rsidR="00B07435" w:rsidRPr="001B335E" w:rsidRDefault="00B07435" w:rsidP="00B07435">
      <w:pPr>
        <w:pStyle w:val="SingleTxtG"/>
        <w:spacing w:before="120"/>
        <w:ind w:left="1701" w:hanging="567"/>
        <w:rPr>
          <w:color w:val="000000" w:themeColor="text1"/>
          <w:lang w:val="fr-FR"/>
        </w:rPr>
      </w:pPr>
      <w:r w:rsidRPr="001B335E">
        <w:rPr>
          <w:lang w:val="fr-FR"/>
        </w:rPr>
        <w:t>20</w:t>
      </w:r>
      <w:r w:rsidR="009E181B" w:rsidRPr="009E181B">
        <w:rPr>
          <w:lang w:val="fr-FR"/>
        </w:rPr>
        <w:t>.</w:t>
      </w:r>
      <w:r w:rsidRPr="001B335E">
        <w:rPr>
          <w:lang w:val="fr-FR"/>
        </w:rPr>
        <w:tab/>
        <w:t>Au paragraphe 3</w:t>
      </w:r>
      <w:r w:rsidR="009E181B" w:rsidRPr="009E181B">
        <w:rPr>
          <w:lang w:val="fr-FR"/>
        </w:rPr>
        <w:t>.</w:t>
      </w:r>
      <w:r w:rsidRPr="001B335E">
        <w:rPr>
          <w:lang w:val="fr-FR"/>
        </w:rPr>
        <w:t>4</w:t>
      </w:r>
      <w:r w:rsidR="009E181B" w:rsidRPr="009E181B">
        <w:rPr>
          <w:lang w:val="fr-FR"/>
        </w:rPr>
        <w:t>.</w:t>
      </w:r>
      <w:r w:rsidRPr="001B335E">
        <w:rPr>
          <w:lang w:val="fr-FR"/>
        </w:rPr>
        <w:t>3</w:t>
      </w:r>
      <w:r w:rsidR="009E181B" w:rsidRPr="009E181B">
        <w:rPr>
          <w:lang w:val="fr-FR"/>
        </w:rPr>
        <w:t>.</w:t>
      </w:r>
      <w:r w:rsidRPr="001B335E">
        <w:rPr>
          <w:lang w:val="fr-FR"/>
        </w:rPr>
        <w:t>3, remplacer « tableau 3</w:t>
      </w:r>
      <w:r w:rsidR="009E181B" w:rsidRPr="009E181B">
        <w:rPr>
          <w:lang w:val="fr-FR"/>
        </w:rPr>
        <w:t>.</w:t>
      </w:r>
      <w:r w:rsidRPr="001B335E">
        <w:rPr>
          <w:lang w:val="fr-FR"/>
        </w:rPr>
        <w:t>4</w:t>
      </w:r>
      <w:r w:rsidR="009E181B" w:rsidRPr="009E181B">
        <w:rPr>
          <w:lang w:val="fr-FR"/>
        </w:rPr>
        <w:t>.</w:t>
      </w:r>
      <w:r w:rsidRPr="001B335E">
        <w:rPr>
          <w:lang w:val="fr-FR"/>
        </w:rPr>
        <w:t xml:space="preserve">5 » par « </w:t>
      </w:r>
      <w:r w:rsidRPr="001B335E">
        <w:rPr>
          <w:b/>
          <w:bCs/>
          <w:u w:val="single"/>
          <w:lang w:val="fr-FR"/>
        </w:rPr>
        <w:t>tableau 3</w:t>
      </w:r>
      <w:r w:rsidR="009E181B" w:rsidRPr="009E181B">
        <w:rPr>
          <w:b/>
          <w:bCs/>
          <w:u w:val="single"/>
          <w:lang w:val="fr-FR"/>
        </w:rPr>
        <w:t>.</w:t>
      </w:r>
      <w:r w:rsidRPr="001B335E">
        <w:rPr>
          <w:b/>
          <w:bCs/>
          <w:u w:val="single"/>
          <w:lang w:val="fr-FR"/>
        </w:rPr>
        <w:t>4</w:t>
      </w:r>
      <w:r w:rsidR="009E181B" w:rsidRPr="009E181B">
        <w:rPr>
          <w:b/>
          <w:bCs/>
          <w:u w:val="single"/>
          <w:lang w:val="fr-FR"/>
        </w:rPr>
        <w:t>.</w:t>
      </w:r>
      <w:r w:rsidRPr="001B335E">
        <w:rPr>
          <w:b/>
          <w:bCs/>
          <w:u w:val="single"/>
          <w:lang w:val="fr-FR"/>
        </w:rPr>
        <w:t xml:space="preserve">6 </w:t>
      </w:r>
      <w:r w:rsidRPr="001B335E">
        <w:rPr>
          <w:lang w:val="fr-FR"/>
        </w:rPr>
        <w:t>» dans la phrase et dans le titre du tableau « Valeurs seuil/limites de concentration des composants d</w:t>
      </w:r>
      <w:r>
        <w:rPr>
          <w:lang w:val="fr-FR"/>
        </w:rPr>
        <w:t>’</w:t>
      </w:r>
      <w:r w:rsidRPr="001B335E">
        <w:rPr>
          <w:lang w:val="fr-FR"/>
        </w:rPr>
        <w:t xml:space="preserve">un mélange </w:t>
      </w:r>
      <w:r w:rsidR="001B09AC" w:rsidRPr="001B335E">
        <w:rPr>
          <w:lang w:val="fr-FR"/>
        </w:rPr>
        <w:t>considérés</w:t>
      </w:r>
      <w:r w:rsidRPr="001B335E">
        <w:rPr>
          <w:lang w:val="fr-FR"/>
        </w:rPr>
        <w:t xml:space="preserve"> comme sensibilisants respiratoires ou cutanés qui détermineraient la classification du mélange »</w:t>
      </w:r>
      <w:r w:rsidR="009E181B" w:rsidRPr="009E181B">
        <w:rPr>
          <w:lang w:val="fr-FR"/>
        </w:rPr>
        <w:t>.</w:t>
      </w:r>
    </w:p>
    <w:p w14:paraId="3612539F" w14:textId="4CAAE048" w:rsidR="00B07435" w:rsidRPr="001B335E" w:rsidRDefault="00B07435" w:rsidP="00B07435">
      <w:pPr>
        <w:pStyle w:val="SingleTxtG"/>
        <w:spacing w:before="120"/>
        <w:ind w:left="1701" w:hanging="567"/>
        <w:rPr>
          <w:color w:val="000000" w:themeColor="text1"/>
          <w:lang w:val="fr-FR"/>
        </w:rPr>
      </w:pPr>
      <w:r w:rsidRPr="001B335E">
        <w:rPr>
          <w:lang w:val="fr-FR"/>
        </w:rPr>
        <w:t>21</w:t>
      </w:r>
      <w:r w:rsidR="009E181B" w:rsidRPr="009E181B">
        <w:rPr>
          <w:lang w:val="fr-FR"/>
        </w:rPr>
        <w:t>.</w:t>
      </w:r>
      <w:r w:rsidRPr="001B335E">
        <w:rPr>
          <w:lang w:val="fr-FR"/>
        </w:rPr>
        <w:tab/>
        <w:t>Au paragraphe 3</w:t>
      </w:r>
      <w:r w:rsidR="009E181B" w:rsidRPr="009E181B">
        <w:rPr>
          <w:lang w:val="fr-FR"/>
        </w:rPr>
        <w:t>.</w:t>
      </w:r>
      <w:r w:rsidRPr="001B335E">
        <w:rPr>
          <w:lang w:val="fr-FR"/>
        </w:rPr>
        <w:t>4</w:t>
      </w:r>
      <w:r w:rsidR="009E181B" w:rsidRPr="009E181B">
        <w:rPr>
          <w:lang w:val="fr-FR"/>
        </w:rPr>
        <w:t>.</w:t>
      </w:r>
      <w:r w:rsidRPr="001B335E">
        <w:rPr>
          <w:lang w:val="fr-FR"/>
        </w:rPr>
        <w:t>4</w:t>
      </w:r>
      <w:r w:rsidR="009E181B" w:rsidRPr="009E181B">
        <w:rPr>
          <w:lang w:val="fr-FR"/>
        </w:rPr>
        <w:t>.</w:t>
      </w:r>
      <w:r w:rsidRPr="001B335E">
        <w:rPr>
          <w:lang w:val="fr-FR"/>
        </w:rPr>
        <w:t>1, remplacer « tableau 3</w:t>
      </w:r>
      <w:r w:rsidR="009E181B" w:rsidRPr="009E181B">
        <w:rPr>
          <w:lang w:val="fr-FR"/>
        </w:rPr>
        <w:t>.</w:t>
      </w:r>
      <w:r w:rsidRPr="001B335E">
        <w:rPr>
          <w:lang w:val="fr-FR"/>
        </w:rPr>
        <w:t>4</w:t>
      </w:r>
      <w:r w:rsidR="009E181B" w:rsidRPr="009E181B">
        <w:rPr>
          <w:lang w:val="fr-FR"/>
        </w:rPr>
        <w:t>.</w:t>
      </w:r>
      <w:r w:rsidRPr="001B335E">
        <w:rPr>
          <w:lang w:val="fr-FR"/>
        </w:rPr>
        <w:t xml:space="preserve">6 » par « </w:t>
      </w:r>
      <w:r w:rsidRPr="001B335E">
        <w:rPr>
          <w:b/>
          <w:bCs/>
          <w:u w:val="single"/>
          <w:lang w:val="fr-FR"/>
        </w:rPr>
        <w:t>tableau 3</w:t>
      </w:r>
      <w:r w:rsidR="009E181B" w:rsidRPr="009E181B">
        <w:rPr>
          <w:b/>
          <w:bCs/>
          <w:u w:val="single"/>
          <w:lang w:val="fr-FR"/>
        </w:rPr>
        <w:t>.</w:t>
      </w:r>
      <w:r w:rsidRPr="001B335E">
        <w:rPr>
          <w:b/>
          <w:bCs/>
          <w:u w:val="single"/>
          <w:lang w:val="fr-FR"/>
        </w:rPr>
        <w:t>4</w:t>
      </w:r>
      <w:r w:rsidR="009E181B" w:rsidRPr="009E181B">
        <w:rPr>
          <w:b/>
          <w:bCs/>
          <w:u w:val="single"/>
          <w:lang w:val="fr-FR"/>
        </w:rPr>
        <w:t>.</w:t>
      </w:r>
      <w:r w:rsidRPr="001B335E">
        <w:rPr>
          <w:b/>
          <w:bCs/>
          <w:u w:val="single"/>
          <w:lang w:val="fr-FR"/>
        </w:rPr>
        <w:t>7</w:t>
      </w:r>
      <w:r w:rsidRPr="001B335E">
        <w:rPr>
          <w:lang w:val="fr-FR"/>
        </w:rPr>
        <w:t xml:space="preserve"> » dans la dernière phrase et dans le titre du tableau « Éléments d</w:t>
      </w:r>
      <w:r>
        <w:rPr>
          <w:lang w:val="fr-FR"/>
        </w:rPr>
        <w:t>’</w:t>
      </w:r>
      <w:r w:rsidRPr="001B335E">
        <w:rPr>
          <w:lang w:val="fr-FR"/>
        </w:rPr>
        <w:t>étiquetage attribués aux sensibilisants respiratoires et cutanés »</w:t>
      </w:r>
      <w:r w:rsidR="009E181B" w:rsidRPr="009E181B">
        <w:rPr>
          <w:lang w:val="fr-FR"/>
        </w:rPr>
        <w:t>.</w:t>
      </w:r>
    </w:p>
    <w:p w14:paraId="781EBB32" w14:textId="5224A5DC" w:rsidR="00B07435" w:rsidRPr="001B335E" w:rsidRDefault="00B07435" w:rsidP="00B07435">
      <w:pPr>
        <w:pStyle w:val="SingleTxtG"/>
        <w:spacing w:before="120"/>
        <w:ind w:left="1701" w:hanging="567"/>
        <w:rPr>
          <w:color w:val="000000" w:themeColor="text1"/>
          <w:lang w:val="fr-FR"/>
        </w:rPr>
      </w:pPr>
      <w:r w:rsidRPr="001B335E">
        <w:rPr>
          <w:lang w:val="fr-FR"/>
        </w:rPr>
        <w:t>22</w:t>
      </w:r>
      <w:r w:rsidR="009E181B" w:rsidRPr="009E181B">
        <w:rPr>
          <w:lang w:val="fr-FR"/>
        </w:rPr>
        <w:t>.</w:t>
      </w:r>
      <w:r w:rsidRPr="001B335E">
        <w:rPr>
          <w:lang w:val="fr-FR"/>
        </w:rPr>
        <w:tab/>
        <w:t>Au paragraphe 3</w:t>
      </w:r>
      <w:r w:rsidR="009E181B" w:rsidRPr="009E181B">
        <w:rPr>
          <w:lang w:val="fr-FR"/>
        </w:rPr>
        <w:t>.</w:t>
      </w:r>
      <w:r w:rsidRPr="001B335E">
        <w:rPr>
          <w:lang w:val="fr-FR"/>
        </w:rPr>
        <w:t>4</w:t>
      </w:r>
      <w:r w:rsidR="009E181B" w:rsidRPr="009E181B">
        <w:rPr>
          <w:lang w:val="fr-FR"/>
        </w:rPr>
        <w:t>.</w:t>
      </w:r>
      <w:r w:rsidRPr="001B335E">
        <w:rPr>
          <w:lang w:val="fr-FR"/>
        </w:rPr>
        <w:t>4</w:t>
      </w:r>
      <w:r w:rsidR="009E181B" w:rsidRPr="009E181B">
        <w:rPr>
          <w:lang w:val="fr-FR"/>
        </w:rPr>
        <w:t>.</w:t>
      </w:r>
      <w:r w:rsidRPr="001B335E">
        <w:rPr>
          <w:lang w:val="fr-FR"/>
        </w:rPr>
        <w:t>2, remplacer « tableau 3</w:t>
      </w:r>
      <w:r w:rsidR="009E181B" w:rsidRPr="009E181B">
        <w:rPr>
          <w:lang w:val="fr-FR"/>
        </w:rPr>
        <w:t>.</w:t>
      </w:r>
      <w:r w:rsidRPr="001B335E">
        <w:rPr>
          <w:lang w:val="fr-FR"/>
        </w:rPr>
        <w:t>4</w:t>
      </w:r>
      <w:r w:rsidR="009E181B" w:rsidRPr="009E181B">
        <w:rPr>
          <w:lang w:val="fr-FR"/>
        </w:rPr>
        <w:t>.</w:t>
      </w:r>
      <w:r w:rsidRPr="001B335E">
        <w:rPr>
          <w:lang w:val="fr-FR"/>
        </w:rPr>
        <w:t xml:space="preserve">5 » par « </w:t>
      </w:r>
      <w:r w:rsidRPr="001B335E">
        <w:rPr>
          <w:b/>
          <w:bCs/>
          <w:u w:val="single"/>
          <w:lang w:val="fr-FR"/>
        </w:rPr>
        <w:t>tableau 3</w:t>
      </w:r>
      <w:r w:rsidR="009E181B" w:rsidRPr="009E181B">
        <w:rPr>
          <w:b/>
          <w:bCs/>
          <w:u w:val="single"/>
          <w:lang w:val="fr-FR"/>
        </w:rPr>
        <w:t>.</w:t>
      </w:r>
      <w:r w:rsidRPr="001B335E">
        <w:rPr>
          <w:b/>
          <w:bCs/>
          <w:u w:val="single"/>
          <w:lang w:val="fr-FR"/>
        </w:rPr>
        <w:t>4</w:t>
      </w:r>
      <w:r w:rsidR="009E181B" w:rsidRPr="009E181B">
        <w:rPr>
          <w:b/>
          <w:bCs/>
          <w:u w:val="single"/>
          <w:lang w:val="fr-FR"/>
        </w:rPr>
        <w:t>.</w:t>
      </w:r>
      <w:r w:rsidRPr="001B335E">
        <w:rPr>
          <w:b/>
          <w:bCs/>
          <w:u w:val="single"/>
          <w:lang w:val="fr-FR"/>
        </w:rPr>
        <w:t>6</w:t>
      </w:r>
      <w:r w:rsidRPr="001B335E">
        <w:rPr>
          <w:lang w:val="fr-FR"/>
        </w:rPr>
        <w:t xml:space="preserve"> » dans la dernière phrase</w:t>
      </w:r>
      <w:r w:rsidR="009E181B" w:rsidRPr="009E181B">
        <w:rPr>
          <w:lang w:val="fr-FR"/>
        </w:rPr>
        <w:t>.</w:t>
      </w:r>
      <w:bookmarkStart w:id="6" w:name="_Hlk110252038"/>
      <w:bookmarkEnd w:id="6"/>
    </w:p>
    <w:p w14:paraId="4E007575" w14:textId="5620256B" w:rsidR="00B07435" w:rsidRPr="001B335E" w:rsidRDefault="00B07435" w:rsidP="009E181B">
      <w:pPr>
        <w:pStyle w:val="SingleTxtG"/>
        <w:ind w:left="1701" w:hanging="567"/>
        <w:rPr>
          <w:color w:val="000000" w:themeColor="text1"/>
          <w:lang w:val="fr-FR"/>
        </w:rPr>
      </w:pPr>
      <w:r w:rsidRPr="001B335E">
        <w:rPr>
          <w:lang w:val="fr-FR"/>
        </w:rPr>
        <w:t>23</w:t>
      </w:r>
      <w:r w:rsidR="009E181B" w:rsidRPr="009E181B">
        <w:rPr>
          <w:lang w:val="fr-FR"/>
        </w:rPr>
        <w:t>.</w:t>
      </w:r>
      <w:r w:rsidRPr="001B335E">
        <w:rPr>
          <w:lang w:val="fr-FR"/>
        </w:rPr>
        <w:tab/>
        <w:t>Au paragraphe 3</w:t>
      </w:r>
      <w:r w:rsidR="009E181B" w:rsidRPr="009E181B">
        <w:rPr>
          <w:lang w:val="fr-FR"/>
        </w:rPr>
        <w:t>.</w:t>
      </w:r>
      <w:r w:rsidRPr="001B335E">
        <w:rPr>
          <w:lang w:val="fr-FR"/>
        </w:rPr>
        <w:t>4</w:t>
      </w:r>
      <w:r w:rsidR="009E181B" w:rsidRPr="009E181B">
        <w:rPr>
          <w:lang w:val="fr-FR"/>
        </w:rPr>
        <w:t>.</w:t>
      </w:r>
      <w:r w:rsidRPr="001B335E">
        <w:rPr>
          <w:lang w:val="fr-FR"/>
        </w:rPr>
        <w:t>5</w:t>
      </w:r>
      <w:r w:rsidR="009E181B" w:rsidRPr="009E181B">
        <w:rPr>
          <w:lang w:val="fr-FR"/>
        </w:rPr>
        <w:t>.</w:t>
      </w:r>
      <w:r w:rsidRPr="001B335E">
        <w:rPr>
          <w:lang w:val="fr-FR"/>
        </w:rPr>
        <w:t>1, « Diagramme de décision 3</w:t>
      </w:r>
      <w:r w:rsidR="009E181B" w:rsidRPr="009E181B">
        <w:rPr>
          <w:lang w:val="fr-FR"/>
        </w:rPr>
        <w:t>.</w:t>
      </w:r>
      <w:r w:rsidRPr="001B335E">
        <w:rPr>
          <w:lang w:val="fr-FR"/>
        </w:rPr>
        <w:t>4</w:t>
      </w:r>
      <w:r w:rsidR="009E181B" w:rsidRPr="009E181B">
        <w:rPr>
          <w:lang w:val="fr-FR"/>
        </w:rPr>
        <w:t>.</w:t>
      </w:r>
      <w:r w:rsidRPr="001B335E">
        <w:rPr>
          <w:lang w:val="fr-FR"/>
        </w:rPr>
        <w:t>1 pour la sensibilisation respiratoire », dans la dernière case, remplacer « tableau 3</w:t>
      </w:r>
      <w:r w:rsidR="009E181B" w:rsidRPr="009E181B">
        <w:rPr>
          <w:lang w:val="fr-FR"/>
        </w:rPr>
        <w:t>.</w:t>
      </w:r>
      <w:r w:rsidRPr="001B335E">
        <w:rPr>
          <w:lang w:val="fr-FR"/>
        </w:rPr>
        <w:t>4</w:t>
      </w:r>
      <w:r w:rsidR="009E181B" w:rsidRPr="009E181B">
        <w:rPr>
          <w:lang w:val="fr-FR"/>
        </w:rPr>
        <w:t>.</w:t>
      </w:r>
      <w:r w:rsidRPr="001B335E">
        <w:rPr>
          <w:lang w:val="fr-FR"/>
        </w:rPr>
        <w:t xml:space="preserve">5 » par « </w:t>
      </w:r>
      <w:r w:rsidRPr="001B335E">
        <w:rPr>
          <w:b/>
          <w:bCs/>
          <w:u w:val="single"/>
          <w:lang w:val="fr-FR"/>
        </w:rPr>
        <w:t>tableau 3</w:t>
      </w:r>
      <w:r w:rsidR="009E181B" w:rsidRPr="009E181B">
        <w:rPr>
          <w:b/>
          <w:bCs/>
          <w:u w:val="single"/>
          <w:lang w:val="fr-FR"/>
        </w:rPr>
        <w:t>.</w:t>
      </w:r>
      <w:r w:rsidRPr="001B335E">
        <w:rPr>
          <w:b/>
          <w:bCs/>
          <w:u w:val="single"/>
          <w:lang w:val="fr-FR"/>
        </w:rPr>
        <w:t>4</w:t>
      </w:r>
      <w:r w:rsidR="009E181B" w:rsidRPr="009E181B">
        <w:rPr>
          <w:b/>
          <w:bCs/>
          <w:u w:val="single"/>
          <w:lang w:val="fr-FR"/>
        </w:rPr>
        <w:t>.</w:t>
      </w:r>
      <w:r w:rsidRPr="001B335E">
        <w:rPr>
          <w:b/>
          <w:bCs/>
          <w:u w:val="single"/>
          <w:lang w:val="fr-FR"/>
        </w:rPr>
        <w:t>6</w:t>
      </w:r>
      <w:r>
        <w:rPr>
          <w:lang w:val="fr-FR"/>
        </w:rPr>
        <w:t> </w:t>
      </w:r>
      <w:r w:rsidRPr="001B335E">
        <w:rPr>
          <w:lang w:val="fr-FR"/>
        </w:rPr>
        <w:t>»</w:t>
      </w:r>
      <w:r w:rsidR="009E181B" w:rsidRPr="009E181B">
        <w:rPr>
          <w:lang w:val="fr-FR"/>
        </w:rPr>
        <w:t>.</w:t>
      </w:r>
    </w:p>
    <w:p w14:paraId="02A6F2EF" w14:textId="030ACB65" w:rsidR="00B07435" w:rsidRPr="001B335E" w:rsidRDefault="00B07435" w:rsidP="009E181B">
      <w:pPr>
        <w:pStyle w:val="SingleTxtG"/>
        <w:ind w:left="1701" w:hanging="567"/>
        <w:rPr>
          <w:color w:val="000000" w:themeColor="text1"/>
          <w:lang w:val="fr-FR"/>
        </w:rPr>
      </w:pPr>
      <w:r w:rsidRPr="001B335E">
        <w:rPr>
          <w:lang w:val="fr-FR"/>
        </w:rPr>
        <w:t>24</w:t>
      </w:r>
      <w:r w:rsidR="009E181B" w:rsidRPr="009E181B">
        <w:rPr>
          <w:lang w:val="fr-FR"/>
        </w:rPr>
        <w:t>.</w:t>
      </w:r>
      <w:r w:rsidRPr="001B335E">
        <w:rPr>
          <w:lang w:val="fr-FR"/>
        </w:rPr>
        <w:tab/>
        <w:t>Au paragraphe 3</w:t>
      </w:r>
      <w:r w:rsidR="009E181B" w:rsidRPr="009E181B">
        <w:rPr>
          <w:lang w:val="fr-FR"/>
        </w:rPr>
        <w:t>.</w:t>
      </w:r>
      <w:r w:rsidRPr="001B335E">
        <w:rPr>
          <w:lang w:val="fr-FR"/>
        </w:rPr>
        <w:t>4</w:t>
      </w:r>
      <w:r w:rsidR="009E181B" w:rsidRPr="009E181B">
        <w:rPr>
          <w:lang w:val="fr-FR"/>
        </w:rPr>
        <w:t>.</w:t>
      </w:r>
      <w:r w:rsidRPr="001B335E">
        <w:rPr>
          <w:lang w:val="fr-FR"/>
        </w:rPr>
        <w:t>5</w:t>
      </w:r>
      <w:r w:rsidR="009E181B" w:rsidRPr="009E181B">
        <w:rPr>
          <w:lang w:val="fr-FR"/>
        </w:rPr>
        <w:t>.</w:t>
      </w:r>
      <w:r w:rsidRPr="001B335E">
        <w:rPr>
          <w:lang w:val="fr-FR"/>
        </w:rPr>
        <w:t>2, « Diagramme de décision 3</w:t>
      </w:r>
      <w:r w:rsidR="009E181B" w:rsidRPr="009E181B">
        <w:rPr>
          <w:lang w:val="fr-FR"/>
        </w:rPr>
        <w:t>.</w:t>
      </w:r>
      <w:r w:rsidRPr="001B335E">
        <w:rPr>
          <w:lang w:val="fr-FR"/>
        </w:rPr>
        <w:t>4</w:t>
      </w:r>
      <w:r w:rsidR="009E181B" w:rsidRPr="009E181B">
        <w:rPr>
          <w:lang w:val="fr-FR"/>
        </w:rPr>
        <w:t>.</w:t>
      </w:r>
      <w:r w:rsidRPr="001B335E">
        <w:rPr>
          <w:lang w:val="fr-FR"/>
        </w:rPr>
        <w:t>2 pour la sensibilisation cutanée</w:t>
      </w:r>
      <w:r w:rsidR="00012DF1">
        <w:rPr>
          <w:lang w:val="fr-FR"/>
        </w:rPr>
        <w:t> </w:t>
      </w:r>
      <w:r w:rsidRPr="001B335E">
        <w:rPr>
          <w:lang w:val="fr-FR"/>
        </w:rPr>
        <w:t>», dans la dernière case, remplacer « tableau 3</w:t>
      </w:r>
      <w:r w:rsidR="009E181B" w:rsidRPr="009E181B">
        <w:rPr>
          <w:lang w:val="fr-FR"/>
        </w:rPr>
        <w:t>.</w:t>
      </w:r>
      <w:r w:rsidRPr="001B335E">
        <w:rPr>
          <w:lang w:val="fr-FR"/>
        </w:rPr>
        <w:t>4</w:t>
      </w:r>
      <w:r w:rsidR="009E181B" w:rsidRPr="009E181B">
        <w:rPr>
          <w:lang w:val="fr-FR"/>
        </w:rPr>
        <w:t>.</w:t>
      </w:r>
      <w:r w:rsidRPr="001B335E">
        <w:rPr>
          <w:lang w:val="fr-FR"/>
        </w:rPr>
        <w:t xml:space="preserve">5 » par « </w:t>
      </w:r>
      <w:r w:rsidRPr="001B335E">
        <w:rPr>
          <w:b/>
          <w:bCs/>
          <w:u w:val="single"/>
          <w:lang w:val="fr-FR"/>
        </w:rPr>
        <w:t>tableau 3</w:t>
      </w:r>
      <w:r w:rsidR="009E181B" w:rsidRPr="009E181B">
        <w:rPr>
          <w:b/>
          <w:bCs/>
          <w:u w:val="single"/>
          <w:lang w:val="fr-FR"/>
        </w:rPr>
        <w:t>.</w:t>
      </w:r>
      <w:r w:rsidRPr="001B335E">
        <w:rPr>
          <w:b/>
          <w:bCs/>
          <w:u w:val="single"/>
          <w:lang w:val="fr-FR"/>
        </w:rPr>
        <w:t>4</w:t>
      </w:r>
      <w:r w:rsidR="009E181B" w:rsidRPr="009E181B">
        <w:rPr>
          <w:b/>
          <w:bCs/>
          <w:u w:val="single"/>
          <w:lang w:val="fr-FR"/>
        </w:rPr>
        <w:t>.</w:t>
      </w:r>
      <w:r w:rsidRPr="001B335E">
        <w:rPr>
          <w:b/>
          <w:bCs/>
          <w:u w:val="single"/>
          <w:lang w:val="fr-FR"/>
        </w:rPr>
        <w:t>6</w:t>
      </w:r>
      <w:r w:rsidRPr="001B335E">
        <w:rPr>
          <w:lang w:val="fr-FR"/>
        </w:rPr>
        <w:t xml:space="preserve"> »</w:t>
      </w:r>
      <w:r w:rsidR="009E181B" w:rsidRPr="009E181B">
        <w:rPr>
          <w:lang w:val="fr-FR"/>
        </w:rPr>
        <w:t>.</w:t>
      </w:r>
    </w:p>
    <w:p w14:paraId="59C25DBD" w14:textId="75BFAC90" w:rsidR="00B07435" w:rsidRPr="001B335E" w:rsidRDefault="001B09AC" w:rsidP="001B09AC">
      <w:pPr>
        <w:pStyle w:val="HChG"/>
        <w:rPr>
          <w:color w:val="000000" w:themeColor="text1"/>
          <w:lang w:val="fr-FR"/>
        </w:rPr>
      </w:pPr>
      <w:r>
        <w:rPr>
          <w:lang w:val="fr-FR"/>
        </w:rPr>
        <w:tab/>
      </w:r>
      <w:r>
        <w:rPr>
          <w:lang w:val="fr-FR"/>
        </w:rPr>
        <w:tab/>
      </w:r>
      <w:r w:rsidR="00B07435" w:rsidRPr="001B335E">
        <w:rPr>
          <w:lang w:val="fr-FR"/>
        </w:rPr>
        <w:tab/>
        <w:t>Mesure à prendre</w:t>
      </w:r>
    </w:p>
    <w:p w14:paraId="7495AD7F" w14:textId="011EF253" w:rsidR="00B07435" w:rsidRPr="001B335E" w:rsidRDefault="00B07435" w:rsidP="001B09AC">
      <w:pPr>
        <w:pStyle w:val="SingleTxtG"/>
        <w:rPr>
          <w:color w:val="000000" w:themeColor="text1"/>
          <w:lang w:val="fr-FR"/>
        </w:rPr>
      </w:pPr>
      <w:r w:rsidRPr="001B335E">
        <w:rPr>
          <w:lang w:val="fr-FR"/>
        </w:rPr>
        <w:t>25</w:t>
      </w:r>
      <w:r w:rsidR="009E181B" w:rsidRPr="009E181B">
        <w:rPr>
          <w:lang w:val="fr-FR"/>
        </w:rPr>
        <w:t>.</w:t>
      </w:r>
      <w:r w:rsidRPr="001B335E">
        <w:rPr>
          <w:lang w:val="fr-FR"/>
        </w:rPr>
        <w:tab/>
        <w:t>Le Sous-Comité est invité à approuver les modifications qu</w:t>
      </w:r>
      <w:r>
        <w:rPr>
          <w:lang w:val="fr-FR"/>
        </w:rPr>
        <w:t>’</w:t>
      </w:r>
      <w:r w:rsidRPr="001B335E">
        <w:rPr>
          <w:lang w:val="fr-FR"/>
        </w:rPr>
        <w:t>il est proposé d</w:t>
      </w:r>
      <w:r>
        <w:rPr>
          <w:lang w:val="fr-FR"/>
        </w:rPr>
        <w:t>’</w:t>
      </w:r>
      <w:r w:rsidRPr="001B335E">
        <w:rPr>
          <w:lang w:val="fr-FR"/>
        </w:rPr>
        <w:t>apporter au paragraphe 3</w:t>
      </w:r>
      <w:r w:rsidR="009E181B" w:rsidRPr="009E181B">
        <w:rPr>
          <w:lang w:val="fr-FR"/>
        </w:rPr>
        <w:t>.</w:t>
      </w:r>
      <w:r w:rsidRPr="001B335E">
        <w:rPr>
          <w:lang w:val="fr-FR"/>
        </w:rPr>
        <w:t>4</w:t>
      </w:r>
      <w:r w:rsidR="009E181B" w:rsidRPr="009E181B">
        <w:rPr>
          <w:lang w:val="fr-FR"/>
        </w:rPr>
        <w:t>.</w:t>
      </w:r>
      <w:r w:rsidRPr="001B335E">
        <w:rPr>
          <w:lang w:val="fr-FR"/>
        </w:rPr>
        <w:t>2</w:t>
      </w:r>
      <w:r w:rsidR="009E181B" w:rsidRPr="009E181B">
        <w:rPr>
          <w:lang w:val="fr-FR"/>
        </w:rPr>
        <w:t>.</w:t>
      </w:r>
      <w:r w:rsidRPr="001B335E">
        <w:rPr>
          <w:lang w:val="fr-FR"/>
        </w:rPr>
        <w:t>2</w:t>
      </w:r>
      <w:r w:rsidR="009E181B" w:rsidRPr="009E181B">
        <w:rPr>
          <w:lang w:val="fr-FR"/>
        </w:rPr>
        <w:t>.</w:t>
      </w:r>
      <w:r w:rsidRPr="001B335E">
        <w:rPr>
          <w:lang w:val="fr-FR"/>
        </w:rPr>
        <w:t>3 du SGH et celles qui en découlent, telles que décrites aux paragraphes</w:t>
      </w:r>
      <w:r w:rsidR="00652A51">
        <w:rPr>
          <w:lang w:val="fr-FR"/>
        </w:rPr>
        <w:t> </w:t>
      </w:r>
      <w:r w:rsidRPr="001B335E">
        <w:rPr>
          <w:lang w:val="fr-FR"/>
        </w:rPr>
        <w:t>15 à 24 ci-dessus</w:t>
      </w:r>
      <w:r w:rsidR="009E181B" w:rsidRPr="009E181B">
        <w:rPr>
          <w:lang w:val="fr-FR"/>
        </w:rPr>
        <w:t>.</w:t>
      </w:r>
    </w:p>
    <w:p w14:paraId="2D2DC697" w14:textId="77777777" w:rsidR="00B07435" w:rsidRPr="001B335E" w:rsidRDefault="00B07435" w:rsidP="00B07435">
      <w:pPr>
        <w:suppressAutoHyphens w:val="0"/>
        <w:spacing w:line="240" w:lineRule="auto"/>
        <w:rPr>
          <w:color w:val="000000" w:themeColor="text1"/>
          <w:lang w:val="fr-FR" w:eastAsia="ja-JP"/>
        </w:rPr>
      </w:pPr>
      <w:r w:rsidRPr="001B335E">
        <w:rPr>
          <w:color w:val="000000" w:themeColor="text1"/>
          <w:lang w:val="fr-FR" w:eastAsia="ja-JP"/>
        </w:rPr>
        <w:br w:type="page"/>
      </w:r>
    </w:p>
    <w:p w14:paraId="50286699" w14:textId="77777777" w:rsidR="00B07435" w:rsidRPr="001B335E" w:rsidRDefault="00B07435" w:rsidP="00B07435">
      <w:pPr>
        <w:pStyle w:val="HChG"/>
        <w:rPr>
          <w:color w:val="000000" w:themeColor="text1"/>
          <w:lang w:val="fr-FR"/>
        </w:rPr>
      </w:pPr>
      <w:r w:rsidRPr="001B335E">
        <w:rPr>
          <w:lang w:val="fr-FR"/>
        </w:rPr>
        <w:t>Annexe</w:t>
      </w:r>
    </w:p>
    <w:p w14:paraId="38F4C9F5" w14:textId="77777777" w:rsidR="00B07435" w:rsidRPr="001B335E" w:rsidRDefault="00B07435" w:rsidP="00B07435">
      <w:pPr>
        <w:pStyle w:val="HChG"/>
        <w:rPr>
          <w:color w:val="000000" w:themeColor="text1"/>
          <w:lang w:val="fr-FR"/>
        </w:rPr>
      </w:pPr>
      <w:r w:rsidRPr="001B335E">
        <w:rPr>
          <w:lang w:val="fr-FR"/>
        </w:rPr>
        <w:tab/>
      </w:r>
      <w:r w:rsidRPr="001B335E">
        <w:rPr>
          <w:lang w:val="fr-FR"/>
        </w:rPr>
        <w:tab/>
        <w:t>Références</w:t>
      </w:r>
    </w:p>
    <w:p w14:paraId="21F495B2" w14:textId="33457E23" w:rsidR="00B07435" w:rsidRPr="009E181B" w:rsidRDefault="00B07435" w:rsidP="00B07435">
      <w:pPr>
        <w:pStyle w:val="SingleTxtG"/>
        <w:ind w:left="1304" w:hanging="170"/>
        <w:rPr>
          <w:lang w:val="fr-FR"/>
        </w:rPr>
      </w:pPr>
      <w:r w:rsidRPr="009E181B">
        <w:rPr>
          <w:lang w:val="fr-FR"/>
        </w:rPr>
        <w:t xml:space="preserve">Kobayashi T, Maeda Y, Kondo H, </w:t>
      </w:r>
      <w:proofErr w:type="spellStart"/>
      <w:r w:rsidRPr="009E181B">
        <w:rPr>
          <w:lang w:val="fr-FR"/>
        </w:rPr>
        <w:t>Takeyoshi</w:t>
      </w:r>
      <w:proofErr w:type="spellEnd"/>
      <w:r w:rsidRPr="009E181B">
        <w:rPr>
          <w:lang w:val="fr-FR"/>
        </w:rPr>
        <w:t xml:space="preserve"> M</w:t>
      </w:r>
      <w:r w:rsidR="009E181B" w:rsidRPr="009E181B">
        <w:rPr>
          <w:lang w:val="fr-FR"/>
        </w:rPr>
        <w:t>.</w:t>
      </w:r>
      <w:r w:rsidRPr="009E181B">
        <w:rPr>
          <w:lang w:val="fr-FR"/>
        </w:rPr>
        <w:t xml:space="preserve"> (2020), </w:t>
      </w:r>
      <w:proofErr w:type="spellStart"/>
      <w:r w:rsidRPr="009E181B">
        <w:rPr>
          <w:lang w:val="fr-FR"/>
        </w:rPr>
        <w:t>Applicability</w:t>
      </w:r>
      <w:proofErr w:type="spellEnd"/>
      <w:r w:rsidRPr="009E181B">
        <w:rPr>
          <w:lang w:val="fr-FR"/>
        </w:rPr>
        <w:t xml:space="preserve"> of the </w:t>
      </w:r>
      <w:proofErr w:type="spellStart"/>
      <w:r w:rsidRPr="009E181B">
        <w:rPr>
          <w:lang w:val="fr-FR"/>
        </w:rPr>
        <w:t>proposed</w:t>
      </w:r>
      <w:proofErr w:type="spellEnd"/>
      <w:r w:rsidRPr="009E181B">
        <w:rPr>
          <w:lang w:val="fr-FR"/>
        </w:rPr>
        <w:t xml:space="preserve"> GHS </w:t>
      </w:r>
      <w:proofErr w:type="spellStart"/>
      <w:r w:rsidRPr="009E181B">
        <w:rPr>
          <w:lang w:val="fr-FR"/>
        </w:rPr>
        <w:t>sub-categorization</w:t>
      </w:r>
      <w:proofErr w:type="spellEnd"/>
      <w:r w:rsidRPr="009E181B">
        <w:rPr>
          <w:lang w:val="fr-FR"/>
        </w:rPr>
        <w:t xml:space="preserve"> </w:t>
      </w:r>
      <w:proofErr w:type="spellStart"/>
      <w:r w:rsidRPr="009E181B">
        <w:rPr>
          <w:lang w:val="fr-FR"/>
        </w:rPr>
        <w:t>criterion</w:t>
      </w:r>
      <w:proofErr w:type="spellEnd"/>
      <w:r w:rsidRPr="009E181B">
        <w:rPr>
          <w:lang w:val="fr-FR"/>
        </w:rPr>
        <w:t xml:space="preserve"> for </w:t>
      </w:r>
      <w:proofErr w:type="gramStart"/>
      <w:r w:rsidRPr="009E181B">
        <w:rPr>
          <w:lang w:val="fr-FR"/>
        </w:rPr>
        <w:t>LLNA:</w:t>
      </w:r>
      <w:proofErr w:type="gramEnd"/>
      <w:r w:rsidRPr="009E181B">
        <w:rPr>
          <w:lang w:val="fr-FR"/>
        </w:rPr>
        <w:t xml:space="preserve"> BrdU-ELISA (OECD TG442B) to the CBA/J </w:t>
      </w:r>
      <w:proofErr w:type="spellStart"/>
      <w:r w:rsidRPr="009E181B">
        <w:rPr>
          <w:lang w:val="fr-FR"/>
        </w:rPr>
        <w:t>strain</w:t>
      </w:r>
      <w:proofErr w:type="spellEnd"/>
      <w:r w:rsidRPr="009E181B">
        <w:rPr>
          <w:lang w:val="fr-FR"/>
        </w:rPr>
        <w:t xml:space="preserve"> mouse, J </w:t>
      </w:r>
      <w:proofErr w:type="spellStart"/>
      <w:r w:rsidRPr="009E181B">
        <w:rPr>
          <w:lang w:val="fr-FR"/>
        </w:rPr>
        <w:t>Appl</w:t>
      </w:r>
      <w:proofErr w:type="spellEnd"/>
      <w:r w:rsidRPr="009E181B">
        <w:rPr>
          <w:lang w:val="fr-FR"/>
        </w:rPr>
        <w:t xml:space="preserve"> </w:t>
      </w:r>
      <w:proofErr w:type="spellStart"/>
      <w:r w:rsidRPr="009E181B">
        <w:rPr>
          <w:lang w:val="fr-FR"/>
        </w:rPr>
        <w:t>Toxicol</w:t>
      </w:r>
      <w:proofErr w:type="spellEnd"/>
      <w:r w:rsidR="009E181B" w:rsidRPr="009E181B">
        <w:rPr>
          <w:lang w:val="fr-FR"/>
        </w:rPr>
        <w:t>.</w:t>
      </w:r>
      <w:r w:rsidRPr="009E181B">
        <w:rPr>
          <w:lang w:val="fr-FR"/>
        </w:rPr>
        <w:t>, p</w:t>
      </w:r>
      <w:r w:rsidR="009E181B" w:rsidRPr="009E181B">
        <w:rPr>
          <w:lang w:val="fr-FR"/>
        </w:rPr>
        <w:t>.</w:t>
      </w:r>
      <w:r w:rsidRPr="009E181B">
        <w:rPr>
          <w:lang w:val="fr-FR"/>
        </w:rPr>
        <w:t xml:space="preserve"> 1 à 5</w:t>
      </w:r>
      <w:r w:rsidR="009E181B" w:rsidRPr="009E181B">
        <w:rPr>
          <w:lang w:val="fr-FR"/>
        </w:rPr>
        <w:t>.</w:t>
      </w:r>
      <w:r w:rsidRPr="009E181B">
        <w:rPr>
          <w:lang w:val="fr-FR"/>
        </w:rPr>
        <w:t xml:space="preserve"> </w:t>
      </w:r>
    </w:p>
    <w:p w14:paraId="3F1F9166" w14:textId="798B359B" w:rsidR="00B07435" w:rsidRPr="001B335E" w:rsidRDefault="00B07435" w:rsidP="00B07435">
      <w:pPr>
        <w:pStyle w:val="SingleTxtG"/>
        <w:ind w:left="1304" w:hanging="170"/>
        <w:rPr>
          <w:lang w:val="fr-FR"/>
        </w:rPr>
      </w:pPr>
      <w:r w:rsidRPr="001B335E">
        <w:rPr>
          <w:lang w:val="fr-FR"/>
        </w:rPr>
        <w:t xml:space="preserve">Maeda Y, </w:t>
      </w:r>
      <w:proofErr w:type="spellStart"/>
      <w:r w:rsidRPr="001B335E">
        <w:rPr>
          <w:lang w:val="fr-FR"/>
        </w:rPr>
        <w:t>Takeyoshi</w:t>
      </w:r>
      <w:proofErr w:type="spellEnd"/>
      <w:r w:rsidRPr="001B335E">
        <w:rPr>
          <w:lang w:val="fr-FR"/>
        </w:rPr>
        <w:t xml:space="preserve"> M</w:t>
      </w:r>
      <w:r w:rsidR="009E181B" w:rsidRPr="009E181B">
        <w:rPr>
          <w:lang w:val="fr-FR"/>
        </w:rPr>
        <w:t>.</w:t>
      </w:r>
      <w:r w:rsidRPr="001B335E">
        <w:rPr>
          <w:lang w:val="fr-FR"/>
        </w:rPr>
        <w:t xml:space="preserve"> (2019), </w:t>
      </w:r>
      <w:proofErr w:type="spellStart"/>
      <w:r w:rsidRPr="001B335E">
        <w:rPr>
          <w:lang w:val="fr-FR"/>
        </w:rPr>
        <w:t>Proposal</w:t>
      </w:r>
      <w:proofErr w:type="spellEnd"/>
      <w:r w:rsidRPr="001B335E">
        <w:rPr>
          <w:lang w:val="fr-FR"/>
        </w:rPr>
        <w:t xml:space="preserve"> of GHS </w:t>
      </w:r>
      <w:proofErr w:type="spellStart"/>
      <w:r w:rsidRPr="001B335E">
        <w:rPr>
          <w:lang w:val="fr-FR"/>
        </w:rPr>
        <w:t>sub-categorization</w:t>
      </w:r>
      <w:proofErr w:type="spellEnd"/>
      <w:r w:rsidRPr="001B335E">
        <w:rPr>
          <w:lang w:val="fr-FR"/>
        </w:rPr>
        <w:t xml:space="preserve"> </w:t>
      </w:r>
      <w:proofErr w:type="spellStart"/>
      <w:r w:rsidRPr="001B335E">
        <w:rPr>
          <w:lang w:val="fr-FR"/>
        </w:rPr>
        <w:t>criteria</w:t>
      </w:r>
      <w:proofErr w:type="spellEnd"/>
      <w:r w:rsidRPr="001B335E">
        <w:rPr>
          <w:lang w:val="fr-FR"/>
        </w:rPr>
        <w:t xml:space="preserve"> for </w:t>
      </w:r>
      <w:proofErr w:type="gramStart"/>
      <w:r w:rsidRPr="001B335E">
        <w:rPr>
          <w:lang w:val="fr-FR"/>
        </w:rPr>
        <w:t>LLNA:</w:t>
      </w:r>
      <w:proofErr w:type="gramEnd"/>
      <w:r w:rsidRPr="001B335E">
        <w:rPr>
          <w:lang w:val="fr-FR"/>
        </w:rPr>
        <w:t xml:space="preserve"> BrdU-ELISA (OECD TG442B), </w:t>
      </w:r>
      <w:proofErr w:type="spellStart"/>
      <w:r w:rsidRPr="001B335E">
        <w:rPr>
          <w:lang w:val="fr-FR"/>
        </w:rPr>
        <w:t>Regul</w:t>
      </w:r>
      <w:proofErr w:type="spellEnd"/>
      <w:r w:rsidRPr="001B335E">
        <w:rPr>
          <w:lang w:val="fr-FR"/>
        </w:rPr>
        <w:t xml:space="preserve"> </w:t>
      </w:r>
      <w:proofErr w:type="spellStart"/>
      <w:r w:rsidRPr="001B335E">
        <w:rPr>
          <w:lang w:val="fr-FR"/>
        </w:rPr>
        <w:t>Toxicol</w:t>
      </w:r>
      <w:proofErr w:type="spellEnd"/>
      <w:r w:rsidRPr="001B335E">
        <w:rPr>
          <w:lang w:val="fr-FR"/>
        </w:rPr>
        <w:t xml:space="preserve"> </w:t>
      </w:r>
      <w:proofErr w:type="spellStart"/>
      <w:r w:rsidRPr="001B335E">
        <w:rPr>
          <w:lang w:val="fr-FR"/>
        </w:rPr>
        <w:t>Pharmacol</w:t>
      </w:r>
      <w:proofErr w:type="spellEnd"/>
      <w:r w:rsidR="009E181B" w:rsidRPr="009E181B">
        <w:rPr>
          <w:lang w:val="fr-FR"/>
        </w:rPr>
        <w:t>.</w:t>
      </w:r>
      <w:r w:rsidRPr="001B335E">
        <w:rPr>
          <w:lang w:val="fr-FR"/>
        </w:rPr>
        <w:t>, 107:104409</w:t>
      </w:r>
      <w:r w:rsidR="009E181B" w:rsidRPr="009E181B">
        <w:rPr>
          <w:lang w:val="fr-FR"/>
        </w:rPr>
        <w:t>.</w:t>
      </w:r>
      <w:r w:rsidRPr="001B335E">
        <w:rPr>
          <w:lang w:val="fr-FR"/>
        </w:rPr>
        <w:t xml:space="preserve"> </w:t>
      </w:r>
    </w:p>
    <w:p w14:paraId="3919D7B0" w14:textId="182D9883" w:rsidR="00B07435" w:rsidRPr="001B335E" w:rsidRDefault="00B07435" w:rsidP="00B07435">
      <w:pPr>
        <w:pStyle w:val="SingleTxtG"/>
        <w:ind w:left="1304" w:hanging="170"/>
        <w:rPr>
          <w:lang w:val="fr-FR"/>
        </w:rPr>
      </w:pPr>
      <w:r w:rsidRPr="001B335E">
        <w:rPr>
          <w:lang w:val="fr-FR"/>
        </w:rPr>
        <w:t>Organisation de coopération et de développement économiques (OCDE) (2010), Ligne directrice de l</w:t>
      </w:r>
      <w:r>
        <w:rPr>
          <w:lang w:val="fr-FR"/>
        </w:rPr>
        <w:t>’</w:t>
      </w:r>
      <w:r w:rsidRPr="001B335E">
        <w:rPr>
          <w:lang w:val="fr-FR"/>
        </w:rPr>
        <w:t xml:space="preserve">OCDE pour les essais de produits chimiques </w:t>
      </w:r>
      <w:r w:rsidR="00012DF1" w:rsidRPr="00012DF1">
        <w:rPr>
          <w:rFonts w:eastAsia="MS Mincho"/>
          <w:lang w:val="fr-FR"/>
        </w:rPr>
        <w:t>n</w:t>
      </w:r>
      <w:r w:rsidR="00012DF1" w:rsidRPr="00012DF1">
        <w:rPr>
          <w:rFonts w:eastAsia="MS Mincho"/>
          <w:vertAlign w:val="superscript"/>
          <w:lang w:val="fr-FR"/>
        </w:rPr>
        <w:t>o</w:t>
      </w:r>
      <w:r w:rsidR="00012DF1">
        <w:rPr>
          <w:lang w:val="fr-FR"/>
        </w:rPr>
        <w:t> </w:t>
      </w:r>
      <w:r w:rsidRPr="001B335E">
        <w:rPr>
          <w:lang w:val="fr-FR"/>
        </w:rPr>
        <w:t>429, Sensibilisation cutanée</w:t>
      </w:r>
      <w:r w:rsidR="00012DF1">
        <w:rPr>
          <w:lang w:val="fr-FR"/>
        </w:rPr>
        <w:t> </w:t>
      </w:r>
      <w:r w:rsidRPr="001B335E">
        <w:rPr>
          <w:lang w:val="fr-FR"/>
        </w:rPr>
        <w:t>: essai de stimulation locale des ganglions lymphatiques, OCDE, Paris</w:t>
      </w:r>
      <w:r w:rsidR="009E181B" w:rsidRPr="009E181B">
        <w:rPr>
          <w:lang w:val="fr-FR"/>
        </w:rPr>
        <w:t>.</w:t>
      </w:r>
    </w:p>
    <w:p w14:paraId="2F74486A" w14:textId="4F7C1654" w:rsidR="00B07435" w:rsidRPr="001B335E" w:rsidRDefault="00B07435" w:rsidP="00B07435">
      <w:pPr>
        <w:pStyle w:val="SingleTxtG"/>
        <w:ind w:left="1304" w:hanging="170"/>
        <w:rPr>
          <w:lang w:val="fr-FR"/>
        </w:rPr>
      </w:pPr>
      <w:r w:rsidRPr="001B335E">
        <w:rPr>
          <w:lang w:val="fr-FR"/>
        </w:rPr>
        <w:t>Organisation de coopération et de développement économiques (OCDE) (2010), Ligne directrice de l</w:t>
      </w:r>
      <w:r>
        <w:rPr>
          <w:lang w:val="fr-FR"/>
        </w:rPr>
        <w:t>’</w:t>
      </w:r>
      <w:r w:rsidRPr="001B335E">
        <w:rPr>
          <w:lang w:val="fr-FR"/>
        </w:rPr>
        <w:t xml:space="preserve">OCDE pour les essais de produits chimiques </w:t>
      </w:r>
      <w:r w:rsidR="00012DF1" w:rsidRPr="00012DF1">
        <w:rPr>
          <w:rFonts w:eastAsia="MS Mincho"/>
          <w:lang w:val="fr-FR"/>
        </w:rPr>
        <w:t>n</w:t>
      </w:r>
      <w:r w:rsidR="00012DF1" w:rsidRPr="00012DF1">
        <w:rPr>
          <w:rFonts w:eastAsia="MS Mincho"/>
          <w:vertAlign w:val="superscript"/>
          <w:lang w:val="fr-FR"/>
        </w:rPr>
        <w:t>o</w:t>
      </w:r>
      <w:r w:rsidR="00012DF1">
        <w:rPr>
          <w:lang w:val="fr-FR"/>
        </w:rPr>
        <w:t> </w:t>
      </w:r>
      <w:r w:rsidRPr="001B335E">
        <w:rPr>
          <w:lang w:val="fr-FR"/>
        </w:rPr>
        <w:t>442A, Sensibilisation cutanée</w:t>
      </w:r>
      <w:r w:rsidR="009E181B">
        <w:rPr>
          <w:lang w:val="fr-FR"/>
        </w:rPr>
        <w:t> </w:t>
      </w:r>
      <w:r w:rsidRPr="001B335E">
        <w:rPr>
          <w:lang w:val="fr-FR"/>
        </w:rPr>
        <w:t>: Sensibilisation cutanée</w:t>
      </w:r>
      <w:r w:rsidR="009E181B">
        <w:rPr>
          <w:lang w:val="fr-FR"/>
        </w:rPr>
        <w:t> </w:t>
      </w:r>
      <w:r w:rsidRPr="001B335E">
        <w:rPr>
          <w:lang w:val="fr-FR"/>
        </w:rPr>
        <w:t>: essai de stimulation locale des ganglions lymphatiques</w:t>
      </w:r>
      <w:r w:rsidR="009E181B">
        <w:rPr>
          <w:lang w:val="fr-FR"/>
        </w:rPr>
        <w:t> </w:t>
      </w:r>
      <w:r w:rsidRPr="001B335E">
        <w:rPr>
          <w:lang w:val="fr-FR"/>
        </w:rPr>
        <w:t>: DA, OCDE, Paris</w:t>
      </w:r>
      <w:r w:rsidR="009E181B" w:rsidRPr="009E181B">
        <w:rPr>
          <w:lang w:val="fr-FR"/>
        </w:rPr>
        <w:t>.</w:t>
      </w:r>
    </w:p>
    <w:p w14:paraId="1B0ADD4E" w14:textId="40359700" w:rsidR="00B07435" w:rsidRPr="001B335E" w:rsidRDefault="00B07435" w:rsidP="00B07435">
      <w:pPr>
        <w:pStyle w:val="SingleTxtG"/>
        <w:ind w:left="1304" w:hanging="170"/>
        <w:rPr>
          <w:lang w:val="fr-FR"/>
        </w:rPr>
      </w:pPr>
      <w:r w:rsidRPr="001B335E">
        <w:rPr>
          <w:lang w:val="fr-FR"/>
        </w:rPr>
        <w:t>Organisation de coopération et de développement économiques (OCDE) (2018), Ligne directrice de l</w:t>
      </w:r>
      <w:r>
        <w:rPr>
          <w:lang w:val="fr-FR"/>
        </w:rPr>
        <w:t>’</w:t>
      </w:r>
      <w:r w:rsidRPr="001B335E">
        <w:rPr>
          <w:lang w:val="fr-FR"/>
        </w:rPr>
        <w:t xml:space="preserve">OCDE pour les essais de produits chimiques </w:t>
      </w:r>
      <w:r w:rsidR="00012DF1" w:rsidRPr="00012DF1">
        <w:rPr>
          <w:rFonts w:eastAsia="MS Mincho"/>
          <w:lang w:val="fr-FR"/>
        </w:rPr>
        <w:t>n</w:t>
      </w:r>
      <w:r w:rsidR="00012DF1" w:rsidRPr="00012DF1">
        <w:rPr>
          <w:rFonts w:eastAsia="MS Mincho"/>
          <w:vertAlign w:val="superscript"/>
          <w:lang w:val="fr-FR"/>
        </w:rPr>
        <w:t>o</w:t>
      </w:r>
      <w:r w:rsidR="00012DF1">
        <w:rPr>
          <w:lang w:val="fr-FR"/>
        </w:rPr>
        <w:t> </w:t>
      </w:r>
      <w:r w:rsidRPr="001B335E">
        <w:rPr>
          <w:lang w:val="fr-FR"/>
        </w:rPr>
        <w:t>442B, Sensibilisation cutanée</w:t>
      </w:r>
      <w:r w:rsidR="009E181B">
        <w:rPr>
          <w:lang w:val="fr-FR"/>
        </w:rPr>
        <w:t> </w:t>
      </w:r>
      <w:r w:rsidRPr="001B335E">
        <w:rPr>
          <w:lang w:val="fr-FR"/>
        </w:rPr>
        <w:t>: essai de stimulation locale des ganglions</w:t>
      </w:r>
      <w:r w:rsidR="009E181B">
        <w:rPr>
          <w:lang w:val="fr-FR"/>
        </w:rPr>
        <w:t xml:space="preserve"> </w:t>
      </w:r>
      <w:r w:rsidRPr="001B335E">
        <w:rPr>
          <w:lang w:val="fr-FR"/>
        </w:rPr>
        <w:t>lymphatiques</w:t>
      </w:r>
      <w:r w:rsidR="009E181B">
        <w:rPr>
          <w:lang w:val="fr-FR"/>
        </w:rPr>
        <w:t> </w:t>
      </w:r>
      <w:r w:rsidRPr="001B335E">
        <w:rPr>
          <w:lang w:val="fr-FR"/>
        </w:rPr>
        <w:t>: BRDU-ELISA OU FCM, OCDE, Paris</w:t>
      </w:r>
      <w:r w:rsidR="009E181B" w:rsidRPr="009E181B">
        <w:rPr>
          <w:lang w:val="fr-FR"/>
        </w:rPr>
        <w:t>.</w:t>
      </w:r>
    </w:p>
    <w:p w14:paraId="0AD8C82A" w14:textId="33EE943D" w:rsidR="00B07435" w:rsidRPr="00DB4588" w:rsidRDefault="00B07435" w:rsidP="00B07435">
      <w:pPr>
        <w:pStyle w:val="SingleTxtG"/>
        <w:ind w:left="1304" w:hanging="170"/>
        <w:rPr>
          <w:lang w:val="en-US"/>
        </w:rPr>
      </w:pPr>
      <w:proofErr w:type="spellStart"/>
      <w:r w:rsidRPr="00DB4588">
        <w:rPr>
          <w:lang w:val="en-US"/>
        </w:rPr>
        <w:t>Takeyoshi</w:t>
      </w:r>
      <w:proofErr w:type="spellEnd"/>
      <w:r w:rsidRPr="00DB4588">
        <w:rPr>
          <w:lang w:val="en-US"/>
        </w:rPr>
        <w:t xml:space="preserve"> M, Nara S</w:t>
      </w:r>
      <w:r w:rsidR="009E181B" w:rsidRPr="009E181B">
        <w:rPr>
          <w:lang w:val="en-US"/>
        </w:rPr>
        <w:t>.</w:t>
      </w:r>
      <w:r w:rsidRPr="00DB4588">
        <w:rPr>
          <w:lang w:val="en-US"/>
        </w:rPr>
        <w:t xml:space="preserve"> (2021), Registration status of skin </w:t>
      </w:r>
      <w:proofErr w:type="spellStart"/>
      <w:r w:rsidRPr="00DB4588">
        <w:rPr>
          <w:lang w:val="en-US"/>
        </w:rPr>
        <w:t>sensitisation</w:t>
      </w:r>
      <w:proofErr w:type="spellEnd"/>
      <w:r w:rsidRPr="00DB4588">
        <w:rPr>
          <w:lang w:val="en-US"/>
        </w:rPr>
        <w:t xml:space="preserve"> data derived from the Local Lymph Node Assay (LLNA): </w:t>
      </w:r>
      <w:proofErr w:type="spellStart"/>
      <w:r w:rsidRPr="00DB4588">
        <w:rPr>
          <w:lang w:val="en-US"/>
        </w:rPr>
        <w:t>BrdU</w:t>
      </w:r>
      <w:proofErr w:type="spellEnd"/>
      <w:r w:rsidRPr="00DB4588">
        <w:rPr>
          <w:lang w:val="en-US"/>
        </w:rPr>
        <w:t xml:space="preserve">-ELISA in REACH, Arch </w:t>
      </w:r>
      <w:proofErr w:type="spellStart"/>
      <w:r w:rsidRPr="00DB4588">
        <w:rPr>
          <w:lang w:val="en-US"/>
        </w:rPr>
        <w:t>Toxicol</w:t>
      </w:r>
      <w:proofErr w:type="spellEnd"/>
      <w:r w:rsidR="009E181B" w:rsidRPr="009E181B">
        <w:rPr>
          <w:lang w:val="en-US"/>
        </w:rPr>
        <w:t>.</w:t>
      </w:r>
      <w:r w:rsidRPr="00DB4588">
        <w:rPr>
          <w:lang w:val="en-US"/>
        </w:rPr>
        <w:t xml:space="preserve">, </w:t>
      </w:r>
      <w:proofErr w:type="spellStart"/>
      <w:r w:rsidR="009E181B">
        <w:rPr>
          <w:lang w:val="en-US"/>
        </w:rPr>
        <w:t>m</w:t>
      </w:r>
      <w:r w:rsidRPr="00DB4588">
        <w:rPr>
          <w:lang w:val="en-US"/>
        </w:rPr>
        <w:t>ai</w:t>
      </w:r>
      <w:proofErr w:type="spellEnd"/>
      <w:r w:rsidRPr="00DB4588">
        <w:rPr>
          <w:lang w:val="en-US"/>
        </w:rPr>
        <w:t>, 95(5):1857 et 1858</w:t>
      </w:r>
      <w:r w:rsidR="009E181B" w:rsidRPr="009E181B">
        <w:rPr>
          <w:lang w:val="en-US"/>
        </w:rPr>
        <w:t>.</w:t>
      </w:r>
      <w:r w:rsidRPr="00DB4588">
        <w:rPr>
          <w:lang w:val="en-US"/>
        </w:rPr>
        <w:t xml:space="preserve"> </w:t>
      </w:r>
    </w:p>
    <w:p w14:paraId="73650D5F" w14:textId="42C2ACF6" w:rsidR="008D24B7" w:rsidRDefault="00B07435" w:rsidP="00B07435">
      <w:pPr>
        <w:pStyle w:val="SingleTxtG"/>
        <w:ind w:left="1304" w:hanging="170"/>
      </w:pPr>
      <w:r w:rsidRPr="001B335E">
        <w:rPr>
          <w:lang w:val="fr-FR"/>
        </w:rPr>
        <w:t>Organisation des Nations Unies (2021), Système général harmonisé de classification et d</w:t>
      </w:r>
      <w:r>
        <w:rPr>
          <w:lang w:val="fr-FR"/>
        </w:rPr>
        <w:t>’</w:t>
      </w:r>
      <w:r w:rsidRPr="001B335E">
        <w:rPr>
          <w:lang w:val="fr-FR"/>
        </w:rPr>
        <w:t>étiquetage des produits chimiques (SGH), neuvième édition révisée, chapitre</w:t>
      </w:r>
      <w:r w:rsidR="00F01804">
        <w:rPr>
          <w:lang w:val="fr-FR"/>
        </w:rPr>
        <w:t> </w:t>
      </w:r>
      <w:r w:rsidRPr="001B335E">
        <w:rPr>
          <w:lang w:val="fr-FR"/>
        </w:rPr>
        <w:t>3</w:t>
      </w:r>
      <w:r w:rsidR="009E181B" w:rsidRPr="009E181B">
        <w:rPr>
          <w:lang w:val="fr-FR"/>
        </w:rPr>
        <w:t>.</w:t>
      </w:r>
      <w:r w:rsidRPr="001B335E">
        <w:rPr>
          <w:lang w:val="fr-FR"/>
        </w:rPr>
        <w:t>4 Sensibilisation respiratoire ou cutanée, Publications des Nations Unies, New York, p</w:t>
      </w:r>
      <w:r w:rsidR="009E181B" w:rsidRPr="009E181B">
        <w:rPr>
          <w:lang w:val="fr-FR"/>
        </w:rPr>
        <w:t>.</w:t>
      </w:r>
      <w:r w:rsidRPr="001B335E">
        <w:rPr>
          <w:lang w:val="fr-FR"/>
        </w:rPr>
        <w:t xml:space="preserve"> 153 à 161</w:t>
      </w:r>
      <w:r w:rsidR="009E181B" w:rsidRPr="009E181B">
        <w:rPr>
          <w:lang w:val="fr-FR"/>
        </w:rPr>
        <w:t>.</w:t>
      </w:r>
    </w:p>
    <w:p w14:paraId="4651D41B" w14:textId="2D1BC867" w:rsidR="00446FE5" w:rsidRPr="00B07435" w:rsidRDefault="00B07435" w:rsidP="00B07435">
      <w:pPr>
        <w:pStyle w:val="SingleTxtG"/>
        <w:spacing w:before="240" w:after="0"/>
        <w:jc w:val="center"/>
        <w:rPr>
          <w:u w:val="single"/>
        </w:rPr>
      </w:pPr>
      <w:r>
        <w:rPr>
          <w:u w:val="single"/>
        </w:rPr>
        <w:tab/>
      </w:r>
      <w:r>
        <w:rPr>
          <w:u w:val="single"/>
        </w:rPr>
        <w:tab/>
      </w:r>
      <w:r>
        <w:rPr>
          <w:u w:val="single"/>
        </w:rPr>
        <w:tab/>
      </w:r>
    </w:p>
    <w:sectPr w:rsidR="00446FE5" w:rsidRPr="00B07435" w:rsidSect="008D24B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F3D7" w14:textId="77777777" w:rsidR="00175E94" w:rsidRDefault="00175E94" w:rsidP="00F95C08">
      <w:pPr>
        <w:spacing w:line="240" w:lineRule="auto"/>
      </w:pPr>
    </w:p>
  </w:endnote>
  <w:endnote w:type="continuationSeparator" w:id="0">
    <w:p w14:paraId="29DAD09F" w14:textId="77777777" w:rsidR="00175E94" w:rsidRPr="00AC3823" w:rsidRDefault="00175E94" w:rsidP="00AC3823">
      <w:pPr>
        <w:pStyle w:val="Footer"/>
      </w:pPr>
    </w:p>
  </w:endnote>
  <w:endnote w:type="continuationNotice" w:id="1">
    <w:p w14:paraId="7E7151EB" w14:textId="77777777" w:rsidR="00175E94" w:rsidRDefault="00175E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784B" w14:textId="3DBC482E" w:rsidR="008D24B7" w:rsidRPr="008D24B7" w:rsidRDefault="008D24B7" w:rsidP="008D24B7">
    <w:pPr>
      <w:pStyle w:val="Footer"/>
      <w:tabs>
        <w:tab w:val="right" w:pos="9638"/>
      </w:tabs>
    </w:pPr>
    <w:r w:rsidRPr="008D24B7">
      <w:rPr>
        <w:b/>
        <w:sz w:val="18"/>
      </w:rPr>
      <w:fldChar w:fldCharType="begin"/>
    </w:r>
    <w:r w:rsidRPr="008D24B7">
      <w:rPr>
        <w:b/>
        <w:sz w:val="18"/>
      </w:rPr>
      <w:instrText xml:space="preserve"> PAGE  \* MERGEFORMAT </w:instrText>
    </w:r>
    <w:r w:rsidRPr="008D24B7">
      <w:rPr>
        <w:b/>
        <w:sz w:val="18"/>
      </w:rPr>
      <w:fldChar w:fldCharType="separate"/>
    </w:r>
    <w:r w:rsidRPr="008D24B7">
      <w:rPr>
        <w:b/>
        <w:noProof/>
        <w:sz w:val="18"/>
      </w:rPr>
      <w:t>2</w:t>
    </w:r>
    <w:r w:rsidRPr="008D24B7">
      <w:rPr>
        <w:b/>
        <w:sz w:val="18"/>
      </w:rPr>
      <w:fldChar w:fldCharType="end"/>
    </w:r>
    <w:r>
      <w:rPr>
        <w:b/>
        <w:sz w:val="18"/>
      </w:rPr>
      <w:tab/>
    </w:r>
    <w:r>
      <w:t>GE</w:t>
    </w:r>
    <w:r w:rsidR="009E181B" w:rsidRPr="009E181B">
      <w:t>.</w:t>
    </w:r>
    <w:r>
      <w:t>22-14609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CF5C" w14:textId="0E178815" w:rsidR="008D24B7" w:rsidRPr="008D24B7" w:rsidRDefault="008D24B7" w:rsidP="008D24B7">
    <w:pPr>
      <w:pStyle w:val="Footer"/>
      <w:tabs>
        <w:tab w:val="right" w:pos="9638"/>
      </w:tabs>
      <w:rPr>
        <w:b/>
        <w:sz w:val="18"/>
      </w:rPr>
    </w:pPr>
    <w:r>
      <w:t>GE</w:t>
    </w:r>
    <w:r w:rsidR="009E181B" w:rsidRPr="009E181B">
      <w:t>.</w:t>
    </w:r>
    <w:r>
      <w:t>22-14609</w:t>
    </w:r>
    <w:r>
      <w:tab/>
    </w:r>
    <w:r w:rsidRPr="008D24B7">
      <w:rPr>
        <w:b/>
        <w:sz w:val="18"/>
      </w:rPr>
      <w:fldChar w:fldCharType="begin"/>
    </w:r>
    <w:r w:rsidRPr="008D24B7">
      <w:rPr>
        <w:b/>
        <w:sz w:val="18"/>
      </w:rPr>
      <w:instrText xml:space="preserve"> PAGE  \* MERGEFORMAT </w:instrText>
    </w:r>
    <w:r w:rsidRPr="008D24B7">
      <w:rPr>
        <w:b/>
        <w:sz w:val="18"/>
      </w:rPr>
      <w:fldChar w:fldCharType="separate"/>
    </w:r>
    <w:r w:rsidRPr="008D24B7">
      <w:rPr>
        <w:b/>
        <w:noProof/>
        <w:sz w:val="18"/>
      </w:rPr>
      <w:t>3</w:t>
    </w:r>
    <w:r w:rsidRPr="008D24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0CC7" w14:textId="3503D6CA" w:rsidR="0068456F" w:rsidRPr="008D24B7" w:rsidRDefault="008D24B7" w:rsidP="008D24B7">
    <w:pPr>
      <w:pStyle w:val="Footer"/>
      <w:spacing w:before="120"/>
      <w:rPr>
        <w:sz w:val="20"/>
      </w:rPr>
    </w:pPr>
    <w:r>
      <w:rPr>
        <w:sz w:val="20"/>
      </w:rPr>
      <w:t>GE</w:t>
    </w:r>
    <w:r w:rsidR="009E181B" w:rsidRPr="009E181B">
      <w:rPr>
        <w:sz w:val="20"/>
      </w:rPr>
      <w:t>.</w:t>
    </w:r>
    <w:r w:rsidR="0068456F">
      <w:rPr>
        <w:noProof/>
        <w:lang w:eastAsia="fr-CH"/>
      </w:rPr>
      <w:drawing>
        <wp:anchor distT="0" distB="0" distL="114300" distR="114300" simplePos="0" relativeHeight="251659264" behindDoc="0" locked="0" layoutInCell="1" allowOverlap="0" wp14:anchorId="658C3805" wp14:editId="0061E11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14609  (</w:t>
    </w:r>
    <w:proofErr w:type="gramEnd"/>
    <w:r>
      <w:rPr>
        <w:sz w:val="20"/>
      </w:rPr>
      <w:t>F)</w:t>
    </w:r>
    <w:r>
      <w:rPr>
        <w:noProof/>
        <w:sz w:val="20"/>
      </w:rPr>
      <w:drawing>
        <wp:anchor distT="0" distB="0" distL="114300" distR="114300" simplePos="0" relativeHeight="251660288" behindDoc="0" locked="0" layoutInCell="1" allowOverlap="1" wp14:anchorId="5C56C8F6" wp14:editId="070AC7F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211022    211022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4BB8" w14:textId="77777777" w:rsidR="00175E94" w:rsidRPr="00AC3823" w:rsidRDefault="00175E94" w:rsidP="00AC3823">
      <w:pPr>
        <w:pStyle w:val="Footer"/>
        <w:tabs>
          <w:tab w:val="right" w:pos="2155"/>
        </w:tabs>
        <w:spacing w:after="80" w:line="240" w:lineRule="atLeast"/>
        <w:ind w:left="680"/>
        <w:rPr>
          <w:u w:val="single"/>
        </w:rPr>
      </w:pPr>
      <w:r>
        <w:rPr>
          <w:u w:val="single"/>
        </w:rPr>
        <w:tab/>
      </w:r>
    </w:p>
  </w:footnote>
  <w:footnote w:type="continuationSeparator" w:id="0">
    <w:p w14:paraId="2A263FEB" w14:textId="77777777" w:rsidR="00175E94" w:rsidRPr="00AC3823" w:rsidRDefault="00175E94" w:rsidP="00AC3823">
      <w:pPr>
        <w:pStyle w:val="Footer"/>
        <w:tabs>
          <w:tab w:val="right" w:pos="2155"/>
        </w:tabs>
        <w:spacing w:after="80" w:line="240" w:lineRule="atLeast"/>
        <w:ind w:left="680"/>
        <w:rPr>
          <w:u w:val="single"/>
        </w:rPr>
      </w:pPr>
      <w:r>
        <w:rPr>
          <w:u w:val="single"/>
        </w:rPr>
        <w:tab/>
      </w:r>
    </w:p>
  </w:footnote>
  <w:footnote w:type="continuationNotice" w:id="1">
    <w:p w14:paraId="712049DE" w14:textId="77777777" w:rsidR="00175E94" w:rsidRPr="00AC3823" w:rsidRDefault="00175E94">
      <w:pPr>
        <w:spacing w:line="240" w:lineRule="auto"/>
        <w:rPr>
          <w:sz w:val="2"/>
          <w:szCs w:val="2"/>
        </w:rPr>
      </w:pPr>
    </w:p>
  </w:footnote>
  <w:footnote w:id="2">
    <w:p w14:paraId="0B1EC648" w14:textId="5E4F7FE1" w:rsidR="00B07435" w:rsidRPr="00AE68E2" w:rsidRDefault="00B07435" w:rsidP="00B07435">
      <w:pPr>
        <w:pStyle w:val="FootnoteText"/>
      </w:pPr>
      <w:r w:rsidRPr="00B07435">
        <w:rPr>
          <w:sz w:val="20"/>
          <w:lang w:val="fr-FR"/>
        </w:rPr>
        <w:tab/>
        <w:t>*</w:t>
      </w:r>
      <w:r w:rsidRPr="00B07435">
        <w:rPr>
          <w:sz w:val="20"/>
          <w:lang w:val="fr-FR"/>
        </w:rPr>
        <w:tab/>
      </w:r>
      <w:r>
        <w:rPr>
          <w:lang w:val="fr-FR"/>
        </w:rPr>
        <w:t>A/75/6 (Sect</w:t>
      </w:r>
      <w:r w:rsidR="009E181B" w:rsidRPr="009E181B">
        <w:rPr>
          <w:lang w:val="fr-FR"/>
        </w:rPr>
        <w:t>.</w:t>
      </w:r>
      <w:r>
        <w:rPr>
          <w:lang w:val="fr-FR"/>
        </w:rPr>
        <w:t xml:space="preserve"> 20), par</w:t>
      </w:r>
      <w:r w:rsidR="009E181B" w:rsidRPr="009E181B">
        <w:rPr>
          <w:lang w:val="fr-FR"/>
        </w:rPr>
        <w:t>.</w:t>
      </w:r>
      <w:r>
        <w:rPr>
          <w:lang w:val="fr-FR"/>
        </w:rPr>
        <w:t xml:space="preserve"> 20</w:t>
      </w:r>
      <w:r w:rsidR="009E181B" w:rsidRPr="009E181B">
        <w:rPr>
          <w:lang w:val="fr-FR"/>
        </w:rPr>
        <w:t>.</w:t>
      </w:r>
      <w:r>
        <w:rPr>
          <w:lang w:val="fr-FR"/>
        </w:rPr>
        <w:t>51</w:t>
      </w:r>
      <w:r w:rsidR="009E181B" w:rsidRPr="009E181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7F78" w14:textId="446E8B29" w:rsidR="008D24B7" w:rsidRPr="008D24B7" w:rsidRDefault="00175E94">
    <w:pPr>
      <w:pStyle w:val="Header"/>
    </w:pPr>
    <w:r>
      <w:fldChar w:fldCharType="begin"/>
    </w:r>
    <w:r>
      <w:instrText xml:space="preserve"> TITLE  \* MERGEFORMAT </w:instrText>
    </w:r>
    <w:r>
      <w:fldChar w:fldCharType="separate"/>
    </w:r>
    <w:r w:rsidR="00102156">
      <w:t>ST/SG/AC.10/C.4/2022/19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8BCC" w14:textId="50F39289" w:rsidR="008D24B7" w:rsidRPr="008D24B7" w:rsidRDefault="00175E94" w:rsidP="008D24B7">
    <w:pPr>
      <w:pStyle w:val="Header"/>
      <w:jc w:val="right"/>
    </w:pPr>
    <w:r>
      <w:fldChar w:fldCharType="begin"/>
    </w:r>
    <w:r>
      <w:instrText xml:space="preserve"> TITLE  \* MERGEFORMAT </w:instrText>
    </w:r>
    <w:r>
      <w:fldChar w:fldCharType="separate"/>
    </w:r>
    <w:r w:rsidR="00102156">
      <w:t>ST/SG/AC.10/C.4/2022/19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78"/>
    <w:rsid w:val="00012DF1"/>
    <w:rsid w:val="00017F94"/>
    <w:rsid w:val="00023842"/>
    <w:rsid w:val="000305D3"/>
    <w:rsid w:val="000334F9"/>
    <w:rsid w:val="0007796D"/>
    <w:rsid w:val="000B7790"/>
    <w:rsid w:val="00102156"/>
    <w:rsid w:val="00111F2F"/>
    <w:rsid w:val="00132EA9"/>
    <w:rsid w:val="0014365E"/>
    <w:rsid w:val="00172E49"/>
    <w:rsid w:val="00175E94"/>
    <w:rsid w:val="00176178"/>
    <w:rsid w:val="001B09AC"/>
    <w:rsid w:val="001E3A5D"/>
    <w:rsid w:val="001F525A"/>
    <w:rsid w:val="002115A6"/>
    <w:rsid w:val="00223272"/>
    <w:rsid w:val="0024779E"/>
    <w:rsid w:val="00283190"/>
    <w:rsid w:val="002832AC"/>
    <w:rsid w:val="002D7C93"/>
    <w:rsid w:val="00441C3B"/>
    <w:rsid w:val="00446FE5"/>
    <w:rsid w:val="00452396"/>
    <w:rsid w:val="004E468C"/>
    <w:rsid w:val="005505B7"/>
    <w:rsid w:val="00573BE5"/>
    <w:rsid w:val="00584DC4"/>
    <w:rsid w:val="00586ED3"/>
    <w:rsid w:val="00596AA9"/>
    <w:rsid w:val="005C634A"/>
    <w:rsid w:val="00652A51"/>
    <w:rsid w:val="0068456F"/>
    <w:rsid w:val="0071601D"/>
    <w:rsid w:val="007A62E6"/>
    <w:rsid w:val="0080684C"/>
    <w:rsid w:val="008123E0"/>
    <w:rsid w:val="00871C75"/>
    <w:rsid w:val="008776DC"/>
    <w:rsid w:val="008B40CD"/>
    <w:rsid w:val="008D24B7"/>
    <w:rsid w:val="009705C8"/>
    <w:rsid w:val="009C1CF4"/>
    <w:rsid w:val="009E181B"/>
    <w:rsid w:val="00A30353"/>
    <w:rsid w:val="00A81281"/>
    <w:rsid w:val="00AC3823"/>
    <w:rsid w:val="00AE323C"/>
    <w:rsid w:val="00AE340D"/>
    <w:rsid w:val="00B00181"/>
    <w:rsid w:val="00B00B0D"/>
    <w:rsid w:val="00B07435"/>
    <w:rsid w:val="00B54C2C"/>
    <w:rsid w:val="00B765F7"/>
    <w:rsid w:val="00BA0CA9"/>
    <w:rsid w:val="00C02897"/>
    <w:rsid w:val="00D25B78"/>
    <w:rsid w:val="00D3439C"/>
    <w:rsid w:val="00DB1831"/>
    <w:rsid w:val="00DD3BFD"/>
    <w:rsid w:val="00DF6678"/>
    <w:rsid w:val="00E3798C"/>
    <w:rsid w:val="00EF2E22"/>
    <w:rsid w:val="00F01738"/>
    <w:rsid w:val="00F01804"/>
    <w:rsid w:val="00F660DF"/>
    <w:rsid w:val="00F730C8"/>
    <w:rsid w:val="00F95C08"/>
    <w:rsid w:val="00FA1F2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4C4EE"/>
  <w15:docId w15:val="{383598AE-8848-4137-9B40-3AA07F05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uiPriority w:val="99"/>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B07435"/>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B0743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3014</Words>
  <Characters>17184</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ST/SG/AC.10/C.4/2022/19</vt:lpstr>
    </vt:vector>
  </TitlesOfParts>
  <Company>DCM</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ST/SG/AC.10/C.4/2022/19</dc:title>
  <dc:subject/>
  <dc:creator>Maud DARICHE</dc:creator>
  <cp:keywords/>
  <cp:lastModifiedBy>Laurence Berthet</cp:lastModifiedBy>
  <cp:revision>3</cp:revision>
  <cp:lastPrinted>2022-10-21T09:18:00Z</cp:lastPrinted>
  <dcterms:created xsi:type="dcterms:W3CDTF">2022-10-21T09:18:00Z</dcterms:created>
  <dcterms:modified xsi:type="dcterms:W3CDTF">2022-10-21T09:18:00Z</dcterms:modified>
</cp:coreProperties>
</file>