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CD276A" w14:paraId="02B69166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53D5677" w14:textId="77777777" w:rsidR="00132EA9" w:rsidRPr="00DB58B5" w:rsidRDefault="00132EA9" w:rsidP="00CD276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D2AC9DA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D8E99FF" w14:textId="73E41EA8" w:rsidR="00132EA9" w:rsidRPr="00CD276A" w:rsidRDefault="00CD276A" w:rsidP="00CD276A">
            <w:pPr>
              <w:jc w:val="right"/>
              <w:rPr>
                <w:lang w:val="en-US"/>
              </w:rPr>
            </w:pPr>
            <w:r w:rsidRPr="00CD276A">
              <w:rPr>
                <w:sz w:val="40"/>
                <w:lang w:val="en-US"/>
              </w:rPr>
              <w:t>ST</w:t>
            </w:r>
            <w:r w:rsidRPr="00CD276A">
              <w:rPr>
                <w:lang w:val="en-US"/>
              </w:rPr>
              <w:t>/SG/AC.10/C.3/121/Add.1</w:t>
            </w:r>
          </w:p>
        </w:tc>
      </w:tr>
      <w:tr w:rsidR="00132EA9" w:rsidRPr="00DB58B5" w14:paraId="43567EB5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F4ADA7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1495604" wp14:editId="1575A54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B6B0F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FE2538D" w14:textId="77777777" w:rsidR="00132EA9" w:rsidRDefault="00CD276A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38F1972A" w14:textId="6866CE66" w:rsidR="00CD276A" w:rsidRDefault="00CD276A" w:rsidP="00CD276A">
            <w:pPr>
              <w:spacing w:line="240" w:lineRule="exact"/>
            </w:pPr>
            <w:r>
              <w:t>19 septembre 2022</w:t>
            </w:r>
          </w:p>
          <w:p w14:paraId="50ACEBAE" w14:textId="77777777" w:rsidR="00CD276A" w:rsidRDefault="00CD276A" w:rsidP="00CD276A">
            <w:pPr>
              <w:spacing w:line="240" w:lineRule="exact"/>
            </w:pPr>
            <w:r>
              <w:t>Français</w:t>
            </w:r>
          </w:p>
          <w:p w14:paraId="3CAFE7A5" w14:textId="37A7DCA9" w:rsidR="00CD276A" w:rsidRPr="00DB58B5" w:rsidRDefault="00CD276A" w:rsidP="00CD276A">
            <w:pPr>
              <w:spacing w:line="240" w:lineRule="exact"/>
            </w:pPr>
            <w:r>
              <w:t>Original : anglais</w:t>
            </w:r>
          </w:p>
        </w:tc>
      </w:tr>
    </w:tbl>
    <w:p w14:paraId="48A02B96" w14:textId="1AEF3AFC" w:rsidR="00CD276A" w:rsidRPr="00CA0680" w:rsidRDefault="00CD276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43B4F581" w14:textId="77777777" w:rsidR="00CD276A" w:rsidRPr="00CA0680" w:rsidRDefault="00CD276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103B31CE" w14:textId="718DCE90" w:rsidR="00CD276A" w:rsidRDefault="00CD276A" w:rsidP="000305D3">
      <w:pPr>
        <w:spacing w:before="120"/>
        <w:rPr>
          <w:b/>
        </w:rPr>
      </w:pPr>
      <w:r>
        <w:rPr>
          <w:b/>
        </w:rPr>
        <w:t xml:space="preserve">Soixante et unième </w:t>
      </w:r>
      <w:r w:rsidRPr="00CA0680">
        <w:rPr>
          <w:b/>
        </w:rPr>
        <w:t>session</w:t>
      </w:r>
    </w:p>
    <w:p w14:paraId="49F25A71" w14:textId="4ED54D85" w:rsidR="00CD276A" w:rsidRDefault="00CD276A" w:rsidP="000305D3">
      <w:r>
        <w:t>Genève, 28 novembre-6 décembre 2022</w:t>
      </w:r>
    </w:p>
    <w:p w14:paraId="71847A23" w14:textId="38D2720C" w:rsidR="00CD276A" w:rsidRDefault="00CD276A" w:rsidP="000305D3">
      <w:r>
        <w:t>Point 1 de l’ordre du jour provisoire</w:t>
      </w:r>
    </w:p>
    <w:p w14:paraId="54EAF304" w14:textId="77777777" w:rsidR="00CD276A" w:rsidRPr="006500BA" w:rsidRDefault="00CD276A" w:rsidP="00CD276A">
      <w:r>
        <w:rPr>
          <w:b/>
        </w:rPr>
        <w:t>Adoption de l’ordre du jour</w:t>
      </w:r>
    </w:p>
    <w:p w14:paraId="5479C4EE" w14:textId="77777777" w:rsidR="00CD276A" w:rsidRDefault="00CD276A" w:rsidP="00CD276A">
      <w:pPr>
        <w:pStyle w:val="HChG"/>
      </w:pPr>
      <w:r>
        <w:tab/>
      </w:r>
      <w:r>
        <w:tab/>
        <w:t>Ordre du jour provisoire de la soixante et unième session</w:t>
      </w:r>
    </w:p>
    <w:p w14:paraId="5E84CE8D" w14:textId="77777777" w:rsidR="00CD276A" w:rsidRDefault="00CD276A" w:rsidP="00CD276A">
      <w:pPr>
        <w:pStyle w:val="H23G"/>
      </w:pPr>
      <w:r>
        <w:tab/>
      </w:r>
      <w:r>
        <w:tab/>
        <w:t>Additif</w:t>
      </w:r>
    </w:p>
    <w:p w14:paraId="27F4ED3D" w14:textId="77777777" w:rsidR="00CD276A" w:rsidRDefault="00CD276A" w:rsidP="00CD276A">
      <w:pPr>
        <w:pStyle w:val="HChG"/>
      </w:pPr>
      <w:r>
        <w:tab/>
      </w:r>
      <w:r>
        <w:tab/>
        <w:t>Liste des documents</w:t>
      </w:r>
    </w:p>
    <w:p w14:paraId="6847B075" w14:textId="7A3DF3DB" w:rsidR="00CD276A" w:rsidRDefault="00CD276A" w:rsidP="00CD276A">
      <w:pPr>
        <w:pStyle w:val="H1G"/>
      </w:pPr>
      <w:r>
        <w:tab/>
      </w:r>
      <w:r w:rsidRPr="00C536FF">
        <w:t>1</w:t>
      </w:r>
      <w:r>
        <w:t>.</w:t>
      </w:r>
      <w:r>
        <w:tab/>
        <w:t>Adoption de l’ordre du jour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402"/>
        <w:gridCol w:w="4821"/>
      </w:tblGrid>
      <w:tr w:rsidR="00CD276A" w14:paraId="63F57378" w14:textId="77777777" w:rsidTr="00BD4A69">
        <w:tc>
          <w:tcPr>
            <w:tcW w:w="3402" w:type="dxa"/>
            <w:hideMark/>
          </w:tcPr>
          <w:p w14:paraId="567332ED" w14:textId="77777777" w:rsidR="00CD276A" w:rsidRDefault="00CD276A" w:rsidP="00CD276A">
            <w:pPr>
              <w:pStyle w:val="SingleTxtG"/>
              <w:spacing w:before="60" w:after="60"/>
              <w:ind w:left="0" w:right="0"/>
            </w:pPr>
            <w:r>
              <w:t>ST/SG/AC.10/C.3/121</w:t>
            </w:r>
          </w:p>
        </w:tc>
        <w:tc>
          <w:tcPr>
            <w:tcW w:w="4821" w:type="dxa"/>
            <w:hideMark/>
          </w:tcPr>
          <w:p w14:paraId="1C75882A" w14:textId="77777777" w:rsidR="00CD276A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Ordre du jour provisoire de la soixante et unième session</w:t>
            </w:r>
          </w:p>
        </w:tc>
      </w:tr>
      <w:tr w:rsidR="00CD276A" w14:paraId="2FDC5FBE" w14:textId="77777777" w:rsidTr="00BD4A69">
        <w:tc>
          <w:tcPr>
            <w:tcW w:w="3402" w:type="dxa"/>
            <w:hideMark/>
          </w:tcPr>
          <w:p w14:paraId="5A5BB5FB" w14:textId="77777777" w:rsidR="00CD276A" w:rsidRPr="00CD7DCA" w:rsidRDefault="00CD276A" w:rsidP="00CD276A">
            <w:pPr>
              <w:pStyle w:val="SingleTxtG"/>
              <w:spacing w:before="60" w:after="60"/>
              <w:ind w:left="0" w:right="0"/>
              <w:rPr>
                <w:lang w:val="en-US"/>
              </w:rPr>
            </w:pPr>
            <w:r w:rsidRPr="00CD7DCA">
              <w:rPr>
                <w:lang w:val="en-US"/>
              </w:rPr>
              <w:t>ST/SG/AC.10/C.3/121/Add.1</w:t>
            </w:r>
          </w:p>
        </w:tc>
        <w:tc>
          <w:tcPr>
            <w:tcW w:w="4821" w:type="dxa"/>
            <w:hideMark/>
          </w:tcPr>
          <w:p w14:paraId="0B6153E6" w14:textId="77777777" w:rsidR="00CD276A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Liste des documents et annotations</w:t>
            </w:r>
          </w:p>
        </w:tc>
      </w:tr>
    </w:tbl>
    <w:p w14:paraId="390D7493" w14:textId="00694CA6" w:rsidR="00446FE5" w:rsidRDefault="00CD276A" w:rsidP="00CD276A">
      <w:pPr>
        <w:pStyle w:val="H23G"/>
      </w:pPr>
      <w:r>
        <w:tab/>
      </w:r>
      <w:r>
        <w:tab/>
        <w:t>Documents de référence</w:t>
      </w:r>
    </w:p>
    <w:tbl>
      <w:tblPr>
        <w:tblW w:w="8223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98"/>
        <w:gridCol w:w="4625"/>
      </w:tblGrid>
      <w:tr w:rsidR="00CD276A" w:rsidRPr="00601CF2" w14:paraId="773536F7" w14:textId="77777777" w:rsidTr="00CD276A">
        <w:tc>
          <w:tcPr>
            <w:tcW w:w="3598" w:type="dxa"/>
            <w:hideMark/>
          </w:tcPr>
          <w:p w14:paraId="5099AFC0" w14:textId="77777777" w:rsidR="00CD276A" w:rsidRPr="00601CF2" w:rsidRDefault="00CD276A" w:rsidP="00CD276A">
            <w:pPr>
              <w:pStyle w:val="SingleTxtG"/>
              <w:spacing w:before="60" w:after="60"/>
              <w:ind w:left="0" w:right="0"/>
            </w:pPr>
            <w:r>
              <w:t>ST/SG/AC.10/1/Rev.22</w:t>
            </w:r>
          </w:p>
        </w:tc>
        <w:tc>
          <w:tcPr>
            <w:tcW w:w="4625" w:type="dxa"/>
            <w:hideMark/>
          </w:tcPr>
          <w:p w14:paraId="32F835D0" w14:textId="26132E5C" w:rsidR="00CD276A" w:rsidRPr="00601CF2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Recommandations relatives au transport des marchandises dangereuses, Règlement type, vingt</w:t>
            </w:r>
            <w:r>
              <w:noBreakHyphen/>
              <w:t>deuxième édition révisée</w:t>
            </w:r>
          </w:p>
        </w:tc>
      </w:tr>
      <w:tr w:rsidR="00CD276A" w:rsidRPr="00601CF2" w14:paraId="7CB489D7" w14:textId="77777777" w:rsidTr="00CD276A">
        <w:tc>
          <w:tcPr>
            <w:tcW w:w="3598" w:type="dxa"/>
            <w:hideMark/>
          </w:tcPr>
          <w:p w14:paraId="4F8A89BB" w14:textId="77777777" w:rsidR="00CD276A" w:rsidRPr="00CD7DCA" w:rsidRDefault="00CD276A" w:rsidP="00CD276A">
            <w:pPr>
              <w:pStyle w:val="SingleTxtG"/>
              <w:spacing w:before="60" w:after="60"/>
              <w:ind w:left="0" w:right="0"/>
              <w:rPr>
                <w:lang w:val="en-US"/>
              </w:rPr>
            </w:pPr>
            <w:r w:rsidRPr="00CD7DCA">
              <w:rPr>
                <w:lang w:val="en-US"/>
              </w:rPr>
              <w:t>ST/SG/AC.10/11/Rev.7 et Amend.1</w:t>
            </w:r>
          </w:p>
        </w:tc>
        <w:tc>
          <w:tcPr>
            <w:tcW w:w="4625" w:type="dxa"/>
            <w:hideMark/>
          </w:tcPr>
          <w:p w14:paraId="10D2A946" w14:textId="30AA2718" w:rsidR="00CD276A" w:rsidRPr="00601CF2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Recommandations relatives au transport des marchandises dangereuses, Manuel d’épreuves et de critères, septième édition révisée et amendement 1</w:t>
            </w:r>
          </w:p>
        </w:tc>
      </w:tr>
      <w:tr w:rsidR="00CD276A" w14:paraId="360DD85C" w14:textId="77777777" w:rsidTr="00CD276A">
        <w:tc>
          <w:tcPr>
            <w:tcW w:w="3598" w:type="dxa"/>
            <w:hideMark/>
          </w:tcPr>
          <w:p w14:paraId="3518EBC7" w14:textId="77777777" w:rsidR="00CD276A" w:rsidRPr="00601CF2" w:rsidRDefault="00CD276A" w:rsidP="00CD276A">
            <w:pPr>
              <w:pStyle w:val="SingleTxtG"/>
              <w:spacing w:before="60" w:after="60"/>
              <w:ind w:left="0" w:right="0"/>
            </w:pPr>
            <w:r>
              <w:t>ST/SG/AC.10/30/Rev.9</w:t>
            </w:r>
          </w:p>
        </w:tc>
        <w:tc>
          <w:tcPr>
            <w:tcW w:w="4625" w:type="dxa"/>
            <w:hideMark/>
          </w:tcPr>
          <w:p w14:paraId="1819EFB6" w14:textId="77777777" w:rsidR="00CD276A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 xml:space="preserve">Système général harmonisé de classification et d’étiquetage des produits chimiques (SGH), neuvième édition révisée </w:t>
            </w:r>
          </w:p>
        </w:tc>
      </w:tr>
      <w:tr w:rsidR="00CD276A" w14:paraId="735E2A67" w14:textId="77777777" w:rsidTr="00CD276A">
        <w:tc>
          <w:tcPr>
            <w:tcW w:w="359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20096" w14:textId="77777777" w:rsidR="00CD276A" w:rsidRDefault="00CD276A" w:rsidP="00CD276A">
            <w:pPr>
              <w:pStyle w:val="SingleTxtG"/>
              <w:spacing w:before="60" w:after="60"/>
              <w:ind w:left="0" w:right="0"/>
            </w:pPr>
            <w:r>
              <w:t>ST/SG/AC.10/C.3/120 et Add.1</w:t>
            </w:r>
          </w:p>
        </w:tc>
        <w:tc>
          <w:tcPr>
            <w:tcW w:w="46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D590D" w14:textId="77777777" w:rsidR="00CD276A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Rapport du Sous-Comité d’experts du transport des marchandises dangereuses sur sa soixantième session</w:t>
            </w:r>
          </w:p>
        </w:tc>
      </w:tr>
      <w:tr w:rsidR="00CD276A" w14:paraId="10195B6B" w14:textId="77777777" w:rsidTr="00CD276A">
        <w:tc>
          <w:tcPr>
            <w:tcW w:w="3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D93B8" w14:textId="77777777" w:rsidR="00CD276A" w:rsidRDefault="00CD276A" w:rsidP="00CD276A">
            <w:pPr>
              <w:pStyle w:val="SingleTxtG"/>
              <w:spacing w:before="60" w:after="60"/>
              <w:ind w:left="0" w:right="0"/>
            </w:pPr>
            <w:r>
              <w:t>ST/SG/AC.10/C.4/84</w:t>
            </w:r>
          </w:p>
        </w:tc>
        <w:tc>
          <w:tcPr>
            <w:tcW w:w="46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9060A" w14:textId="77777777" w:rsidR="00CD276A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Rapport du Sous-Comité d’experts du Système général harmonisé de classification et d’étiquetage des produits chimiques sur sa quarante-deuxième session</w:t>
            </w:r>
          </w:p>
        </w:tc>
      </w:tr>
    </w:tbl>
    <w:p w14:paraId="01309879" w14:textId="77777777" w:rsidR="00CD276A" w:rsidRPr="00D95579" w:rsidRDefault="00CD276A" w:rsidP="00CD276A">
      <w:pPr>
        <w:pStyle w:val="H1G"/>
      </w:pPr>
      <w:r>
        <w:lastRenderedPageBreak/>
        <w:tab/>
        <w:t>2.</w:t>
      </w:r>
      <w:r>
        <w:tab/>
        <w:t>Recommandations du Sous-Comité formulées à ses cinquante-huitième, cinquante-neuvième et soixantième sessions et questions en suspens</w:t>
      </w:r>
    </w:p>
    <w:p w14:paraId="40560604" w14:textId="77777777" w:rsidR="00CD276A" w:rsidRDefault="00CD276A" w:rsidP="00CD276A">
      <w:pPr>
        <w:pStyle w:val="H23G"/>
      </w:pPr>
      <w:r>
        <w:tab/>
        <w:t>a)</w:t>
      </w:r>
      <w:r>
        <w:tab/>
        <w:t>Examen des projets d’amendements déjà adoptés durant la période biennale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98"/>
        <w:gridCol w:w="4721"/>
      </w:tblGrid>
      <w:tr w:rsidR="00CD276A" w:rsidDel="0034599F" w14:paraId="540BFEE8" w14:textId="77777777" w:rsidTr="00CD276A">
        <w:tc>
          <w:tcPr>
            <w:tcW w:w="3598" w:type="dxa"/>
          </w:tcPr>
          <w:p w14:paraId="3F3199CD" w14:textId="77777777" w:rsidR="00CD276A" w:rsidDel="0034599F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ST/SG/AC.10/C.3/2022/75 (secrétariat)</w:t>
            </w:r>
          </w:p>
        </w:tc>
        <w:tc>
          <w:tcPr>
            <w:tcW w:w="4721" w:type="dxa"/>
          </w:tcPr>
          <w:p w14:paraId="6CE62450" w14:textId="77777777" w:rsidR="00CD276A" w:rsidRPr="00C60B7E" w:rsidDel="0034599F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Liste consolidée des projets d’amendements</w:t>
            </w:r>
          </w:p>
        </w:tc>
      </w:tr>
      <w:tr w:rsidR="00CD276A" w:rsidDel="0034599F" w14:paraId="0776C42F" w14:textId="77777777" w:rsidTr="00CD276A">
        <w:tc>
          <w:tcPr>
            <w:tcW w:w="3598" w:type="dxa"/>
          </w:tcPr>
          <w:p w14:paraId="6B3EEF35" w14:textId="4260D18C" w:rsidR="00CD276A" w:rsidDel="0034599F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ST/SG/AC.10/C.3/2022/78 (secrétariat de l’OTIF)</w:t>
            </w:r>
          </w:p>
        </w:tc>
        <w:tc>
          <w:tcPr>
            <w:tcW w:w="4721" w:type="dxa"/>
          </w:tcPr>
          <w:p w14:paraId="686BB7CB" w14:textId="77777777" w:rsidR="00CD276A" w:rsidDel="0034599F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>Disposition spéciale 388</w:t>
            </w:r>
          </w:p>
        </w:tc>
      </w:tr>
    </w:tbl>
    <w:p w14:paraId="725105F4" w14:textId="00E1FCBC" w:rsidR="00CD276A" w:rsidRPr="00D95579" w:rsidRDefault="00CD276A" w:rsidP="00CD276A">
      <w:pPr>
        <w:pStyle w:val="H23G"/>
      </w:pPr>
      <w:r>
        <w:tab/>
        <w:t>b)</w:t>
      </w:r>
      <w:r>
        <w:tab/>
        <w:t>Explosifs et questions connexes</w:t>
      </w:r>
    </w:p>
    <w:p w14:paraId="295E5B67" w14:textId="05C217C1" w:rsidR="00CD276A" w:rsidRDefault="00CD276A" w:rsidP="00CD276A">
      <w:pPr>
        <w:pStyle w:val="H4G"/>
      </w:pPr>
      <w:r>
        <w:tab/>
        <w:t>i)</w:t>
      </w:r>
      <w:r>
        <w:tab/>
        <w:t>Examen des épreuves de la série 6</w:t>
      </w:r>
    </w:p>
    <w:p w14:paraId="23E53857" w14:textId="77777777" w:rsidR="00CD276A" w:rsidRPr="002E0B99" w:rsidRDefault="00CD276A" w:rsidP="00CD276A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2BAF24BE" w14:textId="0215F38D" w:rsidR="00CD276A" w:rsidRDefault="00CD276A" w:rsidP="00CD276A">
      <w:pPr>
        <w:pStyle w:val="H4G"/>
      </w:pPr>
      <w:r>
        <w:tab/>
        <w:t>ii)</w:t>
      </w:r>
      <w:r>
        <w:tab/>
        <w:t>Amélioration des épreuves de la série 8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98"/>
        <w:gridCol w:w="4721"/>
      </w:tblGrid>
      <w:tr w:rsidR="00CD276A" w14:paraId="06AD878B" w14:textId="77777777" w:rsidTr="00CD276A">
        <w:tc>
          <w:tcPr>
            <w:tcW w:w="3598" w:type="dxa"/>
          </w:tcPr>
          <w:p w14:paraId="79215D45" w14:textId="59C8104C" w:rsidR="00CD276A" w:rsidRPr="00CD7DCA" w:rsidRDefault="00CD276A" w:rsidP="00CD276A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ST/SG/AC.10/C.3/2022/55 (COSTHA,</w:t>
            </w:r>
            <w:r>
              <w:rPr>
                <w:lang w:val="en-US"/>
              </w:rPr>
              <w:t> </w:t>
            </w:r>
            <w:r w:rsidRPr="00CD7DCA">
              <w:rPr>
                <w:lang w:val="en-US"/>
              </w:rPr>
              <w:t>SAAMI)</w:t>
            </w:r>
          </w:p>
        </w:tc>
        <w:tc>
          <w:tcPr>
            <w:tcW w:w="4721" w:type="dxa"/>
          </w:tcPr>
          <w:p w14:paraId="10040E84" w14:textId="4E92E198" w:rsidR="00CD276A" w:rsidRPr="00C60B7E" w:rsidRDefault="00CD276A" w:rsidP="00CD276A">
            <w:pPr>
              <w:pStyle w:val="SingleTxtG"/>
              <w:spacing w:before="60" w:after="60"/>
              <w:ind w:left="0" w:right="0"/>
              <w:jc w:val="left"/>
            </w:pPr>
            <w:r>
              <w:t xml:space="preserve">Recherches portant sur l’épreuve 6 d) et l’exclusion </w:t>
            </w:r>
            <w:r>
              <w:br/>
              <w:t>de la classe 1</w:t>
            </w:r>
          </w:p>
        </w:tc>
      </w:tr>
    </w:tbl>
    <w:p w14:paraId="4A358BB4" w14:textId="5166694D" w:rsidR="00CD276A" w:rsidRDefault="00CD276A" w:rsidP="00CD276A">
      <w:pPr>
        <w:pStyle w:val="H4G"/>
      </w:pPr>
      <w:r>
        <w:tab/>
        <w:t>iii)</w:t>
      </w:r>
      <w:r>
        <w:tab/>
        <w:t>Révision des épreuves des parties I, II et III du Manuel d’épreuves et de critères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98"/>
        <w:gridCol w:w="4721"/>
      </w:tblGrid>
      <w:tr w:rsidR="00CD276A" w14:paraId="335C3ECC" w14:textId="77777777" w:rsidTr="00CD276A">
        <w:tc>
          <w:tcPr>
            <w:tcW w:w="3598" w:type="dxa"/>
          </w:tcPr>
          <w:p w14:paraId="033D58AD" w14:textId="77777777" w:rsidR="00CD276A" w:rsidRPr="00CD7DCA" w:rsidRDefault="00CD276A" w:rsidP="00CD276A">
            <w:pPr>
              <w:pStyle w:val="SingleTxtG"/>
              <w:spacing w:before="60" w:after="60"/>
              <w:ind w:left="0" w:right="0"/>
              <w:rPr>
                <w:lang w:val="en-US"/>
              </w:rPr>
            </w:pPr>
            <w:r w:rsidRPr="00CD7DCA">
              <w:rPr>
                <w:lang w:val="en-US"/>
              </w:rPr>
              <w:t>ST/SG/AC.10/C.3/2022/57 (Cefic)</w:t>
            </w:r>
          </w:p>
        </w:tc>
        <w:tc>
          <w:tcPr>
            <w:tcW w:w="4721" w:type="dxa"/>
          </w:tcPr>
          <w:p w14:paraId="637FA7FB" w14:textId="77777777" w:rsidR="00CD276A" w:rsidRPr="00C60B7E" w:rsidRDefault="00CD276A" w:rsidP="00CD276A">
            <w:pPr>
              <w:pStyle w:val="SingleTxtG"/>
              <w:spacing w:before="60" w:after="60"/>
              <w:ind w:left="0" w:right="0"/>
            </w:pPr>
            <w:r>
              <w:t>Manuel d’épreuves et de critères, sections 1.2.1.4.3 et 20.2.5 sur l’épreuve d’échauffement spontané N.4 pour les peroxydes organiques et les matières qui polymérisent</w:t>
            </w:r>
          </w:p>
        </w:tc>
      </w:tr>
    </w:tbl>
    <w:p w14:paraId="74E1F731" w14:textId="19565B11" w:rsidR="00CD276A" w:rsidRDefault="00CD276A" w:rsidP="00CD276A">
      <w:pPr>
        <w:pStyle w:val="H4G"/>
      </w:pPr>
      <w:r>
        <w:tab/>
        <w:t>iv)</w:t>
      </w:r>
      <w:r>
        <w:tab/>
        <w:t>Détonateurs normalisés « UN »</w:t>
      </w:r>
    </w:p>
    <w:p w14:paraId="1BD4FFE6" w14:textId="77777777" w:rsidR="00CD276A" w:rsidRDefault="00CD276A" w:rsidP="00CD276A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5569E003" w14:textId="4B3F244B" w:rsidR="00CD276A" w:rsidRDefault="00CD276A" w:rsidP="00CD276A">
      <w:pPr>
        <w:pStyle w:val="H4G"/>
      </w:pPr>
      <w:r>
        <w:tab/>
        <w:t>v)</w:t>
      </w:r>
      <w:r>
        <w:tab/>
        <w:t>Révision des instructions d’emballage relatives aux explosifs</w:t>
      </w:r>
    </w:p>
    <w:p w14:paraId="59C3BB8A" w14:textId="50601C40" w:rsidR="00CD276A" w:rsidRPr="002E0B99" w:rsidRDefault="00CD276A" w:rsidP="00CD276A">
      <w:pPr>
        <w:pStyle w:val="SingleTxtG"/>
        <w:ind w:firstLine="567"/>
        <w:rPr>
          <w:b/>
          <w:bCs/>
        </w:rPr>
      </w:pPr>
      <w:r>
        <w:t>Aucun document n’avait été soumis au titre de ce point de l’ordre du jour au moment de la rédaction du présent document.</w:t>
      </w:r>
    </w:p>
    <w:p w14:paraId="44FE7EEA" w14:textId="12289646" w:rsidR="00CD276A" w:rsidRDefault="00CD276A" w:rsidP="00CD276A">
      <w:pPr>
        <w:pStyle w:val="H4G"/>
      </w:pPr>
      <w:r>
        <w:tab/>
        <w:t>vi)</w:t>
      </w:r>
      <w:r>
        <w:tab/>
        <w:t>Échantillons énergétiques</w:t>
      </w:r>
    </w:p>
    <w:p w14:paraId="7257B26B" w14:textId="77777777" w:rsidR="00CD276A" w:rsidRDefault="00CD276A" w:rsidP="00CD276A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2964A3CA" w14:textId="3A19B8CC" w:rsidR="00CD276A" w:rsidRDefault="00CD276A" w:rsidP="00CD276A">
      <w:pPr>
        <w:pStyle w:val="H4G"/>
      </w:pPr>
      <w:r>
        <w:tab/>
        <w:t>vii)</w:t>
      </w:r>
      <w:r>
        <w:tab/>
        <w:t>Questions liées à la définition des matières explosibles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98"/>
        <w:gridCol w:w="4721"/>
      </w:tblGrid>
      <w:tr w:rsidR="00CD276A" w14:paraId="1B2B1380" w14:textId="77777777" w:rsidTr="00CD276A">
        <w:tc>
          <w:tcPr>
            <w:tcW w:w="3598" w:type="dxa"/>
          </w:tcPr>
          <w:p w14:paraId="14EC4C09" w14:textId="77777777" w:rsidR="00CD276A" w:rsidRPr="00CD7DCA" w:rsidRDefault="00CD276A" w:rsidP="00CD276A">
            <w:pPr>
              <w:pStyle w:val="SingleTxtG"/>
              <w:spacing w:before="60" w:after="60"/>
              <w:ind w:left="0" w:right="0"/>
              <w:rPr>
                <w:lang w:val="en-US"/>
              </w:rPr>
            </w:pPr>
            <w:r w:rsidRPr="00CD7DCA">
              <w:rPr>
                <w:lang w:val="en-US"/>
              </w:rPr>
              <w:t>ST/SG/AC.10/C.3/2022/47 (Suède)</w:t>
            </w:r>
          </w:p>
        </w:tc>
        <w:tc>
          <w:tcPr>
            <w:tcW w:w="4721" w:type="dxa"/>
          </w:tcPr>
          <w:p w14:paraId="482DABF8" w14:textId="77777777" w:rsidR="00CD276A" w:rsidRPr="00C60B7E" w:rsidRDefault="00CD276A" w:rsidP="00CD276A">
            <w:pPr>
              <w:pStyle w:val="SingleTxtG"/>
              <w:spacing w:before="60" w:after="60"/>
              <w:ind w:left="0" w:right="0"/>
            </w:pPr>
            <w:r>
              <w:t>Proposition de modification de la définition de « matière pyrotechnique » et d’ajout de la définition d</w:t>
            </w:r>
            <w:proofErr w:type="gramStart"/>
            <w:r>
              <w:t>’«</w:t>
            </w:r>
            <w:proofErr w:type="gramEnd"/>
            <w:r>
              <w:t> effet par explosion ou effet pyrotechnique »</w:t>
            </w:r>
          </w:p>
        </w:tc>
      </w:tr>
    </w:tbl>
    <w:p w14:paraId="5E97D723" w14:textId="48C77D1E" w:rsidR="00CD276A" w:rsidRDefault="00CD276A" w:rsidP="00CD276A">
      <w:pPr>
        <w:pStyle w:val="H4G"/>
      </w:pPr>
      <w:r>
        <w:tab/>
        <w:t>viii)</w:t>
      </w:r>
      <w:r>
        <w:tab/>
        <w:t>Examen des prescriptions en matière d’emballage et de transport des émulsions de nitrate d’ammonium</w:t>
      </w:r>
    </w:p>
    <w:p w14:paraId="0225380E" w14:textId="77777777" w:rsidR="00CD276A" w:rsidRDefault="00CD276A" w:rsidP="00CD276A">
      <w:pPr>
        <w:pStyle w:val="SingleTxtG"/>
        <w:ind w:firstLine="567"/>
      </w:pPr>
      <w:r>
        <w:t xml:space="preserve">Aucun document n’avait été soumis au titre de ce point de l’ordre du jour au moment de la rédaction du présent document. </w:t>
      </w:r>
    </w:p>
    <w:p w14:paraId="68E4187F" w14:textId="40EF8307" w:rsidR="00CD276A" w:rsidRDefault="005261DC" w:rsidP="005261DC">
      <w:pPr>
        <w:pStyle w:val="H4G"/>
      </w:pPr>
      <w:r>
        <w:tab/>
      </w:r>
      <w:r w:rsidR="00CD276A">
        <w:t>ix)</w:t>
      </w:r>
      <w:r w:rsidR="00CD276A">
        <w:tab/>
        <w:t>Autres questions</w:t>
      </w:r>
    </w:p>
    <w:tbl>
      <w:tblPr>
        <w:tblW w:w="8319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98"/>
        <w:gridCol w:w="4721"/>
      </w:tblGrid>
      <w:tr w:rsidR="00CD276A" w:rsidDel="006A38CD" w14:paraId="72567A10" w14:textId="77777777" w:rsidTr="00FD34E3">
        <w:tc>
          <w:tcPr>
            <w:tcW w:w="3598" w:type="dxa"/>
          </w:tcPr>
          <w:p w14:paraId="118CAED0" w14:textId="77777777" w:rsidR="00CD276A" w:rsidRPr="00CD7DCA" w:rsidDel="006A38CD" w:rsidRDefault="00CD276A" w:rsidP="00FD34E3">
            <w:pPr>
              <w:pStyle w:val="SingleTxtG"/>
              <w:spacing w:before="60" w:after="60"/>
              <w:ind w:left="0" w:right="0"/>
              <w:rPr>
                <w:lang w:val="en-US"/>
              </w:rPr>
            </w:pPr>
            <w:r w:rsidRPr="00CD7DCA">
              <w:rPr>
                <w:lang w:val="en-US"/>
              </w:rPr>
              <w:t>ST/SG/AC.10/C.3/2022/58 (Cefic)</w:t>
            </w:r>
          </w:p>
        </w:tc>
        <w:tc>
          <w:tcPr>
            <w:tcW w:w="4721" w:type="dxa"/>
          </w:tcPr>
          <w:p w14:paraId="5D1B108B" w14:textId="77777777" w:rsidR="00CD276A" w:rsidRPr="00142FCE" w:rsidDel="006A38CD" w:rsidRDefault="00CD276A" w:rsidP="00FD34E3">
            <w:pPr>
              <w:pStyle w:val="SingleTxtG"/>
              <w:spacing w:before="60" w:after="60"/>
              <w:ind w:left="0" w:right="0"/>
            </w:pPr>
            <w:r>
              <w:t>Attribution de la disposition spéciale 28 aux matières explosibles désensibilisées liquides dans la liste des marchandises dangereuses du Règlement type</w:t>
            </w:r>
          </w:p>
        </w:tc>
      </w:tr>
      <w:tr w:rsidR="00CD276A" w:rsidDel="006A38CD" w14:paraId="1177E7AC" w14:textId="77777777" w:rsidTr="00FD34E3">
        <w:tc>
          <w:tcPr>
            <w:tcW w:w="3598" w:type="dxa"/>
          </w:tcPr>
          <w:p w14:paraId="7A95A248" w14:textId="77777777" w:rsidR="00CD276A" w:rsidRPr="00CD7DCA" w:rsidRDefault="00CD276A" w:rsidP="00FD34E3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ST/SG/AC.10/C.3/2022/59 (Cefic, WONIPA)</w:t>
            </w:r>
          </w:p>
        </w:tc>
        <w:tc>
          <w:tcPr>
            <w:tcW w:w="4721" w:type="dxa"/>
          </w:tcPr>
          <w:p w14:paraId="597FA8B4" w14:textId="24ABFB9A" w:rsidR="00CD276A" w:rsidRDefault="00CD276A" w:rsidP="00FD34E3">
            <w:pPr>
              <w:pStyle w:val="SingleTxtG"/>
              <w:spacing w:before="60" w:after="60"/>
              <w:ind w:left="0" w:right="0"/>
              <w:jc w:val="left"/>
            </w:pPr>
            <w:r>
              <w:t>Classement des membranes filtrantes en nitrocellulose servant aux fins de diagnostic et d’autres applications en</w:t>
            </w:r>
            <w:r w:rsidR="00FD34E3">
              <w:t> </w:t>
            </w:r>
            <w:r>
              <w:t>sciences de la vie</w:t>
            </w:r>
          </w:p>
        </w:tc>
      </w:tr>
    </w:tbl>
    <w:p w14:paraId="3FFF62A3" w14:textId="7D6AA767" w:rsidR="00CD276A" w:rsidRDefault="00CD276A" w:rsidP="00FD34E3">
      <w:pPr>
        <w:pStyle w:val="H1G"/>
      </w:pPr>
      <w:r>
        <w:tab/>
        <w:t>3.</w:t>
      </w:r>
      <w:r>
        <w:tab/>
        <w:t>Inscription, classement et emballage</w:t>
      </w:r>
    </w:p>
    <w:tbl>
      <w:tblPr>
        <w:tblW w:w="831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735"/>
        <w:gridCol w:w="5580"/>
      </w:tblGrid>
      <w:tr w:rsidR="00AA5AC5" w14:paraId="4266296D" w14:textId="77777777" w:rsidTr="00AA5AC5">
        <w:tc>
          <w:tcPr>
            <w:tcW w:w="2735" w:type="dxa"/>
          </w:tcPr>
          <w:p w14:paraId="42125B74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ST/SG/AC.10/C.3/2022/46 (secrétariat)</w:t>
            </w:r>
          </w:p>
        </w:tc>
        <w:tc>
          <w:tcPr>
            <w:tcW w:w="5580" w:type="dxa"/>
          </w:tcPr>
          <w:p w14:paraId="554B3CBE" w14:textId="77777777" w:rsidR="00FD34E3" w:rsidRPr="00C60B7E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Activité spécifique et activité massique</w:t>
            </w:r>
          </w:p>
        </w:tc>
      </w:tr>
      <w:tr w:rsidR="00AA5AC5" w14:paraId="0777AA83" w14:textId="77777777" w:rsidTr="00AA5AC5">
        <w:tc>
          <w:tcPr>
            <w:tcW w:w="2735" w:type="dxa"/>
          </w:tcPr>
          <w:p w14:paraId="645023B8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ST/SG/AC.10/C.3/2022/51 (Allemagne)</w:t>
            </w:r>
          </w:p>
        </w:tc>
        <w:tc>
          <w:tcPr>
            <w:tcW w:w="5580" w:type="dxa"/>
          </w:tcPr>
          <w:p w14:paraId="717743F9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Distinction entre le N</w:t>
            </w:r>
            <w:r w:rsidRPr="00FD34E3">
              <w:rPr>
                <w:vertAlign w:val="superscript"/>
              </w:rPr>
              <w:t>o</w:t>
            </w:r>
            <w:r>
              <w:t> ONU 1950 AÉROSOLS et le numéro ONU 2037 RÉCIPIENTS DE FAIBLE CAPACITÉ CONTENANT DU GAZ (CARTOUCHES À GAZ), et proposition de prescriptions de marquage pour le N</w:t>
            </w:r>
            <w:r w:rsidRPr="00FD34E3">
              <w:rPr>
                <w:vertAlign w:val="superscript"/>
              </w:rPr>
              <w:t>o</w:t>
            </w:r>
            <w:r>
              <w:t> ONU 2037 RÉCIPIENTS DE FAIBLE CAPACITÉ CONTENANT DU GAZ (CARTOUCHES À GAZ)</w:t>
            </w:r>
          </w:p>
        </w:tc>
      </w:tr>
      <w:tr w:rsidR="00AA5AC5" w14:paraId="7E64DB7E" w14:textId="77777777" w:rsidTr="00AA5AC5">
        <w:tc>
          <w:tcPr>
            <w:tcW w:w="2735" w:type="dxa"/>
          </w:tcPr>
          <w:p w14:paraId="14D50B3B" w14:textId="77777777" w:rsidR="00FD34E3" w:rsidRPr="00CD7DCA" w:rsidRDefault="00FD34E3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 xml:space="preserve">ST/SG/AC.10/C.3/2022/53 (World </w:t>
            </w:r>
            <w:r w:rsidRPr="00FD34E3">
              <w:rPr>
                <w:spacing w:val="-1"/>
                <w:lang w:val="en-US"/>
              </w:rPr>
              <w:t>LPG Association, Liquid Gas Europe)</w:t>
            </w:r>
          </w:p>
        </w:tc>
        <w:tc>
          <w:tcPr>
            <w:tcW w:w="5580" w:type="dxa"/>
          </w:tcPr>
          <w:p w14:paraId="4C1C8D48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Produits actuels et futurs dans le secteur du GPL, modification des numéros ONU, points à examiner et propositions</w:t>
            </w:r>
          </w:p>
        </w:tc>
      </w:tr>
      <w:tr w:rsidR="00AA5AC5" w14:paraId="73094057" w14:textId="77777777" w:rsidTr="00AA5AC5">
        <w:tc>
          <w:tcPr>
            <w:tcW w:w="2735" w:type="dxa"/>
          </w:tcPr>
          <w:p w14:paraId="7E4576E4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ST/SG/AC.10/C.3/2022/54 (Allemagne)</w:t>
            </w:r>
          </w:p>
        </w:tc>
        <w:tc>
          <w:tcPr>
            <w:tcW w:w="5580" w:type="dxa"/>
          </w:tcPr>
          <w:p w14:paraId="49EF0E6D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Proposition d’ajout de la classe 8 en tant que danger subsidiaire pour le N</w:t>
            </w:r>
            <w:r w:rsidRPr="00FD34E3">
              <w:rPr>
                <w:vertAlign w:val="superscript"/>
              </w:rPr>
              <w:t>o</w:t>
            </w:r>
            <w:r>
              <w:t> ONU 1040 OXYDE D’ÉTHYLÈNE, ou OXYDE D’ÉTHYLÈNE AVEC DE L’AZOTE jusqu’à une pression totale de 1 MPa (10 </w:t>
            </w:r>
            <w:proofErr w:type="gramStart"/>
            <w:r>
              <w:t>bar</w:t>
            </w:r>
            <w:proofErr w:type="gramEnd"/>
            <w:r>
              <w:t>) à 50 °C</w:t>
            </w:r>
          </w:p>
        </w:tc>
      </w:tr>
      <w:tr w:rsidR="00AA5AC5" w14:paraId="6EAB88BD" w14:textId="77777777" w:rsidTr="00AA5AC5">
        <w:tc>
          <w:tcPr>
            <w:tcW w:w="2735" w:type="dxa"/>
          </w:tcPr>
          <w:p w14:paraId="44F63427" w14:textId="77777777" w:rsidR="00FD34E3" w:rsidRPr="00CD7DCA" w:rsidRDefault="00FD34E3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ST/SG/AC.10/C.3/2022/56 (WCC)</w:t>
            </w:r>
          </w:p>
        </w:tc>
        <w:tc>
          <w:tcPr>
            <w:tcW w:w="5580" w:type="dxa"/>
          </w:tcPr>
          <w:p w14:paraId="343BA166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Dispositions relatives au transport de petites quantités de peintures et d’encres d’imprimerie dangereuses pour l’environnement (et de matières apparentées)</w:t>
            </w:r>
          </w:p>
        </w:tc>
      </w:tr>
      <w:tr w:rsidR="00AA5AC5" w14:paraId="1F17544A" w14:textId="77777777" w:rsidTr="00AA5AC5">
        <w:tc>
          <w:tcPr>
            <w:tcW w:w="2735" w:type="dxa"/>
          </w:tcPr>
          <w:p w14:paraId="45A9ADD3" w14:textId="77777777" w:rsidR="00FD34E3" w:rsidRPr="00CD7DCA" w:rsidRDefault="00FD34E3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ST/SG/AC.10/C.3/2022/63 (Chine)</w:t>
            </w:r>
          </w:p>
        </w:tc>
        <w:tc>
          <w:tcPr>
            <w:tcW w:w="5580" w:type="dxa"/>
          </w:tcPr>
          <w:p w14:paraId="197E588A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Attribution de la disposition spéciale 28</w:t>
            </w:r>
          </w:p>
        </w:tc>
      </w:tr>
      <w:tr w:rsidR="00AA5AC5" w14:paraId="710D9D3F" w14:textId="77777777" w:rsidTr="00AA5AC5">
        <w:tc>
          <w:tcPr>
            <w:tcW w:w="2735" w:type="dxa"/>
          </w:tcPr>
          <w:p w14:paraId="5D097086" w14:textId="77777777" w:rsidR="00FD34E3" w:rsidRPr="00CD7DCA" w:rsidRDefault="00FD34E3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ST/SG/AC.10/C.3/2022/64 (Chine)</w:t>
            </w:r>
          </w:p>
        </w:tc>
        <w:tc>
          <w:tcPr>
            <w:tcW w:w="5580" w:type="dxa"/>
          </w:tcPr>
          <w:p w14:paraId="4E2EB61F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Épreuve du feu prescrite dans les dispositions spéciales 283 et 371</w:t>
            </w:r>
          </w:p>
        </w:tc>
      </w:tr>
      <w:tr w:rsidR="00AA5AC5" w14:paraId="69343D83" w14:textId="77777777" w:rsidTr="00AA5AC5">
        <w:tc>
          <w:tcPr>
            <w:tcW w:w="2735" w:type="dxa"/>
          </w:tcPr>
          <w:p w14:paraId="32567FDC" w14:textId="77777777" w:rsidR="00FD34E3" w:rsidRPr="00CD7DCA" w:rsidRDefault="00FD34E3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ST/SG/AC.10/C.3/2022/65 (Chine)</w:t>
            </w:r>
          </w:p>
        </w:tc>
        <w:tc>
          <w:tcPr>
            <w:tcW w:w="5580" w:type="dxa"/>
          </w:tcPr>
          <w:p w14:paraId="3B73EC12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Modification à apporter au 3.1.2.2 du Règlement type</w:t>
            </w:r>
          </w:p>
        </w:tc>
      </w:tr>
      <w:tr w:rsidR="00AA5AC5" w14:paraId="12780019" w14:textId="77777777" w:rsidTr="00AA5AC5">
        <w:tc>
          <w:tcPr>
            <w:tcW w:w="2735" w:type="dxa"/>
          </w:tcPr>
          <w:p w14:paraId="1428B5AA" w14:textId="77777777" w:rsidR="00FD34E3" w:rsidRPr="00CD7DCA" w:rsidRDefault="00FD34E3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ST/SG/AC.10/C.3/2022/67 (Chine)</w:t>
            </w:r>
          </w:p>
        </w:tc>
        <w:tc>
          <w:tcPr>
            <w:tcW w:w="5580" w:type="dxa"/>
          </w:tcPr>
          <w:p w14:paraId="78CE03E2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Propositions relatives à la trousse de résine polyester</w:t>
            </w:r>
          </w:p>
        </w:tc>
      </w:tr>
      <w:tr w:rsidR="00AA5AC5" w14:paraId="0AA77D37" w14:textId="77777777" w:rsidTr="00AA5AC5">
        <w:tc>
          <w:tcPr>
            <w:tcW w:w="2735" w:type="dxa"/>
          </w:tcPr>
          <w:p w14:paraId="20A87076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 xml:space="preserve">ST/SG/AC.10/C.3/2022/68 </w:t>
            </w:r>
            <w:r>
              <w:br/>
              <w:t>(Pays-Bas)</w:t>
            </w:r>
          </w:p>
        </w:tc>
        <w:tc>
          <w:tcPr>
            <w:tcW w:w="5580" w:type="dxa"/>
          </w:tcPr>
          <w:p w14:paraId="78EF2D3D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Révision du classement de l’hydroxyde de tétraméthylammonium</w:t>
            </w:r>
          </w:p>
        </w:tc>
      </w:tr>
      <w:tr w:rsidR="00AA5AC5" w14:paraId="7CB81FE6" w14:textId="77777777" w:rsidTr="00AA5AC5">
        <w:tc>
          <w:tcPr>
            <w:tcW w:w="2735" w:type="dxa"/>
          </w:tcPr>
          <w:p w14:paraId="567B6ACA" w14:textId="77777777" w:rsidR="00FD34E3" w:rsidRPr="00CD7DCA" w:rsidRDefault="00FD34E3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ST/SG/AC.10/C.3/2022/72 (Cefic,</w:t>
            </w:r>
            <w:r>
              <w:rPr>
                <w:lang w:val="en-US"/>
              </w:rPr>
              <w:t> </w:t>
            </w:r>
            <w:r w:rsidRPr="00CD7DCA">
              <w:rPr>
                <w:lang w:val="en-US"/>
              </w:rPr>
              <w:t>DGAC)</w:t>
            </w:r>
          </w:p>
        </w:tc>
        <w:tc>
          <w:tcPr>
            <w:tcW w:w="5580" w:type="dxa"/>
          </w:tcPr>
          <w:p w14:paraId="57BCAFFB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Révision du classement de l’hydroxyde de tétraméthylammonium</w:t>
            </w:r>
          </w:p>
        </w:tc>
      </w:tr>
      <w:tr w:rsidR="00AA5AC5" w14:paraId="5B9D58AA" w14:textId="77777777" w:rsidTr="00AA5AC5">
        <w:tc>
          <w:tcPr>
            <w:tcW w:w="2735" w:type="dxa"/>
          </w:tcPr>
          <w:p w14:paraId="3EACB417" w14:textId="77777777" w:rsidR="00FD34E3" w:rsidRPr="00CD7DCA" w:rsidDel="006A38CD" w:rsidRDefault="00FD34E3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ST/SG/AC.10/C.3/2022/73 (COSTHA)</w:t>
            </w:r>
          </w:p>
        </w:tc>
        <w:tc>
          <w:tcPr>
            <w:tcW w:w="5580" w:type="dxa"/>
          </w:tcPr>
          <w:p w14:paraId="0285A1D0" w14:textId="77777777" w:rsidR="00FD34E3" w:rsidRPr="00687C8A" w:rsidDel="006A38CD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Dispositifs d’extinction de feu contenant une matière pyrotechnique</w:t>
            </w:r>
          </w:p>
        </w:tc>
      </w:tr>
      <w:tr w:rsidR="00AA5AC5" w14:paraId="536E36F8" w14:textId="77777777" w:rsidTr="00AA5AC5">
        <w:tc>
          <w:tcPr>
            <w:tcW w:w="2735" w:type="dxa"/>
          </w:tcPr>
          <w:p w14:paraId="3E5F6321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ST/SG/AC.10/C.3/2022/76 (secrétariat)</w:t>
            </w:r>
          </w:p>
        </w:tc>
        <w:tc>
          <w:tcPr>
            <w:tcW w:w="5580" w:type="dxa"/>
          </w:tcPr>
          <w:p w14:paraId="6C6AACA5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Propositions d’amendements aux instructions d’emballage</w:t>
            </w:r>
          </w:p>
        </w:tc>
      </w:tr>
      <w:tr w:rsidR="00AA5AC5" w14:paraId="6EF47855" w14:textId="77777777" w:rsidTr="00AA5AC5">
        <w:tc>
          <w:tcPr>
            <w:tcW w:w="2735" w:type="dxa"/>
          </w:tcPr>
          <w:p w14:paraId="463F99D7" w14:textId="77777777" w:rsidR="00FD34E3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ST/SG/AC.10/C.3/2022/77 (secrétariat)</w:t>
            </w:r>
          </w:p>
        </w:tc>
        <w:tc>
          <w:tcPr>
            <w:tcW w:w="5580" w:type="dxa"/>
          </w:tcPr>
          <w:p w14:paraId="10FDAD77" w14:textId="77777777" w:rsidR="00FD34E3" w:rsidRPr="008A42DE" w:rsidRDefault="00FD34E3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Instructions de transport en citernes mobiles et dispositions spéciales applicables au transport en citernes mobiles (suite donnée au document ST/SG/AC.10/C.3/2022/39)</w:t>
            </w:r>
          </w:p>
        </w:tc>
      </w:tr>
    </w:tbl>
    <w:p w14:paraId="66216459" w14:textId="01649B5C" w:rsidR="00CD276A" w:rsidRPr="00556653" w:rsidRDefault="00FD34E3" w:rsidP="00FD34E3">
      <w:pPr>
        <w:pStyle w:val="H1G"/>
      </w:pPr>
      <w:r>
        <w:tab/>
      </w:r>
      <w:r w:rsidRPr="00556653">
        <w:t>4.</w:t>
      </w:r>
      <w:r w:rsidR="00CD276A" w:rsidRPr="00556653">
        <w:tab/>
        <w:t>Systèmes de stockage de l’électricité</w:t>
      </w:r>
    </w:p>
    <w:p w14:paraId="2A139A20" w14:textId="77777777" w:rsidR="00CD276A" w:rsidRPr="00556653" w:rsidRDefault="00CD276A" w:rsidP="00FD34E3">
      <w:pPr>
        <w:pStyle w:val="H23G"/>
      </w:pPr>
      <w:r w:rsidRPr="00556653">
        <w:tab/>
        <w:t>a)</w:t>
      </w:r>
      <w:r w:rsidRPr="00556653">
        <w:tab/>
        <w:t>Épreuves pour les batteries au lithium</w:t>
      </w:r>
    </w:p>
    <w:p w14:paraId="4D0C97C3" w14:textId="77777777" w:rsidR="00CD276A" w:rsidRPr="002E0B99" w:rsidRDefault="00CD276A" w:rsidP="00FD34E3">
      <w:pPr>
        <w:pStyle w:val="SingleTxtG"/>
        <w:ind w:firstLine="567"/>
      </w:pPr>
      <w:r w:rsidRPr="00556653">
        <w:t>Aucun document n’avait été soumis au titre de ce point de l’ordre du jour au moment de la rédaction du présent document.</w:t>
      </w:r>
    </w:p>
    <w:p w14:paraId="77270162" w14:textId="77777777" w:rsidR="00CD276A" w:rsidRDefault="00CD276A" w:rsidP="00FD34E3">
      <w:pPr>
        <w:pStyle w:val="H23G"/>
      </w:pPr>
      <w:r>
        <w:tab/>
        <w:t>b)</w:t>
      </w:r>
      <w:r>
        <w:tab/>
        <w:t>Système de classification des batteries au lithium en fonction du danger</w:t>
      </w:r>
    </w:p>
    <w:p w14:paraId="2E6CFBDF" w14:textId="058B4F5A" w:rsidR="00CD276A" w:rsidRPr="002E0B99" w:rsidRDefault="00CD276A" w:rsidP="00FD34E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260769D0" w14:textId="515F06D7" w:rsidR="00CD276A" w:rsidRDefault="00AA5AC5" w:rsidP="00AA5AC5">
      <w:pPr>
        <w:pStyle w:val="H23G"/>
      </w:pPr>
      <w:r>
        <w:tab/>
      </w:r>
      <w:r w:rsidR="00CD276A">
        <w:t>c)</w:t>
      </w:r>
      <w:r w:rsidR="00CD276A">
        <w:tab/>
        <w:t>Dispositions relatives au transport</w:t>
      </w:r>
    </w:p>
    <w:tbl>
      <w:tblPr>
        <w:tblW w:w="831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771"/>
      </w:tblGrid>
      <w:tr w:rsidR="00CD276A" w:rsidRPr="00B92217" w14:paraId="6190D3AF" w14:textId="77777777" w:rsidTr="00AA5AC5">
        <w:tc>
          <w:tcPr>
            <w:tcW w:w="3544" w:type="dxa"/>
          </w:tcPr>
          <w:p w14:paraId="05731533" w14:textId="77777777" w:rsidR="00CD276A" w:rsidRPr="00CD7DCA" w:rsidDel="0095761F" w:rsidRDefault="00CD276A" w:rsidP="00FD34E3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ST/SG/AC.10/C.3/2022/70 (IATA)</w:t>
            </w:r>
          </w:p>
        </w:tc>
        <w:tc>
          <w:tcPr>
            <w:tcW w:w="4771" w:type="dxa"/>
          </w:tcPr>
          <w:p w14:paraId="2B0107B1" w14:textId="77777777" w:rsidR="00CD276A" w:rsidRPr="00C6639D" w:rsidDel="0095761F" w:rsidRDefault="00CD276A" w:rsidP="00FD34E3">
            <w:pPr>
              <w:pStyle w:val="SingleTxtG"/>
              <w:spacing w:before="60" w:after="60"/>
              <w:ind w:left="0" w:right="0"/>
              <w:jc w:val="left"/>
            </w:pPr>
            <w:r>
              <w:t>Attribution d’un nouveau numéro ONU aux véhicules alimentés par des batteries au lithium</w:t>
            </w:r>
          </w:p>
        </w:tc>
      </w:tr>
    </w:tbl>
    <w:p w14:paraId="0C15DE3C" w14:textId="0F6B23E7" w:rsidR="00CD276A" w:rsidRDefault="00AA5AC5" w:rsidP="00AA5AC5">
      <w:pPr>
        <w:pStyle w:val="H23G"/>
      </w:pPr>
      <w:r>
        <w:tab/>
      </w:r>
      <w:r w:rsidR="00CD276A">
        <w:t>d)</w:t>
      </w:r>
      <w:r w:rsidR="00CD276A">
        <w:tab/>
        <w:t>Batteries au lithium endommagées ou défectueuses</w:t>
      </w:r>
    </w:p>
    <w:p w14:paraId="3DFB485D" w14:textId="77777777" w:rsidR="00CD276A" w:rsidRPr="002E0B99" w:rsidRDefault="00CD276A" w:rsidP="00FD34E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6C13E3D6" w14:textId="77777777" w:rsidR="00CD276A" w:rsidRDefault="00CD276A" w:rsidP="00AA5AC5">
      <w:pPr>
        <w:pStyle w:val="H23G"/>
      </w:pPr>
      <w:r>
        <w:tab/>
        <w:t>e)</w:t>
      </w:r>
      <w:r>
        <w:tab/>
        <w:t>Batteries au sodium ionique</w:t>
      </w:r>
    </w:p>
    <w:p w14:paraId="52187098" w14:textId="77777777" w:rsidR="00CD276A" w:rsidRPr="002E0B99" w:rsidRDefault="00CD276A" w:rsidP="00FD34E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0EA447C5" w14:textId="10F12D7F" w:rsidR="00CD276A" w:rsidRDefault="00AA5AC5" w:rsidP="00AA5AC5">
      <w:pPr>
        <w:pStyle w:val="H23G"/>
      </w:pPr>
      <w:r>
        <w:tab/>
      </w:r>
      <w:r w:rsidR="00CD276A">
        <w:t>f)</w:t>
      </w:r>
      <w:r w:rsidR="00CD276A">
        <w:tab/>
        <w:t>Autres questions</w:t>
      </w:r>
    </w:p>
    <w:p w14:paraId="4F620E28" w14:textId="77777777" w:rsidR="00CD276A" w:rsidRPr="002E0B99" w:rsidRDefault="00CD276A" w:rsidP="00FD34E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7FC5FA35" w14:textId="77777777" w:rsidR="00CD276A" w:rsidRDefault="00CD276A" w:rsidP="00AA5AC5">
      <w:pPr>
        <w:pStyle w:val="H1G"/>
      </w:pPr>
      <w:r>
        <w:tab/>
        <w:t>5.</w:t>
      </w:r>
      <w:r>
        <w:tab/>
        <w:t>Transport de gaz</w:t>
      </w:r>
    </w:p>
    <w:p w14:paraId="691CAFBF" w14:textId="77777777" w:rsidR="00CD276A" w:rsidRDefault="00CD276A" w:rsidP="00AA5AC5">
      <w:pPr>
        <w:pStyle w:val="H23G"/>
      </w:pPr>
      <w:r>
        <w:tab/>
        <w:t>a)</w:t>
      </w:r>
      <w:r>
        <w:tab/>
        <w:t>Reconnaissance universelle des récipients à pression ONU et non ONU</w:t>
      </w:r>
    </w:p>
    <w:p w14:paraId="0C8F3331" w14:textId="77777777" w:rsidR="00CD276A" w:rsidRDefault="00CD276A" w:rsidP="00FD34E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6CAB9B7E" w14:textId="49E438F4" w:rsidR="00CD276A" w:rsidRDefault="00AA5AC5" w:rsidP="00AA5AC5">
      <w:pPr>
        <w:pStyle w:val="H23G"/>
      </w:pPr>
      <w:r>
        <w:tab/>
      </w:r>
      <w:r w:rsidR="00CD276A">
        <w:t>b)</w:t>
      </w:r>
      <w:r w:rsidR="00CD276A">
        <w:tab/>
        <w:t>Gaz de la division 2.2 transportés en quantités limitées</w:t>
      </w:r>
    </w:p>
    <w:tbl>
      <w:tblPr>
        <w:tblW w:w="8315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56"/>
        <w:gridCol w:w="4759"/>
      </w:tblGrid>
      <w:tr w:rsidR="00CD276A" w14:paraId="7A00F7CB" w14:textId="77777777" w:rsidTr="00AA5AC5">
        <w:tc>
          <w:tcPr>
            <w:tcW w:w="3556" w:type="dxa"/>
          </w:tcPr>
          <w:p w14:paraId="0E790F90" w14:textId="77777777" w:rsidR="00CD276A" w:rsidRPr="00CD7DCA" w:rsidRDefault="00CD276A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ST/SG/AC.10/C.3/2022/74 (ISO)</w:t>
            </w:r>
          </w:p>
        </w:tc>
        <w:tc>
          <w:tcPr>
            <w:tcW w:w="4759" w:type="dxa"/>
          </w:tcPr>
          <w:p w14:paraId="5556B23F" w14:textId="77777777" w:rsidR="00CD276A" w:rsidRDefault="00CD276A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Augmentation du volume maximal autorisé pour les gaz comprimés de la division 2.2 transportés en quantités limitées</w:t>
            </w:r>
          </w:p>
        </w:tc>
      </w:tr>
      <w:tr w:rsidR="00AA5AC5" w:rsidRPr="00AA5AC5" w14:paraId="0A58EC94" w14:textId="77777777" w:rsidTr="00AA5AC5">
        <w:tc>
          <w:tcPr>
            <w:tcW w:w="3556" w:type="dxa"/>
          </w:tcPr>
          <w:p w14:paraId="77B15A1C" w14:textId="012A8BBD" w:rsidR="00AA5AC5" w:rsidRPr="00CD7DCA" w:rsidRDefault="00AA5AC5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AA5AC5">
              <w:rPr>
                <w:lang w:val="en-US"/>
              </w:rPr>
              <w:t>ST/SG/AC.10/C.3/2022/60 (ISO)</w:t>
            </w:r>
          </w:p>
        </w:tc>
        <w:tc>
          <w:tcPr>
            <w:tcW w:w="4759" w:type="dxa"/>
          </w:tcPr>
          <w:p w14:paraId="69DACF8B" w14:textId="2CCD2399" w:rsidR="00AA5AC5" w:rsidRPr="00AA5AC5" w:rsidRDefault="00AA5AC5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Normes ISO mises à jour dans la classe 2</w:t>
            </w:r>
          </w:p>
        </w:tc>
      </w:tr>
    </w:tbl>
    <w:p w14:paraId="0ABBE52F" w14:textId="7986261A" w:rsidR="00CD276A" w:rsidRDefault="00AA5AC5" w:rsidP="00AA5AC5">
      <w:pPr>
        <w:pStyle w:val="H1G"/>
      </w:pPr>
      <w:r>
        <w:tab/>
      </w:r>
      <w:r w:rsidR="00CD276A">
        <w:t>6.</w:t>
      </w:r>
      <w:r w:rsidR="00CD276A">
        <w:tab/>
        <w:t>Propositions diverses d’amendements au Règlement type pour le</w:t>
      </w:r>
      <w:r>
        <w:t> </w:t>
      </w:r>
      <w:r w:rsidR="00CD276A">
        <w:t>transport des marchandises dangereuses</w:t>
      </w:r>
    </w:p>
    <w:p w14:paraId="6553E55C" w14:textId="52F03F80" w:rsidR="00CD276A" w:rsidRDefault="00AA5AC5" w:rsidP="00AA5AC5">
      <w:pPr>
        <w:pStyle w:val="H23G"/>
      </w:pPr>
      <w:r>
        <w:tab/>
      </w:r>
      <w:r w:rsidR="00CD276A">
        <w:t>a)</w:t>
      </w:r>
      <w:r w:rsidR="00CD276A">
        <w:tab/>
        <w:t>Marquage et étiquetage</w:t>
      </w:r>
    </w:p>
    <w:tbl>
      <w:tblPr>
        <w:tblW w:w="830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4731"/>
      </w:tblGrid>
      <w:tr w:rsidR="00CD276A" w14:paraId="30A375C7" w14:textId="77777777" w:rsidTr="00AA5AC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E92D77B" w14:textId="77777777" w:rsidR="00CD276A" w:rsidDel="00D86FD6" w:rsidRDefault="00CD276A" w:rsidP="00AA5AC5">
            <w:pPr>
              <w:pStyle w:val="SingleTxtG"/>
              <w:spacing w:before="60" w:after="60"/>
              <w:ind w:left="0" w:right="0"/>
            </w:pPr>
            <w:r>
              <w:t>ST/SG/AC.10/C.3/2022/49 (Allemagne)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42617A73" w14:textId="6BC1ACD8" w:rsidR="00CD276A" w:rsidDel="00D86FD6" w:rsidRDefault="00CD276A" w:rsidP="00AA5AC5">
            <w:pPr>
              <w:pStyle w:val="SingleTxtG"/>
              <w:spacing w:before="60" w:after="60"/>
              <w:ind w:left="0" w:right="0"/>
              <w:jc w:val="left"/>
              <w:rPr>
                <w:rFonts w:eastAsia="MS Mincho"/>
              </w:rPr>
            </w:pPr>
            <w:r>
              <w:t>Suppression d’une mesure transitoire figurant dans la</w:t>
            </w:r>
            <w:r w:rsidR="00AA5AC5">
              <w:t> </w:t>
            </w:r>
            <w:r>
              <w:t>disposition spéciale 204</w:t>
            </w:r>
          </w:p>
        </w:tc>
      </w:tr>
    </w:tbl>
    <w:p w14:paraId="09EA31A2" w14:textId="42AD13FD" w:rsidR="00CD276A" w:rsidRDefault="00AA5AC5" w:rsidP="00AA5AC5">
      <w:pPr>
        <w:pStyle w:val="H23G"/>
      </w:pPr>
      <w:r>
        <w:tab/>
      </w:r>
      <w:r w:rsidR="00CD276A">
        <w:t>b)</w:t>
      </w:r>
      <w:r w:rsidR="00CD276A">
        <w:tab/>
        <w:t>Emballages, y</w:t>
      </w:r>
      <w:r>
        <w:t> </w:t>
      </w:r>
      <w:r w:rsidR="00CD276A">
        <w:t>compris l’utilisation des matières plastiques recyclées</w:t>
      </w:r>
    </w:p>
    <w:tbl>
      <w:tblPr>
        <w:tblW w:w="830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757"/>
      </w:tblGrid>
      <w:tr w:rsidR="00CD276A" w14:paraId="0BEB7982" w14:textId="77777777" w:rsidTr="00AA5AC5">
        <w:tc>
          <w:tcPr>
            <w:tcW w:w="3544" w:type="dxa"/>
          </w:tcPr>
          <w:p w14:paraId="787EBB43" w14:textId="2371D24E" w:rsidR="00CD276A" w:rsidRPr="00CD7DCA" w:rsidDel="00D86FD6" w:rsidRDefault="00CD276A" w:rsidP="00AA5AC5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ST/SG/AC.10/C.3/2022/69 (ICPP,</w:t>
            </w:r>
            <w:r w:rsidR="00AA5AC5">
              <w:rPr>
                <w:lang w:val="en-US"/>
              </w:rPr>
              <w:t> </w:t>
            </w:r>
            <w:r w:rsidRPr="00CD7DCA">
              <w:rPr>
                <w:lang w:val="en-US"/>
              </w:rPr>
              <w:t>ICIBCA)</w:t>
            </w:r>
          </w:p>
        </w:tc>
        <w:tc>
          <w:tcPr>
            <w:tcW w:w="4757" w:type="dxa"/>
          </w:tcPr>
          <w:p w14:paraId="30E2E803" w14:textId="77777777" w:rsidR="00CD276A" w:rsidRPr="00E857F4" w:rsidDel="00D86FD6" w:rsidRDefault="00CD276A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Proposition visant à permettre une utilisation accrue des matières plastiques recyclées pour atteindre les objectifs du Programme 2030</w:t>
            </w:r>
          </w:p>
        </w:tc>
      </w:tr>
      <w:tr w:rsidR="00CD276A" w14:paraId="4F306A09" w14:textId="77777777" w:rsidTr="00AA5AC5">
        <w:tc>
          <w:tcPr>
            <w:tcW w:w="3544" w:type="dxa"/>
          </w:tcPr>
          <w:p w14:paraId="63A12F77" w14:textId="77777777" w:rsidR="00CD276A" w:rsidRDefault="00CD276A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ST/SG/AC.10/C.3/2022/71 (Belgique)</w:t>
            </w:r>
          </w:p>
        </w:tc>
        <w:tc>
          <w:tcPr>
            <w:tcW w:w="4757" w:type="dxa"/>
          </w:tcPr>
          <w:p w14:paraId="39A6CDC2" w14:textId="77777777" w:rsidR="00CD276A" w:rsidRDefault="00CD276A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Modification de la définition des matières plastiques recyclées</w:t>
            </w:r>
          </w:p>
        </w:tc>
      </w:tr>
    </w:tbl>
    <w:p w14:paraId="0F60BDF4" w14:textId="7318295A" w:rsidR="00CD276A" w:rsidRDefault="00AA5AC5" w:rsidP="00AA5AC5">
      <w:pPr>
        <w:pStyle w:val="H23G"/>
      </w:pPr>
      <w:r>
        <w:tab/>
      </w:r>
      <w:r w:rsidR="00CD276A">
        <w:t>c)</w:t>
      </w:r>
      <w:r w:rsidR="00CD276A">
        <w:tab/>
        <w:t>Citernes mobiles</w:t>
      </w:r>
    </w:p>
    <w:tbl>
      <w:tblPr>
        <w:tblW w:w="8301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3544"/>
        <w:gridCol w:w="4757"/>
      </w:tblGrid>
      <w:tr w:rsidR="00CD276A" w14:paraId="4BCF9D13" w14:textId="77777777" w:rsidTr="00AA5AC5">
        <w:tc>
          <w:tcPr>
            <w:tcW w:w="3544" w:type="dxa"/>
          </w:tcPr>
          <w:p w14:paraId="0D63F596" w14:textId="1D6F473C" w:rsidR="00CD276A" w:rsidDel="00D86FD6" w:rsidRDefault="00CD276A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ST/SG/AC.10/C.3/2022/61 (États</w:t>
            </w:r>
            <w:r w:rsidR="00AA5AC5">
              <w:noBreakHyphen/>
            </w:r>
            <w:r>
              <w:t>Unis</w:t>
            </w:r>
            <w:r w:rsidR="00AA5AC5">
              <w:t> </w:t>
            </w:r>
            <w:r>
              <w:t>d’Amérique)</w:t>
            </w:r>
          </w:p>
        </w:tc>
        <w:tc>
          <w:tcPr>
            <w:tcW w:w="4757" w:type="dxa"/>
          </w:tcPr>
          <w:p w14:paraId="4ED13AF5" w14:textId="073065E5" w:rsidR="00CD276A" w:rsidDel="00D86FD6" w:rsidRDefault="00CD276A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Transport dans des citernes mobiles de certaines DISPERSIONS DE MÉTAUX ALCALINS (ONU 1391) et</w:t>
            </w:r>
            <w:r w:rsidR="00AA5AC5">
              <w:t> </w:t>
            </w:r>
            <w:r>
              <w:t xml:space="preserve">DISPERSIONS DE MÉTAUX ALCALINS INFLAMMABLES (ONU 3482) </w:t>
            </w:r>
          </w:p>
        </w:tc>
      </w:tr>
      <w:tr w:rsidR="00CD276A" w14:paraId="62880A34" w14:textId="77777777" w:rsidTr="00AA5AC5">
        <w:tc>
          <w:tcPr>
            <w:tcW w:w="3544" w:type="dxa"/>
          </w:tcPr>
          <w:p w14:paraId="76C9B418" w14:textId="10FCC5EB" w:rsidR="00CD276A" w:rsidRDefault="00CD276A" w:rsidP="00AA5AC5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ST/SG/AC.10/C.3/2022/62 (Président du</w:t>
            </w:r>
            <w:r w:rsidR="00AA5AC5">
              <w:t> </w:t>
            </w:r>
            <w:r>
              <w:t>groupe informel du plastique renforcé de fibres (FRP))</w:t>
            </w:r>
          </w:p>
        </w:tc>
        <w:tc>
          <w:tcPr>
            <w:tcW w:w="4757" w:type="dxa"/>
          </w:tcPr>
          <w:p w14:paraId="330F06E3" w14:textId="25572FFA" w:rsidR="00CD276A" w:rsidRDefault="00CD276A" w:rsidP="00AA5AC5">
            <w:pPr>
              <w:pStyle w:val="SingleTxtG"/>
              <w:spacing w:before="60" w:after="60"/>
              <w:ind w:left="0" w:right="0"/>
              <w:jc w:val="left"/>
            </w:pPr>
            <w:r>
              <w:t xml:space="preserve">Section 6.9.3 « Prescriptions relatives à la conception, </w:t>
            </w:r>
            <w:r w:rsidR="00AA5AC5">
              <w:br/>
            </w:r>
            <w:r>
              <w:t xml:space="preserve">à la construction, aux contrôles et aux épreuves des équipements de service en matière plastique renforcée de fibre dans le cas des citernes mobiles » et amendements </w:t>
            </w:r>
            <w:r w:rsidR="00AA5AC5">
              <w:br/>
            </w:r>
            <w:r>
              <w:t>à</w:t>
            </w:r>
            <w:r w:rsidR="00AA5AC5">
              <w:t> </w:t>
            </w:r>
            <w:r>
              <w:t>la section 6.9.1</w:t>
            </w:r>
          </w:p>
        </w:tc>
      </w:tr>
    </w:tbl>
    <w:p w14:paraId="17FC61A2" w14:textId="293215D5" w:rsidR="00CD276A" w:rsidRDefault="00AA5AC5" w:rsidP="00AA5AC5">
      <w:pPr>
        <w:pStyle w:val="H23G"/>
      </w:pPr>
      <w:r>
        <w:tab/>
      </w:r>
      <w:r w:rsidR="00CD276A">
        <w:t>d)</w:t>
      </w:r>
      <w:r w:rsidR="00CD276A">
        <w:tab/>
        <w:t>Autres propositions diverses</w:t>
      </w:r>
    </w:p>
    <w:p w14:paraId="483A372D" w14:textId="77777777" w:rsidR="00CD276A" w:rsidRPr="002E0B99" w:rsidRDefault="00CD276A" w:rsidP="00AA5AC5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7C63A371" w14:textId="7D17FACF" w:rsidR="00CD276A" w:rsidRDefault="00AA5AC5" w:rsidP="00AA5AC5">
      <w:pPr>
        <w:pStyle w:val="H1G"/>
      </w:pPr>
      <w:r>
        <w:tab/>
      </w:r>
      <w:r w:rsidR="00CD276A">
        <w:t>7.</w:t>
      </w:r>
      <w:r w:rsidR="00CD276A">
        <w:tab/>
        <w:t>Harmonisation générale des Règlements relatifs au transport des</w:t>
      </w:r>
      <w:r>
        <w:t> </w:t>
      </w:r>
      <w:r w:rsidR="00CD276A">
        <w:t>marchandises dangereuses avec le Règlement type</w:t>
      </w:r>
    </w:p>
    <w:p w14:paraId="15822E0C" w14:textId="77777777" w:rsidR="00CD276A" w:rsidRDefault="00CD276A" w:rsidP="00AA5AC5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6B5F7768" w14:textId="3BDD8A83" w:rsidR="00CD276A" w:rsidRDefault="00AA5AC5" w:rsidP="00AA5AC5">
      <w:pPr>
        <w:pStyle w:val="H1G"/>
      </w:pPr>
      <w:r>
        <w:tab/>
      </w:r>
      <w:r w:rsidR="00CD276A">
        <w:t>8.</w:t>
      </w:r>
      <w:r w:rsidR="00CD276A">
        <w:tab/>
        <w:t>Coopération avec l’Agence internationale de l’énergie atomique</w:t>
      </w:r>
    </w:p>
    <w:p w14:paraId="4874C1D9" w14:textId="77777777" w:rsidR="00CD276A" w:rsidRDefault="00CD276A" w:rsidP="00AA5AC5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423D7F6B" w14:textId="3D17AA9E" w:rsidR="00CD276A" w:rsidRDefault="00AA5AC5" w:rsidP="00AA5AC5">
      <w:pPr>
        <w:pStyle w:val="H1G"/>
      </w:pPr>
      <w:r>
        <w:tab/>
      </w:r>
      <w:r w:rsidR="00CD276A">
        <w:t>9.</w:t>
      </w:r>
      <w:r w:rsidR="00CD276A">
        <w:tab/>
        <w:t>Principes directeurs du Règlement type</w:t>
      </w:r>
    </w:p>
    <w:p w14:paraId="4C4E00B1" w14:textId="77777777" w:rsidR="00CD276A" w:rsidRDefault="00CD276A" w:rsidP="00AA5AC5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677D5174" w14:textId="40C9B2D0" w:rsidR="00CD276A" w:rsidRDefault="00AA5AC5" w:rsidP="00AA5AC5">
      <w:pPr>
        <w:pStyle w:val="H1G"/>
      </w:pPr>
      <w:r>
        <w:tab/>
      </w:r>
      <w:r w:rsidR="00CD276A">
        <w:t>10.</w:t>
      </w:r>
      <w:r w:rsidR="00CD276A">
        <w:tab/>
        <w:t>Questions relatives au Système général harmonisé de classification et</w:t>
      </w:r>
      <w:r>
        <w:t> </w:t>
      </w:r>
      <w:r w:rsidR="00CD276A">
        <w:t>d’étiquetage des produits chimiques (SGH)</w:t>
      </w:r>
    </w:p>
    <w:p w14:paraId="4DAAB019" w14:textId="18B2C7AD" w:rsidR="00CD276A" w:rsidRDefault="00AA5AC5" w:rsidP="00AA5AC5">
      <w:pPr>
        <w:pStyle w:val="H23G"/>
      </w:pPr>
      <w:r>
        <w:tab/>
      </w:r>
      <w:r w:rsidR="00CD276A">
        <w:t>a)</w:t>
      </w:r>
      <w:r w:rsidR="00CD276A">
        <w:tab/>
        <w:t>Épreuves relatives aux matières comburantes</w:t>
      </w:r>
    </w:p>
    <w:p w14:paraId="28328A92" w14:textId="77777777" w:rsidR="00CD276A" w:rsidRDefault="00CD276A" w:rsidP="00AA5AC5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35FAD490" w14:textId="1572DFD5" w:rsidR="00CD276A" w:rsidRDefault="00AA5AC5" w:rsidP="00AA5AC5">
      <w:pPr>
        <w:pStyle w:val="H23G"/>
      </w:pPr>
      <w:r>
        <w:tab/>
      </w:r>
      <w:r w:rsidR="00CD276A">
        <w:t>b)</w:t>
      </w:r>
      <w:r w:rsidR="00CD276A">
        <w:tab/>
        <w:t>Affectation à plusieurs classes de danger physique et hiérarchisation des dangers</w:t>
      </w:r>
    </w:p>
    <w:p w14:paraId="72B963C3" w14:textId="77777777" w:rsidR="00CD276A" w:rsidRDefault="00CD276A" w:rsidP="00AA5AC5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4D352CAB" w14:textId="7D5B9DB3" w:rsidR="00CD276A" w:rsidRDefault="00AA5AC5" w:rsidP="00AA5AC5">
      <w:pPr>
        <w:pStyle w:val="H23G"/>
      </w:pPr>
      <w:r>
        <w:tab/>
      </w:r>
      <w:r w:rsidR="00CD276A">
        <w:t>c)</w:t>
      </w:r>
      <w:r w:rsidR="00CD276A">
        <w:tab/>
        <w:t>Autres questions</w:t>
      </w:r>
    </w:p>
    <w:tbl>
      <w:tblPr>
        <w:tblW w:w="8301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4731"/>
      </w:tblGrid>
      <w:tr w:rsidR="00CD276A" w14:paraId="4AF37E79" w14:textId="77777777" w:rsidTr="00556653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FF8DA4" w14:textId="77777777" w:rsidR="00CD276A" w:rsidDel="00D86FD6" w:rsidRDefault="00CD276A" w:rsidP="00556653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ST/SG/AC.10/C.3/2022/48 (Allemagne)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65E9872C" w14:textId="77777777" w:rsidR="00CD276A" w:rsidDel="00D86FD6" w:rsidRDefault="00CD276A" w:rsidP="00556653">
            <w:pPr>
              <w:pStyle w:val="SingleTxtG"/>
              <w:spacing w:before="60" w:after="60"/>
              <w:ind w:left="0" w:right="0"/>
              <w:jc w:val="left"/>
              <w:rPr>
                <w:rFonts w:eastAsia="MS Mincho"/>
              </w:rPr>
            </w:pPr>
            <w:r>
              <w:t>Questions découlant des travaux sur les combinaisons de dangers physiques</w:t>
            </w:r>
          </w:p>
        </w:tc>
      </w:tr>
      <w:tr w:rsidR="00CD276A" w14:paraId="14EB6843" w14:textId="77777777" w:rsidTr="00556653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A47B97A" w14:textId="77777777" w:rsidR="00CD276A" w:rsidRDefault="00CD276A" w:rsidP="00556653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ST/SG/AC.10/C.3/2022/50 (Allemagne, États-Unis d’Amérique)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2CA36F23" w14:textId="6EC3B053" w:rsidR="00CD276A" w:rsidRDefault="00CD276A" w:rsidP="00556653">
            <w:pPr>
              <w:pStyle w:val="SingleTxtG"/>
              <w:spacing w:before="60" w:after="60"/>
              <w:ind w:left="0" w:right="0"/>
              <w:jc w:val="left"/>
              <w:rPr>
                <w:rFonts w:eastAsia="MS Mincho"/>
              </w:rPr>
            </w:pPr>
            <w:r>
              <w:t>Modifications à apporter aux procédures de classement des</w:t>
            </w:r>
            <w:r w:rsidR="00556653">
              <w:t> </w:t>
            </w:r>
            <w:r>
              <w:t>matières explosibles désensibilisées selon le SGH</w:t>
            </w:r>
          </w:p>
        </w:tc>
      </w:tr>
      <w:tr w:rsidR="00CD276A" w14:paraId="67B97C73" w14:textId="77777777" w:rsidTr="00556653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60B7DF3" w14:textId="77777777" w:rsidR="00CD276A" w:rsidRDefault="00CD276A" w:rsidP="00556653">
            <w:pPr>
              <w:pStyle w:val="SingleTxtG"/>
              <w:spacing w:before="60" w:after="60"/>
              <w:ind w:left="0" w:right="0"/>
              <w:jc w:val="left"/>
            </w:pPr>
            <w:r>
              <w:t>ST/SG/AC.10/C.3/2022/52 (Allemagne, Président du Groupe de travail des explosifs)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21EBA22E" w14:textId="77777777" w:rsidR="00CD276A" w:rsidRDefault="00CD276A" w:rsidP="00556653">
            <w:pPr>
              <w:pStyle w:val="SingleTxtG"/>
              <w:spacing w:before="60" w:after="60"/>
              <w:ind w:left="0" w:right="0"/>
              <w:jc w:val="left"/>
              <w:rPr>
                <w:rFonts w:eastAsia="MS Mincho"/>
              </w:rPr>
            </w:pPr>
            <w:r>
              <w:t>Liquides inflammables : Méthodes de détermination du point d’éclair en creuset ouvert et en creuset fermé</w:t>
            </w:r>
          </w:p>
        </w:tc>
      </w:tr>
      <w:tr w:rsidR="00CD276A" w14:paraId="5F68E251" w14:textId="77777777" w:rsidTr="00556653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1E83B64" w14:textId="77777777" w:rsidR="00CD276A" w:rsidRPr="00CD7DCA" w:rsidRDefault="00CD276A" w:rsidP="00556653">
            <w:pPr>
              <w:pStyle w:val="SingleTxtG"/>
              <w:spacing w:before="60" w:after="60"/>
              <w:ind w:left="0" w:right="0"/>
              <w:jc w:val="left"/>
              <w:rPr>
                <w:lang w:val="en-US"/>
              </w:rPr>
            </w:pPr>
            <w:r w:rsidRPr="00CD7DCA">
              <w:rPr>
                <w:lang w:val="en-US"/>
              </w:rPr>
              <w:t>ST/SG/AC.10/C.3/2022/66 (Chine)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14:paraId="553B4F95" w14:textId="7917A59D" w:rsidR="00CD276A" w:rsidRDefault="00CD276A" w:rsidP="00556653">
            <w:pPr>
              <w:pStyle w:val="SingleTxtG"/>
              <w:spacing w:before="60" w:after="60"/>
              <w:ind w:left="0" w:right="0"/>
              <w:jc w:val="left"/>
              <w:rPr>
                <w:rFonts w:eastAsia="MS Mincho"/>
              </w:rPr>
            </w:pPr>
            <w:r>
              <w:t>Poudres métalliques et poudres de métaux ou d’alliages de</w:t>
            </w:r>
            <w:r w:rsidR="00556653">
              <w:t> </w:t>
            </w:r>
            <w:r>
              <w:t>métaux dans l’épreuve N.1</w:t>
            </w:r>
          </w:p>
        </w:tc>
      </w:tr>
    </w:tbl>
    <w:p w14:paraId="55BF1970" w14:textId="5399EF87" w:rsidR="00CD276A" w:rsidRDefault="00556653" w:rsidP="00556653">
      <w:pPr>
        <w:pStyle w:val="H1G"/>
      </w:pPr>
      <w:r>
        <w:tab/>
      </w:r>
      <w:r w:rsidR="00CD276A">
        <w:t>11.</w:t>
      </w:r>
      <w:r w:rsidR="00CD276A">
        <w:tab/>
        <w:t>Uniformisation des interprétations du Règlement type</w:t>
      </w:r>
    </w:p>
    <w:p w14:paraId="1F3FB9A0" w14:textId="77777777" w:rsidR="00CD276A" w:rsidRDefault="00CD276A" w:rsidP="0055665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6AC10417" w14:textId="5386E602" w:rsidR="00CD276A" w:rsidRDefault="00556653" w:rsidP="00556653">
      <w:pPr>
        <w:pStyle w:val="H1G"/>
      </w:pPr>
      <w:r>
        <w:tab/>
      </w:r>
      <w:r w:rsidR="00CD276A">
        <w:t>12.</w:t>
      </w:r>
      <w:r w:rsidR="00CD276A">
        <w:tab/>
        <w:t>Application du Règlement type</w:t>
      </w:r>
    </w:p>
    <w:p w14:paraId="09C6E5D0" w14:textId="77777777" w:rsidR="00CD276A" w:rsidRDefault="00CD276A" w:rsidP="0055665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2E6B0EEA" w14:textId="41CA7DF2" w:rsidR="00CD276A" w:rsidRDefault="00556653" w:rsidP="00556653">
      <w:pPr>
        <w:pStyle w:val="H1G"/>
      </w:pPr>
      <w:r>
        <w:tab/>
      </w:r>
      <w:r w:rsidR="00CD276A">
        <w:t>13.</w:t>
      </w:r>
      <w:r w:rsidR="00CD276A">
        <w:tab/>
        <w:t xml:space="preserve">Formation à la sécurité et renforcement des capacités </w:t>
      </w:r>
      <w:r w:rsidR="00CD276A" w:rsidRPr="00270B72">
        <w:t>en matière de</w:t>
      </w:r>
      <w:r>
        <w:t> </w:t>
      </w:r>
      <w:r w:rsidR="00CD276A" w:rsidRPr="00270B72">
        <w:t xml:space="preserve">sécurité </w:t>
      </w:r>
      <w:r w:rsidR="00CD276A">
        <w:t>en ce qui concerne les marchandises dangereuses</w:t>
      </w:r>
    </w:p>
    <w:p w14:paraId="5C28033E" w14:textId="77777777" w:rsidR="00CD276A" w:rsidRDefault="00CD276A" w:rsidP="0055665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0611525F" w14:textId="104E83FC" w:rsidR="00CD276A" w:rsidRDefault="00556653" w:rsidP="00556653">
      <w:pPr>
        <w:pStyle w:val="H1G"/>
      </w:pPr>
      <w:r>
        <w:tab/>
      </w:r>
      <w:r w:rsidR="00CD276A">
        <w:t>14.</w:t>
      </w:r>
      <w:r w:rsidR="00CD276A">
        <w:tab/>
        <w:t>Programme de travail pour la période biennale 2023-2024</w:t>
      </w:r>
    </w:p>
    <w:p w14:paraId="6191A8C1" w14:textId="77777777" w:rsidR="00CD276A" w:rsidRDefault="00CD276A" w:rsidP="0055665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2C03CE54" w14:textId="2F2A1092" w:rsidR="00CD276A" w:rsidRDefault="00556653" w:rsidP="00556653">
      <w:pPr>
        <w:pStyle w:val="H1G"/>
      </w:pPr>
      <w:r>
        <w:tab/>
      </w:r>
      <w:r w:rsidR="00CD276A">
        <w:t>15.</w:t>
      </w:r>
      <w:r w:rsidR="00CD276A">
        <w:tab/>
        <w:t>Projet de résolution 2023/… du Conseil économique et social</w:t>
      </w:r>
    </w:p>
    <w:p w14:paraId="484A76E8" w14:textId="65BF3C3C" w:rsidR="00CD276A" w:rsidRDefault="00CD276A" w:rsidP="00556653">
      <w:pPr>
        <w:pStyle w:val="SingleTxtG"/>
        <w:ind w:firstLine="567"/>
      </w:pPr>
      <w:r>
        <w:t xml:space="preserve">Le Sous-Comité souhaitera peut-être examiner un projet de résolution à soumettre au Conseil économique et social pour adoption à sa session de 2023, établi sur la base </w:t>
      </w:r>
      <w:proofErr w:type="gramStart"/>
      <w:r>
        <w:t>d’un  texte</w:t>
      </w:r>
      <w:proofErr w:type="gramEnd"/>
      <w:r>
        <w:t xml:space="preserve"> élaboré par le secrétariat.</w:t>
      </w:r>
    </w:p>
    <w:p w14:paraId="50F0D3BF" w14:textId="00C683BF" w:rsidR="00CD276A" w:rsidRDefault="00556653" w:rsidP="00556653">
      <w:pPr>
        <w:pStyle w:val="H1G"/>
      </w:pPr>
      <w:r>
        <w:tab/>
      </w:r>
      <w:r w:rsidR="00CD276A">
        <w:t>16.</w:t>
      </w:r>
      <w:r w:rsidR="00CD276A">
        <w:tab/>
        <w:t>Élection du Bureau pour la période biennale 2023-2024</w:t>
      </w:r>
    </w:p>
    <w:p w14:paraId="41F81E6D" w14:textId="6C9A595D" w:rsidR="00CD276A" w:rsidRPr="00C67544" w:rsidRDefault="00CD276A" w:rsidP="00556653">
      <w:pPr>
        <w:pStyle w:val="SingleTxtG"/>
        <w:ind w:firstLine="567"/>
      </w:pPr>
      <w:r>
        <w:t>Conformément à l’usage, le Sous-Comité sera invité à élire les membres de son Bureau pour la période 2023-2024 parmi les représentants de ses pays membres.</w:t>
      </w:r>
    </w:p>
    <w:p w14:paraId="66B425D8" w14:textId="77777777" w:rsidR="00CD276A" w:rsidRDefault="00CD276A" w:rsidP="00556653">
      <w:pPr>
        <w:pStyle w:val="H1G"/>
      </w:pPr>
      <w:r>
        <w:tab/>
        <w:t>17.</w:t>
      </w:r>
      <w:r>
        <w:tab/>
        <w:t>Questions diverses</w:t>
      </w:r>
    </w:p>
    <w:p w14:paraId="281CBF0A" w14:textId="77777777" w:rsidR="00CD276A" w:rsidRDefault="00CD276A" w:rsidP="00556653">
      <w:pPr>
        <w:pStyle w:val="SingleTxtG"/>
        <w:ind w:firstLine="567"/>
      </w:pPr>
      <w:r>
        <w:t>Aucun document n’avait été soumis au titre de ce point de l’ordre du jour au moment de la rédaction du présent document.</w:t>
      </w:r>
    </w:p>
    <w:p w14:paraId="71D9A7DD" w14:textId="5AB8D93A" w:rsidR="00CD276A" w:rsidRPr="004B41AE" w:rsidRDefault="00556653" w:rsidP="00556653">
      <w:pPr>
        <w:pStyle w:val="H1G"/>
      </w:pPr>
      <w:r>
        <w:tab/>
      </w:r>
      <w:r w:rsidR="00CD276A">
        <w:t>18.</w:t>
      </w:r>
      <w:r w:rsidR="00CD276A">
        <w:tab/>
        <w:t>Adoption du rapport</w:t>
      </w:r>
    </w:p>
    <w:p w14:paraId="39EAD66B" w14:textId="635A1184" w:rsidR="00CD276A" w:rsidRDefault="00CD276A" w:rsidP="00556653">
      <w:pPr>
        <w:pStyle w:val="SingleTxtG"/>
        <w:ind w:firstLine="567"/>
      </w:pPr>
      <w:r>
        <w:t>Conformément à l’usage, le Sous-Comité voudra bien adopter le rapport de sa soixante et unième session et ses annexes sur la base d’un projet établi par le secrétariat.</w:t>
      </w:r>
    </w:p>
    <w:p w14:paraId="115ED517" w14:textId="7E21888D" w:rsidR="00CD276A" w:rsidRPr="00CD276A" w:rsidRDefault="00CD276A" w:rsidP="00CD276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276A" w:rsidRPr="00CD276A" w:rsidSect="00CD27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527F" w14:textId="77777777" w:rsidR="00AC2F87" w:rsidRDefault="00AC2F87" w:rsidP="00F95C08">
      <w:pPr>
        <w:spacing w:line="240" w:lineRule="auto"/>
      </w:pPr>
    </w:p>
  </w:endnote>
  <w:endnote w:type="continuationSeparator" w:id="0">
    <w:p w14:paraId="74D44873" w14:textId="77777777" w:rsidR="00AC2F87" w:rsidRPr="00AC3823" w:rsidRDefault="00AC2F87" w:rsidP="00AC3823">
      <w:pPr>
        <w:pStyle w:val="Footer"/>
      </w:pPr>
    </w:p>
  </w:endnote>
  <w:endnote w:type="continuationNotice" w:id="1">
    <w:p w14:paraId="1EF51839" w14:textId="77777777" w:rsidR="00AC2F87" w:rsidRDefault="00AC2F8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97FB" w14:textId="5665FC63" w:rsidR="00CD276A" w:rsidRPr="00CD276A" w:rsidRDefault="00CD276A" w:rsidP="00CD276A">
    <w:pPr>
      <w:pStyle w:val="Footer"/>
      <w:tabs>
        <w:tab w:val="right" w:pos="9638"/>
      </w:tabs>
    </w:pPr>
    <w:r w:rsidRPr="00CD276A">
      <w:rPr>
        <w:b/>
        <w:sz w:val="18"/>
      </w:rPr>
      <w:fldChar w:fldCharType="begin"/>
    </w:r>
    <w:r w:rsidRPr="00CD276A">
      <w:rPr>
        <w:b/>
        <w:sz w:val="18"/>
      </w:rPr>
      <w:instrText xml:space="preserve"> PAGE  \* MERGEFORMAT </w:instrText>
    </w:r>
    <w:r w:rsidRPr="00CD276A">
      <w:rPr>
        <w:b/>
        <w:sz w:val="18"/>
      </w:rPr>
      <w:fldChar w:fldCharType="separate"/>
    </w:r>
    <w:r w:rsidRPr="00CD276A">
      <w:rPr>
        <w:b/>
        <w:noProof/>
        <w:sz w:val="18"/>
      </w:rPr>
      <w:t>2</w:t>
    </w:r>
    <w:r w:rsidRPr="00CD276A">
      <w:rPr>
        <w:b/>
        <w:sz w:val="18"/>
      </w:rPr>
      <w:fldChar w:fldCharType="end"/>
    </w:r>
    <w:r>
      <w:rPr>
        <w:b/>
        <w:sz w:val="18"/>
      </w:rPr>
      <w:tab/>
    </w:r>
    <w:r>
      <w:t>GE.22-14682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AA98" w14:textId="3AF60FA0" w:rsidR="00CD276A" w:rsidRPr="00CD276A" w:rsidRDefault="00CD276A" w:rsidP="00CD276A">
    <w:pPr>
      <w:pStyle w:val="Footer"/>
      <w:tabs>
        <w:tab w:val="right" w:pos="9638"/>
      </w:tabs>
      <w:rPr>
        <w:b/>
        <w:sz w:val="18"/>
      </w:rPr>
    </w:pPr>
    <w:r>
      <w:t>GE.22-14682</w:t>
    </w:r>
    <w:r>
      <w:tab/>
    </w:r>
    <w:r w:rsidRPr="00CD276A">
      <w:rPr>
        <w:b/>
        <w:sz w:val="18"/>
      </w:rPr>
      <w:fldChar w:fldCharType="begin"/>
    </w:r>
    <w:r w:rsidRPr="00CD276A">
      <w:rPr>
        <w:b/>
        <w:sz w:val="18"/>
      </w:rPr>
      <w:instrText xml:space="preserve"> PAGE  \* MERGEFORMAT </w:instrText>
    </w:r>
    <w:r w:rsidRPr="00CD276A">
      <w:rPr>
        <w:b/>
        <w:sz w:val="18"/>
      </w:rPr>
      <w:fldChar w:fldCharType="separate"/>
    </w:r>
    <w:r w:rsidRPr="00CD276A">
      <w:rPr>
        <w:b/>
        <w:noProof/>
        <w:sz w:val="18"/>
      </w:rPr>
      <w:t>3</w:t>
    </w:r>
    <w:r w:rsidRPr="00CD27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17FE" w14:textId="1F4A70AD" w:rsidR="0068456F" w:rsidRPr="00CD276A" w:rsidRDefault="00CD276A" w:rsidP="00CD276A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741FDDB1" wp14:editId="77276F9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14682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E8F0947" wp14:editId="69B4C97A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290922    031022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5C77" w14:textId="77777777" w:rsidR="00AC2F87" w:rsidRPr="00AC3823" w:rsidRDefault="00AC2F8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BE86F2" w14:textId="77777777" w:rsidR="00AC2F87" w:rsidRPr="00AC3823" w:rsidRDefault="00AC2F8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EDB4196" w14:textId="77777777" w:rsidR="00AC2F87" w:rsidRPr="00AC3823" w:rsidRDefault="00AC2F87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C5C1" w14:textId="4DC320CA" w:rsidR="00CD276A" w:rsidRPr="00CD276A" w:rsidRDefault="00AC2F8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06E34">
      <w:t>ST/SG/AC.10/C.3/121/Add.1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59F1" w14:textId="60557B09" w:rsidR="00CD276A" w:rsidRPr="00CD276A" w:rsidRDefault="00AC2F87" w:rsidP="00CD276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06E34">
      <w:t>ST/SG/AC.10/C.3/121/Add.1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4D"/>
    <w:rsid w:val="00017F94"/>
    <w:rsid w:val="00023842"/>
    <w:rsid w:val="000305D3"/>
    <w:rsid w:val="000334F9"/>
    <w:rsid w:val="0007796D"/>
    <w:rsid w:val="000B7790"/>
    <w:rsid w:val="00106E34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4F4029"/>
    <w:rsid w:val="005261DC"/>
    <w:rsid w:val="005505B7"/>
    <w:rsid w:val="00556653"/>
    <w:rsid w:val="00573BE5"/>
    <w:rsid w:val="00584DC4"/>
    <w:rsid w:val="00586ED3"/>
    <w:rsid w:val="00596AA9"/>
    <w:rsid w:val="0068456F"/>
    <w:rsid w:val="006F12DD"/>
    <w:rsid w:val="0071601D"/>
    <w:rsid w:val="007A62E6"/>
    <w:rsid w:val="0080684C"/>
    <w:rsid w:val="008123E0"/>
    <w:rsid w:val="00871C75"/>
    <w:rsid w:val="008776DC"/>
    <w:rsid w:val="008B40CD"/>
    <w:rsid w:val="009705C8"/>
    <w:rsid w:val="009C1CF4"/>
    <w:rsid w:val="009D6DC2"/>
    <w:rsid w:val="00A30353"/>
    <w:rsid w:val="00A81281"/>
    <w:rsid w:val="00AA5AC5"/>
    <w:rsid w:val="00AC2F87"/>
    <w:rsid w:val="00AC3823"/>
    <w:rsid w:val="00AE323C"/>
    <w:rsid w:val="00B00181"/>
    <w:rsid w:val="00B00B0D"/>
    <w:rsid w:val="00B765F7"/>
    <w:rsid w:val="00BA0CA9"/>
    <w:rsid w:val="00C02897"/>
    <w:rsid w:val="00CD276A"/>
    <w:rsid w:val="00D17B4D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3E536"/>
  <w15:docId w15:val="{648F4406-4901-41FE-A2A1-834039B4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C4E544CD-CF40-4C3F-8D0F-3B09F34FC106}"/>
</file>

<file path=customXml/itemProps2.xml><?xml version="1.0" encoding="utf-8"?>
<ds:datastoreItem xmlns:ds="http://schemas.openxmlformats.org/officeDocument/2006/customXml" ds:itemID="{6E6D1B7F-CD7A-4C95-B940-7C608339F29C}"/>
</file>

<file path=customXml/itemProps3.xml><?xml version="1.0" encoding="utf-8"?>
<ds:datastoreItem xmlns:ds="http://schemas.openxmlformats.org/officeDocument/2006/customXml" ds:itemID="{52B76833-9AA8-4CEC-B235-84F7B6D82F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ST/SG/AC.10/C.3/121/Add.1</vt:lpstr>
    </vt:vector>
  </TitlesOfParts>
  <Company>DCM</Company>
  <LinksUpToDate>false</LinksUpToDate>
  <CharactersWithSpaces>11947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ST/SG/AC.10/C.3/121/Add.1</dc:title>
  <dc:subject/>
  <dc:creator>Marie DESCHAMPS</dc:creator>
  <cp:keywords/>
  <cp:lastModifiedBy>Laurence Berthet</cp:lastModifiedBy>
  <cp:revision>3</cp:revision>
  <cp:lastPrinted>2022-10-03T09:00:00Z</cp:lastPrinted>
  <dcterms:created xsi:type="dcterms:W3CDTF">2022-10-03T09:00:00Z</dcterms:created>
  <dcterms:modified xsi:type="dcterms:W3CDTF">2022-10-03T09:00:00Z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