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0CBDEE0" w14:textId="77777777" w:rsidTr="00F01738">
        <w:trPr>
          <w:trHeight w:hRule="exact" w:val="851"/>
        </w:trPr>
        <w:tc>
          <w:tcPr>
            <w:tcW w:w="1276" w:type="dxa"/>
            <w:tcBorders>
              <w:bottom w:val="single" w:sz="4" w:space="0" w:color="auto"/>
            </w:tcBorders>
          </w:tcPr>
          <w:p w14:paraId="4F095EEC" w14:textId="77777777" w:rsidR="00132EA9" w:rsidRPr="00DB58B5" w:rsidRDefault="00132EA9" w:rsidP="00D000C6"/>
        </w:tc>
        <w:tc>
          <w:tcPr>
            <w:tcW w:w="2268" w:type="dxa"/>
            <w:tcBorders>
              <w:bottom w:val="single" w:sz="4" w:space="0" w:color="auto"/>
            </w:tcBorders>
            <w:vAlign w:val="bottom"/>
          </w:tcPr>
          <w:p w14:paraId="358B682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26EFD7" w14:textId="480F1685" w:rsidR="00132EA9" w:rsidRPr="00DB58B5" w:rsidRDefault="00D000C6" w:rsidP="00D000C6">
            <w:pPr>
              <w:jc w:val="right"/>
            </w:pPr>
            <w:r w:rsidRPr="00D000C6">
              <w:rPr>
                <w:sz w:val="40"/>
              </w:rPr>
              <w:t>ST</w:t>
            </w:r>
            <w:r>
              <w:t>/SG/AC.10/C.3/2022/78</w:t>
            </w:r>
          </w:p>
        </w:tc>
      </w:tr>
      <w:tr w:rsidR="00132EA9" w:rsidRPr="00DB58B5" w14:paraId="2E437162" w14:textId="77777777" w:rsidTr="00F01738">
        <w:trPr>
          <w:trHeight w:hRule="exact" w:val="2835"/>
        </w:trPr>
        <w:tc>
          <w:tcPr>
            <w:tcW w:w="1276" w:type="dxa"/>
            <w:tcBorders>
              <w:top w:val="single" w:sz="4" w:space="0" w:color="auto"/>
              <w:bottom w:val="single" w:sz="12" w:space="0" w:color="auto"/>
            </w:tcBorders>
          </w:tcPr>
          <w:p w14:paraId="18321410" w14:textId="77777777" w:rsidR="00132EA9" w:rsidRPr="00DB58B5" w:rsidRDefault="00132EA9" w:rsidP="00F01738">
            <w:pPr>
              <w:spacing w:before="120"/>
              <w:jc w:val="center"/>
            </w:pPr>
            <w:r>
              <w:rPr>
                <w:noProof/>
                <w:lang w:eastAsia="fr-CH"/>
              </w:rPr>
              <w:drawing>
                <wp:inline distT="0" distB="0" distL="0" distR="0" wp14:anchorId="71EA375D" wp14:editId="415AEC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3877B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73DCD6" w14:textId="77777777" w:rsidR="00132EA9" w:rsidRDefault="00D000C6" w:rsidP="00F01738">
            <w:pPr>
              <w:spacing w:before="240"/>
            </w:pPr>
            <w:r>
              <w:t xml:space="preserve">Distr. </w:t>
            </w:r>
            <w:proofErr w:type="gramStart"/>
            <w:r>
              <w:t>générale</w:t>
            </w:r>
            <w:proofErr w:type="gramEnd"/>
          </w:p>
          <w:p w14:paraId="111C9A1A" w14:textId="77777777" w:rsidR="00D000C6" w:rsidRDefault="00D000C6" w:rsidP="00D000C6">
            <w:pPr>
              <w:spacing w:line="240" w:lineRule="exact"/>
            </w:pPr>
            <w:r>
              <w:t>14 septembre 2022</w:t>
            </w:r>
          </w:p>
          <w:p w14:paraId="7B49C85F" w14:textId="77777777" w:rsidR="00D000C6" w:rsidRDefault="00D000C6" w:rsidP="00D000C6">
            <w:pPr>
              <w:spacing w:line="240" w:lineRule="exact"/>
            </w:pPr>
            <w:r>
              <w:t>Français</w:t>
            </w:r>
          </w:p>
          <w:p w14:paraId="155663E8" w14:textId="7DC743FF" w:rsidR="00D000C6" w:rsidRPr="00DB58B5" w:rsidRDefault="00D000C6" w:rsidP="00D000C6">
            <w:pPr>
              <w:spacing w:line="240" w:lineRule="exact"/>
            </w:pPr>
            <w:r>
              <w:t>Original : anglais</w:t>
            </w:r>
          </w:p>
        </w:tc>
      </w:tr>
    </w:tbl>
    <w:p w14:paraId="3B866DFF" w14:textId="087F7AAC" w:rsidR="00D000C6" w:rsidRPr="00D000C6" w:rsidRDefault="00D000C6" w:rsidP="00D000C6">
      <w:pPr>
        <w:spacing w:before="120"/>
        <w:rPr>
          <w:b/>
          <w:sz w:val="24"/>
          <w:szCs w:val="24"/>
        </w:rPr>
      </w:pPr>
      <w:r w:rsidRPr="00D000C6">
        <w:rPr>
          <w:b/>
          <w:bCs/>
          <w:sz w:val="24"/>
          <w:szCs w:val="24"/>
          <w:lang w:val="fr-FR"/>
        </w:rPr>
        <w:t xml:space="preserve">Comité d’experts du transport des marchandises dangereuses </w:t>
      </w:r>
      <w:r>
        <w:rPr>
          <w:b/>
          <w:bCs/>
          <w:sz w:val="24"/>
          <w:szCs w:val="24"/>
          <w:lang w:val="fr-FR"/>
        </w:rPr>
        <w:br/>
      </w:r>
      <w:r w:rsidRPr="00D000C6">
        <w:rPr>
          <w:b/>
          <w:bCs/>
          <w:sz w:val="24"/>
          <w:szCs w:val="24"/>
          <w:lang w:val="fr-FR"/>
        </w:rPr>
        <w:t xml:space="preserve">et du Système général harmonisé de classification </w:t>
      </w:r>
      <w:r>
        <w:rPr>
          <w:b/>
          <w:bCs/>
          <w:sz w:val="24"/>
          <w:szCs w:val="24"/>
          <w:lang w:val="fr-FR"/>
        </w:rPr>
        <w:br/>
      </w:r>
      <w:r w:rsidRPr="00D000C6">
        <w:rPr>
          <w:b/>
          <w:bCs/>
          <w:sz w:val="24"/>
          <w:szCs w:val="24"/>
          <w:lang w:val="fr-FR"/>
        </w:rPr>
        <w:t>et d’étiquetage des produits chimiques</w:t>
      </w:r>
    </w:p>
    <w:p w14:paraId="2F3697B8" w14:textId="77777777" w:rsidR="00D000C6" w:rsidRPr="00D000C6" w:rsidRDefault="00D000C6" w:rsidP="00D000C6">
      <w:pPr>
        <w:spacing w:before="120" w:line="276" w:lineRule="auto"/>
        <w:rPr>
          <w:rFonts w:ascii="Helv" w:hAnsi="Helv" w:cs="Helv"/>
          <w:b/>
          <w:color w:val="000000"/>
        </w:rPr>
      </w:pPr>
      <w:r w:rsidRPr="00D000C6">
        <w:rPr>
          <w:b/>
          <w:bCs/>
          <w:lang w:val="fr-FR"/>
        </w:rPr>
        <w:t>Sous-Comité d’experts du transport des marchandises dangereuses</w:t>
      </w:r>
    </w:p>
    <w:p w14:paraId="5C673DA4" w14:textId="77777777" w:rsidR="00D000C6" w:rsidRPr="00D000C6" w:rsidRDefault="00D000C6" w:rsidP="00D000C6">
      <w:pPr>
        <w:spacing w:before="120" w:line="276" w:lineRule="auto"/>
        <w:rPr>
          <w:b/>
        </w:rPr>
      </w:pPr>
      <w:r w:rsidRPr="00D000C6">
        <w:rPr>
          <w:b/>
          <w:bCs/>
          <w:lang w:val="fr-FR"/>
        </w:rPr>
        <w:t>Soixante et unième session</w:t>
      </w:r>
    </w:p>
    <w:p w14:paraId="7FB4A792" w14:textId="77777777" w:rsidR="00D000C6" w:rsidRPr="00D000C6" w:rsidRDefault="00D000C6" w:rsidP="00D000C6">
      <w:pPr>
        <w:spacing w:line="276" w:lineRule="auto"/>
      </w:pPr>
      <w:r w:rsidRPr="00D000C6">
        <w:rPr>
          <w:lang w:val="fr-FR"/>
        </w:rPr>
        <w:t>Genève, 28 novembre-6 décembre 2022</w:t>
      </w:r>
    </w:p>
    <w:p w14:paraId="508D9AED" w14:textId="77777777" w:rsidR="00D000C6" w:rsidRPr="00D000C6" w:rsidRDefault="00D000C6" w:rsidP="00D000C6">
      <w:pPr>
        <w:spacing w:line="276" w:lineRule="auto"/>
      </w:pPr>
      <w:r w:rsidRPr="00D000C6">
        <w:rPr>
          <w:lang w:val="fr-FR"/>
        </w:rPr>
        <w:t>Point 2 a) de l’ordre du jour provisoire</w:t>
      </w:r>
    </w:p>
    <w:p w14:paraId="637D5EEC" w14:textId="356B37C5" w:rsidR="00D000C6" w:rsidRPr="00D000C6" w:rsidRDefault="00D000C6" w:rsidP="00D000C6">
      <w:pPr>
        <w:spacing w:line="276" w:lineRule="auto"/>
        <w:rPr>
          <w:b/>
          <w:bCs/>
          <w:sz w:val="24"/>
          <w:szCs w:val="24"/>
        </w:rPr>
      </w:pPr>
      <w:r w:rsidRPr="00D000C6">
        <w:rPr>
          <w:b/>
          <w:bCs/>
          <w:lang w:val="fr-FR"/>
        </w:rPr>
        <w:t xml:space="preserve">Recommandations du Sous-Comité formulées à ses cinquante-huitième, </w:t>
      </w:r>
      <w:r>
        <w:rPr>
          <w:b/>
          <w:bCs/>
          <w:lang w:val="fr-FR"/>
        </w:rPr>
        <w:br/>
      </w:r>
      <w:r w:rsidRPr="00D000C6">
        <w:rPr>
          <w:b/>
          <w:bCs/>
          <w:lang w:val="fr-FR"/>
        </w:rPr>
        <w:t>cinquante-neuvième et soixantième sessions et questions en suspens</w:t>
      </w:r>
      <w:r>
        <w:rPr>
          <w:b/>
          <w:bCs/>
          <w:lang w:val="fr-FR"/>
        </w:rPr>
        <w:t> </w:t>
      </w:r>
      <w:r w:rsidRPr="00D000C6">
        <w:rPr>
          <w:b/>
          <w:bCs/>
          <w:lang w:val="fr-FR"/>
        </w:rPr>
        <w:t xml:space="preserve">: </w:t>
      </w:r>
      <w:r>
        <w:rPr>
          <w:b/>
          <w:bCs/>
          <w:lang w:val="fr-FR"/>
        </w:rPr>
        <w:br/>
      </w:r>
      <w:r w:rsidRPr="00D000C6">
        <w:rPr>
          <w:b/>
          <w:bCs/>
          <w:lang w:val="fr-FR"/>
        </w:rPr>
        <w:t>examen des projets d’amendements déjà adoptés durant la période biennale</w:t>
      </w:r>
    </w:p>
    <w:p w14:paraId="5BAF61FE" w14:textId="77777777" w:rsidR="00D000C6" w:rsidRPr="00D000C6" w:rsidRDefault="00D000C6" w:rsidP="00D000C6">
      <w:pPr>
        <w:pStyle w:val="HChG"/>
      </w:pPr>
      <w:r w:rsidRPr="00D000C6">
        <w:rPr>
          <w:lang w:val="fr-FR"/>
        </w:rPr>
        <w:tab/>
      </w:r>
      <w:r w:rsidRPr="00D000C6">
        <w:rPr>
          <w:lang w:val="fr-FR"/>
        </w:rPr>
        <w:tab/>
        <w:t>Disposition spéciale 388</w:t>
      </w:r>
    </w:p>
    <w:p w14:paraId="724F3A71" w14:textId="68DFEC0A" w:rsidR="00D000C6" w:rsidRPr="00D000C6" w:rsidRDefault="00D000C6" w:rsidP="00D000C6">
      <w:pPr>
        <w:pStyle w:val="H1G"/>
        <w:rPr>
          <w:rFonts w:asciiTheme="majorBidi" w:hAnsiTheme="majorBidi" w:cstheme="majorBidi"/>
          <w:color w:val="000000" w:themeColor="text1"/>
        </w:rPr>
      </w:pPr>
      <w:r w:rsidRPr="00D000C6">
        <w:rPr>
          <w:lang w:val="fr-FR"/>
        </w:rPr>
        <w:tab/>
      </w:r>
      <w:r w:rsidRPr="00D000C6">
        <w:rPr>
          <w:lang w:val="fr-FR"/>
        </w:rPr>
        <w:tab/>
        <w:t>Communication du secrétariat de l’OTIF</w:t>
      </w:r>
      <w:r w:rsidRPr="00D000C6">
        <w:rPr>
          <w:rStyle w:val="FootnoteReference"/>
          <w:b w:val="0"/>
          <w:bCs/>
          <w:sz w:val="20"/>
          <w:vertAlign w:val="baseline"/>
        </w:rPr>
        <w:footnoteReference w:customMarkFollows="1" w:id="2"/>
        <w:t>*</w:t>
      </w:r>
    </w:p>
    <w:p w14:paraId="6481F3D7" w14:textId="77777777" w:rsidR="00D000C6" w:rsidRPr="00D000C6" w:rsidRDefault="00D000C6" w:rsidP="00D000C6">
      <w:pPr>
        <w:pStyle w:val="HChG"/>
        <w:rPr>
          <w:rFonts w:asciiTheme="majorBidi" w:hAnsiTheme="majorBidi" w:cstheme="majorBidi"/>
        </w:rPr>
      </w:pPr>
      <w:r w:rsidRPr="00D000C6">
        <w:rPr>
          <w:lang w:val="fr-FR"/>
        </w:rPr>
        <w:tab/>
      </w:r>
      <w:r w:rsidRPr="00D000C6">
        <w:rPr>
          <w:lang w:val="fr-FR"/>
        </w:rPr>
        <w:tab/>
        <w:t>Introduction</w:t>
      </w:r>
    </w:p>
    <w:p w14:paraId="6874636F" w14:textId="01921AD8" w:rsidR="00D000C6" w:rsidRPr="00D000C6" w:rsidRDefault="00D000C6" w:rsidP="00D000C6">
      <w:pPr>
        <w:pStyle w:val="SingleTxtG"/>
      </w:pPr>
      <w:r w:rsidRPr="00D000C6">
        <w:rPr>
          <w:lang w:val="fr-FR"/>
        </w:rPr>
        <w:t>1.</w:t>
      </w:r>
      <w:r w:rsidRPr="00D000C6">
        <w:rPr>
          <w:lang w:val="fr-FR"/>
        </w:rPr>
        <w:tab/>
        <w:t>Après la soixantième session du Sous-Comité d’experts du transport des marchandises dangereuses, le secrétariat de l’OTIF a analysé en détail les décisions du Sous-Comité visant à préparer l’harmonisation du RID de l’ADR et de l’ADN avec la 23</w:t>
      </w:r>
      <w:r w:rsidRPr="00D000C6">
        <w:rPr>
          <w:vertAlign w:val="superscript"/>
          <w:lang w:val="fr-FR"/>
        </w:rPr>
        <w:t>e</w:t>
      </w:r>
      <w:r>
        <w:rPr>
          <w:lang w:val="fr-FR"/>
        </w:rPr>
        <w:t> </w:t>
      </w:r>
      <w:r w:rsidRPr="00D000C6">
        <w:rPr>
          <w:lang w:val="fr-FR"/>
        </w:rPr>
        <w:t>édition révisée du Règlement type, à venir (ST/SG/AC.10/C.3/120). La plupart des questions étaient d’ordre rédactionnel et pouvaient être résolues en collaboration avec le secrétariat de la CEE. Cependant, une correction proposée n’a pas pu être acceptée par le secrétariat car elle contredisait une justification dans le document original.</w:t>
      </w:r>
    </w:p>
    <w:p w14:paraId="54177B7B" w14:textId="5D1C7AE0" w:rsidR="00D000C6" w:rsidRPr="00D000C6" w:rsidRDefault="00D000C6" w:rsidP="00D000C6">
      <w:pPr>
        <w:pStyle w:val="SingleTxtG"/>
      </w:pPr>
      <w:r w:rsidRPr="00D000C6">
        <w:rPr>
          <w:lang w:val="fr-FR"/>
        </w:rPr>
        <w:t>2.</w:t>
      </w:r>
      <w:r w:rsidRPr="00D000C6">
        <w:rPr>
          <w:lang w:val="fr-FR"/>
        </w:rPr>
        <w:tab/>
        <w:t>Sur la base du document officiel ST/SG/AC.10/C.3/2022/7 et du document informel INF.51, l’amendement suivant à la disposition spéciale 388 a été adopté</w:t>
      </w:r>
      <w:r>
        <w:rPr>
          <w:lang w:val="fr-FR"/>
        </w:rPr>
        <w:t> </w:t>
      </w:r>
      <w:r w:rsidRPr="00D000C6">
        <w:rPr>
          <w:lang w:val="fr-FR"/>
        </w:rPr>
        <w:t>:</w:t>
      </w:r>
    </w:p>
    <w:p w14:paraId="23E8F594" w14:textId="206056E1" w:rsidR="00D000C6" w:rsidRPr="00D000C6" w:rsidRDefault="00D000C6" w:rsidP="00D000C6">
      <w:pPr>
        <w:pStyle w:val="SingleTxtG"/>
        <w:ind w:left="2268" w:hanging="1134"/>
      </w:pPr>
      <w:r w:rsidRPr="00D000C6">
        <w:rPr>
          <w:lang w:val="fr-FR"/>
        </w:rPr>
        <w:t>DS 388</w:t>
      </w:r>
      <w:r w:rsidRPr="00D000C6">
        <w:rPr>
          <w:lang w:val="fr-FR"/>
        </w:rPr>
        <w:tab/>
        <w:t>Modifier les deux derniers paragraphes pour lire comme suit</w:t>
      </w:r>
      <w:r>
        <w:rPr>
          <w:lang w:val="fr-FR"/>
        </w:rPr>
        <w:t> </w:t>
      </w:r>
      <w:r w:rsidRPr="00D000C6">
        <w:rPr>
          <w:lang w:val="fr-FR"/>
        </w:rPr>
        <w:t>: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w:t>
      </w:r>
      <w:r>
        <w:rPr>
          <w:lang w:val="fr-FR"/>
        </w:rPr>
        <w:t xml:space="preserve">. </w:t>
      </w:r>
      <w:r w:rsidRPr="00D000C6">
        <w:rPr>
          <w:lang w:val="fr-FR"/>
        </w:rPr>
        <w:t xml:space="preserve">Cependant, les batteries au lithium doivent satisfaire aux dispositions du 2.9.4 excepté que les alinéas </w:t>
      </w:r>
      <w:proofErr w:type="gramStart"/>
      <w:r w:rsidRPr="00D000C6">
        <w:rPr>
          <w:lang w:val="fr-FR"/>
        </w:rPr>
        <w:t>a</w:t>
      </w:r>
      <w:proofErr w:type="gramEnd"/>
      <w:r w:rsidRPr="00D000C6">
        <w:rPr>
          <w:lang w:val="fr-FR"/>
        </w:rPr>
        <w:t>), e) vii), f) iii) le cas échéant, f)</w:t>
      </w:r>
      <w:r w:rsidR="009669C3">
        <w:rPr>
          <w:lang w:val="fr-FR"/>
        </w:rPr>
        <w:t> </w:t>
      </w:r>
      <w:r w:rsidRPr="00D000C6">
        <w:rPr>
          <w:lang w:val="fr-FR"/>
        </w:rPr>
        <w:t>iv) le cas échéant et g) ne s’appliquent pas quand des batteries de séries de production comprenant au plus 100 piles ou batteries, ou des prototypes de pré</w:t>
      </w:r>
      <w:r w:rsidR="009669C3">
        <w:rPr>
          <w:lang w:val="fr-FR"/>
        </w:rPr>
        <w:noBreakHyphen/>
      </w:r>
      <w:r w:rsidRPr="00D000C6">
        <w:rPr>
          <w:lang w:val="fr-FR"/>
        </w:rPr>
        <w:t>production de piles ou batteries lorsque ces prototypes sont transportés pour être éprouvés, sont installées dans les véhicules</w:t>
      </w:r>
      <w:r w:rsidRPr="00D000C6">
        <w:rPr>
          <w:vertAlign w:val="superscript"/>
          <w:lang w:val="fr-FR"/>
        </w:rPr>
        <w:footnoteReference w:customMarkFollows="1" w:id="3"/>
        <w:t>**</w:t>
      </w:r>
      <w:r w:rsidRPr="00D000C6">
        <w:rPr>
          <w:lang w:val="fr-FR"/>
        </w:rPr>
        <w:t>.</w:t>
      </w:r>
    </w:p>
    <w:p w14:paraId="3B21E4B7" w14:textId="16B2D51A" w:rsidR="00D000C6" w:rsidRPr="00D000C6" w:rsidRDefault="00D000C6" w:rsidP="00D000C6">
      <w:pPr>
        <w:pStyle w:val="SingleTxtG"/>
        <w:ind w:left="2268"/>
      </w:pPr>
      <w:r w:rsidRPr="00D000C6">
        <w:rPr>
          <w:lang w:val="fr-FR"/>
        </w:rPr>
        <w:lastRenderedPageBreak/>
        <w:t>Quand une batterie au lithium installée dans un véhicule est endommagée ou défectueuse, le véhicule doit être transporté tel que défini par l’autorité compétente</w:t>
      </w:r>
      <w:r w:rsidR="009669C3">
        <w:rPr>
          <w:lang w:val="fr-FR"/>
        </w:rPr>
        <w:t>.</w:t>
      </w:r>
    </w:p>
    <w:p w14:paraId="1E5011EE" w14:textId="2879E60E" w:rsidR="00D000C6" w:rsidRPr="00D000C6" w:rsidRDefault="00D000C6" w:rsidP="00D000C6">
      <w:pPr>
        <w:tabs>
          <w:tab w:val="left" w:pos="1701"/>
          <w:tab w:val="left" w:pos="2268"/>
          <w:tab w:val="left" w:pos="2835"/>
        </w:tabs>
        <w:spacing w:after="120" w:line="276" w:lineRule="auto"/>
        <w:ind w:left="1134" w:right="1134"/>
        <w:jc w:val="both"/>
        <w:rPr>
          <w:i/>
          <w:iCs/>
        </w:rPr>
      </w:pPr>
      <w:r w:rsidRPr="00D000C6">
        <w:rPr>
          <w:i/>
          <w:iCs/>
          <w:lang w:val="fr-FR"/>
        </w:rPr>
        <w:t>(Document de référence</w:t>
      </w:r>
      <w:r w:rsidR="005E6562">
        <w:rPr>
          <w:i/>
          <w:iCs/>
          <w:lang w:val="fr-FR"/>
        </w:rPr>
        <w:t> </w:t>
      </w:r>
      <w:r w:rsidRPr="00D000C6">
        <w:rPr>
          <w:i/>
          <w:iCs/>
          <w:lang w:val="fr-FR"/>
        </w:rPr>
        <w:t>: document informel INF.51, tel que modifié)</w:t>
      </w:r>
    </w:p>
    <w:p w14:paraId="00CC9BF3" w14:textId="677B7DDA" w:rsidR="00D000C6" w:rsidRPr="00D000C6" w:rsidRDefault="00D000C6" w:rsidP="00D000C6">
      <w:pPr>
        <w:pStyle w:val="SingleTxtG"/>
      </w:pPr>
      <w:r w:rsidRPr="00D000C6">
        <w:rPr>
          <w:lang w:val="fr-FR"/>
        </w:rPr>
        <w:t>3.</w:t>
      </w:r>
      <w:r w:rsidRPr="00D000C6">
        <w:rPr>
          <w:lang w:val="fr-FR"/>
        </w:rPr>
        <w:tab/>
        <w:t>L’un des amendements a consisté à remplacer « véhicules ou équipements » par « véhicules » au huitième paragraphe et à supprimer deux fois « ou (l’) équipement » au dernier paragraphe de la disposition spéciale 388. Au paragraphe 7 du document ST/SG/AC.10/C.3/2022/7, il est écrit à cet égard</w:t>
      </w:r>
      <w:r w:rsidR="005E6562">
        <w:rPr>
          <w:lang w:val="fr-FR"/>
        </w:rPr>
        <w:t> </w:t>
      </w:r>
      <w:r w:rsidRPr="00D000C6">
        <w:rPr>
          <w:lang w:val="fr-FR"/>
        </w:rPr>
        <w:t>: « En outre, la mention des « équipements » dans la disposition spéciale 388 est erronée et doit être supprimée. ». Toutefois, il n’a pas été expliqué pourquoi le terme « équipement » était erroné.</w:t>
      </w:r>
    </w:p>
    <w:p w14:paraId="44876D81" w14:textId="6C87CA70" w:rsidR="00D000C6" w:rsidRPr="00D000C6" w:rsidRDefault="00D000C6" w:rsidP="00D000C6">
      <w:pPr>
        <w:pStyle w:val="SingleTxtG"/>
      </w:pPr>
      <w:r w:rsidRPr="00D000C6">
        <w:rPr>
          <w:lang w:val="fr-FR"/>
        </w:rPr>
        <w:t>4.</w:t>
      </w:r>
      <w:r w:rsidRPr="00D000C6">
        <w:rPr>
          <w:lang w:val="fr-FR"/>
        </w:rPr>
        <w:tab/>
        <w:t>La disposition spéciale 388 est affectée au No ONU 3166 V</w:t>
      </w:r>
      <w:r w:rsidRPr="00D000C6">
        <w:t>É</w:t>
      </w:r>
      <w:r w:rsidRPr="00D000C6">
        <w:rPr>
          <w:lang w:val="fr-FR"/>
        </w:rPr>
        <w:t xml:space="preserve">HICULE </w:t>
      </w:r>
      <w:r w:rsidRPr="00D000C6">
        <w:t>À</w:t>
      </w:r>
      <w:r w:rsidRPr="00D000C6">
        <w:rPr>
          <w:lang w:val="fr-FR"/>
        </w:rPr>
        <w:t xml:space="preserve"> PROPULSION PAR GAZ INFLAMMABLE ou V</w:t>
      </w:r>
      <w:r w:rsidRPr="00D000C6">
        <w:t>É</w:t>
      </w:r>
      <w:r w:rsidRPr="00D000C6">
        <w:rPr>
          <w:lang w:val="fr-FR"/>
        </w:rPr>
        <w:t xml:space="preserve">HICULE </w:t>
      </w:r>
      <w:r w:rsidRPr="00D000C6">
        <w:t>À</w:t>
      </w:r>
      <w:r w:rsidRPr="00D000C6">
        <w:rPr>
          <w:lang w:val="fr-FR"/>
        </w:rPr>
        <w:t xml:space="preserve"> PROPULSION PAR LIQUIDE INFLAMMABLE ou V</w:t>
      </w:r>
      <w:r w:rsidRPr="00D000C6">
        <w:t>É</w:t>
      </w:r>
      <w:r w:rsidRPr="00D000C6">
        <w:rPr>
          <w:lang w:val="fr-FR"/>
        </w:rPr>
        <w:t xml:space="preserve">HICULE </w:t>
      </w:r>
      <w:r w:rsidRPr="00D000C6">
        <w:t>À</w:t>
      </w:r>
      <w:r w:rsidRPr="00D000C6">
        <w:rPr>
          <w:lang w:val="fr-FR"/>
        </w:rPr>
        <w:t xml:space="preserve"> PROPULSION PAR PILE </w:t>
      </w:r>
      <w:r w:rsidR="009669C3" w:rsidRPr="00D000C6">
        <w:t>À</w:t>
      </w:r>
      <w:r w:rsidRPr="00D000C6">
        <w:rPr>
          <w:lang w:val="fr-FR"/>
        </w:rPr>
        <w:t xml:space="preserve"> COMBUSTIBLE CONTENANT DU GAZ INFLAMMABLE ou V</w:t>
      </w:r>
      <w:r w:rsidRPr="00D000C6">
        <w:t>É</w:t>
      </w:r>
      <w:r w:rsidRPr="00D000C6">
        <w:rPr>
          <w:lang w:val="fr-FR"/>
        </w:rPr>
        <w:t xml:space="preserve">HICULE </w:t>
      </w:r>
      <w:r w:rsidRPr="00D000C6">
        <w:t>À</w:t>
      </w:r>
      <w:r w:rsidRPr="00D000C6">
        <w:rPr>
          <w:lang w:val="fr-FR"/>
        </w:rPr>
        <w:t xml:space="preserve"> PROPULSION PAR PILE </w:t>
      </w:r>
      <w:r w:rsidRPr="00D000C6">
        <w:t>À</w:t>
      </w:r>
      <w:r w:rsidRPr="00D000C6">
        <w:rPr>
          <w:lang w:val="fr-FR"/>
        </w:rPr>
        <w:t xml:space="preserve"> COMBUSTIBLE CONTENANT DU LIQUIDE INFLAMMABLE, et au No ONU 3171 V</w:t>
      </w:r>
      <w:r w:rsidRPr="00D000C6">
        <w:t>É</w:t>
      </w:r>
      <w:r w:rsidRPr="00D000C6">
        <w:rPr>
          <w:lang w:val="fr-FR"/>
        </w:rPr>
        <w:t>HICULE M</w:t>
      </w:r>
      <w:r w:rsidRPr="00D000C6">
        <w:t>Û</w:t>
      </w:r>
      <w:r w:rsidRPr="00D000C6">
        <w:rPr>
          <w:lang w:val="fr-FR"/>
        </w:rPr>
        <w:t xml:space="preserve"> PAR ACCUMULATEURS ou APPAREIL M</w:t>
      </w:r>
      <w:r w:rsidRPr="00D000C6">
        <w:t>Û</w:t>
      </w:r>
      <w:r w:rsidRPr="00D000C6">
        <w:rPr>
          <w:lang w:val="fr-FR"/>
        </w:rPr>
        <w:t xml:space="preserve"> PAR ACCUMULATEURS.</w:t>
      </w:r>
    </w:p>
    <w:p w14:paraId="1A80B87F" w14:textId="13188520" w:rsidR="00D000C6" w:rsidRPr="00D000C6" w:rsidRDefault="00D000C6" w:rsidP="00D000C6">
      <w:pPr>
        <w:pStyle w:val="SingleTxtG"/>
      </w:pPr>
      <w:r w:rsidRPr="00D000C6">
        <w:rPr>
          <w:lang w:val="fr-FR"/>
        </w:rPr>
        <w:t>5.</w:t>
      </w:r>
      <w:r w:rsidRPr="00D000C6">
        <w:rPr>
          <w:lang w:val="fr-FR"/>
        </w:rPr>
        <w:tab/>
      </w:r>
      <w:r w:rsidRPr="00D000C6">
        <w:t>É</w:t>
      </w:r>
      <w:r w:rsidRPr="00D000C6">
        <w:rPr>
          <w:lang w:val="fr-FR"/>
        </w:rPr>
        <w:t xml:space="preserve">tant donné que les Nos ONU 3166 et 3171 visent des véhicules et des équipements, le secrétariat de l’OTIF est d’avis que le terme « équipement » devrait être maintenu dans </w:t>
      </w:r>
      <w:proofErr w:type="gramStart"/>
      <w:r w:rsidRPr="00D000C6">
        <w:rPr>
          <w:lang w:val="fr-FR"/>
        </w:rPr>
        <w:t>les huitième</w:t>
      </w:r>
      <w:proofErr w:type="gramEnd"/>
      <w:r w:rsidRPr="00D000C6">
        <w:rPr>
          <w:lang w:val="fr-FR"/>
        </w:rPr>
        <w:t xml:space="preserve"> et dernier paragraphes de la disposition spéciale 388.</w:t>
      </w:r>
    </w:p>
    <w:p w14:paraId="57329BC7" w14:textId="77777777" w:rsidR="00D000C6" w:rsidRPr="00D000C6" w:rsidRDefault="00D000C6" w:rsidP="00D000C6">
      <w:pPr>
        <w:keepNext/>
        <w:keepLines/>
        <w:tabs>
          <w:tab w:val="right" w:pos="851"/>
        </w:tabs>
        <w:spacing w:before="360" w:after="240" w:line="276" w:lineRule="auto"/>
        <w:ind w:left="1134" w:right="1134"/>
        <w:jc w:val="both"/>
        <w:outlineLvl w:val="1"/>
        <w:rPr>
          <w:b/>
          <w:sz w:val="28"/>
          <w:szCs w:val="28"/>
        </w:rPr>
      </w:pPr>
      <w:r w:rsidRPr="00D000C6">
        <w:rPr>
          <w:b/>
          <w:bCs/>
          <w:sz w:val="28"/>
          <w:szCs w:val="28"/>
          <w:lang w:val="fr-FR"/>
        </w:rPr>
        <w:t>Proposition</w:t>
      </w:r>
    </w:p>
    <w:p w14:paraId="4B8F119C" w14:textId="1333C619" w:rsidR="00D000C6" w:rsidRPr="00D000C6" w:rsidRDefault="00D000C6" w:rsidP="00D000C6">
      <w:pPr>
        <w:pStyle w:val="SingleTxtG"/>
      </w:pPr>
      <w:r w:rsidRPr="00D000C6">
        <w:rPr>
          <w:lang w:val="fr-FR"/>
        </w:rPr>
        <w:t>6.</w:t>
      </w:r>
      <w:r w:rsidRPr="00D000C6">
        <w:rPr>
          <w:lang w:val="fr-FR"/>
        </w:rPr>
        <w:tab/>
        <w:t>Modifier comme suit l’amendement figurant dans le document ST/SG/AC.10/C.3/120/Add.1</w:t>
      </w:r>
      <w:r w:rsidR="009669C3">
        <w:rPr>
          <w:lang w:val="fr-FR"/>
        </w:rPr>
        <w:t> </w:t>
      </w:r>
      <w:r w:rsidRPr="00D000C6">
        <w:rPr>
          <w:lang w:val="fr-FR"/>
        </w:rPr>
        <w:t>:</w:t>
      </w:r>
    </w:p>
    <w:p w14:paraId="6C61759F" w14:textId="4E3D36E4" w:rsidR="00D000C6" w:rsidRDefault="00D000C6" w:rsidP="00D000C6">
      <w:pPr>
        <w:pStyle w:val="SingleTxtG"/>
        <w:ind w:left="2268" w:hanging="1134"/>
      </w:pPr>
      <w:r w:rsidRPr="00D000C6">
        <w:rPr>
          <w:lang w:val="fr-FR"/>
        </w:rPr>
        <w:t>DS 388</w:t>
      </w:r>
      <w:r w:rsidRPr="00D000C6">
        <w:rPr>
          <w:lang w:val="fr-FR"/>
        </w:rPr>
        <w:tab/>
        <w:t>Modifier les deux derniers paragraphes pour lire comme suit</w:t>
      </w:r>
      <w:r w:rsidR="009669C3">
        <w:rPr>
          <w:lang w:val="fr-FR"/>
        </w:rPr>
        <w:t> </w:t>
      </w:r>
      <w:r w:rsidRPr="00D000C6">
        <w:rPr>
          <w:lang w:val="fr-FR"/>
        </w:rPr>
        <w:t>: 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w:t>
      </w:r>
      <w:r w:rsidR="009669C3">
        <w:rPr>
          <w:lang w:val="fr-FR"/>
        </w:rPr>
        <w:t xml:space="preserve">. </w:t>
      </w:r>
      <w:r w:rsidRPr="00D000C6">
        <w:rPr>
          <w:lang w:val="fr-FR"/>
        </w:rPr>
        <w:t xml:space="preserve">Cependant, les batteries au lithium doivent satisfaire aux dispositions du 2.9.4 excepté que les alinéas </w:t>
      </w:r>
      <w:proofErr w:type="gramStart"/>
      <w:r w:rsidRPr="00D000C6">
        <w:rPr>
          <w:lang w:val="fr-FR"/>
        </w:rPr>
        <w:t>a</w:t>
      </w:r>
      <w:proofErr w:type="gramEnd"/>
      <w:r w:rsidRPr="00D000C6">
        <w:rPr>
          <w:lang w:val="fr-FR"/>
        </w:rPr>
        <w:t>), e) vii), f) iii) le cas échéant, f)</w:t>
      </w:r>
      <w:r w:rsidR="009669C3">
        <w:rPr>
          <w:lang w:val="fr-FR"/>
        </w:rPr>
        <w:t> </w:t>
      </w:r>
      <w:r w:rsidRPr="00D000C6">
        <w:rPr>
          <w:lang w:val="fr-FR"/>
        </w:rPr>
        <w:t>iv) le cas échéant et g) ne s’appliquent pas quand des piles ou batteries de séries de production comprenant au plus 100 piles ou batteries, ou des prototypes de pré-production de piles ou batteries lorsque ces prototypes sont transportés pour être éprouvés, sont installées dans les véhicules ou les équipements.</w:t>
      </w:r>
    </w:p>
    <w:p w14:paraId="1FE13847" w14:textId="2F62140A" w:rsidR="00446FE5" w:rsidRPr="00D000C6" w:rsidRDefault="00D000C6" w:rsidP="00D000C6">
      <w:pPr>
        <w:pStyle w:val="SingleTxtG"/>
        <w:spacing w:before="240" w:after="0"/>
        <w:jc w:val="center"/>
        <w:rPr>
          <w:u w:val="single"/>
        </w:rPr>
      </w:pPr>
      <w:r>
        <w:rPr>
          <w:u w:val="single"/>
        </w:rPr>
        <w:tab/>
      </w:r>
      <w:r>
        <w:rPr>
          <w:u w:val="single"/>
        </w:rPr>
        <w:tab/>
      </w:r>
      <w:r>
        <w:rPr>
          <w:u w:val="single"/>
        </w:rPr>
        <w:tab/>
      </w:r>
    </w:p>
    <w:sectPr w:rsidR="00446FE5" w:rsidRPr="00D000C6" w:rsidSect="00D000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C9C7" w14:textId="77777777" w:rsidR="00E47AEB" w:rsidRDefault="00E47AEB" w:rsidP="00F95C08">
      <w:pPr>
        <w:spacing w:line="240" w:lineRule="auto"/>
      </w:pPr>
    </w:p>
  </w:endnote>
  <w:endnote w:type="continuationSeparator" w:id="0">
    <w:p w14:paraId="24312985" w14:textId="77777777" w:rsidR="00E47AEB" w:rsidRPr="00AC3823" w:rsidRDefault="00E47AEB" w:rsidP="00AC3823">
      <w:pPr>
        <w:pStyle w:val="Footer"/>
      </w:pPr>
    </w:p>
  </w:endnote>
  <w:endnote w:type="continuationNotice" w:id="1">
    <w:p w14:paraId="1CCC7445" w14:textId="77777777" w:rsidR="00E47AEB" w:rsidRDefault="00E47A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FEEB" w14:textId="06851D0C" w:rsidR="00D000C6" w:rsidRPr="00D000C6" w:rsidRDefault="00D000C6" w:rsidP="00D000C6">
    <w:pPr>
      <w:pStyle w:val="Footer"/>
      <w:tabs>
        <w:tab w:val="right" w:pos="9638"/>
      </w:tabs>
    </w:pPr>
    <w:r w:rsidRPr="00D000C6">
      <w:rPr>
        <w:b/>
        <w:sz w:val="18"/>
      </w:rPr>
      <w:fldChar w:fldCharType="begin"/>
    </w:r>
    <w:r w:rsidRPr="00D000C6">
      <w:rPr>
        <w:b/>
        <w:sz w:val="18"/>
      </w:rPr>
      <w:instrText xml:space="preserve"> PAGE  \* MERGEFORMAT </w:instrText>
    </w:r>
    <w:r w:rsidRPr="00D000C6">
      <w:rPr>
        <w:b/>
        <w:sz w:val="18"/>
      </w:rPr>
      <w:fldChar w:fldCharType="separate"/>
    </w:r>
    <w:r w:rsidRPr="00D000C6">
      <w:rPr>
        <w:b/>
        <w:noProof/>
        <w:sz w:val="18"/>
      </w:rPr>
      <w:t>2</w:t>
    </w:r>
    <w:r w:rsidRPr="00D000C6">
      <w:rPr>
        <w:b/>
        <w:sz w:val="18"/>
      </w:rPr>
      <w:fldChar w:fldCharType="end"/>
    </w:r>
    <w:r>
      <w:rPr>
        <w:b/>
        <w:sz w:val="18"/>
      </w:rPr>
      <w:tab/>
    </w:r>
    <w:r>
      <w:t>GE.22-14448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2314" w14:textId="1ADE5649" w:rsidR="00D000C6" w:rsidRPr="00D000C6" w:rsidRDefault="00D000C6" w:rsidP="00D000C6">
    <w:pPr>
      <w:pStyle w:val="Footer"/>
      <w:tabs>
        <w:tab w:val="right" w:pos="9638"/>
      </w:tabs>
      <w:rPr>
        <w:b/>
        <w:sz w:val="18"/>
      </w:rPr>
    </w:pPr>
    <w:r>
      <w:t>GE.22-14448</w:t>
    </w:r>
    <w:r>
      <w:tab/>
    </w:r>
    <w:r w:rsidRPr="00D000C6">
      <w:rPr>
        <w:b/>
        <w:sz w:val="18"/>
      </w:rPr>
      <w:fldChar w:fldCharType="begin"/>
    </w:r>
    <w:r w:rsidRPr="00D000C6">
      <w:rPr>
        <w:b/>
        <w:sz w:val="18"/>
      </w:rPr>
      <w:instrText xml:space="preserve"> PAGE  \* MERGEFORMAT </w:instrText>
    </w:r>
    <w:r w:rsidRPr="00D000C6">
      <w:rPr>
        <w:b/>
        <w:sz w:val="18"/>
      </w:rPr>
      <w:fldChar w:fldCharType="separate"/>
    </w:r>
    <w:r w:rsidRPr="00D000C6">
      <w:rPr>
        <w:b/>
        <w:noProof/>
        <w:sz w:val="18"/>
      </w:rPr>
      <w:t>3</w:t>
    </w:r>
    <w:r w:rsidRPr="00D000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89DB" w14:textId="545DE386" w:rsidR="0068456F" w:rsidRPr="00D000C6" w:rsidRDefault="00D000C6" w:rsidP="00D000C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B263D75" wp14:editId="0F4AD78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14448  (</w:t>
    </w:r>
    <w:proofErr w:type="gramEnd"/>
    <w:r>
      <w:rPr>
        <w:sz w:val="20"/>
      </w:rPr>
      <w:t>F)</w:t>
    </w:r>
    <w:r>
      <w:rPr>
        <w:noProof/>
        <w:sz w:val="20"/>
      </w:rPr>
      <w:drawing>
        <wp:anchor distT="0" distB="0" distL="114300" distR="114300" simplePos="0" relativeHeight="251660288" behindDoc="0" locked="0" layoutInCell="1" allowOverlap="1" wp14:anchorId="6BD06A24" wp14:editId="4931AEA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051022    051022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3B12" w14:textId="77777777" w:rsidR="00E47AEB" w:rsidRPr="00AC3823" w:rsidRDefault="00E47AEB" w:rsidP="00AC3823">
      <w:pPr>
        <w:pStyle w:val="Footer"/>
        <w:tabs>
          <w:tab w:val="right" w:pos="2155"/>
        </w:tabs>
        <w:spacing w:after="80" w:line="240" w:lineRule="atLeast"/>
        <w:ind w:left="680"/>
        <w:rPr>
          <w:u w:val="single"/>
        </w:rPr>
      </w:pPr>
      <w:r>
        <w:rPr>
          <w:u w:val="single"/>
        </w:rPr>
        <w:tab/>
      </w:r>
    </w:p>
  </w:footnote>
  <w:footnote w:type="continuationSeparator" w:id="0">
    <w:p w14:paraId="5F4D287C" w14:textId="77777777" w:rsidR="00E47AEB" w:rsidRPr="00AC3823" w:rsidRDefault="00E47AEB" w:rsidP="00AC3823">
      <w:pPr>
        <w:pStyle w:val="Footer"/>
        <w:tabs>
          <w:tab w:val="right" w:pos="2155"/>
        </w:tabs>
        <w:spacing w:after="80" w:line="240" w:lineRule="atLeast"/>
        <w:ind w:left="680"/>
        <w:rPr>
          <w:u w:val="single"/>
        </w:rPr>
      </w:pPr>
      <w:r>
        <w:rPr>
          <w:u w:val="single"/>
        </w:rPr>
        <w:tab/>
      </w:r>
    </w:p>
  </w:footnote>
  <w:footnote w:type="continuationNotice" w:id="1">
    <w:p w14:paraId="46AD5EBA" w14:textId="77777777" w:rsidR="00E47AEB" w:rsidRPr="00AC3823" w:rsidRDefault="00E47AEB">
      <w:pPr>
        <w:spacing w:line="240" w:lineRule="auto"/>
        <w:rPr>
          <w:sz w:val="2"/>
          <w:szCs w:val="2"/>
        </w:rPr>
      </w:pPr>
    </w:p>
  </w:footnote>
  <w:footnote w:id="2">
    <w:p w14:paraId="716F2D85" w14:textId="70A13A02" w:rsidR="00D000C6" w:rsidRPr="00D000C6" w:rsidRDefault="00D000C6">
      <w:pPr>
        <w:pStyle w:val="FootnoteText"/>
      </w:pPr>
      <w:r>
        <w:rPr>
          <w:rStyle w:val="FootnoteReference"/>
        </w:rPr>
        <w:tab/>
      </w:r>
      <w:r w:rsidRPr="00D000C6">
        <w:rPr>
          <w:rStyle w:val="FootnoteReference"/>
          <w:sz w:val="20"/>
          <w:vertAlign w:val="baseline"/>
        </w:rPr>
        <w:t>*</w:t>
      </w:r>
      <w:r>
        <w:rPr>
          <w:rStyle w:val="FootnoteReference"/>
          <w:sz w:val="20"/>
          <w:vertAlign w:val="baseline"/>
        </w:rPr>
        <w:tab/>
      </w:r>
      <w:r>
        <w:rPr>
          <w:lang w:val="fr-FR"/>
        </w:rPr>
        <w:t>A/75/6 (Sect. 20), par. 20.51</w:t>
      </w:r>
    </w:p>
  </w:footnote>
  <w:footnote w:id="3">
    <w:p w14:paraId="769EB017" w14:textId="2EB7D2F3" w:rsidR="00D000C6" w:rsidRPr="00D8071B" w:rsidRDefault="00D000C6" w:rsidP="00D000C6">
      <w:pPr>
        <w:pStyle w:val="FootnoteText"/>
      </w:pPr>
      <w:r>
        <w:rPr>
          <w:lang w:val="fr-FR"/>
        </w:rPr>
        <w:tab/>
        <w:t>**</w:t>
      </w:r>
      <w:r>
        <w:rPr>
          <w:lang w:val="fr-FR"/>
        </w:rPr>
        <w:tab/>
        <w:t>Note du secrétariat</w:t>
      </w:r>
      <w:r w:rsidR="005E6562">
        <w:rPr>
          <w:lang w:val="fr-FR"/>
        </w:rPr>
        <w:t> </w:t>
      </w:r>
      <w:r>
        <w:rPr>
          <w:lang w:val="fr-FR"/>
        </w:rPr>
        <w:t>: sans objet en français.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650" w14:textId="5FEDF5DB" w:rsidR="00D000C6" w:rsidRPr="00D000C6" w:rsidRDefault="0084150C">
    <w:pPr>
      <w:pStyle w:val="Header"/>
    </w:pPr>
    <w:r>
      <w:fldChar w:fldCharType="begin"/>
    </w:r>
    <w:r>
      <w:instrText xml:space="preserve"> TITLE  \* MERGEFORMAT </w:instrText>
    </w:r>
    <w:r>
      <w:fldChar w:fldCharType="separate"/>
    </w:r>
    <w:r w:rsidR="00636DEE">
      <w:t>ST/SG/AC.10/C.3/2022/78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F5CB" w14:textId="1004919D" w:rsidR="00D000C6" w:rsidRPr="00D000C6" w:rsidRDefault="0084150C" w:rsidP="00D000C6">
    <w:pPr>
      <w:pStyle w:val="Header"/>
      <w:jc w:val="right"/>
    </w:pPr>
    <w:r>
      <w:fldChar w:fldCharType="begin"/>
    </w:r>
    <w:r>
      <w:instrText xml:space="preserve"> TITLE  \* MERGEFORMAT </w:instrText>
    </w:r>
    <w:r>
      <w:fldChar w:fldCharType="separate"/>
    </w:r>
    <w:r w:rsidR="00636DEE">
      <w:t>ST/SG/AC.10/C.3/2022/78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EB"/>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32F71"/>
    <w:rsid w:val="00441C3B"/>
    <w:rsid w:val="00446FE5"/>
    <w:rsid w:val="00452396"/>
    <w:rsid w:val="004D2DAD"/>
    <w:rsid w:val="004E468C"/>
    <w:rsid w:val="005505B7"/>
    <w:rsid w:val="00573BE5"/>
    <w:rsid w:val="00584DC4"/>
    <w:rsid w:val="00586ED3"/>
    <w:rsid w:val="00596AA9"/>
    <w:rsid w:val="005E6562"/>
    <w:rsid w:val="00636DEE"/>
    <w:rsid w:val="0068456F"/>
    <w:rsid w:val="0071601D"/>
    <w:rsid w:val="007A62E6"/>
    <w:rsid w:val="0080684C"/>
    <w:rsid w:val="008123E0"/>
    <w:rsid w:val="00871C75"/>
    <w:rsid w:val="008776DC"/>
    <w:rsid w:val="008B40CD"/>
    <w:rsid w:val="009669C3"/>
    <w:rsid w:val="009705C8"/>
    <w:rsid w:val="009C1CF4"/>
    <w:rsid w:val="00A30353"/>
    <w:rsid w:val="00A81281"/>
    <w:rsid w:val="00AC3823"/>
    <w:rsid w:val="00AE323C"/>
    <w:rsid w:val="00B00181"/>
    <w:rsid w:val="00B00B0D"/>
    <w:rsid w:val="00B765F7"/>
    <w:rsid w:val="00BA0CA9"/>
    <w:rsid w:val="00C02897"/>
    <w:rsid w:val="00D000C6"/>
    <w:rsid w:val="00D3439C"/>
    <w:rsid w:val="00DB1831"/>
    <w:rsid w:val="00DD3BFD"/>
    <w:rsid w:val="00DF6678"/>
    <w:rsid w:val="00E47AEB"/>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55A2"/>
  <w15:docId w15:val="{18146E58-46DA-4DBA-A493-7D7C79A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ST/SG/AC.10/C.3/2022/78</vt:lpstr>
    </vt:vector>
  </TitlesOfParts>
  <Company>DCM</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ST/SG/AC.10/C.3/2022/78</dc:title>
  <dc:subject/>
  <dc:creator>Valerie BERTIN</dc:creator>
  <cp:keywords/>
  <cp:lastModifiedBy>Laurence Berthet</cp:lastModifiedBy>
  <cp:revision>4</cp:revision>
  <cp:lastPrinted>2022-10-05T11:24:00Z</cp:lastPrinted>
  <dcterms:created xsi:type="dcterms:W3CDTF">2022-10-05T11:24:00Z</dcterms:created>
  <dcterms:modified xsi:type="dcterms:W3CDTF">2022-10-05T11:25:00Z</dcterms:modified>
</cp:coreProperties>
</file>