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5A63D368" w14:textId="77777777" w:rsidTr="00F01738">
        <w:trPr>
          <w:trHeight w:hRule="exact" w:val="851"/>
        </w:trPr>
        <w:tc>
          <w:tcPr>
            <w:tcW w:w="1276" w:type="dxa"/>
            <w:tcBorders>
              <w:bottom w:val="single" w:sz="4" w:space="0" w:color="auto"/>
            </w:tcBorders>
          </w:tcPr>
          <w:p w14:paraId="710BBADE" w14:textId="77777777" w:rsidR="00132EA9" w:rsidRPr="00DB58B5" w:rsidRDefault="00132EA9" w:rsidP="002F0C61"/>
        </w:tc>
        <w:tc>
          <w:tcPr>
            <w:tcW w:w="2268" w:type="dxa"/>
            <w:tcBorders>
              <w:bottom w:val="single" w:sz="4" w:space="0" w:color="auto"/>
            </w:tcBorders>
            <w:vAlign w:val="bottom"/>
          </w:tcPr>
          <w:p w14:paraId="6A0CD473"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93F3F16" w14:textId="16E10255" w:rsidR="00132EA9" w:rsidRPr="00DB58B5" w:rsidRDefault="002F0C61" w:rsidP="002F0C61">
            <w:pPr>
              <w:jc w:val="right"/>
            </w:pPr>
            <w:r w:rsidRPr="002F0C61">
              <w:rPr>
                <w:sz w:val="40"/>
              </w:rPr>
              <w:t>ST</w:t>
            </w:r>
            <w:r>
              <w:t>/SG/AC.10/C.3/2022/77</w:t>
            </w:r>
          </w:p>
        </w:tc>
      </w:tr>
      <w:tr w:rsidR="00132EA9" w:rsidRPr="00DB58B5" w14:paraId="32B56180" w14:textId="77777777" w:rsidTr="00F01738">
        <w:trPr>
          <w:trHeight w:hRule="exact" w:val="2835"/>
        </w:trPr>
        <w:tc>
          <w:tcPr>
            <w:tcW w:w="1276" w:type="dxa"/>
            <w:tcBorders>
              <w:top w:val="single" w:sz="4" w:space="0" w:color="auto"/>
              <w:bottom w:val="single" w:sz="12" w:space="0" w:color="auto"/>
            </w:tcBorders>
          </w:tcPr>
          <w:p w14:paraId="42B22143" w14:textId="77777777" w:rsidR="00132EA9" w:rsidRPr="00DB58B5" w:rsidRDefault="00132EA9" w:rsidP="00F01738">
            <w:pPr>
              <w:spacing w:before="120"/>
              <w:jc w:val="center"/>
            </w:pPr>
            <w:r>
              <w:rPr>
                <w:noProof/>
                <w:lang w:eastAsia="fr-CH"/>
              </w:rPr>
              <w:drawing>
                <wp:inline distT="0" distB="0" distL="0" distR="0" wp14:anchorId="4CA2C6EB" wp14:editId="1BB603B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6B2D112"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81036C6" w14:textId="77777777" w:rsidR="00132EA9" w:rsidRDefault="002F0C61" w:rsidP="00F01738">
            <w:pPr>
              <w:spacing w:before="240"/>
            </w:pPr>
            <w:r>
              <w:t xml:space="preserve">Distr. </w:t>
            </w:r>
            <w:proofErr w:type="gramStart"/>
            <w:r>
              <w:t>générale</w:t>
            </w:r>
            <w:proofErr w:type="gramEnd"/>
          </w:p>
          <w:p w14:paraId="3EB4DABF" w14:textId="77777777" w:rsidR="002F0C61" w:rsidRDefault="002F0C61" w:rsidP="002F0C61">
            <w:pPr>
              <w:spacing w:line="240" w:lineRule="exact"/>
            </w:pPr>
            <w:r>
              <w:t>16 septembre 2022</w:t>
            </w:r>
          </w:p>
          <w:p w14:paraId="1E51F5E3" w14:textId="77777777" w:rsidR="002F0C61" w:rsidRDefault="002F0C61" w:rsidP="002F0C61">
            <w:pPr>
              <w:spacing w:line="240" w:lineRule="exact"/>
            </w:pPr>
            <w:r>
              <w:t>Français</w:t>
            </w:r>
          </w:p>
          <w:p w14:paraId="550B6F30" w14:textId="0A229276" w:rsidR="002F0C61" w:rsidRPr="00DB58B5" w:rsidRDefault="002F0C61" w:rsidP="002F0C61">
            <w:pPr>
              <w:spacing w:line="240" w:lineRule="exact"/>
            </w:pPr>
            <w:r>
              <w:t>Original : anglais</w:t>
            </w:r>
          </w:p>
        </w:tc>
      </w:tr>
    </w:tbl>
    <w:p w14:paraId="567A0581" w14:textId="19D38142" w:rsidR="002F0C61" w:rsidRPr="00CA0680" w:rsidRDefault="002F0C61" w:rsidP="000305D3">
      <w:pPr>
        <w:spacing w:before="120"/>
        <w:rPr>
          <w:b/>
          <w:sz w:val="24"/>
          <w:szCs w:val="24"/>
        </w:rPr>
      </w:pPr>
      <w:r w:rsidRPr="00CA0680">
        <w:rPr>
          <w:b/>
          <w:sz w:val="24"/>
          <w:szCs w:val="24"/>
        </w:rPr>
        <w:t>Comité d</w:t>
      </w:r>
      <w:r w:rsidR="00571D44">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571D44">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22320E64" w14:textId="792436A5" w:rsidR="002F0C61" w:rsidRPr="00CA0680" w:rsidRDefault="002F0C61" w:rsidP="000305D3">
      <w:pPr>
        <w:spacing w:before="120"/>
        <w:rPr>
          <w:b/>
        </w:rPr>
      </w:pPr>
      <w:r w:rsidRPr="00CA0680">
        <w:rPr>
          <w:b/>
        </w:rPr>
        <w:t>Sous</w:t>
      </w:r>
      <w:r>
        <w:rPr>
          <w:b/>
        </w:rPr>
        <w:t>-</w:t>
      </w:r>
      <w:r w:rsidRPr="00CA0680">
        <w:rPr>
          <w:b/>
        </w:rPr>
        <w:t>Comité d</w:t>
      </w:r>
      <w:r w:rsidR="00571D44">
        <w:rPr>
          <w:b/>
        </w:rPr>
        <w:t>’</w:t>
      </w:r>
      <w:r w:rsidRPr="00CA0680">
        <w:rPr>
          <w:b/>
        </w:rPr>
        <w:t>experts du transport des marchandises dangereuses</w:t>
      </w:r>
    </w:p>
    <w:p w14:paraId="755EE02D" w14:textId="061699AB" w:rsidR="002F0C61" w:rsidRDefault="002F0C61" w:rsidP="000305D3">
      <w:pPr>
        <w:spacing w:before="120"/>
        <w:rPr>
          <w:b/>
        </w:rPr>
      </w:pPr>
      <w:r w:rsidRPr="00B063E2">
        <w:rPr>
          <w:b/>
          <w:bCs/>
          <w:lang w:val="fr-FR"/>
        </w:rPr>
        <w:t>Soixante et unième</w:t>
      </w:r>
      <w:r>
        <w:rPr>
          <w:b/>
        </w:rPr>
        <w:t xml:space="preserve"> </w:t>
      </w:r>
      <w:r w:rsidRPr="00CA0680">
        <w:rPr>
          <w:b/>
        </w:rPr>
        <w:t>session</w:t>
      </w:r>
    </w:p>
    <w:p w14:paraId="53CB13FC" w14:textId="5CCE0ABD" w:rsidR="002F0C61" w:rsidRDefault="002F0C61" w:rsidP="000305D3">
      <w:r>
        <w:t xml:space="preserve">Genève, </w:t>
      </w:r>
      <w:r w:rsidRPr="00B063E2">
        <w:rPr>
          <w:lang w:val="fr-FR"/>
        </w:rPr>
        <w:t>28 novembre-6 décembre 2022</w:t>
      </w:r>
    </w:p>
    <w:p w14:paraId="30CA8B48" w14:textId="34CEF3D7" w:rsidR="002F0C61" w:rsidRDefault="002F0C61" w:rsidP="000305D3">
      <w:r>
        <w:t xml:space="preserve">Point </w:t>
      </w:r>
      <w:r w:rsidRPr="00B063E2">
        <w:rPr>
          <w:lang w:val="fr-FR"/>
        </w:rPr>
        <w:t>3 de l</w:t>
      </w:r>
      <w:r w:rsidR="00571D44">
        <w:rPr>
          <w:lang w:val="fr-FR"/>
        </w:rPr>
        <w:t>’</w:t>
      </w:r>
      <w:r w:rsidRPr="00B063E2">
        <w:rPr>
          <w:lang w:val="fr-FR"/>
        </w:rPr>
        <w:t>ordre du jour provisoire</w:t>
      </w:r>
    </w:p>
    <w:p w14:paraId="1ADD54D0" w14:textId="77777777" w:rsidR="002F0C61" w:rsidRPr="00B063E2" w:rsidRDefault="002F0C61" w:rsidP="002F0C61">
      <w:pPr>
        <w:rPr>
          <w:b/>
          <w:bCs/>
          <w:lang w:val="fr-FR"/>
        </w:rPr>
      </w:pPr>
      <w:r w:rsidRPr="00B063E2">
        <w:rPr>
          <w:b/>
          <w:bCs/>
          <w:lang w:val="fr-FR"/>
        </w:rPr>
        <w:t>Inscription, classement et emballage</w:t>
      </w:r>
    </w:p>
    <w:p w14:paraId="380B64C3" w14:textId="36BBACEC" w:rsidR="002F0C61" w:rsidRPr="00B063E2" w:rsidRDefault="002F0C61" w:rsidP="002F0C61">
      <w:pPr>
        <w:pStyle w:val="HChG"/>
        <w:rPr>
          <w:lang w:val="fr-FR"/>
        </w:rPr>
      </w:pPr>
      <w:r w:rsidRPr="00B063E2">
        <w:rPr>
          <w:lang w:val="fr-FR"/>
        </w:rPr>
        <w:tab/>
      </w:r>
      <w:r w:rsidRPr="00B063E2">
        <w:rPr>
          <w:lang w:val="fr-FR"/>
        </w:rPr>
        <w:tab/>
      </w:r>
      <w:r>
        <w:rPr>
          <w:lang w:val="fr-FR"/>
        </w:rPr>
        <w:t>I</w:t>
      </w:r>
      <w:r w:rsidRPr="00B063E2">
        <w:rPr>
          <w:lang w:val="fr-FR"/>
        </w:rPr>
        <w:t>nstructions de transport en citernes mobiles et dispositions spéciales applicables au transport en citernes mobiles (suite</w:t>
      </w:r>
      <w:r w:rsidR="000A35F2">
        <w:rPr>
          <w:lang w:val="fr-FR"/>
        </w:rPr>
        <w:t> </w:t>
      </w:r>
      <w:r>
        <w:rPr>
          <w:lang w:val="fr-FR"/>
        </w:rPr>
        <w:t xml:space="preserve">donnée </w:t>
      </w:r>
      <w:r w:rsidRPr="00B063E2">
        <w:rPr>
          <w:lang w:val="fr-FR"/>
        </w:rPr>
        <w:t>au document ST/SG/AC.10/C.3/2022/39)</w:t>
      </w:r>
    </w:p>
    <w:p w14:paraId="28256555" w14:textId="39E467CF" w:rsidR="002F0C61" w:rsidRPr="00B063E2" w:rsidRDefault="002F0C61" w:rsidP="002F0C61">
      <w:pPr>
        <w:pStyle w:val="H1G"/>
        <w:rPr>
          <w:lang w:val="fr-FR"/>
        </w:rPr>
      </w:pPr>
      <w:r w:rsidRPr="00B063E2">
        <w:rPr>
          <w:lang w:val="fr-FR"/>
        </w:rPr>
        <w:tab/>
      </w:r>
      <w:r w:rsidRPr="00B063E2">
        <w:rPr>
          <w:lang w:val="fr-FR"/>
        </w:rPr>
        <w:tab/>
        <w:t>Note du secrétariat</w:t>
      </w:r>
      <w:r w:rsidR="00C048E9" w:rsidRPr="00C048E9">
        <w:rPr>
          <w:rStyle w:val="FootnoteReference"/>
          <w:b w:val="0"/>
          <w:bCs/>
          <w:sz w:val="20"/>
          <w:vertAlign w:val="baseline"/>
        </w:rPr>
        <w:footnoteReference w:customMarkFollows="1" w:id="2"/>
        <w:t>*</w:t>
      </w:r>
    </w:p>
    <w:p w14:paraId="3DAD3536" w14:textId="66F818F3" w:rsidR="002F0C61" w:rsidRPr="00B063E2" w:rsidRDefault="002F0C61" w:rsidP="002F0C61">
      <w:pPr>
        <w:pStyle w:val="HChG"/>
        <w:rPr>
          <w:lang w:val="fr-FR"/>
        </w:rPr>
      </w:pPr>
      <w:r>
        <w:rPr>
          <w:lang w:val="fr-FR"/>
        </w:rPr>
        <w:tab/>
      </w:r>
      <w:r w:rsidRPr="00B063E2">
        <w:rPr>
          <w:lang w:val="fr-FR"/>
        </w:rPr>
        <w:t>I.</w:t>
      </w:r>
      <w:r w:rsidRPr="00B063E2">
        <w:rPr>
          <w:lang w:val="fr-FR"/>
        </w:rPr>
        <w:tab/>
        <w:t>Introduction</w:t>
      </w:r>
    </w:p>
    <w:p w14:paraId="38DF2F76" w14:textId="197EB12D" w:rsidR="002F0C61" w:rsidRPr="00B063E2" w:rsidRDefault="002F0C61" w:rsidP="002F0C61">
      <w:pPr>
        <w:pStyle w:val="SingleTxtG"/>
        <w:rPr>
          <w:lang w:val="fr-FR"/>
        </w:rPr>
      </w:pPr>
      <w:r w:rsidRPr="00B063E2">
        <w:rPr>
          <w:lang w:val="fr-FR"/>
        </w:rPr>
        <w:t>1.</w:t>
      </w:r>
      <w:r w:rsidRPr="00B063E2">
        <w:rPr>
          <w:lang w:val="fr-FR"/>
        </w:rPr>
        <w:tab/>
        <w:t>À sa soixantième session, le Sous-Comité d</w:t>
      </w:r>
      <w:r w:rsidR="00571D44">
        <w:rPr>
          <w:lang w:val="fr-FR"/>
        </w:rPr>
        <w:t>’</w:t>
      </w:r>
      <w:r w:rsidRPr="00B063E2">
        <w:rPr>
          <w:lang w:val="fr-FR"/>
        </w:rPr>
        <w:t>experts du transport des marchandises dangereuses a examiné le document ST/SG/AC.10/C.3/2022/39 et le secrétariat a été prié d</w:t>
      </w:r>
      <w:r w:rsidR="00571D44">
        <w:rPr>
          <w:lang w:val="fr-FR"/>
        </w:rPr>
        <w:t>’</w:t>
      </w:r>
      <w:r w:rsidRPr="00B063E2">
        <w:rPr>
          <w:lang w:val="fr-FR"/>
        </w:rPr>
        <w:t xml:space="preserve">établir, pour la session suivante, un document contenant des propositions visant à régler les </w:t>
      </w:r>
      <w:r>
        <w:rPr>
          <w:lang w:val="fr-FR"/>
        </w:rPr>
        <w:t>questions</w:t>
      </w:r>
      <w:r w:rsidRPr="00B063E2">
        <w:rPr>
          <w:lang w:val="fr-FR"/>
        </w:rPr>
        <w:t xml:space="preserve"> soulevé</w:t>
      </w:r>
      <w:r>
        <w:rPr>
          <w:lang w:val="fr-FR"/>
        </w:rPr>
        <w:t>e</w:t>
      </w:r>
      <w:r w:rsidRPr="00B063E2">
        <w:rPr>
          <w:lang w:val="fr-FR"/>
        </w:rPr>
        <w:t>s dans les sections</w:t>
      </w:r>
      <w:r w:rsidR="0021579B">
        <w:rPr>
          <w:lang w:val="fr-FR"/>
        </w:rPr>
        <w:t> </w:t>
      </w:r>
      <w:r w:rsidRPr="00B063E2">
        <w:rPr>
          <w:lang w:val="fr-FR"/>
        </w:rPr>
        <w:t>IV, V et VI (voir ST/SG/AC.10/C.3/120, par.</w:t>
      </w:r>
      <w:r w:rsidR="0021579B">
        <w:rPr>
          <w:lang w:val="fr-FR"/>
        </w:rPr>
        <w:t> </w:t>
      </w:r>
      <w:r w:rsidRPr="00B063E2">
        <w:rPr>
          <w:lang w:val="fr-FR"/>
        </w:rPr>
        <w:t>94 et 95).</w:t>
      </w:r>
    </w:p>
    <w:p w14:paraId="652C8959" w14:textId="3725C7DB" w:rsidR="002F0C61" w:rsidRPr="00B063E2" w:rsidRDefault="002F0C61" w:rsidP="002F0C61">
      <w:pPr>
        <w:pStyle w:val="HChG"/>
        <w:rPr>
          <w:lang w:val="fr-FR"/>
        </w:rPr>
      </w:pPr>
      <w:r>
        <w:rPr>
          <w:lang w:val="fr-FR"/>
        </w:rPr>
        <w:tab/>
      </w:r>
      <w:r w:rsidRPr="00B063E2">
        <w:rPr>
          <w:lang w:val="fr-FR"/>
        </w:rPr>
        <w:t>II.</w:t>
      </w:r>
      <w:r w:rsidRPr="00B063E2">
        <w:rPr>
          <w:lang w:val="fr-FR"/>
        </w:rPr>
        <w:tab/>
        <w:t>Attribution de la disposition spéciale TP1 au No ONU 0331</w:t>
      </w:r>
    </w:p>
    <w:p w14:paraId="789E001C" w14:textId="71FFE11D" w:rsidR="002F0C61" w:rsidRPr="00B063E2" w:rsidRDefault="002F0C61" w:rsidP="002F0C61">
      <w:pPr>
        <w:pStyle w:val="SingleTxtG"/>
        <w:rPr>
          <w:i/>
          <w:iCs/>
          <w:lang w:val="fr-FR"/>
        </w:rPr>
      </w:pPr>
      <w:r w:rsidRPr="00B063E2">
        <w:rPr>
          <w:i/>
          <w:iCs/>
          <w:lang w:val="fr-FR"/>
        </w:rPr>
        <w:t>Note</w:t>
      </w:r>
      <w:r w:rsidR="00C048E9">
        <w:rPr>
          <w:i/>
          <w:iCs/>
          <w:lang w:val="fr-FR"/>
        </w:rPr>
        <w:t> </w:t>
      </w:r>
      <w:r w:rsidRPr="00B063E2">
        <w:rPr>
          <w:i/>
          <w:iCs/>
          <w:lang w:val="fr-FR"/>
        </w:rPr>
        <w:t xml:space="preserve">: </w:t>
      </w:r>
      <w:r>
        <w:rPr>
          <w:i/>
          <w:iCs/>
          <w:lang w:val="fr-FR"/>
        </w:rPr>
        <w:t>V</w:t>
      </w:r>
      <w:r w:rsidRPr="00B063E2">
        <w:rPr>
          <w:i/>
          <w:iCs/>
          <w:lang w:val="fr-FR"/>
        </w:rPr>
        <w:t>oir l</w:t>
      </w:r>
      <w:r w:rsidR="00571D44">
        <w:rPr>
          <w:i/>
          <w:iCs/>
          <w:lang w:val="fr-FR"/>
        </w:rPr>
        <w:t>’</w:t>
      </w:r>
      <w:r w:rsidRPr="00B063E2">
        <w:rPr>
          <w:i/>
          <w:iCs/>
          <w:lang w:val="fr-FR"/>
        </w:rPr>
        <w:t>historique de la question dans la section IV du document ST/SG/AC.10/C.3/</w:t>
      </w:r>
      <w:r w:rsidR="0021579B">
        <w:rPr>
          <w:i/>
          <w:iCs/>
          <w:lang w:val="fr-FR"/>
        </w:rPr>
        <w:br/>
      </w:r>
      <w:r w:rsidRPr="00B063E2">
        <w:rPr>
          <w:i/>
          <w:iCs/>
          <w:lang w:val="fr-FR"/>
        </w:rPr>
        <w:t>2022/39.</w:t>
      </w:r>
    </w:p>
    <w:p w14:paraId="607717C6" w14:textId="37999C78" w:rsidR="002F0C61" w:rsidRPr="00B063E2" w:rsidRDefault="002F0C61" w:rsidP="002F0C61">
      <w:pPr>
        <w:pStyle w:val="SingleTxtG"/>
        <w:rPr>
          <w:lang w:val="fr-FR"/>
        </w:rPr>
      </w:pPr>
      <w:r w:rsidRPr="00B063E2">
        <w:rPr>
          <w:lang w:val="fr-FR"/>
        </w:rPr>
        <w:t>2.</w:t>
      </w:r>
      <w:r w:rsidRPr="00B063E2">
        <w:rPr>
          <w:lang w:val="fr-FR"/>
        </w:rPr>
        <w:tab/>
        <w:t>Selon le Groupe de travail des explosifs (UN/SCETDG/60/INF.44, par.</w:t>
      </w:r>
      <w:r w:rsidR="0021579B">
        <w:rPr>
          <w:lang w:val="fr-FR"/>
        </w:rPr>
        <w:t> </w:t>
      </w:r>
      <w:r w:rsidRPr="00B063E2">
        <w:rPr>
          <w:lang w:val="fr-FR"/>
        </w:rPr>
        <w:t>16), le No</w:t>
      </w:r>
      <w:r w:rsidR="0021579B">
        <w:rPr>
          <w:lang w:val="fr-FR"/>
        </w:rPr>
        <w:t> </w:t>
      </w:r>
      <w:r w:rsidRPr="00B063E2">
        <w:rPr>
          <w:lang w:val="fr-FR"/>
        </w:rPr>
        <w:t>ONU 0331 (EXPLOSIF DE MINE (DE SAUTAGE) DU TYPE B) n</w:t>
      </w:r>
      <w:r w:rsidR="00571D44">
        <w:rPr>
          <w:lang w:val="fr-FR"/>
        </w:rPr>
        <w:t>’</w:t>
      </w:r>
      <w:r w:rsidRPr="00B063E2">
        <w:rPr>
          <w:lang w:val="fr-FR"/>
        </w:rPr>
        <w:t>est utilisé que pour les mélanges de nitrate d</w:t>
      </w:r>
      <w:r w:rsidR="00571D44">
        <w:rPr>
          <w:lang w:val="fr-FR"/>
        </w:rPr>
        <w:t>’</w:t>
      </w:r>
      <w:r w:rsidRPr="00B063E2">
        <w:rPr>
          <w:lang w:val="fr-FR"/>
        </w:rPr>
        <w:t>ammonium et de fioul (ANFO) et il n</w:t>
      </w:r>
      <w:r w:rsidR="00571D44">
        <w:rPr>
          <w:lang w:val="fr-FR"/>
        </w:rPr>
        <w:t>’</w:t>
      </w:r>
      <w:r w:rsidRPr="00B063E2">
        <w:rPr>
          <w:lang w:val="fr-FR"/>
        </w:rPr>
        <w:t xml:space="preserve">est donc pas nécessaire de respecter la prescription relative au taux de remplissage énoncée dans la disposition spéciale TP1. Le </w:t>
      </w:r>
      <w:r>
        <w:rPr>
          <w:lang w:val="fr-FR"/>
        </w:rPr>
        <w:t>G</w:t>
      </w:r>
      <w:r w:rsidRPr="00B063E2">
        <w:rPr>
          <w:lang w:val="fr-FR"/>
        </w:rPr>
        <w:t>roupe de travail a estimé qu</w:t>
      </w:r>
      <w:r w:rsidR="00571D44">
        <w:rPr>
          <w:lang w:val="fr-FR"/>
        </w:rPr>
        <w:t>’</w:t>
      </w:r>
      <w:r w:rsidRPr="00B063E2">
        <w:rPr>
          <w:lang w:val="fr-FR"/>
        </w:rPr>
        <w:t>il n</w:t>
      </w:r>
      <w:r w:rsidR="00571D44">
        <w:rPr>
          <w:lang w:val="fr-FR"/>
        </w:rPr>
        <w:t>’</w:t>
      </w:r>
      <w:r w:rsidRPr="00B063E2">
        <w:rPr>
          <w:lang w:val="fr-FR"/>
        </w:rPr>
        <w:t>était pas nécessaire d</w:t>
      </w:r>
      <w:r w:rsidR="00571D44">
        <w:rPr>
          <w:lang w:val="fr-FR"/>
        </w:rPr>
        <w:t>’</w:t>
      </w:r>
      <w:r w:rsidRPr="00B063E2">
        <w:rPr>
          <w:lang w:val="fr-FR"/>
        </w:rPr>
        <w:t>attribuer la disposition spéciale TP1 au No ONU 0331.</w:t>
      </w:r>
    </w:p>
    <w:p w14:paraId="53D7EC75" w14:textId="77777777" w:rsidR="002F0C61" w:rsidRPr="00B063E2" w:rsidRDefault="002F0C61" w:rsidP="002F0C61">
      <w:pPr>
        <w:pStyle w:val="H1G"/>
        <w:rPr>
          <w:lang w:val="fr-FR"/>
        </w:rPr>
      </w:pPr>
      <w:r w:rsidRPr="00B063E2">
        <w:rPr>
          <w:lang w:val="fr-FR"/>
        </w:rPr>
        <w:tab/>
      </w:r>
      <w:r w:rsidRPr="00B063E2">
        <w:rPr>
          <w:lang w:val="fr-FR"/>
        </w:rPr>
        <w:tab/>
        <w:t>Proposition 1</w:t>
      </w:r>
    </w:p>
    <w:p w14:paraId="1D972311" w14:textId="77777777" w:rsidR="002F0C61" w:rsidRPr="00B063E2" w:rsidRDefault="002F0C61" w:rsidP="002F0C61">
      <w:pPr>
        <w:pStyle w:val="H23G"/>
        <w:rPr>
          <w:lang w:val="fr-FR"/>
        </w:rPr>
      </w:pPr>
      <w:r w:rsidRPr="00B063E2">
        <w:rPr>
          <w:lang w:val="fr-FR"/>
        </w:rPr>
        <w:tab/>
      </w:r>
      <w:r w:rsidRPr="00B063E2">
        <w:rPr>
          <w:lang w:val="fr-FR"/>
        </w:rPr>
        <w:tab/>
        <w:t>Chapitre 3.2, Liste des marchandises dangereuses</w:t>
      </w:r>
    </w:p>
    <w:p w14:paraId="4A28FF7E" w14:textId="36771327" w:rsidR="002F0C61" w:rsidRPr="00B063E2" w:rsidRDefault="002F0C61" w:rsidP="002F0C61">
      <w:pPr>
        <w:pStyle w:val="SingleTxtG"/>
        <w:rPr>
          <w:lang w:val="fr-FR"/>
        </w:rPr>
      </w:pPr>
      <w:r w:rsidRPr="00B063E2">
        <w:rPr>
          <w:lang w:val="fr-FR"/>
        </w:rPr>
        <w:t>Pour le No ONU 0331, dans la colonne (11), supprimer «</w:t>
      </w:r>
      <w:r w:rsidR="0021579B">
        <w:rPr>
          <w:lang w:val="fr-FR"/>
        </w:rPr>
        <w:t> </w:t>
      </w:r>
      <w:r w:rsidRPr="00B063E2">
        <w:rPr>
          <w:lang w:val="fr-FR"/>
        </w:rPr>
        <w:t>TP1</w:t>
      </w:r>
      <w:r>
        <w:rPr>
          <w:lang w:val="fr-FR"/>
        </w:rPr>
        <w:t> »</w:t>
      </w:r>
      <w:r w:rsidRPr="00B063E2">
        <w:rPr>
          <w:lang w:val="fr-FR"/>
        </w:rPr>
        <w:t>.</w:t>
      </w:r>
    </w:p>
    <w:p w14:paraId="21DE6715" w14:textId="1126914B" w:rsidR="002F0C61" w:rsidRPr="00B063E2" w:rsidRDefault="002F0C61" w:rsidP="002F0C61">
      <w:pPr>
        <w:pStyle w:val="HChG"/>
        <w:rPr>
          <w:lang w:val="fr-FR"/>
        </w:rPr>
      </w:pPr>
      <w:r>
        <w:rPr>
          <w:lang w:val="fr-FR"/>
        </w:rPr>
        <w:lastRenderedPageBreak/>
        <w:tab/>
      </w:r>
      <w:r w:rsidRPr="00B063E2">
        <w:rPr>
          <w:lang w:val="fr-FR"/>
        </w:rPr>
        <w:t>III.</w:t>
      </w:r>
      <w:r w:rsidRPr="00B063E2">
        <w:rPr>
          <w:lang w:val="fr-FR"/>
        </w:rPr>
        <w:tab/>
        <w:t xml:space="preserve">Attribution de la disposition spéciale TP 31 </w:t>
      </w:r>
      <w:r w:rsidR="0021579B">
        <w:rPr>
          <w:lang w:val="fr-FR"/>
        </w:rPr>
        <w:br/>
      </w:r>
      <w:r w:rsidRPr="00B063E2">
        <w:rPr>
          <w:lang w:val="fr-FR"/>
        </w:rPr>
        <w:t>aux Nos ONU 1422 et 1381</w:t>
      </w:r>
    </w:p>
    <w:p w14:paraId="6C255017" w14:textId="7C34F6D0" w:rsidR="002F0C61" w:rsidRPr="00B063E2" w:rsidRDefault="002F0C61" w:rsidP="002F0C61">
      <w:pPr>
        <w:pStyle w:val="SingleTxtG"/>
        <w:rPr>
          <w:i/>
          <w:iCs/>
          <w:lang w:val="fr-FR"/>
        </w:rPr>
      </w:pPr>
      <w:r w:rsidRPr="00B063E2">
        <w:rPr>
          <w:i/>
          <w:iCs/>
          <w:lang w:val="fr-FR"/>
        </w:rPr>
        <w:t>Note</w:t>
      </w:r>
      <w:r w:rsidR="00C048E9">
        <w:rPr>
          <w:i/>
          <w:iCs/>
          <w:lang w:val="fr-FR"/>
        </w:rPr>
        <w:t> </w:t>
      </w:r>
      <w:r w:rsidRPr="00B063E2">
        <w:rPr>
          <w:i/>
          <w:iCs/>
          <w:lang w:val="fr-FR"/>
        </w:rPr>
        <w:t xml:space="preserve">: </w:t>
      </w:r>
      <w:r>
        <w:rPr>
          <w:i/>
          <w:iCs/>
          <w:lang w:val="fr-FR"/>
        </w:rPr>
        <w:t>V</w:t>
      </w:r>
      <w:r w:rsidRPr="00B063E2">
        <w:rPr>
          <w:i/>
          <w:iCs/>
          <w:lang w:val="fr-FR"/>
        </w:rPr>
        <w:t>oir l</w:t>
      </w:r>
      <w:r w:rsidR="00571D44">
        <w:rPr>
          <w:i/>
          <w:iCs/>
          <w:lang w:val="fr-FR"/>
        </w:rPr>
        <w:t>’</w:t>
      </w:r>
      <w:r w:rsidRPr="00B063E2">
        <w:rPr>
          <w:i/>
          <w:iCs/>
          <w:lang w:val="fr-FR"/>
        </w:rPr>
        <w:t>historique de la question dans la section V du document ST/SG/AC.10/C.3/</w:t>
      </w:r>
      <w:r w:rsidR="0021579B">
        <w:rPr>
          <w:i/>
          <w:iCs/>
          <w:lang w:val="fr-FR"/>
        </w:rPr>
        <w:br/>
      </w:r>
      <w:r w:rsidRPr="00B063E2">
        <w:rPr>
          <w:i/>
          <w:iCs/>
          <w:lang w:val="fr-FR"/>
        </w:rPr>
        <w:t>2022/39.</w:t>
      </w:r>
    </w:p>
    <w:p w14:paraId="6E7E7CC9" w14:textId="334EA6F9" w:rsidR="002F0C61" w:rsidRPr="00B063E2" w:rsidRDefault="002F0C61" w:rsidP="002F0C61">
      <w:pPr>
        <w:pStyle w:val="SingleTxtG"/>
        <w:rPr>
          <w:lang w:val="fr-FR"/>
        </w:rPr>
      </w:pPr>
      <w:r w:rsidRPr="00B063E2">
        <w:rPr>
          <w:lang w:val="fr-FR"/>
        </w:rPr>
        <w:t>3.</w:t>
      </w:r>
      <w:r w:rsidRPr="00B063E2">
        <w:rPr>
          <w:lang w:val="fr-FR"/>
        </w:rPr>
        <w:tab/>
        <w:t>À l</w:t>
      </w:r>
      <w:r w:rsidR="00571D44">
        <w:rPr>
          <w:lang w:val="fr-FR"/>
        </w:rPr>
        <w:t>’</w:t>
      </w:r>
      <w:r w:rsidRPr="00B063E2">
        <w:rPr>
          <w:lang w:val="fr-FR"/>
        </w:rPr>
        <w:t>issue de la discussion initiale tenue à la soixantième session du Sous-Comité, il a été convenu que l</w:t>
      </w:r>
      <w:r w:rsidR="00571D44">
        <w:rPr>
          <w:lang w:val="fr-FR"/>
        </w:rPr>
        <w:t>’</w:t>
      </w:r>
      <w:r w:rsidRPr="00B063E2">
        <w:rPr>
          <w:lang w:val="fr-FR"/>
        </w:rPr>
        <w:t xml:space="preserve">attribution de la </w:t>
      </w:r>
      <w:r>
        <w:rPr>
          <w:lang w:val="fr-FR"/>
        </w:rPr>
        <w:t>disposition spéciale</w:t>
      </w:r>
      <w:r w:rsidR="0021579B">
        <w:rPr>
          <w:lang w:val="fr-FR"/>
        </w:rPr>
        <w:t xml:space="preserve"> </w:t>
      </w:r>
      <w:r w:rsidRPr="00B063E2">
        <w:rPr>
          <w:lang w:val="fr-FR"/>
        </w:rPr>
        <w:t>TP31 aux Nos ONU 1422 (ALLIAGES LIQUIDES DE POTASSIUM ET SODIUM) et 1381 (PHOSPHORE BLANC ou JAUNE, SEC ou RECOUVERT D</w:t>
      </w:r>
      <w:r w:rsidR="00571D44">
        <w:rPr>
          <w:lang w:val="fr-FR"/>
        </w:rPr>
        <w:t>’</w:t>
      </w:r>
      <w:r w:rsidRPr="00B063E2">
        <w:rPr>
          <w:lang w:val="fr-FR"/>
        </w:rPr>
        <w:t>EAU ou EN SOLUTION) était erronée.</w:t>
      </w:r>
    </w:p>
    <w:p w14:paraId="058623BC" w14:textId="77777777" w:rsidR="002F0C61" w:rsidRPr="00B063E2" w:rsidRDefault="002F0C61" w:rsidP="002F0C61">
      <w:pPr>
        <w:pStyle w:val="H1G"/>
        <w:rPr>
          <w:lang w:val="fr-FR"/>
        </w:rPr>
      </w:pPr>
      <w:r w:rsidRPr="00B063E2">
        <w:rPr>
          <w:lang w:val="fr-FR"/>
        </w:rPr>
        <w:tab/>
      </w:r>
      <w:r w:rsidRPr="00B063E2">
        <w:rPr>
          <w:lang w:val="fr-FR"/>
        </w:rPr>
        <w:tab/>
        <w:t>Proposition 2</w:t>
      </w:r>
    </w:p>
    <w:p w14:paraId="06158864" w14:textId="77777777" w:rsidR="002F0C61" w:rsidRPr="00B063E2" w:rsidRDefault="002F0C61" w:rsidP="002F0C61">
      <w:pPr>
        <w:pStyle w:val="H23G"/>
        <w:rPr>
          <w:lang w:val="fr-FR"/>
        </w:rPr>
      </w:pPr>
      <w:r w:rsidRPr="00B063E2">
        <w:rPr>
          <w:lang w:val="fr-FR"/>
        </w:rPr>
        <w:tab/>
      </w:r>
      <w:r w:rsidRPr="00B063E2">
        <w:rPr>
          <w:lang w:val="fr-FR"/>
        </w:rPr>
        <w:tab/>
        <w:t>Chapitre 3.2, Liste des marchandises dangereuses</w:t>
      </w:r>
    </w:p>
    <w:p w14:paraId="031E1470" w14:textId="459A4988" w:rsidR="002F0C61" w:rsidRPr="00B063E2" w:rsidRDefault="002F0C61" w:rsidP="002F0C61">
      <w:pPr>
        <w:pStyle w:val="SingleTxtG"/>
        <w:rPr>
          <w:lang w:val="fr-FR"/>
        </w:rPr>
      </w:pPr>
      <w:r w:rsidRPr="00B063E2">
        <w:rPr>
          <w:lang w:val="fr-FR"/>
        </w:rPr>
        <w:t>Pour les Nos ONU 1381 et 1422, dans la colonne (11), supprimer «</w:t>
      </w:r>
      <w:r w:rsidR="0021579B">
        <w:rPr>
          <w:lang w:val="fr-FR"/>
        </w:rPr>
        <w:t> </w:t>
      </w:r>
      <w:r w:rsidRPr="00B063E2">
        <w:rPr>
          <w:lang w:val="fr-FR"/>
        </w:rPr>
        <w:t>TP31</w:t>
      </w:r>
      <w:r w:rsidR="0021579B">
        <w:rPr>
          <w:lang w:val="fr-FR"/>
        </w:rPr>
        <w:t> </w:t>
      </w:r>
      <w:r w:rsidRPr="00B063E2">
        <w:rPr>
          <w:lang w:val="fr-FR"/>
        </w:rPr>
        <w:t>».</w:t>
      </w:r>
    </w:p>
    <w:p w14:paraId="3402B154" w14:textId="73B62203" w:rsidR="002F0C61" w:rsidRPr="00B063E2" w:rsidRDefault="002F0C61" w:rsidP="002F0C61">
      <w:pPr>
        <w:pStyle w:val="HChG"/>
        <w:rPr>
          <w:lang w:val="fr-FR"/>
        </w:rPr>
      </w:pPr>
      <w:r>
        <w:rPr>
          <w:lang w:val="fr-FR"/>
        </w:rPr>
        <w:tab/>
      </w:r>
      <w:r w:rsidRPr="00B063E2">
        <w:rPr>
          <w:lang w:val="fr-FR"/>
        </w:rPr>
        <w:t>IV.</w:t>
      </w:r>
      <w:r w:rsidRPr="00B063E2">
        <w:rPr>
          <w:lang w:val="fr-FR"/>
        </w:rPr>
        <w:tab/>
        <w:t>Instructions de transport en citernes mobiles inutilisées</w:t>
      </w:r>
    </w:p>
    <w:p w14:paraId="6659B689" w14:textId="205D7E7C" w:rsidR="002F0C61" w:rsidRPr="00B063E2" w:rsidRDefault="002F0C61" w:rsidP="002F0C61">
      <w:pPr>
        <w:pStyle w:val="SingleTxtG"/>
        <w:rPr>
          <w:i/>
          <w:iCs/>
          <w:lang w:val="fr-FR"/>
        </w:rPr>
      </w:pPr>
      <w:r w:rsidRPr="00B063E2">
        <w:rPr>
          <w:i/>
          <w:iCs/>
          <w:lang w:val="fr-FR"/>
        </w:rPr>
        <w:t>Note</w:t>
      </w:r>
      <w:r w:rsidR="00C048E9">
        <w:rPr>
          <w:i/>
          <w:iCs/>
          <w:lang w:val="fr-FR"/>
        </w:rPr>
        <w:t> </w:t>
      </w:r>
      <w:r w:rsidRPr="00B063E2">
        <w:rPr>
          <w:i/>
          <w:iCs/>
          <w:lang w:val="fr-FR"/>
        </w:rPr>
        <w:t xml:space="preserve">: </w:t>
      </w:r>
      <w:r>
        <w:rPr>
          <w:i/>
          <w:iCs/>
          <w:lang w:val="fr-FR"/>
        </w:rPr>
        <w:t>V</w:t>
      </w:r>
      <w:r w:rsidRPr="00B063E2">
        <w:rPr>
          <w:i/>
          <w:iCs/>
          <w:lang w:val="fr-FR"/>
        </w:rPr>
        <w:t>oir l</w:t>
      </w:r>
      <w:r w:rsidR="00571D44">
        <w:rPr>
          <w:i/>
          <w:iCs/>
          <w:lang w:val="fr-FR"/>
        </w:rPr>
        <w:t>’</w:t>
      </w:r>
      <w:r w:rsidRPr="00B063E2">
        <w:rPr>
          <w:i/>
          <w:iCs/>
          <w:lang w:val="fr-FR"/>
        </w:rPr>
        <w:t>historique de la question dans la section VI du document ST/SG/AC.10/C.3/</w:t>
      </w:r>
      <w:r w:rsidR="0021579B">
        <w:rPr>
          <w:i/>
          <w:iCs/>
          <w:lang w:val="fr-FR"/>
        </w:rPr>
        <w:br/>
      </w:r>
      <w:r w:rsidRPr="00B063E2">
        <w:rPr>
          <w:i/>
          <w:iCs/>
          <w:lang w:val="fr-FR"/>
        </w:rPr>
        <w:t>2022/39.</w:t>
      </w:r>
    </w:p>
    <w:p w14:paraId="1ABCA081" w14:textId="01E2EBDA" w:rsidR="002F0C61" w:rsidRPr="00B063E2" w:rsidRDefault="002F0C61" w:rsidP="002F0C61">
      <w:pPr>
        <w:pStyle w:val="SingleTxtG"/>
        <w:rPr>
          <w:lang w:val="fr-FR"/>
        </w:rPr>
      </w:pPr>
      <w:r w:rsidRPr="00B063E2">
        <w:rPr>
          <w:lang w:val="fr-FR"/>
        </w:rPr>
        <w:t>4.</w:t>
      </w:r>
      <w:r w:rsidRPr="00B063E2">
        <w:rPr>
          <w:lang w:val="fr-FR"/>
        </w:rPr>
        <w:tab/>
        <w:t>À l</w:t>
      </w:r>
      <w:r w:rsidR="00571D44">
        <w:rPr>
          <w:lang w:val="fr-FR"/>
        </w:rPr>
        <w:t>’</w:t>
      </w:r>
      <w:r w:rsidRPr="00B063E2">
        <w:rPr>
          <w:lang w:val="fr-FR"/>
        </w:rPr>
        <w:t>issue de la discussion initiale tenue à la soixantième session du Sous-Comité, il a été noté qu</w:t>
      </w:r>
      <w:r w:rsidR="00571D44">
        <w:rPr>
          <w:lang w:val="fr-FR"/>
        </w:rPr>
        <w:t>’</w:t>
      </w:r>
      <w:r w:rsidRPr="00B063E2">
        <w:rPr>
          <w:lang w:val="fr-FR"/>
        </w:rPr>
        <w:t>il était utile de conserver les instructions de transport en citernes mobiles inutilisées dans le Règlement type. Par exemple, certaines délégations ont indiqué que, dans leur pays, elles avaient constaté l</w:t>
      </w:r>
      <w:r w:rsidR="00571D44">
        <w:rPr>
          <w:lang w:val="fr-FR"/>
        </w:rPr>
        <w:t>’</w:t>
      </w:r>
      <w:r w:rsidRPr="00B063E2">
        <w:rPr>
          <w:lang w:val="fr-FR"/>
        </w:rPr>
        <w:t>existence de citernes mobiles marquées de ces codes. Il a donc été décidé d</w:t>
      </w:r>
      <w:r w:rsidR="00571D44">
        <w:rPr>
          <w:lang w:val="fr-FR"/>
        </w:rPr>
        <w:t>’</w:t>
      </w:r>
      <w:r w:rsidRPr="00B063E2">
        <w:rPr>
          <w:lang w:val="fr-FR"/>
        </w:rPr>
        <w:t>ajouter une explication dans les principes directeurs.</w:t>
      </w:r>
    </w:p>
    <w:p w14:paraId="51663C92" w14:textId="77777777" w:rsidR="002F0C61" w:rsidRPr="00B063E2" w:rsidRDefault="002F0C61" w:rsidP="002F0C61">
      <w:pPr>
        <w:pStyle w:val="H1G"/>
        <w:rPr>
          <w:lang w:val="fr-FR"/>
        </w:rPr>
      </w:pPr>
      <w:r w:rsidRPr="00B063E2">
        <w:rPr>
          <w:lang w:val="fr-FR"/>
        </w:rPr>
        <w:tab/>
      </w:r>
      <w:r w:rsidRPr="00B063E2">
        <w:rPr>
          <w:lang w:val="fr-FR"/>
        </w:rPr>
        <w:tab/>
      </w:r>
      <w:r w:rsidRPr="00B83A45">
        <w:rPr>
          <w:lang w:val="fr-FR"/>
        </w:rPr>
        <w:t>Proposition 3 (principes directeurs)</w:t>
      </w:r>
    </w:p>
    <w:p w14:paraId="5A2E805C" w14:textId="77777777" w:rsidR="002F0C61" w:rsidRPr="00B063E2" w:rsidRDefault="002F0C61" w:rsidP="002F0C61">
      <w:pPr>
        <w:pStyle w:val="H23G"/>
        <w:rPr>
          <w:lang w:val="fr-FR"/>
        </w:rPr>
      </w:pPr>
      <w:r w:rsidRPr="00B063E2">
        <w:rPr>
          <w:lang w:val="fr-FR"/>
        </w:rPr>
        <w:tab/>
      </w:r>
      <w:r w:rsidRPr="00B063E2">
        <w:rPr>
          <w:lang w:val="fr-FR"/>
        </w:rPr>
        <w:tab/>
        <w:t>Chapitre 3.2, Liste des marchandises dangereuses</w:t>
      </w:r>
    </w:p>
    <w:p w14:paraId="44FF22A9" w14:textId="00BB7A1C" w:rsidR="002F0C61" w:rsidRPr="00B063E2" w:rsidRDefault="002F0C61" w:rsidP="002F0C61">
      <w:pPr>
        <w:pStyle w:val="SingleTxtG"/>
        <w:rPr>
          <w:lang w:val="fr-FR"/>
        </w:rPr>
      </w:pPr>
      <w:r w:rsidRPr="00B063E2">
        <w:rPr>
          <w:lang w:val="fr-FR"/>
        </w:rPr>
        <w:t>Partie IV, C.2</w:t>
      </w:r>
      <w:r>
        <w:rPr>
          <w:lang w:val="fr-FR"/>
        </w:rPr>
        <w:t>, m</w:t>
      </w:r>
      <w:r w:rsidRPr="00B063E2">
        <w:rPr>
          <w:lang w:val="fr-FR"/>
        </w:rPr>
        <w:t>odifier le paragraphe 7 de sorte qu</w:t>
      </w:r>
      <w:r w:rsidR="00571D44">
        <w:rPr>
          <w:lang w:val="fr-FR"/>
        </w:rPr>
        <w:t>’</w:t>
      </w:r>
      <w:r w:rsidRPr="00B063E2">
        <w:rPr>
          <w:lang w:val="fr-FR"/>
        </w:rPr>
        <w:t>il se lise comme suit</w:t>
      </w:r>
      <w:r w:rsidR="00C048E9">
        <w:rPr>
          <w:lang w:val="fr-FR"/>
        </w:rPr>
        <w:t> </w:t>
      </w:r>
      <w:r w:rsidRPr="00B063E2">
        <w:rPr>
          <w:lang w:val="fr-FR"/>
        </w:rPr>
        <w:t>:</w:t>
      </w:r>
    </w:p>
    <w:p w14:paraId="0AE1940D" w14:textId="26F6F564" w:rsidR="002F0C61" w:rsidRPr="0021579B" w:rsidRDefault="0021579B" w:rsidP="002F0C61">
      <w:pPr>
        <w:pStyle w:val="SingleTxtG"/>
        <w:rPr>
          <w:lang w:val="en-US"/>
        </w:rPr>
      </w:pPr>
      <w:r w:rsidRPr="0021579B">
        <w:rPr>
          <w:lang w:val="en-US"/>
        </w:rPr>
        <w:t>« </w:t>
      </w:r>
      <w:r w:rsidR="002F0C61" w:rsidRPr="00340124">
        <w:rPr>
          <w:lang w:val="en-US"/>
        </w:rPr>
        <w:t>7.</w:t>
      </w:r>
      <w:r w:rsidR="002F0C61" w:rsidRPr="00340124">
        <w:rPr>
          <w:lang w:val="en-US"/>
        </w:rPr>
        <w:tab/>
      </w:r>
      <w:r w:rsidR="002F0C61" w:rsidRPr="00B83A45">
        <w:rPr>
          <w:lang w:val="en-US"/>
        </w:rPr>
        <w:t>When a specific portable tank instruction is specified in Column 10 for a specific dangerous goods entry, additional portable tanks with higher test pressures, greater shell thicknesses, more stringent bottom openings and pressure-relief device arrangements may be used, in accordance with the table in 4.2.5.2.5.</w:t>
      </w:r>
      <w:r w:rsidRPr="0021579B">
        <w:rPr>
          <w:lang w:val="en-US"/>
        </w:rPr>
        <w:t> »</w:t>
      </w:r>
    </w:p>
    <w:p w14:paraId="0AF9645C" w14:textId="1F8B1E98" w:rsidR="002F0C61" w:rsidRPr="00B063E2" w:rsidRDefault="002F0C61" w:rsidP="002F0C61">
      <w:pPr>
        <w:pStyle w:val="SingleTxtG"/>
        <w:ind w:left="1701"/>
        <w:rPr>
          <w:lang w:val="fr-FR"/>
        </w:rPr>
      </w:pPr>
      <w:r w:rsidRPr="00B063E2">
        <w:rPr>
          <w:lang w:val="fr-FR"/>
        </w:rPr>
        <w:t>Après le paragraphe 7, ajouter le nouveau paragraphe suivant</w:t>
      </w:r>
      <w:r w:rsidR="00C048E9">
        <w:rPr>
          <w:lang w:val="fr-FR"/>
        </w:rPr>
        <w:t> </w:t>
      </w:r>
      <w:r w:rsidRPr="00B063E2">
        <w:rPr>
          <w:lang w:val="fr-FR"/>
        </w:rPr>
        <w:t>:</w:t>
      </w:r>
    </w:p>
    <w:p w14:paraId="1C8BC24A" w14:textId="65C71C17" w:rsidR="002F0C61" w:rsidRPr="0021579B" w:rsidRDefault="0021579B" w:rsidP="002F0C61">
      <w:pPr>
        <w:pStyle w:val="SingleTxtG"/>
        <w:rPr>
          <w:lang w:val="en-US"/>
        </w:rPr>
      </w:pPr>
      <w:r w:rsidRPr="0021579B">
        <w:rPr>
          <w:lang w:val="en-US"/>
        </w:rPr>
        <w:t>« </w:t>
      </w:r>
      <w:r w:rsidR="002F0C61" w:rsidRPr="00340124">
        <w:rPr>
          <w:lang w:val="en-US"/>
        </w:rPr>
        <w:t>8</w:t>
      </w:r>
      <w:r w:rsidR="002F0C61" w:rsidRPr="00B83A45">
        <w:rPr>
          <w:lang w:val="en-US"/>
        </w:rPr>
        <w:t>.</w:t>
      </w:r>
      <w:r w:rsidR="002F0C61" w:rsidRPr="00B83A45">
        <w:rPr>
          <w:lang w:val="en-US"/>
        </w:rPr>
        <w:tab/>
        <w:t>Some of the portable tank instructions in the T1 to T22 range are currently unused. In other words, there are no substances in the dangerous goods list which have these instructions assigned to them. These portable tank instructions are nevertheless kept in the regulations, as portable tanks can be constructed and marked according to any of these portable tank instructions and used to transport substances with other codes, in accordance with the table in 4.2.5.2.5.</w:t>
      </w:r>
      <w:r w:rsidRPr="0021579B">
        <w:rPr>
          <w:lang w:val="en-US"/>
        </w:rPr>
        <w:t> »</w:t>
      </w:r>
    </w:p>
    <w:p w14:paraId="26DC0771" w14:textId="2A053148" w:rsidR="00446FE5" w:rsidRDefault="002F0C61" w:rsidP="002F0C61">
      <w:pPr>
        <w:pStyle w:val="SingleTxtG"/>
        <w:ind w:left="1701"/>
        <w:rPr>
          <w:lang w:val="fr-FR"/>
        </w:rPr>
      </w:pPr>
      <w:r w:rsidRPr="00B063E2">
        <w:rPr>
          <w:lang w:val="fr-FR"/>
        </w:rPr>
        <w:t>Renuméroter les paragraphes suivants en conséquence.</w:t>
      </w:r>
    </w:p>
    <w:p w14:paraId="24406310" w14:textId="057FA199" w:rsidR="002F0C61" w:rsidRPr="002F0C61" w:rsidRDefault="002F0C61" w:rsidP="002F0C61">
      <w:pPr>
        <w:pStyle w:val="SingleTxtG"/>
        <w:spacing w:before="240" w:after="0"/>
        <w:jc w:val="center"/>
        <w:rPr>
          <w:u w:val="single"/>
        </w:rPr>
      </w:pPr>
      <w:r>
        <w:rPr>
          <w:u w:val="single"/>
        </w:rPr>
        <w:tab/>
      </w:r>
      <w:r>
        <w:rPr>
          <w:u w:val="single"/>
        </w:rPr>
        <w:tab/>
      </w:r>
      <w:r>
        <w:rPr>
          <w:u w:val="single"/>
        </w:rPr>
        <w:tab/>
      </w:r>
    </w:p>
    <w:sectPr w:rsidR="002F0C61" w:rsidRPr="002F0C61" w:rsidSect="002F0C6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C4E39" w14:textId="77777777" w:rsidR="00635B0A" w:rsidRDefault="00635B0A" w:rsidP="00F95C08">
      <w:pPr>
        <w:spacing w:line="240" w:lineRule="auto"/>
      </w:pPr>
    </w:p>
  </w:endnote>
  <w:endnote w:type="continuationSeparator" w:id="0">
    <w:p w14:paraId="12D9EE92" w14:textId="77777777" w:rsidR="00635B0A" w:rsidRPr="00AC3823" w:rsidRDefault="00635B0A" w:rsidP="00AC3823">
      <w:pPr>
        <w:pStyle w:val="Footer"/>
      </w:pPr>
    </w:p>
  </w:endnote>
  <w:endnote w:type="continuationNotice" w:id="1">
    <w:p w14:paraId="5E406731" w14:textId="77777777" w:rsidR="00635B0A" w:rsidRDefault="00635B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BCD9" w14:textId="13402D0C" w:rsidR="002F0C61" w:rsidRPr="002F0C61" w:rsidRDefault="002F0C61" w:rsidP="002F0C61">
    <w:pPr>
      <w:pStyle w:val="Footer"/>
      <w:tabs>
        <w:tab w:val="right" w:pos="9638"/>
      </w:tabs>
    </w:pPr>
    <w:r w:rsidRPr="002F0C61">
      <w:rPr>
        <w:b/>
        <w:sz w:val="18"/>
      </w:rPr>
      <w:fldChar w:fldCharType="begin"/>
    </w:r>
    <w:r w:rsidRPr="002F0C61">
      <w:rPr>
        <w:b/>
        <w:sz w:val="18"/>
      </w:rPr>
      <w:instrText xml:space="preserve"> PAGE  \* MERGEFORMAT </w:instrText>
    </w:r>
    <w:r w:rsidRPr="002F0C61">
      <w:rPr>
        <w:b/>
        <w:sz w:val="18"/>
      </w:rPr>
      <w:fldChar w:fldCharType="separate"/>
    </w:r>
    <w:r w:rsidRPr="002F0C61">
      <w:rPr>
        <w:b/>
        <w:noProof/>
        <w:sz w:val="18"/>
      </w:rPr>
      <w:t>2</w:t>
    </w:r>
    <w:r w:rsidRPr="002F0C61">
      <w:rPr>
        <w:b/>
        <w:sz w:val="18"/>
      </w:rPr>
      <w:fldChar w:fldCharType="end"/>
    </w:r>
    <w:r>
      <w:rPr>
        <w:b/>
        <w:sz w:val="18"/>
      </w:rPr>
      <w:tab/>
    </w:r>
    <w:r>
      <w:t>GE.22-14680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EC64" w14:textId="79CCF6A9" w:rsidR="002F0C61" w:rsidRPr="002F0C61" w:rsidRDefault="002F0C61" w:rsidP="002F0C61">
    <w:pPr>
      <w:pStyle w:val="Footer"/>
      <w:tabs>
        <w:tab w:val="right" w:pos="9638"/>
      </w:tabs>
      <w:rPr>
        <w:b/>
        <w:sz w:val="18"/>
      </w:rPr>
    </w:pPr>
    <w:r>
      <w:t>GE.22-14680</w:t>
    </w:r>
    <w:r>
      <w:tab/>
    </w:r>
    <w:r w:rsidRPr="002F0C61">
      <w:rPr>
        <w:b/>
        <w:sz w:val="18"/>
      </w:rPr>
      <w:fldChar w:fldCharType="begin"/>
    </w:r>
    <w:r w:rsidRPr="002F0C61">
      <w:rPr>
        <w:b/>
        <w:sz w:val="18"/>
      </w:rPr>
      <w:instrText xml:space="preserve"> PAGE  \* MERGEFORMAT </w:instrText>
    </w:r>
    <w:r w:rsidRPr="002F0C61">
      <w:rPr>
        <w:b/>
        <w:sz w:val="18"/>
      </w:rPr>
      <w:fldChar w:fldCharType="separate"/>
    </w:r>
    <w:r w:rsidRPr="002F0C61">
      <w:rPr>
        <w:b/>
        <w:noProof/>
        <w:sz w:val="18"/>
      </w:rPr>
      <w:t>3</w:t>
    </w:r>
    <w:r w:rsidRPr="002F0C6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1037" w14:textId="1FF43E62" w:rsidR="0068456F" w:rsidRPr="002F0C61" w:rsidRDefault="002F0C61" w:rsidP="002F0C61">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0693E78B" wp14:editId="2FEAEA4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14680  (</w:t>
    </w:r>
    <w:proofErr w:type="gramEnd"/>
    <w:r>
      <w:rPr>
        <w:sz w:val="20"/>
      </w:rPr>
      <w:t>F)</w:t>
    </w:r>
    <w:r>
      <w:rPr>
        <w:noProof/>
        <w:sz w:val="20"/>
      </w:rPr>
      <w:drawing>
        <wp:anchor distT="0" distB="0" distL="114300" distR="114300" simplePos="0" relativeHeight="251660288" behindDoc="0" locked="0" layoutInCell="1" allowOverlap="1" wp14:anchorId="68BE5D53" wp14:editId="19AD863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048E9">
      <w:rPr>
        <w:sz w:val="20"/>
      </w:rPr>
      <w:t xml:space="preserve">    111022    111022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90488" w14:textId="77777777" w:rsidR="00635B0A" w:rsidRPr="00AC3823" w:rsidRDefault="00635B0A" w:rsidP="00AC3823">
      <w:pPr>
        <w:pStyle w:val="Footer"/>
        <w:tabs>
          <w:tab w:val="right" w:pos="2155"/>
        </w:tabs>
        <w:spacing w:after="80" w:line="240" w:lineRule="atLeast"/>
        <w:ind w:left="680"/>
        <w:rPr>
          <w:u w:val="single"/>
        </w:rPr>
      </w:pPr>
      <w:r>
        <w:rPr>
          <w:u w:val="single"/>
        </w:rPr>
        <w:tab/>
      </w:r>
    </w:p>
  </w:footnote>
  <w:footnote w:type="continuationSeparator" w:id="0">
    <w:p w14:paraId="378233D2" w14:textId="77777777" w:rsidR="00635B0A" w:rsidRPr="00AC3823" w:rsidRDefault="00635B0A" w:rsidP="00AC3823">
      <w:pPr>
        <w:pStyle w:val="Footer"/>
        <w:tabs>
          <w:tab w:val="right" w:pos="2155"/>
        </w:tabs>
        <w:spacing w:after="80" w:line="240" w:lineRule="atLeast"/>
        <w:ind w:left="680"/>
        <w:rPr>
          <w:u w:val="single"/>
        </w:rPr>
      </w:pPr>
      <w:r>
        <w:rPr>
          <w:u w:val="single"/>
        </w:rPr>
        <w:tab/>
      </w:r>
    </w:p>
  </w:footnote>
  <w:footnote w:type="continuationNotice" w:id="1">
    <w:p w14:paraId="50F09062" w14:textId="77777777" w:rsidR="00635B0A" w:rsidRPr="00AC3823" w:rsidRDefault="00635B0A">
      <w:pPr>
        <w:spacing w:line="240" w:lineRule="auto"/>
        <w:rPr>
          <w:sz w:val="2"/>
          <w:szCs w:val="2"/>
        </w:rPr>
      </w:pPr>
    </w:p>
  </w:footnote>
  <w:footnote w:id="2">
    <w:p w14:paraId="0A6F5090" w14:textId="6018B0A9" w:rsidR="00C048E9" w:rsidRPr="00C048E9" w:rsidRDefault="00C048E9">
      <w:pPr>
        <w:pStyle w:val="FootnoteText"/>
      </w:pPr>
      <w:r>
        <w:rPr>
          <w:rStyle w:val="FootnoteReference"/>
        </w:rPr>
        <w:tab/>
      </w:r>
      <w:r w:rsidRPr="00C048E9">
        <w:rPr>
          <w:rStyle w:val="FootnoteReference"/>
          <w:sz w:val="20"/>
          <w:vertAlign w:val="baseline"/>
        </w:rPr>
        <w:t>*</w:t>
      </w:r>
      <w:r>
        <w:rPr>
          <w:rStyle w:val="FootnoteReference"/>
          <w:sz w:val="20"/>
          <w:vertAlign w:val="baseline"/>
        </w:rPr>
        <w:tab/>
      </w:r>
      <w:r>
        <w:rPr>
          <w:lang w:val="fr-FR"/>
        </w:rPr>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59A9" w14:textId="32F01CEF" w:rsidR="002F0C61" w:rsidRPr="002F0C61" w:rsidRDefault="001C4CE8">
    <w:pPr>
      <w:pStyle w:val="Header"/>
    </w:pPr>
    <w:r>
      <w:fldChar w:fldCharType="begin"/>
    </w:r>
    <w:r>
      <w:instrText xml:space="preserve"> TITLE  \* MERGEFORMAT </w:instrText>
    </w:r>
    <w:r>
      <w:fldChar w:fldCharType="separate"/>
    </w:r>
    <w:r>
      <w:t>ST/SG/AC.10/C.3/2022/77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84ED" w14:textId="59598AED" w:rsidR="002F0C61" w:rsidRPr="002F0C61" w:rsidRDefault="001C4CE8" w:rsidP="002F0C61">
    <w:pPr>
      <w:pStyle w:val="Header"/>
      <w:jc w:val="right"/>
    </w:pPr>
    <w:r>
      <w:fldChar w:fldCharType="begin"/>
    </w:r>
    <w:r>
      <w:instrText xml:space="preserve"> TITLE  \* MERGEFORMAT </w:instrText>
    </w:r>
    <w:r>
      <w:fldChar w:fldCharType="separate"/>
    </w:r>
    <w:r>
      <w:t>ST/SG/AC.10/C.3/2022/77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B0A"/>
    <w:rsid w:val="00017F94"/>
    <w:rsid w:val="00023842"/>
    <w:rsid w:val="000305D3"/>
    <w:rsid w:val="000334F9"/>
    <w:rsid w:val="0007796D"/>
    <w:rsid w:val="000A35F2"/>
    <w:rsid w:val="000B7790"/>
    <w:rsid w:val="00111F2F"/>
    <w:rsid w:val="00132EA9"/>
    <w:rsid w:val="0014365E"/>
    <w:rsid w:val="00172E49"/>
    <w:rsid w:val="00176178"/>
    <w:rsid w:val="001C4CE8"/>
    <w:rsid w:val="001F525A"/>
    <w:rsid w:val="0021579B"/>
    <w:rsid w:val="00223272"/>
    <w:rsid w:val="0024779E"/>
    <w:rsid w:val="00283190"/>
    <w:rsid w:val="002832AC"/>
    <w:rsid w:val="002D7C93"/>
    <w:rsid w:val="002F0C61"/>
    <w:rsid w:val="00441C3B"/>
    <w:rsid w:val="00446FE5"/>
    <w:rsid w:val="00452396"/>
    <w:rsid w:val="004E468C"/>
    <w:rsid w:val="005505B7"/>
    <w:rsid w:val="00571D44"/>
    <w:rsid w:val="00573BE5"/>
    <w:rsid w:val="00584DC4"/>
    <w:rsid w:val="00586ED3"/>
    <w:rsid w:val="00596AA9"/>
    <w:rsid w:val="00635B0A"/>
    <w:rsid w:val="00670E7F"/>
    <w:rsid w:val="0068456F"/>
    <w:rsid w:val="0071601D"/>
    <w:rsid w:val="007A62E6"/>
    <w:rsid w:val="0080684C"/>
    <w:rsid w:val="008123E0"/>
    <w:rsid w:val="00871C75"/>
    <w:rsid w:val="008776DC"/>
    <w:rsid w:val="008B40CD"/>
    <w:rsid w:val="009705C8"/>
    <w:rsid w:val="00980F33"/>
    <w:rsid w:val="009C1CF4"/>
    <w:rsid w:val="00A30353"/>
    <w:rsid w:val="00A81281"/>
    <w:rsid w:val="00AC3823"/>
    <w:rsid w:val="00AE323C"/>
    <w:rsid w:val="00B00181"/>
    <w:rsid w:val="00B00B0D"/>
    <w:rsid w:val="00B765F7"/>
    <w:rsid w:val="00B83A45"/>
    <w:rsid w:val="00BA0CA9"/>
    <w:rsid w:val="00C02897"/>
    <w:rsid w:val="00C048E9"/>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00A52"/>
  <w15:docId w15:val="{EDAEC59A-5DCA-44FD-A860-DA301B88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5D80B55A-0C30-4E51-B80E-FDFDF3F204D6}"/>
</file>

<file path=customXml/itemProps2.xml><?xml version="1.0" encoding="utf-8"?>
<ds:datastoreItem xmlns:ds="http://schemas.openxmlformats.org/officeDocument/2006/customXml" ds:itemID="{10DFBADD-8EAC-41FD-9D05-9F6EE76CBCB9}"/>
</file>

<file path=customXml/itemProps3.xml><?xml version="1.0" encoding="utf-8"?>
<ds:datastoreItem xmlns:ds="http://schemas.openxmlformats.org/officeDocument/2006/customXml" ds:itemID="{C878B863-E773-45C6-B134-B7FD890B6419}"/>
</file>

<file path=docProps/app.xml><?xml version="1.0" encoding="utf-8"?>
<Properties xmlns="http://schemas.openxmlformats.org/officeDocument/2006/extended-properties" xmlns:vt="http://schemas.openxmlformats.org/officeDocument/2006/docPropsVTypes">
  <Template>Normal.dotm</Template>
  <TotalTime>2</TotalTime>
  <Pages>2</Pages>
  <Words>610</Words>
  <Characters>3477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ST/SG/AC.10/C.3/2022/77</vt:lpstr>
    </vt:vector>
  </TitlesOfParts>
  <Company>DCM</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ST/SG/AC.10/C.3/2022/77</dc:title>
  <dc:subject/>
  <dc:creator>Julien OKRZESIK</dc:creator>
  <cp:keywords/>
  <cp:lastModifiedBy>Laurence Berthet</cp:lastModifiedBy>
  <cp:revision>3</cp:revision>
  <cp:lastPrinted>2022-10-12T09:09:00Z</cp:lastPrinted>
  <dcterms:created xsi:type="dcterms:W3CDTF">2022-10-12T09:09:00Z</dcterms:created>
  <dcterms:modified xsi:type="dcterms:W3CDTF">2022-10-12T09:10:00Z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