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D89F90E" w14:textId="77777777" w:rsidTr="00F01738">
        <w:trPr>
          <w:trHeight w:hRule="exact" w:val="851"/>
        </w:trPr>
        <w:tc>
          <w:tcPr>
            <w:tcW w:w="1276" w:type="dxa"/>
            <w:tcBorders>
              <w:bottom w:val="single" w:sz="4" w:space="0" w:color="auto"/>
            </w:tcBorders>
          </w:tcPr>
          <w:p w14:paraId="5E0A946F" w14:textId="77777777" w:rsidR="00132EA9" w:rsidRPr="00DB58B5" w:rsidRDefault="00132EA9" w:rsidP="003B11CB"/>
        </w:tc>
        <w:tc>
          <w:tcPr>
            <w:tcW w:w="2268" w:type="dxa"/>
            <w:tcBorders>
              <w:bottom w:val="single" w:sz="4" w:space="0" w:color="auto"/>
            </w:tcBorders>
            <w:vAlign w:val="bottom"/>
          </w:tcPr>
          <w:p w14:paraId="56ED603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91A593" w14:textId="37A85BEE" w:rsidR="00132EA9" w:rsidRPr="00DB58B5" w:rsidRDefault="003B11CB" w:rsidP="003B11CB">
            <w:pPr>
              <w:jc w:val="right"/>
            </w:pPr>
            <w:r w:rsidRPr="003B11CB">
              <w:rPr>
                <w:sz w:val="40"/>
              </w:rPr>
              <w:t>ST</w:t>
            </w:r>
            <w:r>
              <w:t>/SG/AC.10/C.3/2022/76</w:t>
            </w:r>
          </w:p>
        </w:tc>
      </w:tr>
      <w:tr w:rsidR="00132EA9" w:rsidRPr="00DB58B5" w14:paraId="04EFFEA9" w14:textId="77777777" w:rsidTr="00F01738">
        <w:trPr>
          <w:trHeight w:hRule="exact" w:val="2835"/>
        </w:trPr>
        <w:tc>
          <w:tcPr>
            <w:tcW w:w="1276" w:type="dxa"/>
            <w:tcBorders>
              <w:top w:val="single" w:sz="4" w:space="0" w:color="auto"/>
              <w:bottom w:val="single" w:sz="12" w:space="0" w:color="auto"/>
            </w:tcBorders>
          </w:tcPr>
          <w:p w14:paraId="41246348" w14:textId="77777777" w:rsidR="00132EA9" w:rsidRPr="00DB58B5" w:rsidRDefault="00132EA9" w:rsidP="00F01738">
            <w:pPr>
              <w:spacing w:before="120"/>
              <w:jc w:val="center"/>
            </w:pPr>
            <w:r>
              <w:rPr>
                <w:noProof/>
                <w:lang w:eastAsia="fr-CH"/>
              </w:rPr>
              <w:drawing>
                <wp:inline distT="0" distB="0" distL="0" distR="0" wp14:anchorId="2FB40337" wp14:editId="27EC34D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0188C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27B8C3D" w14:textId="77777777" w:rsidR="00132EA9" w:rsidRDefault="003B11CB" w:rsidP="00F01738">
            <w:pPr>
              <w:spacing w:before="240"/>
            </w:pPr>
            <w:r>
              <w:t xml:space="preserve">Distr. </w:t>
            </w:r>
            <w:proofErr w:type="gramStart"/>
            <w:r>
              <w:t>générale</w:t>
            </w:r>
            <w:proofErr w:type="gramEnd"/>
          </w:p>
          <w:p w14:paraId="12996427" w14:textId="77777777" w:rsidR="003B11CB" w:rsidRDefault="003B11CB" w:rsidP="003B11CB">
            <w:pPr>
              <w:spacing w:line="240" w:lineRule="exact"/>
            </w:pPr>
            <w:r>
              <w:t>13 septembre 2022</w:t>
            </w:r>
          </w:p>
          <w:p w14:paraId="1B8A3419" w14:textId="77777777" w:rsidR="003B11CB" w:rsidRDefault="003B11CB" w:rsidP="003B11CB">
            <w:pPr>
              <w:spacing w:line="240" w:lineRule="exact"/>
            </w:pPr>
            <w:r>
              <w:t>Français</w:t>
            </w:r>
          </w:p>
          <w:p w14:paraId="51E979BC" w14:textId="591BCD83" w:rsidR="003B11CB" w:rsidRPr="00DB58B5" w:rsidRDefault="003B11CB" w:rsidP="003B11CB">
            <w:pPr>
              <w:spacing w:line="240" w:lineRule="exact"/>
            </w:pPr>
            <w:r>
              <w:t>Original : anglais</w:t>
            </w:r>
          </w:p>
        </w:tc>
      </w:tr>
    </w:tbl>
    <w:p w14:paraId="6F7D77E2" w14:textId="77777777" w:rsidR="003B11CB" w:rsidRPr="00CA0680" w:rsidRDefault="003B11CB"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3B6D0B25" w14:textId="77777777" w:rsidR="003B11CB" w:rsidRPr="00CA0680" w:rsidRDefault="003B11CB" w:rsidP="000305D3">
      <w:pPr>
        <w:spacing w:before="120"/>
        <w:rPr>
          <w:b/>
        </w:rPr>
      </w:pPr>
      <w:r w:rsidRPr="00CA0680">
        <w:rPr>
          <w:b/>
        </w:rPr>
        <w:t>Sous</w:t>
      </w:r>
      <w:r>
        <w:rPr>
          <w:b/>
        </w:rPr>
        <w:t>-</w:t>
      </w:r>
      <w:r w:rsidRPr="00CA0680">
        <w:rPr>
          <w:b/>
        </w:rPr>
        <w:t>Comité d’experts du transport des marchandises dangereuses</w:t>
      </w:r>
    </w:p>
    <w:p w14:paraId="3A156EEB" w14:textId="77777777" w:rsidR="003B11CB" w:rsidRPr="00E37DFA" w:rsidRDefault="003B11CB" w:rsidP="003B11CB">
      <w:pPr>
        <w:spacing w:before="120"/>
        <w:rPr>
          <w:b/>
          <w:lang w:val="fr-FR"/>
        </w:rPr>
      </w:pPr>
      <w:r w:rsidRPr="00E37DFA">
        <w:rPr>
          <w:b/>
          <w:bCs/>
          <w:lang w:val="fr-FR"/>
        </w:rPr>
        <w:t>Soixante et unième session</w:t>
      </w:r>
    </w:p>
    <w:p w14:paraId="634D0A81" w14:textId="77777777" w:rsidR="003B11CB" w:rsidRPr="00E37DFA" w:rsidRDefault="003B11CB" w:rsidP="003B11CB">
      <w:pPr>
        <w:rPr>
          <w:lang w:val="fr-FR"/>
        </w:rPr>
      </w:pPr>
      <w:r w:rsidRPr="00E37DFA">
        <w:rPr>
          <w:lang w:val="fr-FR"/>
        </w:rPr>
        <w:t>Genève, 28 novembre-6 décembre 2022</w:t>
      </w:r>
    </w:p>
    <w:p w14:paraId="1D98EE9A" w14:textId="77777777" w:rsidR="003B11CB" w:rsidRPr="00E37DFA" w:rsidRDefault="003B11CB" w:rsidP="003B11CB">
      <w:pPr>
        <w:rPr>
          <w:lang w:val="fr-FR"/>
        </w:rPr>
      </w:pPr>
      <w:r w:rsidRPr="00E37DFA">
        <w:rPr>
          <w:lang w:val="fr-FR"/>
        </w:rPr>
        <w:t>Point 3 de l</w:t>
      </w:r>
      <w:r>
        <w:rPr>
          <w:lang w:val="fr-FR"/>
        </w:rPr>
        <w:t>’</w:t>
      </w:r>
      <w:r w:rsidRPr="00E37DFA">
        <w:rPr>
          <w:lang w:val="fr-FR"/>
        </w:rPr>
        <w:t>ordre du jour provisoire</w:t>
      </w:r>
    </w:p>
    <w:p w14:paraId="0F064777" w14:textId="77777777" w:rsidR="003B11CB" w:rsidRPr="00E37DFA" w:rsidRDefault="003B11CB" w:rsidP="003B11CB">
      <w:pPr>
        <w:ind w:right="4536"/>
        <w:rPr>
          <w:b/>
          <w:bCs/>
          <w:lang w:val="fr-FR"/>
        </w:rPr>
      </w:pPr>
      <w:r w:rsidRPr="00E37DFA">
        <w:rPr>
          <w:b/>
          <w:bCs/>
          <w:lang w:val="fr-FR"/>
        </w:rPr>
        <w:t>Inscription, classement et emballage</w:t>
      </w:r>
    </w:p>
    <w:p w14:paraId="7EF05893" w14:textId="77777777" w:rsidR="003B11CB" w:rsidRPr="00E37DFA" w:rsidRDefault="003B11CB" w:rsidP="003B11CB">
      <w:pPr>
        <w:pStyle w:val="HChG"/>
        <w:rPr>
          <w:lang w:val="fr-FR"/>
        </w:rPr>
      </w:pPr>
      <w:r w:rsidRPr="00E37DFA">
        <w:rPr>
          <w:lang w:val="fr-FR"/>
        </w:rPr>
        <w:tab/>
      </w:r>
      <w:r w:rsidRPr="00E37DFA">
        <w:rPr>
          <w:lang w:val="fr-FR"/>
        </w:rPr>
        <w:tab/>
      </w:r>
      <w:r>
        <w:rPr>
          <w:lang w:val="fr-FR"/>
        </w:rPr>
        <w:t>Propositions d’a</w:t>
      </w:r>
      <w:r w:rsidRPr="00E37DFA">
        <w:rPr>
          <w:lang w:val="fr-FR"/>
        </w:rPr>
        <w:t>mendements aux instructions d</w:t>
      </w:r>
      <w:r>
        <w:rPr>
          <w:lang w:val="fr-FR"/>
        </w:rPr>
        <w:t>’</w:t>
      </w:r>
      <w:r w:rsidRPr="00E37DFA">
        <w:rPr>
          <w:lang w:val="fr-FR"/>
        </w:rPr>
        <w:t>emballage</w:t>
      </w:r>
    </w:p>
    <w:p w14:paraId="6582F005" w14:textId="77777777" w:rsidR="003B11CB" w:rsidRPr="00E37DFA" w:rsidRDefault="003B11CB" w:rsidP="003B11CB">
      <w:pPr>
        <w:pStyle w:val="H1G"/>
        <w:rPr>
          <w:lang w:val="fr-FR"/>
        </w:rPr>
      </w:pPr>
      <w:r w:rsidRPr="00E37DFA">
        <w:rPr>
          <w:lang w:val="fr-FR"/>
        </w:rPr>
        <w:tab/>
      </w:r>
      <w:r w:rsidRPr="00E37DFA">
        <w:rPr>
          <w:lang w:val="fr-FR"/>
        </w:rPr>
        <w:tab/>
        <w:t>Note du secrétariat</w:t>
      </w:r>
      <w:r w:rsidRPr="003B11CB">
        <w:rPr>
          <w:rStyle w:val="FootnoteReference"/>
          <w:b w:val="0"/>
          <w:bCs/>
          <w:sz w:val="20"/>
          <w:vertAlign w:val="baseline"/>
          <w:lang w:val="fr-FR"/>
        </w:rPr>
        <w:footnoteReference w:customMarkFollows="1" w:id="2"/>
        <w:t>*</w:t>
      </w:r>
    </w:p>
    <w:p w14:paraId="6B3EC9F4" w14:textId="77777777" w:rsidR="003B11CB" w:rsidRPr="00E37DFA" w:rsidRDefault="003B11CB" w:rsidP="003B11CB">
      <w:pPr>
        <w:pStyle w:val="HChG"/>
        <w:rPr>
          <w:lang w:val="fr-FR"/>
        </w:rPr>
      </w:pPr>
      <w:r w:rsidRPr="00E37DFA">
        <w:rPr>
          <w:lang w:val="fr-FR"/>
        </w:rPr>
        <w:tab/>
        <w:t>I.</w:t>
      </w:r>
      <w:r w:rsidRPr="00E37DFA">
        <w:rPr>
          <w:lang w:val="fr-FR"/>
        </w:rPr>
        <w:tab/>
        <w:t>Introduction</w:t>
      </w:r>
    </w:p>
    <w:p w14:paraId="62D6832F" w14:textId="3E965F68" w:rsidR="003B11CB" w:rsidRPr="00E37DFA" w:rsidRDefault="003B11CB" w:rsidP="003B11CB">
      <w:pPr>
        <w:pStyle w:val="SingleTxtG"/>
        <w:tabs>
          <w:tab w:val="clear" w:pos="1701"/>
          <w:tab w:val="clear" w:pos="2268"/>
          <w:tab w:val="clear" w:pos="2835"/>
        </w:tabs>
        <w:rPr>
          <w:lang w:val="fr-FR"/>
        </w:rPr>
      </w:pPr>
      <w:r w:rsidRPr="00E37DFA">
        <w:rPr>
          <w:lang w:val="fr-FR"/>
        </w:rPr>
        <w:t>1.</w:t>
      </w:r>
      <w:r w:rsidRPr="00E37DFA">
        <w:rPr>
          <w:lang w:val="fr-FR"/>
        </w:rPr>
        <w:tab/>
      </w:r>
      <w:r>
        <w:rPr>
          <w:lang w:val="fr-FR"/>
        </w:rPr>
        <w:t>À</w:t>
      </w:r>
      <w:r w:rsidRPr="00E37DFA">
        <w:rPr>
          <w:lang w:val="fr-FR"/>
        </w:rPr>
        <w:t xml:space="preserve"> la soixantième session du Sous-Comité d</w:t>
      </w:r>
      <w:r>
        <w:rPr>
          <w:lang w:val="fr-FR"/>
        </w:rPr>
        <w:t>’</w:t>
      </w:r>
      <w:r w:rsidRPr="00E37DFA">
        <w:rPr>
          <w:lang w:val="fr-FR"/>
        </w:rPr>
        <w:t>experts du transport des marchandises dangereuses, le secrétariat a décidé de collaborer avec l</w:t>
      </w:r>
      <w:r>
        <w:rPr>
          <w:lang w:val="fr-FR"/>
        </w:rPr>
        <w:t>’</w:t>
      </w:r>
      <w:r w:rsidRPr="00E37DFA">
        <w:rPr>
          <w:lang w:val="fr-FR"/>
        </w:rPr>
        <w:t>Association européenne des gaz industriels (EIGA) pour présenter à la session suivante une proposition contenant des modifications rédactionnelles susceptibles de contribuer à éviter les erreurs d</w:t>
      </w:r>
      <w:r>
        <w:rPr>
          <w:lang w:val="fr-FR"/>
        </w:rPr>
        <w:t>’</w:t>
      </w:r>
      <w:r w:rsidRPr="00E37DFA">
        <w:rPr>
          <w:lang w:val="fr-FR"/>
        </w:rPr>
        <w:t>interprétation des tableaux de l</w:t>
      </w:r>
      <w:r>
        <w:rPr>
          <w:lang w:val="fr-FR"/>
        </w:rPr>
        <w:t>’</w:t>
      </w:r>
      <w:r w:rsidRPr="00E37DFA">
        <w:rPr>
          <w:lang w:val="fr-FR"/>
        </w:rPr>
        <w:t>instruction d</w:t>
      </w:r>
      <w:r>
        <w:rPr>
          <w:lang w:val="fr-FR"/>
        </w:rPr>
        <w:t>’</w:t>
      </w:r>
      <w:r w:rsidRPr="00E37DFA">
        <w:rPr>
          <w:lang w:val="fr-FR"/>
        </w:rPr>
        <w:t>emballage P200 (ST/SG/AC.10/C.3/120, par. 75). L</w:t>
      </w:r>
      <w:r>
        <w:rPr>
          <w:lang w:val="fr-FR"/>
        </w:rPr>
        <w:t>’</w:t>
      </w:r>
      <w:r w:rsidRPr="00E37DFA">
        <w:rPr>
          <w:lang w:val="fr-FR"/>
        </w:rPr>
        <w:t>EIGA et le secrétariat ont examiné la proposition 1 ci-après pour s</w:t>
      </w:r>
      <w:r>
        <w:rPr>
          <w:lang w:val="fr-FR"/>
        </w:rPr>
        <w:t>’</w:t>
      </w:r>
      <w:r w:rsidRPr="00E37DFA">
        <w:rPr>
          <w:lang w:val="fr-FR"/>
        </w:rPr>
        <w:t>attaquer à cette question.</w:t>
      </w:r>
    </w:p>
    <w:p w14:paraId="5A73917E" w14:textId="0E475D49" w:rsidR="003B11CB" w:rsidRPr="00E37DFA" w:rsidRDefault="003B11CB" w:rsidP="003B11CB">
      <w:pPr>
        <w:pStyle w:val="SingleTxtG"/>
        <w:rPr>
          <w:lang w:val="fr-FR"/>
        </w:rPr>
      </w:pPr>
      <w:r w:rsidRPr="00E37DFA">
        <w:rPr>
          <w:lang w:val="fr-FR"/>
        </w:rPr>
        <w:t>2.</w:t>
      </w:r>
      <w:r w:rsidRPr="00E37DFA">
        <w:rPr>
          <w:lang w:val="fr-FR"/>
        </w:rPr>
        <w:tab/>
        <w:t>En outre, le secrétariat a examiné toutes les instructions d</w:t>
      </w:r>
      <w:r>
        <w:rPr>
          <w:lang w:val="fr-FR"/>
        </w:rPr>
        <w:t>’</w:t>
      </w:r>
      <w:r w:rsidRPr="00E37DFA">
        <w:rPr>
          <w:lang w:val="fr-FR"/>
        </w:rPr>
        <w:t>emballage du Règlement type pour le transport des marchandises dangereuses (Règlement type) (4.1.4.1, 4.1.4.2, 4.1.4.3 et 4.2.5.2.6) en recensant les améliorations possibles. Certaines de ces améliorations, comme la correction de petites erreurs et l</w:t>
      </w:r>
      <w:r>
        <w:rPr>
          <w:lang w:val="fr-FR"/>
        </w:rPr>
        <w:t>’</w:t>
      </w:r>
      <w:r w:rsidRPr="00E37DFA">
        <w:rPr>
          <w:lang w:val="fr-FR"/>
        </w:rPr>
        <w:t>utilisation d</w:t>
      </w:r>
      <w:r>
        <w:rPr>
          <w:lang w:val="fr-FR"/>
        </w:rPr>
        <w:t>’</w:t>
      </w:r>
      <w:r w:rsidRPr="00E37DFA">
        <w:rPr>
          <w:lang w:val="fr-FR"/>
        </w:rPr>
        <w:t xml:space="preserve">espacements et de retraits </w:t>
      </w:r>
      <w:r>
        <w:rPr>
          <w:lang w:val="fr-FR"/>
        </w:rPr>
        <w:t xml:space="preserve">uniformes </w:t>
      </w:r>
      <w:r w:rsidRPr="00E37DFA">
        <w:rPr>
          <w:lang w:val="fr-FR"/>
        </w:rPr>
        <w:t>dans toutes les instructions d</w:t>
      </w:r>
      <w:r>
        <w:rPr>
          <w:lang w:val="fr-FR"/>
        </w:rPr>
        <w:t>’</w:t>
      </w:r>
      <w:r w:rsidRPr="00E37DFA">
        <w:rPr>
          <w:lang w:val="fr-FR"/>
        </w:rPr>
        <w:t>emballage, sont d</w:t>
      </w:r>
      <w:r>
        <w:rPr>
          <w:lang w:val="fr-FR"/>
        </w:rPr>
        <w:t>’</w:t>
      </w:r>
      <w:r w:rsidRPr="00E37DFA">
        <w:rPr>
          <w:lang w:val="fr-FR"/>
        </w:rPr>
        <w:t xml:space="preserve">ordre purement rédactionnel et, en tant que telles, ont été traitées directement par le secrétariat et ne sont pas </w:t>
      </w:r>
      <w:r>
        <w:rPr>
          <w:lang w:val="fr-FR"/>
        </w:rPr>
        <w:t>mentionnées</w:t>
      </w:r>
      <w:r w:rsidRPr="00E37DFA">
        <w:rPr>
          <w:lang w:val="fr-FR"/>
        </w:rPr>
        <w:t xml:space="preserve"> dans le présent document. Toutefois, il existe </w:t>
      </w:r>
      <w:r>
        <w:rPr>
          <w:lang w:val="fr-FR"/>
        </w:rPr>
        <w:t xml:space="preserve">un certain </w:t>
      </w:r>
      <w:r w:rsidRPr="00E37DFA">
        <w:rPr>
          <w:lang w:val="fr-FR"/>
        </w:rPr>
        <w:t>nombre de problèmes qui, bien qu</w:t>
      </w:r>
      <w:r>
        <w:rPr>
          <w:lang w:val="fr-FR"/>
        </w:rPr>
        <w:t>’</w:t>
      </w:r>
      <w:r w:rsidRPr="00E37DFA">
        <w:rPr>
          <w:lang w:val="fr-FR"/>
        </w:rPr>
        <w:t>étant essentiellement d</w:t>
      </w:r>
      <w:r>
        <w:rPr>
          <w:lang w:val="fr-FR"/>
        </w:rPr>
        <w:t>’</w:t>
      </w:r>
      <w:r w:rsidRPr="00E37DFA">
        <w:rPr>
          <w:lang w:val="fr-FR"/>
        </w:rPr>
        <w:t xml:space="preserve">ordre rédactionnel, sont un peu plus importants ou </w:t>
      </w:r>
      <w:r>
        <w:rPr>
          <w:lang w:val="fr-FR"/>
        </w:rPr>
        <w:t xml:space="preserve">devraient faire </w:t>
      </w:r>
      <w:r w:rsidRPr="00E37DFA">
        <w:rPr>
          <w:lang w:val="fr-FR"/>
        </w:rPr>
        <w:t>l</w:t>
      </w:r>
      <w:r>
        <w:rPr>
          <w:lang w:val="fr-FR"/>
        </w:rPr>
        <w:t>’</w:t>
      </w:r>
      <w:r w:rsidRPr="00E37DFA">
        <w:rPr>
          <w:lang w:val="fr-FR"/>
        </w:rPr>
        <w:t>objet d</w:t>
      </w:r>
      <w:r>
        <w:rPr>
          <w:lang w:val="fr-FR"/>
        </w:rPr>
        <w:t>’</w:t>
      </w:r>
      <w:r w:rsidRPr="00E37DFA">
        <w:rPr>
          <w:lang w:val="fr-FR"/>
        </w:rPr>
        <w:t xml:space="preserve">un examen </w:t>
      </w:r>
      <w:r>
        <w:rPr>
          <w:lang w:val="fr-FR"/>
        </w:rPr>
        <w:t xml:space="preserve">par le </w:t>
      </w:r>
      <w:r w:rsidRPr="00E37DFA">
        <w:rPr>
          <w:lang w:val="fr-FR"/>
        </w:rPr>
        <w:t xml:space="preserve">Sous-Comité. Les propositions 2 à 10 visent </w:t>
      </w:r>
      <w:r>
        <w:rPr>
          <w:lang w:val="fr-FR"/>
        </w:rPr>
        <w:t xml:space="preserve">ainsi </w:t>
      </w:r>
      <w:r w:rsidRPr="00E37DFA">
        <w:rPr>
          <w:lang w:val="fr-FR"/>
        </w:rPr>
        <w:t>à expliquer les problèmes particuliers recensés et contiennent les modifications voulues pour examen par le Sous-Comité.</w:t>
      </w:r>
    </w:p>
    <w:p w14:paraId="1EA16C70" w14:textId="5B5CB5C0" w:rsidR="003B11CB" w:rsidRPr="00E37DFA" w:rsidRDefault="003B11CB" w:rsidP="003B11CB">
      <w:pPr>
        <w:pStyle w:val="SingleTxtG"/>
        <w:rPr>
          <w:lang w:val="fr-FR"/>
        </w:rPr>
      </w:pPr>
      <w:r w:rsidRPr="00E37DFA">
        <w:rPr>
          <w:lang w:val="fr-FR"/>
        </w:rPr>
        <w:t>3.</w:t>
      </w:r>
      <w:r w:rsidRPr="00E37DFA">
        <w:rPr>
          <w:lang w:val="fr-FR"/>
        </w:rPr>
        <w:tab/>
        <w:t>Enfin, le secrétariat a reproduit dans le document informel INF.3 l</w:t>
      </w:r>
      <w:r>
        <w:rPr>
          <w:lang w:val="fr-FR"/>
        </w:rPr>
        <w:t>’</w:t>
      </w:r>
      <w:r w:rsidRPr="00E37DFA">
        <w:rPr>
          <w:lang w:val="fr-FR"/>
        </w:rPr>
        <w:t>ensemble des instructions d</w:t>
      </w:r>
      <w:r>
        <w:rPr>
          <w:lang w:val="fr-FR"/>
        </w:rPr>
        <w:t>’</w:t>
      </w:r>
      <w:r w:rsidRPr="00E37DFA">
        <w:rPr>
          <w:lang w:val="fr-FR"/>
        </w:rPr>
        <w:t xml:space="preserve">emballage après avoir appliqué toutes </w:t>
      </w:r>
      <w:r>
        <w:rPr>
          <w:lang w:val="fr-FR"/>
        </w:rPr>
        <w:t xml:space="preserve">les améliorations et </w:t>
      </w:r>
      <w:r w:rsidRPr="00E37DFA">
        <w:rPr>
          <w:lang w:val="fr-FR"/>
        </w:rPr>
        <w:t>propositions d</w:t>
      </w:r>
      <w:r>
        <w:rPr>
          <w:lang w:val="fr-FR"/>
        </w:rPr>
        <w:t>’</w:t>
      </w:r>
      <w:r w:rsidRPr="00E37DFA">
        <w:rPr>
          <w:lang w:val="fr-FR"/>
        </w:rPr>
        <w:t>amélioration d</w:t>
      </w:r>
      <w:r>
        <w:rPr>
          <w:lang w:val="fr-FR"/>
        </w:rPr>
        <w:t>’</w:t>
      </w:r>
      <w:r w:rsidRPr="00E37DFA">
        <w:rPr>
          <w:lang w:val="fr-FR"/>
        </w:rPr>
        <w:t>ordre rédactionnel. Toutefois, les instructions d</w:t>
      </w:r>
      <w:r>
        <w:rPr>
          <w:lang w:val="fr-FR"/>
        </w:rPr>
        <w:t>’</w:t>
      </w:r>
      <w:r w:rsidRPr="00E37DFA">
        <w:rPr>
          <w:lang w:val="fr-FR"/>
        </w:rPr>
        <w:t>emballage reproduites dans le document informel INF.3 ne comprennent pas les autres amendements adoptés jusqu</w:t>
      </w:r>
      <w:r>
        <w:rPr>
          <w:lang w:val="fr-FR"/>
        </w:rPr>
        <w:t>’</w:t>
      </w:r>
      <w:r w:rsidRPr="00E37DFA">
        <w:rPr>
          <w:lang w:val="fr-FR"/>
        </w:rPr>
        <w:t>ici par le Sous-Comité durant l</w:t>
      </w:r>
      <w:r>
        <w:rPr>
          <w:lang w:val="fr-FR"/>
        </w:rPr>
        <w:t>’</w:t>
      </w:r>
      <w:r w:rsidRPr="00E37DFA">
        <w:rPr>
          <w:lang w:val="fr-FR"/>
        </w:rPr>
        <w:t>exercice biennal en cours.</w:t>
      </w:r>
    </w:p>
    <w:p w14:paraId="31C9BA1D" w14:textId="77777777" w:rsidR="003B11CB" w:rsidRPr="00E37DFA" w:rsidRDefault="003B11CB" w:rsidP="003B11CB">
      <w:pPr>
        <w:pStyle w:val="HChG"/>
        <w:rPr>
          <w:lang w:val="fr-FR"/>
        </w:rPr>
      </w:pPr>
      <w:r w:rsidRPr="00E37DFA">
        <w:rPr>
          <w:bCs/>
          <w:lang w:val="fr-FR"/>
        </w:rPr>
        <w:lastRenderedPageBreak/>
        <w:tab/>
        <w:t>II.</w:t>
      </w:r>
      <w:r w:rsidRPr="00E37DFA">
        <w:rPr>
          <w:lang w:val="fr-FR"/>
        </w:rPr>
        <w:tab/>
      </w:r>
      <w:r w:rsidRPr="00E37DFA">
        <w:rPr>
          <w:bCs/>
          <w:lang w:val="fr-FR"/>
        </w:rPr>
        <w:t>Propositions</w:t>
      </w:r>
    </w:p>
    <w:p w14:paraId="22F5B192" w14:textId="77777777" w:rsidR="003B11CB" w:rsidRPr="00E37DFA" w:rsidRDefault="003B11CB" w:rsidP="003B11CB">
      <w:pPr>
        <w:pStyle w:val="H1G"/>
        <w:rPr>
          <w:lang w:val="fr-FR"/>
        </w:rPr>
      </w:pPr>
      <w:r w:rsidRPr="00E37DFA">
        <w:rPr>
          <w:bCs/>
          <w:lang w:val="fr-FR"/>
        </w:rPr>
        <w:tab/>
        <w:t>1.</w:t>
      </w:r>
      <w:r w:rsidRPr="00E37DFA">
        <w:rPr>
          <w:lang w:val="fr-FR"/>
        </w:rPr>
        <w:tab/>
      </w:r>
      <w:r w:rsidRPr="00E37DFA">
        <w:rPr>
          <w:bCs/>
          <w:lang w:val="fr-FR"/>
        </w:rPr>
        <w:t>Amendements aux tableaux de l</w:t>
      </w:r>
      <w:r>
        <w:rPr>
          <w:bCs/>
          <w:lang w:val="fr-FR"/>
        </w:rPr>
        <w:t>’</w:t>
      </w:r>
      <w:r w:rsidRPr="00E37DFA">
        <w:rPr>
          <w:bCs/>
          <w:lang w:val="fr-FR"/>
        </w:rPr>
        <w:t>instruction d</w:t>
      </w:r>
      <w:r>
        <w:rPr>
          <w:bCs/>
          <w:lang w:val="fr-FR"/>
        </w:rPr>
        <w:t>’</w:t>
      </w:r>
      <w:r w:rsidRPr="00E37DFA">
        <w:rPr>
          <w:bCs/>
          <w:lang w:val="fr-FR"/>
        </w:rPr>
        <w:t>emballage P200</w:t>
      </w:r>
    </w:p>
    <w:p w14:paraId="46A9E902" w14:textId="771F7CA0" w:rsidR="003B11CB" w:rsidRPr="00E37DFA" w:rsidRDefault="003B11CB" w:rsidP="003B11CB">
      <w:pPr>
        <w:pStyle w:val="SingleTxtG"/>
        <w:rPr>
          <w:lang w:val="fr-FR"/>
        </w:rPr>
      </w:pPr>
      <w:r w:rsidRPr="00E37DFA">
        <w:rPr>
          <w:lang w:val="fr-FR"/>
        </w:rPr>
        <w:t>4.</w:t>
      </w:r>
      <w:r w:rsidRPr="00E37DFA">
        <w:rPr>
          <w:lang w:val="fr-FR"/>
        </w:rPr>
        <w:tab/>
        <w:t>Actuellement, lorsqu</w:t>
      </w:r>
      <w:r>
        <w:rPr>
          <w:lang w:val="fr-FR"/>
        </w:rPr>
        <w:t>’</w:t>
      </w:r>
      <w:r w:rsidRPr="00E37DFA">
        <w:rPr>
          <w:lang w:val="fr-FR"/>
        </w:rPr>
        <w:t xml:space="preserve">une rubrique contient plusieurs dangers subsidiaires, ceux-ci sont énumérés sur plusieurs lignes. Certaines rubriques comportant également plusieurs lignes pour indiquer </w:t>
      </w:r>
      <w:r>
        <w:rPr>
          <w:lang w:val="fr-FR"/>
        </w:rPr>
        <w:t xml:space="preserve">plusieurs </w:t>
      </w:r>
      <w:r w:rsidRPr="00E37DFA">
        <w:rPr>
          <w:lang w:val="fr-FR"/>
        </w:rPr>
        <w:t>pressions d</w:t>
      </w:r>
      <w:r>
        <w:rPr>
          <w:lang w:val="fr-FR"/>
        </w:rPr>
        <w:t>’</w:t>
      </w:r>
      <w:r w:rsidRPr="00E37DFA">
        <w:rPr>
          <w:lang w:val="fr-FR"/>
        </w:rPr>
        <w:t>épreuve, on pourrait en déduire, à tort, que chaque danger subsidiaire correspond à une pression d</w:t>
      </w:r>
      <w:r>
        <w:rPr>
          <w:lang w:val="fr-FR"/>
        </w:rPr>
        <w:t>’</w:t>
      </w:r>
      <w:r w:rsidRPr="00E37DFA">
        <w:rPr>
          <w:lang w:val="fr-FR"/>
        </w:rPr>
        <w:t xml:space="preserve">épreuve différente. Pour éviter </w:t>
      </w:r>
      <w:r>
        <w:rPr>
          <w:lang w:val="fr-FR"/>
        </w:rPr>
        <w:t xml:space="preserve">cette </w:t>
      </w:r>
      <w:r w:rsidRPr="00E37DFA">
        <w:rPr>
          <w:lang w:val="fr-FR"/>
        </w:rPr>
        <w:t xml:space="preserve">erreur, il est proposé de mettre </w:t>
      </w:r>
      <w:r>
        <w:rPr>
          <w:lang w:val="fr-FR"/>
        </w:rPr>
        <w:t>« </w:t>
      </w:r>
      <w:r w:rsidRPr="00E37DFA">
        <w:rPr>
          <w:lang w:val="fr-FR"/>
        </w:rPr>
        <w:t>danger subsidiaire</w:t>
      </w:r>
      <w:r>
        <w:rPr>
          <w:lang w:val="fr-FR"/>
        </w:rPr>
        <w:t> »</w:t>
      </w:r>
      <w:r w:rsidRPr="00E37DFA">
        <w:rPr>
          <w:lang w:val="fr-FR"/>
        </w:rPr>
        <w:t xml:space="preserve"> au pluriel dans l</w:t>
      </w:r>
      <w:r>
        <w:rPr>
          <w:lang w:val="fr-FR"/>
        </w:rPr>
        <w:t>’</w:t>
      </w:r>
      <w:r w:rsidRPr="00E37DFA">
        <w:rPr>
          <w:lang w:val="fr-FR"/>
        </w:rPr>
        <w:t xml:space="preserve">intitulé, de séparer les dangers par des virgules plutôt </w:t>
      </w:r>
      <w:r>
        <w:rPr>
          <w:lang w:val="fr-FR"/>
        </w:rPr>
        <w:t xml:space="preserve">de les mentionner sur </w:t>
      </w:r>
      <w:r w:rsidRPr="00E37DFA">
        <w:rPr>
          <w:lang w:val="fr-FR"/>
        </w:rPr>
        <w:t>plusieurs lignes et de séparer les rubriques correspondant à des pressions d</w:t>
      </w:r>
      <w:r>
        <w:rPr>
          <w:lang w:val="fr-FR"/>
        </w:rPr>
        <w:t>’</w:t>
      </w:r>
      <w:r w:rsidRPr="00E37DFA">
        <w:rPr>
          <w:lang w:val="fr-FR"/>
        </w:rPr>
        <w:t>épreuve différentes par une ligne horizontale en pointillés couvrant les trois dernières colonnes du tableau.</w:t>
      </w:r>
    </w:p>
    <w:p w14:paraId="7F5CC9B0" w14:textId="3EEB760F" w:rsidR="003B11CB" w:rsidRPr="00E37DFA" w:rsidRDefault="003B11CB" w:rsidP="003B11CB">
      <w:pPr>
        <w:pStyle w:val="SingleTxtG"/>
        <w:rPr>
          <w:lang w:val="fr-FR"/>
        </w:rPr>
      </w:pPr>
      <w:r w:rsidRPr="00E37DFA">
        <w:rPr>
          <w:lang w:val="fr-FR"/>
        </w:rPr>
        <w:t>5.</w:t>
      </w:r>
      <w:r w:rsidRPr="00E37DFA">
        <w:rPr>
          <w:lang w:val="fr-FR"/>
        </w:rPr>
        <w:tab/>
        <w:t>Les dispositions spéciales d</w:t>
      </w:r>
      <w:r>
        <w:rPr>
          <w:lang w:val="fr-FR"/>
        </w:rPr>
        <w:t>’</w:t>
      </w:r>
      <w:r w:rsidRPr="00E37DFA">
        <w:rPr>
          <w:lang w:val="fr-FR"/>
        </w:rPr>
        <w:t>emballage sont actuellement séparées par des virgules, mais en raison de l</w:t>
      </w:r>
      <w:r>
        <w:rPr>
          <w:lang w:val="fr-FR"/>
        </w:rPr>
        <w:t>’</w:t>
      </w:r>
      <w:r w:rsidRPr="00E37DFA">
        <w:rPr>
          <w:lang w:val="fr-FR"/>
        </w:rPr>
        <w:t>étroitesse de leur colonne, elles s</w:t>
      </w:r>
      <w:r>
        <w:rPr>
          <w:lang w:val="fr-FR"/>
        </w:rPr>
        <w:t>’</w:t>
      </w:r>
      <w:r w:rsidRPr="00E37DFA">
        <w:rPr>
          <w:lang w:val="fr-FR"/>
        </w:rPr>
        <w:t xml:space="preserve">étendent aussi parfois sur plusieurs lignes, ce qui </w:t>
      </w:r>
      <w:r>
        <w:rPr>
          <w:lang w:val="fr-FR"/>
        </w:rPr>
        <w:t xml:space="preserve">peut </w:t>
      </w:r>
      <w:r w:rsidRPr="00E37DFA">
        <w:rPr>
          <w:lang w:val="fr-FR"/>
        </w:rPr>
        <w:t>donne</w:t>
      </w:r>
      <w:r>
        <w:rPr>
          <w:lang w:val="fr-FR"/>
        </w:rPr>
        <w:t>r</w:t>
      </w:r>
      <w:r w:rsidRPr="00E37DFA">
        <w:rPr>
          <w:lang w:val="fr-FR"/>
        </w:rPr>
        <w:t xml:space="preserve"> lieu à une erreur d</w:t>
      </w:r>
      <w:r>
        <w:rPr>
          <w:lang w:val="fr-FR"/>
        </w:rPr>
        <w:t>’</w:t>
      </w:r>
      <w:r w:rsidRPr="00E37DFA">
        <w:rPr>
          <w:lang w:val="fr-FR"/>
        </w:rPr>
        <w:t>interprétation semblable à celle décrite ci</w:t>
      </w:r>
      <w:r>
        <w:rPr>
          <w:lang w:val="fr-FR"/>
        </w:rPr>
        <w:noBreakHyphen/>
      </w:r>
      <w:r w:rsidRPr="00E37DFA">
        <w:rPr>
          <w:lang w:val="fr-FR"/>
        </w:rPr>
        <w:t xml:space="preserve">dessus. Pour éviter cette confusion, les colonnes ont été élargies </w:t>
      </w:r>
      <w:proofErr w:type="gramStart"/>
      <w:r w:rsidRPr="00E37DFA">
        <w:rPr>
          <w:lang w:val="fr-FR"/>
        </w:rPr>
        <w:t>de manière à ce</w:t>
      </w:r>
      <w:proofErr w:type="gramEnd"/>
      <w:r w:rsidRPr="00E37DFA">
        <w:rPr>
          <w:lang w:val="fr-FR"/>
        </w:rPr>
        <w:t xml:space="preserve"> que toutes les entrées tiennent sur une seule ligne.</w:t>
      </w:r>
    </w:p>
    <w:p w14:paraId="25B26E95" w14:textId="7DB54B37" w:rsidR="003B11CB" w:rsidRPr="00E37DFA" w:rsidRDefault="003B11CB" w:rsidP="003B11CB">
      <w:pPr>
        <w:pStyle w:val="SingleTxtG"/>
        <w:rPr>
          <w:lang w:val="fr-FR"/>
        </w:rPr>
      </w:pPr>
      <w:r w:rsidRPr="00E37DFA">
        <w:rPr>
          <w:lang w:val="fr-FR"/>
        </w:rPr>
        <w:t>6.</w:t>
      </w:r>
      <w:r w:rsidRPr="00E37DFA">
        <w:rPr>
          <w:lang w:val="fr-FR"/>
        </w:rPr>
        <w:tab/>
        <w:t xml:space="preserve">Enfin, </w:t>
      </w:r>
      <w:r>
        <w:rPr>
          <w:lang w:val="fr-FR"/>
        </w:rPr>
        <w:t>plusieurs</w:t>
      </w:r>
      <w:r w:rsidRPr="00E37DFA">
        <w:rPr>
          <w:lang w:val="fr-FR"/>
        </w:rPr>
        <w:t xml:space="preserve"> numéros ONU </w:t>
      </w:r>
      <w:r>
        <w:rPr>
          <w:lang w:val="fr-FR"/>
        </w:rPr>
        <w:t>comportant plusieurs</w:t>
      </w:r>
      <w:r w:rsidRPr="00E37DFA">
        <w:rPr>
          <w:lang w:val="fr-FR"/>
        </w:rPr>
        <w:t xml:space="preserve"> rubriques sont actuellement présentés de manière incohérente (voir les rubriques des </w:t>
      </w:r>
      <w:r>
        <w:rPr>
          <w:lang w:val="fr-FR"/>
        </w:rPr>
        <w:t>Nos</w:t>
      </w:r>
      <w:r w:rsidRPr="00E37DFA">
        <w:rPr>
          <w:lang w:val="fr-FR"/>
        </w:rPr>
        <w:t xml:space="preserve"> ONU 1010, 1012, 1060 et 2073 dans le tableau 2). Le secrétariat propose de traiter ces numéros ONU de manière cohérente, comme décrit ci-dessus, avec une ligne en pointillés couvrant toutes les colonnes sauf la première.</w:t>
      </w:r>
    </w:p>
    <w:p w14:paraId="49491788" w14:textId="77777777" w:rsidR="003B11CB" w:rsidRPr="00E37DFA" w:rsidRDefault="003B11CB" w:rsidP="003B11CB">
      <w:pPr>
        <w:pStyle w:val="H23G"/>
        <w:rPr>
          <w:lang w:val="fr-FR"/>
        </w:rPr>
      </w:pPr>
      <w:r w:rsidRPr="00E37DFA">
        <w:rPr>
          <w:lang w:val="fr-FR"/>
        </w:rPr>
        <w:tab/>
      </w:r>
      <w:r w:rsidRPr="00E37DFA">
        <w:rPr>
          <w:lang w:val="fr-FR"/>
        </w:rPr>
        <w:tab/>
      </w:r>
      <w:r w:rsidRPr="00E37DFA">
        <w:rPr>
          <w:bCs/>
          <w:lang w:val="fr-FR"/>
        </w:rPr>
        <w:t>Proposition 1</w:t>
      </w:r>
    </w:p>
    <w:p w14:paraId="1418883D" w14:textId="3B7FF84C" w:rsidR="003B11CB" w:rsidRPr="00E37DFA" w:rsidRDefault="003B11CB" w:rsidP="003B11CB">
      <w:pPr>
        <w:pStyle w:val="SingleTxtG"/>
        <w:ind w:left="2268" w:hanging="1134"/>
        <w:rPr>
          <w:lang w:val="fr-FR"/>
        </w:rPr>
      </w:pPr>
      <w:r w:rsidRPr="00E37DFA">
        <w:rPr>
          <w:lang w:val="fr-FR"/>
        </w:rPr>
        <w:t>4.1.4.1, P200</w:t>
      </w:r>
      <w:r w:rsidRPr="00E37DFA">
        <w:rPr>
          <w:lang w:val="fr-FR"/>
        </w:rPr>
        <w:tab/>
        <w:t xml:space="preserve">Dans les tableaux 1, 2 et 3, dans </w:t>
      </w:r>
      <w:r>
        <w:rPr>
          <w:lang w:val="fr-FR"/>
        </w:rPr>
        <w:t xml:space="preserve">l’en-tête </w:t>
      </w:r>
      <w:r w:rsidRPr="00E37DFA">
        <w:rPr>
          <w:lang w:val="fr-FR"/>
        </w:rPr>
        <w:t xml:space="preserve">de la quatrième colonne, remplacer </w:t>
      </w:r>
      <w:r>
        <w:rPr>
          <w:lang w:val="fr-FR"/>
        </w:rPr>
        <w:t>« </w:t>
      </w:r>
      <w:r w:rsidRPr="00E37DFA">
        <w:rPr>
          <w:lang w:val="fr-FR"/>
        </w:rPr>
        <w:t>danger subsidiaire</w:t>
      </w:r>
      <w:r>
        <w:rPr>
          <w:lang w:val="fr-FR"/>
        </w:rPr>
        <w:t> »</w:t>
      </w:r>
      <w:r w:rsidRPr="00E37DFA">
        <w:rPr>
          <w:lang w:val="fr-FR"/>
        </w:rPr>
        <w:t xml:space="preserve"> par </w:t>
      </w:r>
      <w:r>
        <w:rPr>
          <w:lang w:val="fr-FR"/>
        </w:rPr>
        <w:t>« </w:t>
      </w:r>
      <w:r w:rsidRPr="00E37DFA">
        <w:rPr>
          <w:lang w:val="fr-FR"/>
        </w:rPr>
        <w:t>dangers subsidiaires</w:t>
      </w:r>
      <w:r>
        <w:rPr>
          <w:lang w:val="fr-FR"/>
        </w:rPr>
        <w:t> »</w:t>
      </w:r>
      <w:r w:rsidRPr="00E37DFA">
        <w:rPr>
          <w:lang w:val="fr-FR"/>
        </w:rPr>
        <w:t>. Dans toutes les rubriques où figurent plusieurs dangers, séparer chaque danger par une virgule. Dans toutes les rubriques comportant plusieurs pressions d</w:t>
      </w:r>
      <w:r>
        <w:rPr>
          <w:lang w:val="fr-FR"/>
        </w:rPr>
        <w:t>’</w:t>
      </w:r>
      <w:r w:rsidRPr="00E37DFA">
        <w:rPr>
          <w:lang w:val="fr-FR"/>
        </w:rPr>
        <w:t xml:space="preserve">épreuve, séparer chaque ligne par une ligne en pointillés traversant les trois dernières colonnes. Pour les </w:t>
      </w:r>
      <w:r>
        <w:rPr>
          <w:lang w:val="fr-FR"/>
        </w:rPr>
        <w:t>Nos</w:t>
      </w:r>
      <w:r w:rsidRPr="00E37DFA">
        <w:rPr>
          <w:lang w:val="fr-FR"/>
        </w:rPr>
        <w:t xml:space="preserve"> ONU 1010, 1012, 1060 et 2073, séparer les différentes rubriques ayant </w:t>
      </w:r>
      <w:r>
        <w:rPr>
          <w:lang w:val="fr-FR"/>
        </w:rPr>
        <w:t xml:space="preserve">un </w:t>
      </w:r>
      <w:r w:rsidRPr="00E37DFA">
        <w:rPr>
          <w:lang w:val="fr-FR"/>
        </w:rPr>
        <w:t xml:space="preserve">nom et </w:t>
      </w:r>
      <w:r>
        <w:rPr>
          <w:lang w:val="fr-FR"/>
        </w:rPr>
        <w:t xml:space="preserve">une </w:t>
      </w:r>
      <w:r w:rsidRPr="00E37DFA">
        <w:rPr>
          <w:lang w:val="fr-FR"/>
        </w:rPr>
        <w:t>description différents par une ligne en pointillés traversant toutes les colonnes à l</w:t>
      </w:r>
      <w:r>
        <w:rPr>
          <w:lang w:val="fr-FR"/>
        </w:rPr>
        <w:t>’</w:t>
      </w:r>
      <w:r w:rsidRPr="00E37DFA">
        <w:rPr>
          <w:lang w:val="fr-FR"/>
        </w:rPr>
        <w:t>exception de la première.</w:t>
      </w:r>
    </w:p>
    <w:p w14:paraId="0C2F38BF" w14:textId="77777777" w:rsidR="003B11CB" w:rsidRPr="00E37DFA" w:rsidRDefault="003B11CB" w:rsidP="003B11CB">
      <w:pPr>
        <w:pStyle w:val="H1G"/>
        <w:rPr>
          <w:lang w:val="fr-FR"/>
        </w:rPr>
      </w:pPr>
      <w:r w:rsidRPr="00E37DFA">
        <w:rPr>
          <w:bCs/>
          <w:lang w:val="fr-FR"/>
        </w:rPr>
        <w:tab/>
        <w:t>2.</w:t>
      </w:r>
      <w:r w:rsidRPr="00E37DFA">
        <w:rPr>
          <w:lang w:val="fr-FR"/>
        </w:rPr>
        <w:tab/>
      </w:r>
      <w:r w:rsidRPr="00E37DFA">
        <w:rPr>
          <w:bCs/>
          <w:lang w:val="fr-FR"/>
        </w:rPr>
        <w:t>Emballages composites</w:t>
      </w:r>
    </w:p>
    <w:p w14:paraId="0AA0ADCA" w14:textId="77777777" w:rsidR="003B11CB" w:rsidRPr="00E37DFA" w:rsidRDefault="003B11CB" w:rsidP="003B11CB">
      <w:pPr>
        <w:pStyle w:val="SingleTxtG"/>
        <w:rPr>
          <w:lang w:val="fr-FR"/>
        </w:rPr>
      </w:pPr>
      <w:r w:rsidRPr="00E37DFA">
        <w:rPr>
          <w:lang w:val="fr-FR"/>
        </w:rPr>
        <w:t>7.</w:t>
      </w:r>
      <w:r w:rsidRPr="00E37DFA">
        <w:rPr>
          <w:lang w:val="fr-FR"/>
        </w:rPr>
        <w:tab/>
        <w:t>Les emballages composites sont considérés comme un type d</w:t>
      </w:r>
      <w:r>
        <w:rPr>
          <w:lang w:val="fr-FR"/>
        </w:rPr>
        <w:t>’</w:t>
      </w:r>
      <w:r w:rsidRPr="00E37DFA">
        <w:rPr>
          <w:lang w:val="fr-FR"/>
        </w:rPr>
        <w:t>emballage simple dans le Règlement type. La présentation de certaines instructions d</w:t>
      </w:r>
      <w:r>
        <w:rPr>
          <w:lang w:val="fr-FR"/>
        </w:rPr>
        <w:t>’</w:t>
      </w:r>
      <w:r w:rsidRPr="00E37DFA">
        <w:rPr>
          <w:lang w:val="fr-FR"/>
        </w:rPr>
        <w:t>emballage témoigne de cette idée (P010, P403, P505), mais celle d</w:t>
      </w:r>
      <w:r>
        <w:rPr>
          <w:lang w:val="fr-FR"/>
        </w:rPr>
        <w:t>’</w:t>
      </w:r>
      <w:r w:rsidRPr="00E37DFA">
        <w:rPr>
          <w:lang w:val="fr-FR"/>
        </w:rPr>
        <w:t xml:space="preserve">autres instructions </w:t>
      </w:r>
      <w:proofErr w:type="gramStart"/>
      <w:r w:rsidRPr="00E37DFA">
        <w:rPr>
          <w:lang w:val="fr-FR"/>
        </w:rPr>
        <w:t>semble</w:t>
      </w:r>
      <w:proofErr w:type="gramEnd"/>
      <w:r w:rsidRPr="00E37DFA">
        <w:rPr>
          <w:lang w:val="fr-FR"/>
        </w:rPr>
        <w:t xml:space="preserve"> indiquer le contraire (P001, P002, P410, P501, P502, P504). Le secrétariat propose d</w:t>
      </w:r>
      <w:r>
        <w:rPr>
          <w:lang w:val="fr-FR"/>
        </w:rPr>
        <w:t>’</w:t>
      </w:r>
      <w:r w:rsidRPr="00E37DFA">
        <w:rPr>
          <w:lang w:val="fr-FR"/>
        </w:rPr>
        <w:t>adapter la présentation de ce dernier groupe d</w:t>
      </w:r>
      <w:r>
        <w:rPr>
          <w:lang w:val="fr-FR"/>
        </w:rPr>
        <w:t>’</w:t>
      </w:r>
      <w:r w:rsidRPr="00E37DFA">
        <w:rPr>
          <w:lang w:val="fr-FR"/>
        </w:rPr>
        <w:t>instructions d</w:t>
      </w:r>
      <w:r>
        <w:rPr>
          <w:lang w:val="fr-FR"/>
        </w:rPr>
        <w:t>’</w:t>
      </w:r>
      <w:r w:rsidRPr="00E37DFA">
        <w:rPr>
          <w:lang w:val="fr-FR"/>
        </w:rPr>
        <w:t>emballage afin que les emballages composites soient présentés comme une catégorie d</w:t>
      </w:r>
      <w:r>
        <w:rPr>
          <w:lang w:val="fr-FR"/>
        </w:rPr>
        <w:t>’</w:t>
      </w:r>
      <w:r w:rsidRPr="00E37DFA">
        <w:rPr>
          <w:lang w:val="fr-FR"/>
        </w:rPr>
        <w:t>emballages simples.</w:t>
      </w:r>
    </w:p>
    <w:p w14:paraId="5137CCEA" w14:textId="77777777" w:rsidR="003B11CB" w:rsidRPr="00E37DFA" w:rsidRDefault="003B11CB" w:rsidP="003B11CB">
      <w:pPr>
        <w:pStyle w:val="H23G"/>
        <w:rPr>
          <w:lang w:val="fr-FR"/>
        </w:rPr>
      </w:pPr>
      <w:r w:rsidRPr="00E37DFA">
        <w:rPr>
          <w:lang w:val="fr-FR"/>
        </w:rPr>
        <w:tab/>
      </w:r>
      <w:r w:rsidRPr="00E37DFA">
        <w:rPr>
          <w:lang w:val="fr-FR"/>
        </w:rPr>
        <w:tab/>
      </w:r>
      <w:r w:rsidRPr="00E37DFA">
        <w:rPr>
          <w:bCs/>
          <w:lang w:val="fr-FR"/>
        </w:rPr>
        <w:t>Proposition 2</w:t>
      </w:r>
    </w:p>
    <w:p w14:paraId="64BCFF21" w14:textId="77777777" w:rsidR="003B11CB" w:rsidRPr="00E37DFA" w:rsidRDefault="003B11CB" w:rsidP="003B11CB">
      <w:pPr>
        <w:pStyle w:val="SingleTxtG"/>
        <w:ind w:left="2268" w:hanging="1134"/>
        <w:rPr>
          <w:lang w:val="fr-FR"/>
        </w:rPr>
      </w:pPr>
      <w:r w:rsidRPr="00E37DFA">
        <w:rPr>
          <w:lang w:val="fr-FR"/>
        </w:rPr>
        <w:t>4.1.4.1, P001, P002, P410, P501, P502 et P504</w:t>
      </w:r>
      <w:r w:rsidRPr="00E37DFA">
        <w:rPr>
          <w:lang w:val="fr-FR"/>
        </w:rPr>
        <w:tab/>
        <w:t>Apporter les modifications nécessaires à la mise en forme pour présenter les emballages composites comme une catégorie d</w:t>
      </w:r>
      <w:r>
        <w:rPr>
          <w:lang w:val="fr-FR"/>
        </w:rPr>
        <w:t>’</w:t>
      </w:r>
      <w:r w:rsidRPr="00E37DFA">
        <w:rPr>
          <w:lang w:val="fr-FR"/>
        </w:rPr>
        <w:t>emballages simples.</w:t>
      </w:r>
    </w:p>
    <w:p w14:paraId="419471D3" w14:textId="77777777" w:rsidR="003B11CB" w:rsidRPr="00E37DFA" w:rsidRDefault="003B11CB" w:rsidP="003B11CB">
      <w:pPr>
        <w:pStyle w:val="H1G"/>
        <w:rPr>
          <w:lang w:val="fr-FR"/>
        </w:rPr>
      </w:pPr>
      <w:r w:rsidRPr="00E37DFA">
        <w:rPr>
          <w:bCs/>
          <w:lang w:val="fr-FR"/>
        </w:rPr>
        <w:tab/>
        <w:t>3.</w:t>
      </w:r>
      <w:r w:rsidRPr="00E37DFA">
        <w:rPr>
          <w:lang w:val="fr-FR"/>
        </w:rPr>
        <w:tab/>
      </w:r>
      <w:r w:rsidRPr="00E37DFA">
        <w:rPr>
          <w:bCs/>
          <w:lang w:val="fr-FR"/>
        </w:rPr>
        <w:t>Notes de bas de page</w:t>
      </w:r>
    </w:p>
    <w:p w14:paraId="76DF8783" w14:textId="3305622A" w:rsidR="003B11CB" w:rsidRPr="00E37DFA" w:rsidRDefault="003B11CB" w:rsidP="003B11CB">
      <w:pPr>
        <w:pStyle w:val="SingleTxtG"/>
        <w:rPr>
          <w:lang w:val="fr-FR"/>
        </w:rPr>
      </w:pPr>
      <w:r w:rsidRPr="00E37DFA">
        <w:rPr>
          <w:lang w:val="fr-FR"/>
        </w:rPr>
        <w:t>8.</w:t>
      </w:r>
      <w:r w:rsidRPr="00E37DFA">
        <w:rPr>
          <w:lang w:val="fr-FR"/>
        </w:rPr>
        <w:tab/>
        <w:t>Actuellement, les notes de bas de page figurant dans les instructions d</w:t>
      </w:r>
      <w:r>
        <w:rPr>
          <w:lang w:val="fr-FR"/>
        </w:rPr>
        <w:t>’</w:t>
      </w:r>
      <w:r w:rsidRPr="00E37DFA">
        <w:rPr>
          <w:lang w:val="fr-FR"/>
        </w:rPr>
        <w:t>emballage sont présentées de différentes manières, à savoir les suivantes</w:t>
      </w:r>
      <w:r w:rsidR="00182F62">
        <w:rPr>
          <w:lang w:val="fr-FR"/>
        </w:rPr>
        <w:t> </w:t>
      </w:r>
      <w:r w:rsidRPr="00E37DFA">
        <w:rPr>
          <w:lang w:val="fr-FR"/>
        </w:rPr>
        <w:t>:</w:t>
      </w:r>
    </w:p>
    <w:p w14:paraId="785EA0F3" w14:textId="00550496" w:rsidR="003B11CB" w:rsidRPr="00E37DFA" w:rsidRDefault="00182F62" w:rsidP="003B11CB">
      <w:pPr>
        <w:pStyle w:val="SingleTxtG"/>
        <w:ind w:left="1701"/>
        <w:rPr>
          <w:lang w:val="fr-FR"/>
        </w:rPr>
      </w:pPr>
      <w:r>
        <w:rPr>
          <w:lang w:val="fr-FR"/>
        </w:rPr>
        <w:tab/>
      </w:r>
      <w:r w:rsidR="003B11CB" w:rsidRPr="00E37DFA">
        <w:rPr>
          <w:lang w:val="fr-FR"/>
        </w:rPr>
        <w:t>a)</w:t>
      </w:r>
      <w:r w:rsidR="003B11CB" w:rsidRPr="00E37DFA">
        <w:rPr>
          <w:lang w:val="fr-FR"/>
        </w:rPr>
        <w:tab/>
        <w:t>Pour les instructions P001 et P002, elles figurent en bas de page</w:t>
      </w:r>
      <w:r>
        <w:rPr>
          <w:lang w:val="fr-FR"/>
        </w:rPr>
        <w:t> ;</w:t>
      </w:r>
    </w:p>
    <w:p w14:paraId="61518DED" w14:textId="0E200FDC" w:rsidR="003B11CB" w:rsidRPr="00E37DFA" w:rsidRDefault="00182F62" w:rsidP="003B11CB">
      <w:pPr>
        <w:pStyle w:val="SingleTxtG"/>
        <w:ind w:left="1701"/>
        <w:rPr>
          <w:lang w:val="fr-FR"/>
        </w:rPr>
      </w:pPr>
      <w:r>
        <w:rPr>
          <w:lang w:val="fr-FR"/>
        </w:rPr>
        <w:tab/>
      </w:r>
      <w:r w:rsidR="003B11CB" w:rsidRPr="00E37DFA">
        <w:rPr>
          <w:lang w:val="fr-FR"/>
        </w:rPr>
        <w:t>b)</w:t>
      </w:r>
      <w:r w:rsidR="003B11CB" w:rsidRPr="00E37DFA">
        <w:rPr>
          <w:lang w:val="fr-FR"/>
        </w:rPr>
        <w:tab/>
        <w:t>Pour les instructions P101, T1 à T22, T23 et T50, elles figurent directement sous l</w:t>
      </w:r>
      <w:r w:rsidR="003B11CB">
        <w:rPr>
          <w:lang w:val="fr-FR"/>
        </w:rPr>
        <w:t>’</w:t>
      </w:r>
      <w:r w:rsidR="003B11CB" w:rsidRPr="00E37DFA">
        <w:rPr>
          <w:lang w:val="fr-FR"/>
        </w:rPr>
        <w:t>instruction d</w:t>
      </w:r>
      <w:r w:rsidR="003B11CB">
        <w:rPr>
          <w:lang w:val="fr-FR"/>
        </w:rPr>
        <w:t>’</w:t>
      </w:r>
      <w:r w:rsidR="003B11CB" w:rsidRPr="00E37DFA">
        <w:rPr>
          <w:lang w:val="fr-FR"/>
        </w:rPr>
        <w:t>emballage</w:t>
      </w:r>
      <w:r>
        <w:rPr>
          <w:lang w:val="fr-FR"/>
        </w:rPr>
        <w:t> ;</w:t>
      </w:r>
    </w:p>
    <w:p w14:paraId="10BE9C7C" w14:textId="4300C418" w:rsidR="003B11CB" w:rsidRPr="00E37DFA" w:rsidRDefault="00182F62" w:rsidP="003B11CB">
      <w:pPr>
        <w:pStyle w:val="SingleTxtG"/>
        <w:ind w:left="1701"/>
        <w:rPr>
          <w:lang w:val="fr-FR"/>
        </w:rPr>
      </w:pPr>
      <w:r>
        <w:rPr>
          <w:lang w:val="fr-FR"/>
        </w:rPr>
        <w:lastRenderedPageBreak/>
        <w:tab/>
      </w:r>
      <w:r w:rsidR="003B11CB" w:rsidRPr="00E37DFA">
        <w:rPr>
          <w:lang w:val="fr-FR"/>
        </w:rPr>
        <w:t>c)</w:t>
      </w:r>
      <w:r w:rsidR="003B11CB" w:rsidRPr="00E37DFA">
        <w:rPr>
          <w:lang w:val="fr-FR"/>
        </w:rPr>
        <w:tab/>
        <w:t>L</w:t>
      </w:r>
      <w:r w:rsidR="003B11CB">
        <w:rPr>
          <w:lang w:val="fr-FR"/>
        </w:rPr>
        <w:t>’</w:t>
      </w:r>
      <w:r w:rsidR="003B11CB" w:rsidRPr="00E37DFA">
        <w:rPr>
          <w:lang w:val="fr-FR"/>
        </w:rPr>
        <w:t>instruction d</w:t>
      </w:r>
      <w:r w:rsidR="003B11CB">
        <w:rPr>
          <w:lang w:val="fr-FR"/>
        </w:rPr>
        <w:t>’</w:t>
      </w:r>
      <w:r w:rsidR="003B11CB" w:rsidRPr="00E37DFA">
        <w:rPr>
          <w:lang w:val="fr-FR"/>
        </w:rPr>
        <w:t xml:space="preserve">emballage P200 a deux notes de bas de </w:t>
      </w:r>
      <w:proofErr w:type="gramStart"/>
      <w:r w:rsidR="003B11CB" w:rsidRPr="00E37DFA">
        <w:rPr>
          <w:lang w:val="fr-FR"/>
        </w:rPr>
        <w:t>page différentes</w:t>
      </w:r>
      <w:proofErr w:type="gramEnd"/>
      <w:r w:rsidR="003B11CB" w:rsidRPr="00E37DFA">
        <w:rPr>
          <w:lang w:val="fr-FR"/>
        </w:rPr>
        <w:t xml:space="preserve">. </w:t>
      </w:r>
      <w:r w:rsidR="003B11CB">
        <w:rPr>
          <w:lang w:val="fr-FR"/>
        </w:rPr>
        <w:t xml:space="preserve">Celle </w:t>
      </w:r>
      <w:r w:rsidR="003B11CB" w:rsidRPr="00E37DFA">
        <w:rPr>
          <w:lang w:val="fr-FR"/>
        </w:rPr>
        <w:t xml:space="preserve">du tableau 1 figure en bas de la page et </w:t>
      </w:r>
      <w:r w:rsidR="003B11CB">
        <w:rPr>
          <w:lang w:val="fr-FR"/>
        </w:rPr>
        <w:t>celle</w:t>
      </w:r>
      <w:r w:rsidR="003B11CB" w:rsidRPr="00E37DFA">
        <w:rPr>
          <w:lang w:val="fr-FR"/>
        </w:rPr>
        <w:t xml:space="preserve"> du tableau 3 se trouve sous l</w:t>
      </w:r>
      <w:r w:rsidR="003B11CB">
        <w:rPr>
          <w:lang w:val="fr-FR"/>
        </w:rPr>
        <w:t>’</w:t>
      </w:r>
      <w:r w:rsidR="003B11CB" w:rsidRPr="00E37DFA">
        <w:rPr>
          <w:lang w:val="fr-FR"/>
        </w:rPr>
        <w:t>instruction d</w:t>
      </w:r>
      <w:r w:rsidR="003B11CB">
        <w:rPr>
          <w:lang w:val="fr-FR"/>
        </w:rPr>
        <w:t>’</w:t>
      </w:r>
      <w:r w:rsidR="003B11CB" w:rsidRPr="00E37DFA">
        <w:rPr>
          <w:lang w:val="fr-FR"/>
        </w:rPr>
        <w:t>emballage. Les notes de bas de page sont différentes, mais elles ont toutes deux la même lettre</w:t>
      </w:r>
      <w:r>
        <w:rPr>
          <w:lang w:val="fr-FR"/>
        </w:rPr>
        <w:t> ;</w:t>
      </w:r>
    </w:p>
    <w:p w14:paraId="7B85FD49" w14:textId="182D60E9" w:rsidR="003B11CB" w:rsidRPr="00E37DFA" w:rsidRDefault="00182F62" w:rsidP="003B11CB">
      <w:pPr>
        <w:pStyle w:val="SingleTxtG"/>
        <w:ind w:left="1701"/>
        <w:rPr>
          <w:lang w:val="fr-FR"/>
        </w:rPr>
      </w:pPr>
      <w:r>
        <w:rPr>
          <w:lang w:val="fr-FR"/>
        </w:rPr>
        <w:tab/>
      </w:r>
      <w:r w:rsidR="003B11CB" w:rsidRPr="00E37DFA">
        <w:rPr>
          <w:lang w:val="fr-FR"/>
        </w:rPr>
        <w:t>d)</w:t>
      </w:r>
      <w:r w:rsidR="003B11CB" w:rsidRPr="00E37DFA">
        <w:rPr>
          <w:lang w:val="fr-FR"/>
        </w:rPr>
        <w:tab/>
        <w:t>L</w:t>
      </w:r>
      <w:r w:rsidR="003B11CB">
        <w:rPr>
          <w:lang w:val="fr-FR"/>
        </w:rPr>
        <w:t>’</w:t>
      </w:r>
      <w:r w:rsidR="003B11CB" w:rsidRPr="00E37DFA">
        <w:rPr>
          <w:lang w:val="fr-FR"/>
        </w:rPr>
        <w:t>instruction d</w:t>
      </w:r>
      <w:r w:rsidR="003B11CB">
        <w:rPr>
          <w:lang w:val="fr-FR"/>
        </w:rPr>
        <w:t>’</w:t>
      </w:r>
      <w:r w:rsidR="003B11CB" w:rsidRPr="00E37DFA">
        <w:rPr>
          <w:lang w:val="fr-FR"/>
        </w:rPr>
        <w:t>emballage P410 comporte, sur sa première page, des notes figurant en bas de page et, sur sa deuxième page, des notes se trouvant sous une ligne située au-dessous de l</w:t>
      </w:r>
      <w:r w:rsidR="003B11CB">
        <w:rPr>
          <w:lang w:val="fr-FR"/>
        </w:rPr>
        <w:t>’</w:t>
      </w:r>
      <w:r w:rsidR="003B11CB" w:rsidRPr="00E37DFA">
        <w:rPr>
          <w:lang w:val="fr-FR"/>
        </w:rPr>
        <w:t>instruction d</w:t>
      </w:r>
      <w:r w:rsidR="003B11CB">
        <w:rPr>
          <w:lang w:val="fr-FR"/>
        </w:rPr>
        <w:t>’</w:t>
      </w:r>
      <w:r w:rsidR="003B11CB" w:rsidRPr="00E37DFA">
        <w:rPr>
          <w:lang w:val="fr-FR"/>
        </w:rPr>
        <w:t>emballage</w:t>
      </w:r>
      <w:r>
        <w:rPr>
          <w:lang w:val="fr-FR"/>
        </w:rPr>
        <w:t> ;</w:t>
      </w:r>
    </w:p>
    <w:p w14:paraId="5E52DB38" w14:textId="7147C297" w:rsidR="003B11CB" w:rsidRPr="00E37DFA" w:rsidRDefault="00182F62" w:rsidP="003B11CB">
      <w:pPr>
        <w:pStyle w:val="SingleTxtG"/>
        <w:ind w:left="1701"/>
        <w:rPr>
          <w:lang w:val="fr-FR"/>
        </w:rPr>
      </w:pPr>
      <w:r>
        <w:rPr>
          <w:lang w:val="fr-FR"/>
        </w:rPr>
        <w:tab/>
      </w:r>
      <w:r w:rsidR="003B11CB" w:rsidRPr="00E37DFA">
        <w:rPr>
          <w:lang w:val="fr-FR"/>
        </w:rPr>
        <w:t>e)</w:t>
      </w:r>
      <w:r w:rsidR="003B11CB" w:rsidRPr="00E37DFA">
        <w:rPr>
          <w:lang w:val="fr-FR"/>
        </w:rPr>
        <w:tab/>
        <w:t>Pour l</w:t>
      </w:r>
      <w:r w:rsidR="003B11CB">
        <w:rPr>
          <w:lang w:val="fr-FR"/>
        </w:rPr>
        <w:t>’</w:t>
      </w:r>
      <w:r w:rsidR="003B11CB" w:rsidRPr="00E37DFA">
        <w:rPr>
          <w:lang w:val="fr-FR"/>
        </w:rPr>
        <w:t>instruction d</w:t>
      </w:r>
      <w:r w:rsidR="003B11CB">
        <w:rPr>
          <w:lang w:val="fr-FR"/>
        </w:rPr>
        <w:t>’</w:t>
      </w:r>
      <w:r w:rsidR="003B11CB" w:rsidRPr="00E37DFA">
        <w:rPr>
          <w:lang w:val="fr-FR"/>
        </w:rPr>
        <w:t>emballage P520, les notes figurent à l</w:t>
      </w:r>
      <w:r w:rsidR="003B11CB">
        <w:rPr>
          <w:lang w:val="fr-FR"/>
        </w:rPr>
        <w:t>’</w:t>
      </w:r>
      <w:r w:rsidR="003B11CB" w:rsidRPr="00E37DFA">
        <w:rPr>
          <w:lang w:val="fr-FR"/>
        </w:rPr>
        <w:t>intérieur de l</w:t>
      </w:r>
      <w:r w:rsidR="003B11CB">
        <w:rPr>
          <w:lang w:val="fr-FR"/>
        </w:rPr>
        <w:t>’</w:t>
      </w:r>
      <w:r w:rsidR="003B11CB" w:rsidRPr="00E37DFA">
        <w:rPr>
          <w:lang w:val="fr-FR"/>
        </w:rPr>
        <w:t>instruction, au-dessous d</w:t>
      </w:r>
      <w:r w:rsidR="003B11CB">
        <w:rPr>
          <w:lang w:val="fr-FR"/>
        </w:rPr>
        <w:t>’</w:t>
      </w:r>
      <w:r w:rsidR="003B11CB" w:rsidRPr="00E37DFA">
        <w:rPr>
          <w:lang w:val="fr-FR"/>
        </w:rPr>
        <w:t>un tableau</w:t>
      </w:r>
      <w:r>
        <w:rPr>
          <w:lang w:val="fr-FR"/>
        </w:rPr>
        <w:t> ;</w:t>
      </w:r>
    </w:p>
    <w:p w14:paraId="2BB0DD5E" w14:textId="1315BE69" w:rsidR="003B11CB" w:rsidRPr="00E37DFA" w:rsidRDefault="00182F62" w:rsidP="003B11CB">
      <w:pPr>
        <w:pStyle w:val="SingleTxtG"/>
        <w:ind w:left="1701"/>
        <w:rPr>
          <w:lang w:val="fr-FR"/>
        </w:rPr>
      </w:pPr>
      <w:r>
        <w:rPr>
          <w:lang w:val="fr-FR"/>
        </w:rPr>
        <w:tab/>
      </w:r>
      <w:r w:rsidR="003B11CB" w:rsidRPr="00E37DFA">
        <w:rPr>
          <w:lang w:val="fr-FR"/>
        </w:rPr>
        <w:t>f)</w:t>
      </w:r>
      <w:r w:rsidR="003B11CB" w:rsidRPr="00E37DFA">
        <w:rPr>
          <w:lang w:val="fr-FR"/>
        </w:rPr>
        <w:tab/>
        <w:t>Pour l</w:t>
      </w:r>
      <w:r w:rsidR="003B11CB">
        <w:rPr>
          <w:lang w:val="fr-FR"/>
        </w:rPr>
        <w:t>’</w:t>
      </w:r>
      <w:r w:rsidR="003B11CB" w:rsidRPr="00E37DFA">
        <w:rPr>
          <w:lang w:val="fr-FR"/>
        </w:rPr>
        <w:t>instruction d</w:t>
      </w:r>
      <w:r w:rsidR="003B11CB">
        <w:rPr>
          <w:lang w:val="fr-FR"/>
        </w:rPr>
        <w:t>’</w:t>
      </w:r>
      <w:r w:rsidR="003B11CB" w:rsidRPr="00E37DFA">
        <w:rPr>
          <w:lang w:val="fr-FR"/>
        </w:rPr>
        <w:t xml:space="preserve">emballage P911, les notes figurent sous une ligne située au-dessous </w:t>
      </w:r>
      <w:r w:rsidR="003B11CB" w:rsidRPr="00182F62">
        <w:rPr>
          <w:lang w:val="fr-FR"/>
        </w:rPr>
        <w:t>de</w:t>
      </w:r>
      <w:r w:rsidR="003B11CB">
        <w:rPr>
          <w:lang w:val="fr-FR"/>
        </w:rPr>
        <w:t xml:space="preserve"> </w:t>
      </w:r>
      <w:r w:rsidR="003B11CB" w:rsidRPr="00E37DFA">
        <w:rPr>
          <w:lang w:val="fr-FR"/>
        </w:rPr>
        <w:t>l</w:t>
      </w:r>
      <w:r w:rsidR="003B11CB">
        <w:rPr>
          <w:lang w:val="fr-FR"/>
        </w:rPr>
        <w:t>’</w:t>
      </w:r>
      <w:r w:rsidR="003B11CB" w:rsidRPr="00E37DFA">
        <w:rPr>
          <w:lang w:val="fr-FR"/>
        </w:rPr>
        <w:t>instruction</w:t>
      </w:r>
      <w:r>
        <w:rPr>
          <w:lang w:val="fr-FR"/>
        </w:rPr>
        <w:t> ;</w:t>
      </w:r>
    </w:p>
    <w:p w14:paraId="3B2939D0" w14:textId="443681D5" w:rsidR="003B11CB" w:rsidRPr="00E37DFA" w:rsidRDefault="00182F62" w:rsidP="003B11CB">
      <w:pPr>
        <w:pStyle w:val="SingleTxtG"/>
        <w:ind w:left="1701"/>
        <w:rPr>
          <w:lang w:val="fr-FR"/>
        </w:rPr>
      </w:pPr>
      <w:r>
        <w:rPr>
          <w:lang w:val="fr-FR"/>
        </w:rPr>
        <w:tab/>
      </w:r>
      <w:r w:rsidR="003B11CB" w:rsidRPr="00E37DFA">
        <w:rPr>
          <w:lang w:val="fr-FR"/>
        </w:rPr>
        <w:t>g)</w:t>
      </w:r>
      <w:r w:rsidR="003B11CB" w:rsidRPr="00E37DFA">
        <w:rPr>
          <w:lang w:val="fr-FR"/>
        </w:rPr>
        <w:tab/>
        <w:t>L</w:t>
      </w:r>
      <w:r w:rsidR="003B11CB">
        <w:rPr>
          <w:lang w:val="fr-FR"/>
        </w:rPr>
        <w:t>’</w:t>
      </w:r>
      <w:r w:rsidR="003B11CB" w:rsidRPr="00E37DFA">
        <w:rPr>
          <w:lang w:val="fr-FR"/>
        </w:rPr>
        <w:t>instruction d</w:t>
      </w:r>
      <w:r w:rsidR="003B11CB">
        <w:rPr>
          <w:lang w:val="fr-FR"/>
        </w:rPr>
        <w:t>’</w:t>
      </w:r>
      <w:r w:rsidR="003B11CB" w:rsidRPr="00E37DFA">
        <w:rPr>
          <w:lang w:val="fr-FR"/>
        </w:rPr>
        <w:t>emballage LP906 comprend une longue note qui commence en bas d</w:t>
      </w:r>
      <w:r w:rsidR="003B11CB">
        <w:rPr>
          <w:lang w:val="fr-FR"/>
        </w:rPr>
        <w:t>’</w:t>
      </w:r>
      <w:r w:rsidR="003B11CB" w:rsidRPr="00E37DFA">
        <w:rPr>
          <w:lang w:val="fr-FR"/>
        </w:rPr>
        <w:t>une page et se poursuit en haut de la page suivante.</w:t>
      </w:r>
    </w:p>
    <w:p w14:paraId="379BB229" w14:textId="7A1FB15A" w:rsidR="003B11CB" w:rsidRPr="00E37DFA" w:rsidRDefault="003B11CB" w:rsidP="003B11CB">
      <w:pPr>
        <w:pStyle w:val="SingleTxtG"/>
        <w:rPr>
          <w:lang w:val="fr-FR"/>
        </w:rPr>
      </w:pPr>
      <w:r w:rsidRPr="00E37DFA">
        <w:rPr>
          <w:lang w:val="fr-FR"/>
        </w:rPr>
        <w:t>9.</w:t>
      </w:r>
      <w:r w:rsidRPr="00E37DFA">
        <w:rPr>
          <w:lang w:val="fr-FR"/>
        </w:rPr>
        <w:tab/>
        <w:t>Le secrétariat propose d</w:t>
      </w:r>
      <w:r>
        <w:rPr>
          <w:lang w:val="fr-FR"/>
        </w:rPr>
        <w:t>’</w:t>
      </w:r>
      <w:r w:rsidRPr="00E37DFA">
        <w:rPr>
          <w:lang w:val="fr-FR"/>
        </w:rPr>
        <w:t xml:space="preserve">adopter la convention </w:t>
      </w:r>
      <w:r>
        <w:rPr>
          <w:lang w:val="fr-FR"/>
        </w:rPr>
        <w:t xml:space="preserve">suivante </w:t>
      </w:r>
      <w:r w:rsidRPr="00E37DFA">
        <w:rPr>
          <w:lang w:val="fr-FR"/>
        </w:rPr>
        <w:t>pour toutes les instructions d</w:t>
      </w:r>
      <w:r>
        <w:rPr>
          <w:lang w:val="fr-FR"/>
        </w:rPr>
        <w:t>’</w:t>
      </w:r>
      <w:r w:rsidRPr="00E37DFA">
        <w:rPr>
          <w:lang w:val="fr-FR"/>
        </w:rPr>
        <w:t>emballage</w:t>
      </w:r>
      <w:r>
        <w:rPr>
          <w:lang w:val="fr-FR"/>
        </w:rPr>
        <w:t> : l</w:t>
      </w:r>
      <w:r w:rsidRPr="00E37DFA">
        <w:rPr>
          <w:lang w:val="fr-FR"/>
        </w:rPr>
        <w:t>es notes de bas de page sont toujours classées par instruction d</w:t>
      </w:r>
      <w:r>
        <w:rPr>
          <w:lang w:val="fr-FR"/>
        </w:rPr>
        <w:t>’</w:t>
      </w:r>
      <w:r w:rsidRPr="00E37DFA">
        <w:rPr>
          <w:lang w:val="fr-FR"/>
        </w:rPr>
        <w:t>emballage, c</w:t>
      </w:r>
      <w:r>
        <w:rPr>
          <w:lang w:val="fr-FR"/>
        </w:rPr>
        <w:t>’</w:t>
      </w:r>
      <w:r w:rsidRPr="00E37DFA">
        <w:rPr>
          <w:lang w:val="fr-FR"/>
        </w:rPr>
        <w:t>est-à-dire que la numérotation des notes recommence pour chaque instruction d</w:t>
      </w:r>
      <w:r>
        <w:rPr>
          <w:lang w:val="fr-FR"/>
        </w:rPr>
        <w:t>’</w:t>
      </w:r>
      <w:r w:rsidRPr="00E37DFA">
        <w:rPr>
          <w:lang w:val="fr-FR"/>
        </w:rPr>
        <w:t>emballage. Si une instruction d</w:t>
      </w:r>
      <w:r>
        <w:rPr>
          <w:lang w:val="fr-FR"/>
        </w:rPr>
        <w:t>’</w:t>
      </w:r>
      <w:r w:rsidRPr="00E37DFA">
        <w:rPr>
          <w:lang w:val="fr-FR"/>
        </w:rPr>
        <w:t>emballage comporte la même note de bas de page à différentes parties ou pages, cette note porte la même lettre. En revanche, si une instruction d</w:t>
      </w:r>
      <w:r>
        <w:rPr>
          <w:lang w:val="fr-FR"/>
        </w:rPr>
        <w:t>’</w:t>
      </w:r>
      <w:r w:rsidRPr="00E37DFA">
        <w:rPr>
          <w:lang w:val="fr-FR"/>
        </w:rPr>
        <w:t>emballage comporte différentes notes de bas de page figurant à différentes parties ou pages de celle-ci, ces notes ont des lettres différentes. Les notes de bas de page figurent directement sous chaque instruction d</w:t>
      </w:r>
      <w:r>
        <w:rPr>
          <w:lang w:val="fr-FR"/>
        </w:rPr>
        <w:t>’</w:t>
      </w:r>
      <w:r w:rsidRPr="00E37DFA">
        <w:rPr>
          <w:lang w:val="fr-FR"/>
        </w:rPr>
        <w:t>emballage. Lorsque les instructions d</w:t>
      </w:r>
      <w:r>
        <w:rPr>
          <w:lang w:val="fr-FR"/>
        </w:rPr>
        <w:t>’</w:t>
      </w:r>
      <w:r w:rsidRPr="00E37DFA">
        <w:rPr>
          <w:lang w:val="fr-FR"/>
        </w:rPr>
        <w:t>emballage s</w:t>
      </w:r>
      <w:r>
        <w:rPr>
          <w:lang w:val="fr-FR"/>
        </w:rPr>
        <w:t>’</w:t>
      </w:r>
      <w:r w:rsidRPr="00E37DFA">
        <w:rPr>
          <w:lang w:val="fr-FR"/>
        </w:rPr>
        <w:t>étendent sur plusieurs pages, les notes de bas de page n</w:t>
      </w:r>
      <w:r>
        <w:rPr>
          <w:lang w:val="fr-FR"/>
        </w:rPr>
        <w:t>’</w:t>
      </w:r>
      <w:r w:rsidRPr="00E37DFA">
        <w:rPr>
          <w:lang w:val="fr-FR"/>
        </w:rPr>
        <w:t>apparaissent que sur les pages contenant les renvois à ces notes.</w:t>
      </w:r>
    </w:p>
    <w:p w14:paraId="6B0EA150" w14:textId="77777777" w:rsidR="003B11CB" w:rsidRPr="00E37DFA" w:rsidRDefault="003B11CB" w:rsidP="003B11CB">
      <w:pPr>
        <w:pStyle w:val="H23G"/>
        <w:rPr>
          <w:lang w:val="fr-FR"/>
        </w:rPr>
      </w:pPr>
      <w:r w:rsidRPr="00E37DFA">
        <w:rPr>
          <w:lang w:val="fr-FR"/>
        </w:rPr>
        <w:tab/>
      </w:r>
      <w:r w:rsidRPr="00E37DFA">
        <w:rPr>
          <w:lang w:val="fr-FR"/>
        </w:rPr>
        <w:tab/>
      </w:r>
      <w:r w:rsidRPr="00E37DFA">
        <w:rPr>
          <w:bCs/>
          <w:lang w:val="fr-FR"/>
        </w:rPr>
        <w:t>Proposition 3</w:t>
      </w:r>
    </w:p>
    <w:p w14:paraId="2B4F72C6" w14:textId="77777777" w:rsidR="003B11CB" w:rsidRPr="00E37DFA" w:rsidRDefault="003B11CB" w:rsidP="003B11CB">
      <w:pPr>
        <w:pStyle w:val="SingleTxtG"/>
        <w:ind w:left="2268" w:hanging="1134"/>
        <w:rPr>
          <w:lang w:val="fr-FR"/>
        </w:rPr>
      </w:pPr>
      <w:r w:rsidRPr="00E37DFA">
        <w:rPr>
          <w:lang w:val="fr-FR"/>
        </w:rPr>
        <w:t>4.1.4.1, P001, P002, P410, P520 et P911</w:t>
      </w:r>
      <w:r w:rsidRPr="00E37DFA">
        <w:rPr>
          <w:lang w:val="fr-FR"/>
        </w:rPr>
        <w:tab/>
        <w:t>Placer les notes de bas de page directement sous l</w:t>
      </w:r>
      <w:r>
        <w:rPr>
          <w:lang w:val="fr-FR"/>
        </w:rPr>
        <w:t>’</w:t>
      </w:r>
      <w:r w:rsidRPr="00E37DFA">
        <w:rPr>
          <w:lang w:val="fr-FR"/>
        </w:rPr>
        <w:t>instruction d</w:t>
      </w:r>
      <w:r>
        <w:rPr>
          <w:lang w:val="fr-FR"/>
        </w:rPr>
        <w:t>’</w:t>
      </w:r>
      <w:r w:rsidRPr="00E37DFA">
        <w:rPr>
          <w:lang w:val="fr-FR"/>
        </w:rPr>
        <w:t>emballage, aux pages où elles apparaissent.</w:t>
      </w:r>
    </w:p>
    <w:p w14:paraId="21F2E162" w14:textId="522EFEEA" w:rsidR="003B11CB" w:rsidRPr="00E37DFA" w:rsidRDefault="003B11CB" w:rsidP="003B11CB">
      <w:pPr>
        <w:pStyle w:val="SingleTxtG"/>
        <w:ind w:left="2268" w:hanging="1134"/>
        <w:rPr>
          <w:lang w:val="fr-FR"/>
        </w:rPr>
      </w:pPr>
      <w:r w:rsidRPr="00E37DFA">
        <w:rPr>
          <w:lang w:val="fr-FR"/>
        </w:rPr>
        <w:t>4.1.4.1, P200</w:t>
      </w:r>
      <w:r w:rsidRPr="00E37DFA">
        <w:rPr>
          <w:lang w:val="fr-FR"/>
        </w:rPr>
        <w:tab/>
        <w:t xml:space="preserve">Dans le tableau 1, placer la note de bas de page </w:t>
      </w:r>
      <w:r w:rsidRPr="00E37DFA">
        <w:rPr>
          <w:b/>
          <w:bCs/>
          <w:vertAlign w:val="superscript"/>
          <w:lang w:val="fr-FR"/>
        </w:rPr>
        <w:t>a</w:t>
      </w:r>
      <w:r w:rsidRPr="00E37DFA">
        <w:rPr>
          <w:lang w:val="fr-FR"/>
        </w:rPr>
        <w:t xml:space="preserve"> directement au-dessous </w:t>
      </w:r>
      <w:r>
        <w:rPr>
          <w:lang w:val="fr-FR"/>
        </w:rPr>
        <w:t xml:space="preserve">de </w:t>
      </w:r>
      <w:r w:rsidRPr="00E37DFA">
        <w:rPr>
          <w:lang w:val="fr-FR"/>
        </w:rPr>
        <w:t>l</w:t>
      </w:r>
      <w:r>
        <w:rPr>
          <w:lang w:val="fr-FR"/>
        </w:rPr>
        <w:t>’</w:t>
      </w:r>
      <w:r w:rsidRPr="00E37DFA">
        <w:rPr>
          <w:lang w:val="fr-FR"/>
        </w:rPr>
        <w:t>instruction d</w:t>
      </w:r>
      <w:r>
        <w:rPr>
          <w:lang w:val="fr-FR"/>
        </w:rPr>
        <w:t>’</w:t>
      </w:r>
      <w:r w:rsidRPr="00E37DFA">
        <w:rPr>
          <w:lang w:val="fr-FR"/>
        </w:rPr>
        <w:t xml:space="preserve">emballage (deux fois). Dans le tableau 3, la note de bas de page </w:t>
      </w:r>
      <w:r w:rsidRPr="00E37DFA">
        <w:rPr>
          <w:b/>
          <w:bCs/>
          <w:vertAlign w:val="superscript"/>
          <w:lang w:val="fr-FR"/>
        </w:rPr>
        <w:t>a</w:t>
      </w:r>
      <w:r w:rsidRPr="00E37DFA">
        <w:rPr>
          <w:lang w:val="fr-FR"/>
        </w:rPr>
        <w:t xml:space="preserve"> </w:t>
      </w:r>
      <w:r>
        <w:rPr>
          <w:lang w:val="fr-FR"/>
        </w:rPr>
        <w:t>devient la</w:t>
      </w:r>
      <w:r w:rsidRPr="00E37DFA">
        <w:rPr>
          <w:lang w:val="fr-FR"/>
        </w:rPr>
        <w:t xml:space="preserve"> note de bas de page </w:t>
      </w:r>
      <w:r w:rsidRPr="00E37DFA">
        <w:rPr>
          <w:b/>
          <w:bCs/>
          <w:vertAlign w:val="superscript"/>
          <w:lang w:val="fr-FR"/>
        </w:rPr>
        <w:t>b</w:t>
      </w:r>
      <w:r w:rsidRPr="00E37DFA">
        <w:rPr>
          <w:lang w:val="fr-FR"/>
        </w:rPr>
        <w:t xml:space="preserve"> (renvois dans les rubriques </w:t>
      </w:r>
      <w:proofErr w:type="spellStart"/>
      <w:r>
        <w:rPr>
          <w:lang w:val="fr-FR"/>
        </w:rPr>
        <w:t>des</w:t>
      </w:r>
      <w:proofErr w:type="spellEnd"/>
      <w:r>
        <w:rPr>
          <w:lang w:val="fr-FR"/>
        </w:rPr>
        <w:t xml:space="preserve"> Nos</w:t>
      </w:r>
      <w:r w:rsidR="00182F62">
        <w:rPr>
          <w:lang w:val="fr-FR"/>
        </w:rPr>
        <w:t> </w:t>
      </w:r>
      <w:r w:rsidRPr="00E37DFA">
        <w:rPr>
          <w:lang w:val="fr-FR"/>
        </w:rPr>
        <w:t>ONU</w:t>
      </w:r>
      <w:r w:rsidR="00182F62">
        <w:rPr>
          <w:lang w:val="fr-FR"/>
        </w:rPr>
        <w:t> </w:t>
      </w:r>
      <w:r w:rsidRPr="00E37DFA">
        <w:rPr>
          <w:lang w:val="fr-FR"/>
        </w:rPr>
        <w:t>1745, 1746 et 2495, ainsi que la note de bas de page elle-même).</w:t>
      </w:r>
    </w:p>
    <w:p w14:paraId="7DBD4311" w14:textId="77777777" w:rsidR="003B11CB" w:rsidRPr="00E37DFA" w:rsidRDefault="003B11CB" w:rsidP="003B11CB">
      <w:pPr>
        <w:pStyle w:val="SingleTxtG"/>
        <w:ind w:left="2268" w:hanging="1134"/>
        <w:rPr>
          <w:lang w:val="fr-FR"/>
        </w:rPr>
      </w:pPr>
      <w:r w:rsidRPr="00E37DFA">
        <w:rPr>
          <w:lang w:val="fr-FR"/>
        </w:rPr>
        <w:t>4.1.4.3, LP02 et LP906</w:t>
      </w:r>
      <w:r w:rsidRPr="00E37DFA">
        <w:rPr>
          <w:lang w:val="fr-FR"/>
        </w:rPr>
        <w:tab/>
        <w:t>Placer les notes de bas de page directement sous l</w:t>
      </w:r>
      <w:r>
        <w:rPr>
          <w:lang w:val="fr-FR"/>
        </w:rPr>
        <w:t>’</w:t>
      </w:r>
      <w:r w:rsidRPr="00E37DFA">
        <w:rPr>
          <w:lang w:val="fr-FR"/>
        </w:rPr>
        <w:t>instruction d</w:t>
      </w:r>
      <w:r>
        <w:rPr>
          <w:lang w:val="fr-FR"/>
        </w:rPr>
        <w:t>’</w:t>
      </w:r>
      <w:r w:rsidRPr="00E37DFA">
        <w:rPr>
          <w:lang w:val="fr-FR"/>
        </w:rPr>
        <w:t>emballage, aux pages où elles apparaissent.</w:t>
      </w:r>
    </w:p>
    <w:p w14:paraId="60C2D48A" w14:textId="77777777" w:rsidR="003B11CB" w:rsidRPr="00E37DFA" w:rsidRDefault="003B11CB" w:rsidP="003B11CB">
      <w:pPr>
        <w:pStyle w:val="H1G"/>
        <w:rPr>
          <w:lang w:val="fr-FR"/>
        </w:rPr>
      </w:pPr>
      <w:r w:rsidRPr="00E37DFA">
        <w:rPr>
          <w:bCs/>
          <w:lang w:val="fr-FR"/>
        </w:rPr>
        <w:tab/>
        <w:t>4.</w:t>
      </w:r>
      <w:r w:rsidRPr="00E37DFA">
        <w:rPr>
          <w:lang w:val="fr-FR"/>
        </w:rPr>
        <w:tab/>
      </w:r>
      <w:r w:rsidRPr="00E37DFA">
        <w:rPr>
          <w:bCs/>
          <w:lang w:val="fr-FR"/>
        </w:rPr>
        <w:t>Tableau de l</w:t>
      </w:r>
      <w:r>
        <w:rPr>
          <w:bCs/>
          <w:lang w:val="fr-FR"/>
        </w:rPr>
        <w:t>’</w:t>
      </w:r>
      <w:r w:rsidRPr="00E37DFA">
        <w:rPr>
          <w:bCs/>
          <w:lang w:val="fr-FR"/>
        </w:rPr>
        <w:t>instruction d</w:t>
      </w:r>
      <w:r>
        <w:rPr>
          <w:bCs/>
          <w:lang w:val="fr-FR"/>
        </w:rPr>
        <w:t>’</w:t>
      </w:r>
      <w:r w:rsidRPr="00E37DFA">
        <w:rPr>
          <w:bCs/>
          <w:lang w:val="fr-FR"/>
        </w:rPr>
        <w:t>emballage P520</w:t>
      </w:r>
    </w:p>
    <w:p w14:paraId="2D60AB98" w14:textId="77777777" w:rsidR="003B11CB" w:rsidRPr="00E37DFA" w:rsidRDefault="003B11CB" w:rsidP="003B11CB">
      <w:pPr>
        <w:pStyle w:val="SingleTxtG"/>
        <w:rPr>
          <w:lang w:val="fr-FR"/>
        </w:rPr>
      </w:pPr>
      <w:r w:rsidRPr="00E37DFA">
        <w:rPr>
          <w:lang w:val="fr-FR"/>
        </w:rPr>
        <w:t>10.</w:t>
      </w:r>
      <w:r w:rsidRPr="00E37DFA">
        <w:rPr>
          <w:lang w:val="fr-FR"/>
        </w:rPr>
        <w:tab/>
        <w:t>Le tableau à l</w:t>
      </w:r>
      <w:r>
        <w:rPr>
          <w:lang w:val="fr-FR"/>
        </w:rPr>
        <w:t>’</w:t>
      </w:r>
      <w:r w:rsidRPr="00E37DFA">
        <w:rPr>
          <w:lang w:val="fr-FR"/>
        </w:rPr>
        <w:t>intérieur de l</w:t>
      </w:r>
      <w:r>
        <w:rPr>
          <w:lang w:val="fr-FR"/>
        </w:rPr>
        <w:t>’</w:t>
      </w:r>
      <w:r w:rsidRPr="00E37DFA">
        <w:rPr>
          <w:lang w:val="fr-FR"/>
        </w:rPr>
        <w:t>instruction d</w:t>
      </w:r>
      <w:r>
        <w:rPr>
          <w:lang w:val="fr-FR"/>
        </w:rPr>
        <w:t>’</w:t>
      </w:r>
      <w:r w:rsidRPr="00E37DFA">
        <w:rPr>
          <w:lang w:val="fr-FR"/>
        </w:rPr>
        <w:t>emballage P520 est présenté sous une forme atypique et est inutilement lourd. Nous proposons de le simplifier légèrement tout en conservant les mêmes informations.</w:t>
      </w:r>
    </w:p>
    <w:p w14:paraId="70A3AA8D" w14:textId="77777777" w:rsidR="003B11CB" w:rsidRPr="00E37DFA" w:rsidRDefault="003B11CB" w:rsidP="003B11CB">
      <w:pPr>
        <w:pStyle w:val="SingleTxtG"/>
        <w:rPr>
          <w:lang w:val="fr-FR"/>
        </w:rPr>
      </w:pPr>
      <w:r w:rsidRPr="00E37DFA">
        <w:rPr>
          <w:lang w:val="fr-FR"/>
        </w:rPr>
        <w:t>11.</w:t>
      </w:r>
      <w:r w:rsidRPr="00E37DFA">
        <w:rPr>
          <w:lang w:val="fr-FR"/>
        </w:rPr>
        <w:tab/>
        <w:t>En outre, le tableau précise la masse maximale par emballage</w:t>
      </w:r>
      <w:r>
        <w:rPr>
          <w:lang w:val="fr-FR"/>
        </w:rPr>
        <w:t xml:space="preserve"> ou </w:t>
      </w:r>
      <w:r w:rsidRPr="00E37DFA">
        <w:rPr>
          <w:lang w:val="fr-FR"/>
        </w:rPr>
        <w:t>colis. Si la plupart des instructions d</w:t>
      </w:r>
      <w:r>
        <w:rPr>
          <w:lang w:val="fr-FR"/>
        </w:rPr>
        <w:t>’</w:t>
      </w:r>
      <w:r w:rsidRPr="00E37DFA">
        <w:rPr>
          <w:lang w:val="fr-FR"/>
        </w:rPr>
        <w:t>emballage précisent la masse nette, certaines d</w:t>
      </w:r>
      <w:r>
        <w:rPr>
          <w:lang w:val="fr-FR"/>
        </w:rPr>
        <w:t>’</w:t>
      </w:r>
      <w:r w:rsidRPr="00E37DFA">
        <w:rPr>
          <w:lang w:val="fr-FR"/>
        </w:rPr>
        <w:t>entre elles précisent la masse brute. Par conséquent, on ignore s</w:t>
      </w:r>
      <w:r>
        <w:rPr>
          <w:lang w:val="fr-FR"/>
        </w:rPr>
        <w:t>’</w:t>
      </w:r>
      <w:r w:rsidRPr="00E37DFA">
        <w:rPr>
          <w:lang w:val="fr-FR"/>
        </w:rPr>
        <w:t>il s</w:t>
      </w:r>
      <w:r>
        <w:rPr>
          <w:lang w:val="fr-FR"/>
        </w:rPr>
        <w:t>’</w:t>
      </w:r>
      <w:r w:rsidRPr="00E37DFA">
        <w:rPr>
          <w:lang w:val="fr-FR"/>
        </w:rPr>
        <w:t xml:space="preserve">agit dans ce cas de la masse nette ou de la masse brute. </w:t>
      </w:r>
      <w:r w:rsidRPr="00E37DFA">
        <w:rPr>
          <w:b/>
          <w:bCs/>
          <w:lang w:val="fr-FR"/>
        </w:rPr>
        <w:t>Le Sous-Comité est invité à lever cette ambiguïté.</w:t>
      </w:r>
    </w:p>
    <w:p w14:paraId="51D2D63D" w14:textId="77777777" w:rsidR="003B11CB" w:rsidRPr="00E37DFA" w:rsidRDefault="003B11CB" w:rsidP="003B11CB">
      <w:pPr>
        <w:pStyle w:val="H23G"/>
        <w:rPr>
          <w:lang w:val="fr-FR"/>
        </w:rPr>
      </w:pPr>
      <w:r w:rsidRPr="00E37DFA">
        <w:rPr>
          <w:lang w:val="fr-FR"/>
        </w:rPr>
        <w:lastRenderedPageBreak/>
        <w:tab/>
      </w:r>
      <w:r w:rsidRPr="00E37DFA">
        <w:rPr>
          <w:lang w:val="fr-FR"/>
        </w:rPr>
        <w:tab/>
      </w:r>
      <w:r w:rsidRPr="00E37DFA">
        <w:rPr>
          <w:bCs/>
          <w:lang w:val="fr-FR"/>
        </w:rPr>
        <w:t>Proposition 4</w:t>
      </w:r>
    </w:p>
    <w:p w14:paraId="2071B51C" w14:textId="6FF63677" w:rsidR="003B11CB" w:rsidRPr="00E37DFA" w:rsidRDefault="003B11CB" w:rsidP="00182F62">
      <w:pPr>
        <w:pStyle w:val="SingleTxtG"/>
        <w:keepNext/>
        <w:ind w:left="2268" w:hanging="1134"/>
        <w:rPr>
          <w:lang w:val="fr-FR"/>
        </w:rPr>
      </w:pPr>
      <w:r w:rsidRPr="00E37DFA">
        <w:rPr>
          <w:lang w:val="fr-FR"/>
        </w:rPr>
        <w:t>4.1.4.1, P520</w:t>
      </w:r>
      <w:r w:rsidRPr="00E37DFA">
        <w:rPr>
          <w:lang w:val="fr-FR"/>
        </w:rPr>
        <w:tab/>
        <w:t xml:space="preserve">Modifier </w:t>
      </w:r>
      <w:r>
        <w:rPr>
          <w:lang w:val="fr-FR"/>
        </w:rPr>
        <w:t xml:space="preserve">comme suit </w:t>
      </w:r>
      <w:r w:rsidRPr="00E37DFA">
        <w:rPr>
          <w:lang w:val="fr-FR"/>
        </w:rPr>
        <w:t>le tableau sous 3)</w:t>
      </w:r>
      <w:r w:rsidR="00182F62">
        <w:rPr>
          <w:lang w:val="fr-FR"/>
        </w:rPr>
        <w:t> </w:t>
      </w:r>
      <w:r w:rsidRPr="00E37DFA">
        <w:rPr>
          <w:lang w:val="fr-FR"/>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3961"/>
        <w:gridCol w:w="709"/>
        <w:gridCol w:w="710"/>
        <w:gridCol w:w="708"/>
        <w:gridCol w:w="708"/>
        <w:gridCol w:w="710"/>
        <w:gridCol w:w="708"/>
        <w:gridCol w:w="708"/>
        <w:gridCol w:w="700"/>
      </w:tblGrid>
      <w:tr w:rsidR="003B11CB" w:rsidRPr="00473DAC" w14:paraId="17D914F3" w14:textId="77777777" w:rsidTr="00C715AA">
        <w:tc>
          <w:tcPr>
            <w:tcW w:w="5000" w:type="pct"/>
            <w:gridSpan w:val="9"/>
            <w:tcBorders>
              <w:top w:val="single" w:sz="6" w:space="0" w:color="auto"/>
              <w:left w:val="single" w:sz="6" w:space="0" w:color="auto"/>
              <w:bottom w:val="single" w:sz="6" w:space="0" w:color="auto"/>
              <w:right w:val="single" w:sz="6" w:space="0" w:color="auto"/>
            </w:tcBorders>
          </w:tcPr>
          <w:p w14:paraId="453DA992" w14:textId="77777777" w:rsidR="003B11CB" w:rsidRPr="00E37DFA" w:rsidRDefault="003B11CB" w:rsidP="00182F62">
            <w:pPr>
              <w:pStyle w:val="Pnormal"/>
              <w:keepNext/>
              <w:rPr>
                <w:lang w:val="fr-FR"/>
              </w:rPr>
            </w:pPr>
            <w:r w:rsidRPr="00E37DFA">
              <w:rPr>
                <w:lang w:val="fr-FR"/>
              </w:rPr>
              <w:t>...</w:t>
            </w:r>
          </w:p>
          <w:p w14:paraId="699F1AEE" w14:textId="7DB92220" w:rsidR="003B11CB" w:rsidRPr="00E37DFA" w:rsidRDefault="003B11CB" w:rsidP="00182F62">
            <w:pPr>
              <w:pStyle w:val="Pnormal"/>
              <w:keepNext/>
              <w:rPr>
                <w:lang w:val="fr-FR"/>
              </w:rPr>
            </w:pPr>
            <w:r w:rsidRPr="00E37DFA">
              <w:rPr>
                <w:lang w:val="fr-FR"/>
              </w:rPr>
              <w:t>Les quantités maximales par emballage/colis pour les méthodes d</w:t>
            </w:r>
            <w:r>
              <w:rPr>
                <w:lang w:val="fr-FR"/>
              </w:rPr>
              <w:t>’</w:t>
            </w:r>
            <w:r w:rsidRPr="00E37DFA">
              <w:rPr>
                <w:lang w:val="fr-FR"/>
              </w:rPr>
              <w:t>emballage OP1 à OP8 sont</w:t>
            </w:r>
            <w:r w:rsidR="00182F62">
              <w:rPr>
                <w:lang w:val="fr-FR"/>
              </w:rPr>
              <w:t> </w:t>
            </w:r>
            <w:r w:rsidRPr="00E37DFA">
              <w:rPr>
                <w:lang w:val="fr-FR"/>
              </w:rPr>
              <w:t>:</w:t>
            </w:r>
          </w:p>
        </w:tc>
      </w:tr>
      <w:tr w:rsidR="003B11CB" w:rsidRPr="00E37DFA" w14:paraId="164BF4DB" w14:textId="77777777" w:rsidTr="00C715AA">
        <w:trPr>
          <w:trHeight w:val="346"/>
        </w:trPr>
        <w:tc>
          <w:tcPr>
            <w:tcW w:w="2058" w:type="pct"/>
            <w:tcBorders>
              <w:top w:val="single" w:sz="6" w:space="0" w:color="auto"/>
              <w:left w:val="single" w:sz="6" w:space="0" w:color="auto"/>
              <w:bottom w:val="nil"/>
              <w:right w:val="nil"/>
            </w:tcBorders>
          </w:tcPr>
          <w:p w14:paraId="7E0564BF" w14:textId="77777777" w:rsidR="003B11CB" w:rsidRPr="00E37DFA" w:rsidRDefault="003B11CB" w:rsidP="00182F62">
            <w:pPr>
              <w:pStyle w:val="Pu4d2"/>
              <w:keepNext/>
              <w:jc w:val="center"/>
              <w:rPr>
                <w:b/>
                <w:bCs/>
                <w:lang w:val="fr-FR"/>
              </w:rPr>
            </w:pPr>
          </w:p>
        </w:tc>
        <w:tc>
          <w:tcPr>
            <w:tcW w:w="368" w:type="pct"/>
            <w:tcBorders>
              <w:top w:val="single" w:sz="6" w:space="0" w:color="auto"/>
              <w:left w:val="nil"/>
              <w:bottom w:val="single" w:sz="6" w:space="0" w:color="auto"/>
              <w:right w:val="nil"/>
            </w:tcBorders>
          </w:tcPr>
          <w:p w14:paraId="2FF6F59D" w14:textId="77777777" w:rsidR="003B11CB" w:rsidRPr="00E37DFA" w:rsidRDefault="003B11CB" w:rsidP="00C715AA">
            <w:pPr>
              <w:pStyle w:val="Pu4d2"/>
              <w:jc w:val="center"/>
              <w:rPr>
                <w:b/>
                <w:bCs/>
                <w:lang w:val="fr-FR"/>
              </w:rPr>
            </w:pPr>
            <w:r w:rsidRPr="00E37DFA">
              <w:rPr>
                <w:b/>
                <w:bCs/>
                <w:lang w:val="fr-FR"/>
              </w:rPr>
              <w:t>OP1</w:t>
            </w:r>
          </w:p>
        </w:tc>
        <w:tc>
          <w:tcPr>
            <w:tcW w:w="369" w:type="pct"/>
            <w:tcBorders>
              <w:top w:val="single" w:sz="6" w:space="0" w:color="auto"/>
              <w:left w:val="nil"/>
              <w:bottom w:val="single" w:sz="6" w:space="0" w:color="auto"/>
              <w:right w:val="nil"/>
            </w:tcBorders>
          </w:tcPr>
          <w:p w14:paraId="30395630" w14:textId="77777777" w:rsidR="003B11CB" w:rsidRPr="00E37DFA" w:rsidRDefault="003B11CB" w:rsidP="00C715AA">
            <w:pPr>
              <w:pStyle w:val="Pu4d2"/>
              <w:jc w:val="center"/>
              <w:rPr>
                <w:b/>
                <w:bCs/>
                <w:lang w:val="fr-FR"/>
              </w:rPr>
            </w:pPr>
            <w:r w:rsidRPr="00E37DFA">
              <w:rPr>
                <w:b/>
                <w:bCs/>
                <w:lang w:val="fr-FR"/>
              </w:rPr>
              <w:t>OP2</w:t>
            </w:r>
            <w:r w:rsidRPr="00E37DFA">
              <w:rPr>
                <w:b/>
                <w:bCs/>
                <w:vertAlign w:val="superscript"/>
                <w:lang w:val="fr-FR"/>
              </w:rPr>
              <w:t>a</w:t>
            </w:r>
          </w:p>
        </w:tc>
        <w:tc>
          <w:tcPr>
            <w:tcW w:w="368" w:type="pct"/>
            <w:tcBorders>
              <w:top w:val="single" w:sz="6" w:space="0" w:color="auto"/>
              <w:left w:val="nil"/>
              <w:bottom w:val="single" w:sz="6" w:space="0" w:color="auto"/>
              <w:right w:val="nil"/>
            </w:tcBorders>
          </w:tcPr>
          <w:p w14:paraId="22AC3439" w14:textId="77777777" w:rsidR="003B11CB" w:rsidRPr="00E37DFA" w:rsidRDefault="003B11CB" w:rsidP="00C715AA">
            <w:pPr>
              <w:pStyle w:val="Pu4d2"/>
              <w:jc w:val="center"/>
              <w:rPr>
                <w:b/>
                <w:bCs/>
                <w:lang w:val="fr-FR"/>
              </w:rPr>
            </w:pPr>
            <w:r w:rsidRPr="00E37DFA">
              <w:rPr>
                <w:b/>
                <w:bCs/>
                <w:lang w:val="fr-FR"/>
              </w:rPr>
              <w:t>OP3</w:t>
            </w:r>
          </w:p>
        </w:tc>
        <w:tc>
          <w:tcPr>
            <w:tcW w:w="368" w:type="pct"/>
            <w:tcBorders>
              <w:top w:val="single" w:sz="6" w:space="0" w:color="auto"/>
              <w:left w:val="nil"/>
              <w:bottom w:val="single" w:sz="6" w:space="0" w:color="auto"/>
              <w:right w:val="nil"/>
            </w:tcBorders>
          </w:tcPr>
          <w:p w14:paraId="435C3ECE" w14:textId="77777777" w:rsidR="003B11CB" w:rsidRPr="00E37DFA" w:rsidRDefault="003B11CB" w:rsidP="00C715AA">
            <w:pPr>
              <w:pStyle w:val="Pu4d2"/>
              <w:jc w:val="center"/>
              <w:rPr>
                <w:b/>
                <w:bCs/>
                <w:lang w:val="fr-FR"/>
              </w:rPr>
            </w:pPr>
            <w:r w:rsidRPr="00E37DFA">
              <w:rPr>
                <w:b/>
                <w:bCs/>
                <w:lang w:val="fr-FR"/>
              </w:rPr>
              <w:t>OP4</w:t>
            </w:r>
            <w:r w:rsidRPr="00E37DFA">
              <w:rPr>
                <w:b/>
                <w:bCs/>
                <w:vertAlign w:val="superscript"/>
                <w:lang w:val="fr-FR"/>
              </w:rPr>
              <w:t>a</w:t>
            </w:r>
          </w:p>
        </w:tc>
        <w:tc>
          <w:tcPr>
            <w:tcW w:w="369" w:type="pct"/>
            <w:tcBorders>
              <w:top w:val="single" w:sz="6" w:space="0" w:color="auto"/>
              <w:left w:val="nil"/>
              <w:bottom w:val="single" w:sz="6" w:space="0" w:color="auto"/>
              <w:right w:val="nil"/>
            </w:tcBorders>
          </w:tcPr>
          <w:p w14:paraId="44E24558" w14:textId="77777777" w:rsidR="003B11CB" w:rsidRPr="00E37DFA" w:rsidRDefault="003B11CB" w:rsidP="00C715AA">
            <w:pPr>
              <w:pStyle w:val="Pu4d2"/>
              <w:jc w:val="center"/>
              <w:rPr>
                <w:b/>
                <w:bCs/>
                <w:lang w:val="fr-FR"/>
              </w:rPr>
            </w:pPr>
            <w:r w:rsidRPr="00E37DFA">
              <w:rPr>
                <w:b/>
                <w:bCs/>
                <w:lang w:val="fr-FR"/>
              </w:rPr>
              <w:t>OP5</w:t>
            </w:r>
          </w:p>
        </w:tc>
        <w:tc>
          <w:tcPr>
            <w:tcW w:w="368" w:type="pct"/>
            <w:tcBorders>
              <w:top w:val="single" w:sz="6" w:space="0" w:color="auto"/>
              <w:left w:val="nil"/>
              <w:bottom w:val="single" w:sz="6" w:space="0" w:color="auto"/>
              <w:right w:val="nil"/>
            </w:tcBorders>
          </w:tcPr>
          <w:p w14:paraId="378B1903" w14:textId="77777777" w:rsidR="003B11CB" w:rsidRPr="00E37DFA" w:rsidRDefault="003B11CB" w:rsidP="00C715AA">
            <w:pPr>
              <w:pStyle w:val="Pu4d2"/>
              <w:jc w:val="center"/>
              <w:rPr>
                <w:b/>
                <w:bCs/>
                <w:lang w:val="fr-FR"/>
              </w:rPr>
            </w:pPr>
            <w:r w:rsidRPr="00E37DFA">
              <w:rPr>
                <w:b/>
                <w:bCs/>
                <w:lang w:val="fr-FR"/>
              </w:rPr>
              <w:t>OP6</w:t>
            </w:r>
          </w:p>
        </w:tc>
        <w:tc>
          <w:tcPr>
            <w:tcW w:w="368" w:type="pct"/>
            <w:tcBorders>
              <w:top w:val="single" w:sz="6" w:space="0" w:color="auto"/>
              <w:left w:val="nil"/>
              <w:bottom w:val="single" w:sz="6" w:space="0" w:color="auto"/>
              <w:right w:val="nil"/>
            </w:tcBorders>
          </w:tcPr>
          <w:p w14:paraId="6E4B4BF9" w14:textId="77777777" w:rsidR="003B11CB" w:rsidRPr="00E37DFA" w:rsidRDefault="003B11CB" w:rsidP="00C715AA">
            <w:pPr>
              <w:pStyle w:val="Pu4d2"/>
              <w:jc w:val="center"/>
              <w:rPr>
                <w:b/>
                <w:bCs/>
                <w:lang w:val="fr-FR"/>
              </w:rPr>
            </w:pPr>
            <w:r w:rsidRPr="00E37DFA">
              <w:rPr>
                <w:b/>
                <w:bCs/>
                <w:lang w:val="fr-FR"/>
              </w:rPr>
              <w:t>OP7</w:t>
            </w:r>
          </w:p>
        </w:tc>
        <w:tc>
          <w:tcPr>
            <w:tcW w:w="364" w:type="pct"/>
            <w:tcBorders>
              <w:top w:val="single" w:sz="6" w:space="0" w:color="auto"/>
              <w:left w:val="nil"/>
              <w:bottom w:val="single" w:sz="6" w:space="0" w:color="auto"/>
              <w:right w:val="single" w:sz="6" w:space="0" w:color="auto"/>
            </w:tcBorders>
          </w:tcPr>
          <w:p w14:paraId="59AE7F06" w14:textId="77777777" w:rsidR="003B11CB" w:rsidRPr="00E37DFA" w:rsidRDefault="003B11CB" w:rsidP="00C715AA">
            <w:pPr>
              <w:pStyle w:val="Pu4d2"/>
              <w:jc w:val="center"/>
              <w:rPr>
                <w:b/>
                <w:bCs/>
                <w:lang w:val="fr-FR"/>
              </w:rPr>
            </w:pPr>
            <w:r w:rsidRPr="00E37DFA">
              <w:rPr>
                <w:b/>
                <w:bCs/>
                <w:lang w:val="fr-FR"/>
              </w:rPr>
              <w:t>OP8</w:t>
            </w:r>
          </w:p>
        </w:tc>
      </w:tr>
      <w:tr w:rsidR="003B11CB" w:rsidRPr="00E37DFA" w14:paraId="35D21929" w14:textId="77777777" w:rsidTr="00C715AA">
        <w:trPr>
          <w:trHeight w:val="346"/>
        </w:trPr>
        <w:tc>
          <w:tcPr>
            <w:tcW w:w="2058" w:type="pct"/>
            <w:tcBorders>
              <w:top w:val="nil"/>
              <w:left w:val="single" w:sz="6" w:space="0" w:color="auto"/>
              <w:bottom w:val="nil"/>
              <w:right w:val="nil"/>
            </w:tcBorders>
          </w:tcPr>
          <w:p w14:paraId="7AFD29B5" w14:textId="77777777" w:rsidR="003B11CB" w:rsidRPr="00E37DFA" w:rsidRDefault="003B11CB" w:rsidP="00C715AA">
            <w:pPr>
              <w:pStyle w:val="Pud2"/>
              <w:jc w:val="right"/>
              <w:rPr>
                <w:lang w:val="fr-FR"/>
              </w:rPr>
            </w:pPr>
            <w:r w:rsidRPr="00E37DFA">
              <w:rPr>
                <w:lang w:val="fr-FR"/>
              </w:rPr>
              <w:t>Masse maximale [nette/brute] (en kg) pour les matières solides et pour les emballages combinés (liquides et solides)</w:t>
            </w:r>
          </w:p>
        </w:tc>
        <w:tc>
          <w:tcPr>
            <w:tcW w:w="368" w:type="pct"/>
            <w:tcBorders>
              <w:top w:val="nil"/>
              <w:left w:val="nil"/>
              <w:bottom w:val="nil"/>
              <w:right w:val="nil"/>
            </w:tcBorders>
            <w:vAlign w:val="center"/>
          </w:tcPr>
          <w:p w14:paraId="5D35EEC7" w14:textId="77777777" w:rsidR="003B11CB" w:rsidRPr="00E37DFA" w:rsidRDefault="003B11CB" w:rsidP="00C715AA">
            <w:pPr>
              <w:pStyle w:val="Pud2"/>
              <w:jc w:val="center"/>
              <w:rPr>
                <w:lang w:val="fr-FR"/>
              </w:rPr>
            </w:pPr>
            <w:r w:rsidRPr="00E37DFA">
              <w:rPr>
                <w:lang w:val="fr-FR"/>
              </w:rPr>
              <w:t>0,5</w:t>
            </w:r>
          </w:p>
        </w:tc>
        <w:tc>
          <w:tcPr>
            <w:tcW w:w="369" w:type="pct"/>
            <w:tcBorders>
              <w:top w:val="nil"/>
              <w:left w:val="nil"/>
              <w:bottom w:val="nil"/>
              <w:right w:val="nil"/>
            </w:tcBorders>
            <w:vAlign w:val="center"/>
          </w:tcPr>
          <w:p w14:paraId="79162307" w14:textId="77777777" w:rsidR="003B11CB" w:rsidRPr="00E37DFA" w:rsidRDefault="003B11CB" w:rsidP="00C715AA">
            <w:pPr>
              <w:pStyle w:val="Pud2"/>
              <w:jc w:val="center"/>
              <w:rPr>
                <w:lang w:val="fr-FR"/>
              </w:rPr>
            </w:pPr>
            <w:r w:rsidRPr="00E37DFA">
              <w:rPr>
                <w:lang w:val="fr-FR"/>
              </w:rPr>
              <w:t>0,5/10</w:t>
            </w:r>
          </w:p>
        </w:tc>
        <w:tc>
          <w:tcPr>
            <w:tcW w:w="368" w:type="pct"/>
            <w:tcBorders>
              <w:top w:val="nil"/>
              <w:left w:val="nil"/>
              <w:bottom w:val="nil"/>
              <w:right w:val="nil"/>
            </w:tcBorders>
            <w:vAlign w:val="center"/>
          </w:tcPr>
          <w:p w14:paraId="614AC278" w14:textId="77777777" w:rsidR="003B11CB" w:rsidRPr="00E37DFA" w:rsidRDefault="003B11CB" w:rsidP="00C715AA">
            <w:pPr>
              <w:pStyle w:val="Pud2"/>
              <w:jc w:val="center"/>
              <w:rPr>
                <w:lang w:val="fr-FR"/>
              </w:rPr>
            </w:pPr>
            <w:r w:rsidRPr="00E37DFA">
              <w:rPr>
                <w:lang w:val="fr-FR"/>
              </w:rPr>
              <w:t>5</w:t>
            </w:r>
          </w:p>
        </w:tc>
        <w:tc>
          <w:tcPr>
            <w:tcW w:w="368" w:type="pct"/>
            <w:tcBorders>
              <w:top w:val="nil"/>
              <w:left w:val="nil"/>
              <w:bottom w:val="nil"/>
              <w:right w:val="nil"/>
            </w:tcBorders>
            <w:vAlign w:val="center"/>
          </w:tcPr>
          <w:p w14:paraId="0C136A69" w14:textId="77777777" w:rsidR="003B11CB" w:rsidRPr="00E37DFA" w:rsidRDefault="003B11CB" w:rsidP="00C715AA">
            <w:pPr>
              <w:pStyle w:val="Pud2"/>
              <w:jc w:val="center"/>
              <w:rPr>
                <w:lang w:val="fr-FR"/>
              </w:rPr>
            </w:pPr>
            <w:r w:rsidRPr="00E37DFA">
              <w:rPr>
                <w:lang w:val="fr-FR"/>
              </w:rPr>
              <w:t>5/25</w:t>
            </w:r>
          </w:p>
        </w:tc>
        <w:tc>
          <w:tcPr>
            <w:tcW w:w="369" w:type="pct"/>
            <w:tcBorders>
              <w:top w:val="nil"/>
              <w:left w:val="nil"/>
              <w:bottom w:val="nil"/>
              <w:right w:val="nil"/>
            </w:tcBorders>
            <w:vAlign w:val="center"/>
          </w:tcPr>
          <w:p w14:paraId="5FE5F870" w14:textId="77777777" w:rsidR="003B11CB" w:rsidRPr="00E37DFA" w:rsidRDefault="003B11CB" w:rsidP="00C715AA">
            <w:pPr>
              <w:pStyle w:val="Pud2"/>
              <w:jc w:val="center"/>
              <w:rPr>
                <w:lang w:val="fr-FR"/>
              </w:rPr>
            </w:pPr>
            <w:r w:rsidRPr="00E37DFA">
              <w:rPr>
                <w:lang w:val="fr-FR"/>
              </w:rPr>
              <w:t>25</w:t>
            </w:r>
          </w:p>
        </w:tc>
        <w:tc>
          <w:tcPr>
            <w:tcW w:w="368" w:type="pct"/>
            <w:tcBorders>
              <w:top w:val="nil"/>
              <w:left w:val="nil"/>
              <w:bottom w:val="nil"/>
              <w:right w:val="nil"/>
            </w:tcBorders>
            <w:vAlign w:val="center"/>
          </w:tcPr>
          <w:p w14:paraId="1478C6AB" w14:textId="77777777" w:rsidR="003B11CB" w:rsidRPr="00E37DFA" w:rsidRDefault="003B11CB" w:rsidP="00C715AA">
            <w:pPr>
              <w:pStyle w:val="Pud2"/>
              <w:jc w:val="center"/>
              <w:rPr>
                <w:lang w:val="fr-FR"/>
              </w:rPr>
            </w:pPr>
            <w:r w:rsidRPr="00E37DFA">
              <w:rPr>
                <w:lang w:val="fr-FR"/>
              </w:rPr>
              <w:t>50</w:t>
            </w:r>
          </w:p>
        </w:tc>
        <w:tc>
          <w:tcPr>
            <w:tcW w:w="368" w:type="pct"/>
            <w:tcBorders>
              <w:top w:val="nil"/>
              <w:left w:val="nil"/>
              <w:bottom w:val="nil"/>
              <w:right w:val="nil"/>
            </w:tcBorders>
            <w:vAlign w:val="center"/>
          </w:tcPr>
          <w:p w14:paraId="786A49C3" w14:textId="77777777" w:rsidR="003B11CB" w:rsidRPr="00E37DFA" w:rsidRDefault="003B11CB" w:rsidP="00C715AA">
            <w:pPr>
              <w:pStyle w:val="Pud2"/>
              <w:jc w:val="center"/>
              <w:rPr>
                <w:lang w:val="fr-FR"/>
              </w:rPr>
            </w:pPr>
            <w:r w:rsidRPr="00E37DFA">
              <w:rPr>
                <w:lang w:val="fr-FR"/>
              </w:rPr>
              <w:t>50</w:t>
            </w:r>
          </w:p>
        </w:tc>
        <w:tc>
          <w:tcPr>
            <w:tcW w:w="364" w:type="pct"/>
            <w:tcBorders>
              <w:top w:val="nil"/>
              <w:left w:val="nil"/>
              <w:bottom w:val="nil"/>
              <w:right w:val="single" w:sz="6" w:space="0" w:color="auto"/>
            </w:tcBorders>
            <w:vAlign w:val="center"/>
          </w:tcPr>
          <w:p w14:paraId="209CAE29" w14:textId="77777777" w:rsidR="003B11CB" w:rsidRPr="00E37DFA" w:rsidRDefault="003B11CB" w:rsidP="00C715AA">
            <w:pPr>
              <w:pStyle w:val="Pud2"/>
              <w:jc w:val="center"/>
              <w:rPr>
                <w:lang w:val="fr-FR"/>
              </w:rPr>
            </w:pPr>
            <w:r w:rsidRPr="00E37DFA">
              <w:rPr>
                <w:lang w:val="fr-FR"/>
              </w:rPr>
              <w:t>400</w:t>
            </w:r>
            <w:r w:rsidRPr="00E37DFA">
              <w:rPr>
                <w:b/>
                <w:bCs/>
                <w:vertAlign w:val="superscript"/>
                <w:lang w:val="fr-FR"/>
              </w:rPr>
              <w:t>b</w:t>
            </w:r>
          </w:p>
        </w:tc>
      </w:tr>
      <w:tr w:rsidR="003B11CB" w:rsidRPr="00E37DFA" w14:paraId="53C49626" w14:textId="77777777" w:rsidTr="00C715AA">
        <w:trPr>
          <w:trHeight w:val="346"/>
        </w:trPr>
        <w:tc>
          <w:tcPr>
            <w:tcW w:w="2058" w:type="pct"/>
            <w:tcBorders>
              <w:top w:val="nil"/>
              <w:left w:val="single" w:sz="6" w:space="0" w:color="auto"/>
              <w:bottom w:val="single" w:sz="6" w:space="0" w:color="auto"/>
              <w:right w:val="nil"/>
            </w:tcBorders>
          </w:tcPr>
          <w:p w14:paraId="581C118F" w14:textId="425F16EB" w:rsidR="003B11CB" w:rsidRPr="00E37DFA" w:rsidRDefault="003B11CB" w:rsidP="00C715AA">
            <w:pPr>
              <w:pStyle w:val="Pud2"/>
              <w:spacing w:after="80"/>
              <w:jc w:val="right"/>
              <w:rPr>
                <w:lang w:val="fr-FR"/>
              </w:rPr>
            </w:pPr>
            <w:r w:rsidRPr="00E37DFA">
              <w:rPr>
                <w:lang w:val="fr-FR"/>
              </w:rPr>
              <w:t xml:space="preserve">Contenance maximale en litres pour </w:t>
            </w:r>
            <w:r w:rsidR="00182F62">
              <w:rPr>
                <w:lang w:val="fr-FR"/>
              </w:rPr>
              <w:br/>
            </w:r>
            <w:r w:rsidRPr="00E37DFA">
              <w:rPr>
                <w:lang w:val="fr-FR"/>
              </w:rPr>
              <w:t>les liquides</w:t>
            </w:r>
          </w:p>
        </w:tc>
        <w:tc>
          <w:tcPr>
            <w:tcW w:w="368" w:type="pct"/>
            <w:tcBorders>
              <w:top w:val="nil"/>
              <w:left w:val="nil"/>
              <w:bottom w:val="single" w:sz="6" w:space="0" w:color="auto"/>
              <w:right w:val="nil"/>
            </w:tcBorders>
            <w:vAlign w:val="center"/>
          </w:tcPr>
          <w:p w14:paraId="47DA88B8" w14:textId="77777777" w:rsidR="003B11CB" w:rsidRPr="00E37DFA" w:rsidRDefault="003B11CB" w:rsidP="00C715AA">
            <w:pPr>
              <w:pStyle w:val="Pud2"/>
              <w:spacing w:after="80"/>
              <w:jc w:val="center"/>
              <w:rPr>
                <w:lang w:val="fr-FR"/>
              </w:rPr>
            </w:pPr>
            <w:r w:rsidRPr="00E37DFA">
              <w:rPr>
                <w:lang w:val="fr-FR"/>
              </w:rPr>
              <w:t>0,5</w:t>
            </w:r>
          </w:p>
        </w:tc>
        <w:tc>
          <w:tcPr>
            <w:tcW w:w="369" w:type="pct"/>
            <w:tcBorders>
              <w:top w:val="nil"/>
              <w:left w:val="nil"/>
              <w:bottom w:val="single" w:sz="6" w:space="0" w:color="auto"/>
              <w:right w:val="nil"/>
            </w:tcBorders>
            <w:vAlign w:val="center"/>
          </w:tcPr>
          <w:p w14:paraId="25BBD8A8" w14:textId="77777777" w:rsidR="003B11CB" w:rsidRPr="00E37DFA" w:rsidRDefault="003B11CB" w:rsidP="00C715AA">
            <w:pPr>
              <w:pStyle w:val="Pud2"/>
              <w:spacing w:after="80"/>
              <w:jc w:val="center"/>
              <w:rPr>
                <w:lang w:val="fr-FR"/>
              </w:rPr>
            </w:pPr>
            <w:r w:rsidRPr="00E37DFA">
              <w:rPr>
                <w:lang w:val="fr-FR"/>
              </w:rPr>
              <w:t>-</w:t>
            </w:r>
          </w:p>
        </w:tc>
        <w:tc>
          <w:tcPr>
            <w:tcW w:w="368" w:type="pct"/>
            <w:tcBorders>
              <w:top w:val="nil"/>
              <w:left w:val="nil"/>
              <w:bottom w:val="single" w:sz="6" w:space="0" w:color="auto"/>
              <w:right w:val="nil"/>
            </w:tcBorders>
            <w:vAlign w:val="center"/>
          </w:tcPr>
          <w:p w14:paraId="32736865" w14:textId="77777777" w:rsidR="003B11CB" w:rsidRPr="00E37DFA" w:rsidRDefault="003B11CB" w:rsidP="00C715AA">
            <w:pPr>
              <w:pStyle w:val="Pud2"/>
              <w:spacing w:after="80"/>
              <w:jc w:val="center"/>
              <w:rPr>
                <w:lang w:val="fr-FR"/>
              </w:rPr>
            </w:pPr>
            <w:r w:rsidRPr="00E37DFA">
              <w:rPr>
                <w:lang w:val="fr-FR"/>
              </w:rPr>
              <w:t>5</w:t>
            </w:r>
          </w:p>
        </w:tc>
        <w:tc>
          <w:tcPr>
            <w:tcW w:w="368" w:type="pct"/>
            <w:tcBorders>
              <w:top w:val="nil"/>
              <w:left w:val="nil"/>
              <w:bottom w:val="single" w:sz="6" w:space="0" w:color="auto"/>
              <w:right w:val="nil"/>
            </w:tcBorders>
            <w:vAlign w:val="center"/>
          </w:tcPr>
          <w:p w14:paraId="1078A97C" w14:textId="77777777" w:rsidR="003B11CB" w:rsidRPr="00E37DFA" w:rsidRDefault="003B11CB" w:rsidP="00C715AA">
            <w:pPr>
              <w:pStyle w:val="Pud2"/>
              <w:spacing w:after="80"/>
              <w:jc w:val="center"/>
              <w:rPr>
                <w:lang w:val="fr-FR"/>
              </w:rPr>
            </w:pPr>
            <w:r w:rsidRPr="00E37DFA">
              <w:rPr>
                <w:lang w:val="fr-FR"/>
              </w:rPr>
              <w:t>-</w:t>
            </w:r>
          </w:p>
        </w:tc>
        <w:tc>
          <w:tcPr>
            <w:tcW w:w="369" w:type="pct"/>
            <w:tcBorders>
              <w:top w:val="nil"/>
              <w:left w:val="nil"/>
              <w:bottom w:val="single" w:sz="6" w:space="0" w:color="auto"/>
              <w:right w:val="nil"/>
            </w:tcBorders>
            <w:vAlign w:val="center"/>
          </w:tcPr>
          <w:p w14:paraId="000AB5C5" w14:textId="77777777" w:rsidR="003B11CB" w:rsidRPr="00E37DFA" w:rsidRDefault="003B11CB" w:rsidP="00C715AA">
            <w:pPr>
              <w:pStyle w:val="Pud2"/>
              <w:spacing w:after="80"/>
              <w:jc w:val="center"/>
              <w:rPr>
                <w:lang w:val="fr-FR"/>
              </w:rPr>
            </w:pPr>
            <w:r w:rsidRPr="00E37DFA">
              <w:rPr>
                <w:lang w:val="fr-FR"/>
              </w:rPr>
              <w:t>30</w:t>
            </w:r>
          </w:p>
        </w:tc>
        <w:tc>
          <w:tcPr>
            <w:tcW w:w="368" w:type="pct"/>
            <w:tcBorders>
              <w:top w:val="nil"/>
              <w:left w:val="nil"/>
              <w:bottom w:val="single" w:sz="6" w:space="0" w:color="auto"/>
              <w:right w:val="nil"/>
            </w:tcBorders>
            <w:vAlign w:val="center"/>
          </w:tcPr>
          <w:p w14:paraId="35EBF120" w14:textId="77777777" w:rsidR="003B11CB" w:rsidRPr="00E37DFA" w:rsidRDefault="003B11CB" w:rsidP="00C715AA">
            <w:pPr>
              <w:pStyle w:val="Pud2"/>
              <w:spacing w:after="80"/>
              <w:jc w:val="center"/>
              <w:rPr>
                <w:lang w:val="fr-FR"/>
              </w:rPr>
            </w:pPr>
            <w:r w:rsidRPr="00E37DFA">
              <w:rPr>
                <w:lang w:val="fr-FR"/>
              </w:rPr>
              <w:t>60</w:t>
            </w:r>
          </w:p>
        </w:tc>
        <w:tc>
          <w:tcPr>
            <w:tcW w:w="368" w:type="pct"/>
            <w:tcBorders>
              <w:top w:val="nil"/>
              <w:left w:val="nil"/>
              <w:bottom w:val="single" w:sz="6" w:space="0" w:color="auto"/>
              <w:right w:val="nil"/>
            </w:tcBorders>
            <w:vAlign w:val="center"/>
          </w:tcPr>
          <w:p w14:paraId="378E390F" w14:textId="77777777" w:rsidR="003B11CB" w:rsidRPr="00E37DFA" w:rsidRDefault="003B11CB" w:rsidP="00C715AA">
            <w:pPr>
              <w:pStyle w:val="Pud2"/>
              <w:spacing w:after="80"/>
              <w:jc w:val="center"/>
              <w:rPr>
                <w:lang w:val="fr-FR"/>
              </w:rPr>
            </w:pPr>
            <w:r w:rsidRPr="00E37DFA">
              <w:rPr>
                <w:lang w:val="fr-FR"/>
              </w:rPr>
              <w:t>60</w:t>
            </w:r>
          </w:p>
        </w:tc>
        <w:tc>
          <w:tcPr>
            <w:tcW w:w="364" w:type="pct"/>
            <w:tcBorders>
              <w:top w:val="nil"/>
              <w:left w:val="nil"/>
              <w:bottom w:val="single" w:sz="6" w:space="0" w:color="auto"/>
              <w:right w:val="single" w:sz="6" w:space="0" w:color="auto"/>
            </w:tcBorders>
            <w:vAlign w:val="center"/>
          </w:tcPr>
          <w:p w14:paraId="662FD328" w14:textId="77777777" w:rsidR="003B11CB" w:rsidRPr="00E37DFA" w:rsidRDefault="003B11CB" w:rsidP="00C715AA">
            <w:pPr>
              <w:pStyle w:val="Pud2"/>
              <w:spacing w:after="80"/>
              <w:jc w:val="center"/>
              <w:rPr>
                <w:lang w:val="fr-FR"/>
              </w:rPr>
            </w:pPr>
            <w:r w:rsidRPr="00E37DFA">
              <w:rPr>
                <w:lang w:val="fr-FR"/>
              </w:rPr>
              <w:t>225</w:t>
            </w:r>
            <w:r w:rsidRPr="00E37DFA">
              <w:rPr>
                <w:b/>
                <w:bCs/>
                <w:vertAlign w:val="superscript"/>
                <w:lang w:val="fr-FR"/>
              </w:rPr>
              <w:t>d</w:t>
            </w:r>
          </w:p>
        </w:tc>
      </w:tr>
    </w:tbl>
    <w:p w14:paraId="37C109DF" w14:textId="77777777" w:rsidR="003B11CB" w:rsidRPr="00E37DFA" w:rsidRDefault="003B11CB" w:rsidP="003B11CB">
      <w:pPr>
        <w:pStyle w:val="H1G"/>
        <w:rPr>
          <w:lang w:val="fr-FR"/>
        </w:rPr>
      </w:pPr>
      <w:r w:rsidRPr="00E37DFA">
        <w:rPr>
          <w:bCs/>
          <w:lang w:val="fr-FR"/>
        </w:rPr>
        <w:tab/>
        <w:t>5.</w:t>
      </w:r>
      <w:r w:rsidRPr="00E37DFA">
        <w:rPr>
          <w:lang w:val="fr-FR"/>
        </w:rPr>
        <w:tab/>
      </w:r>
      <w:r w:rsidRPr="00E37DFA">
        <w:rPr>
          <w:bCs/>
          <w:lang w:val="fr-FR"/>
        </w:rPr>
        <w:t>Listes numérotées en chiffres et en lettres</w:t>
      </w:r>
    </w:p>
    <w:p w14:paraId="03A4703B" w14:textId="75B31258" w:rsidR="003B11CB" w:rsidRPr="00E37DFA" w:rsidRDefault="003B11CB" w:rsidP="003B11CB">
      <w:pPr>
        <w:pStyle w:val="SingleTxtG"/>
        <w:rPr>
          <w:lang w:val="fr-FR"/>
        </w:rPr>
      </w:pPr>
      <w:r w:rsidRPr="00E37DFA">
        <w:rPr>
          <w:lang w:val="fr-FR"/>
        </w:rPr>
        <w:t>12.</w:t>
      </w:r>
      <w:r w:rsidRPr="00E37DFA">
        <w:rPr>
          <w:lang w:val="fr-FR"/>
        </w:rPr>
        <w:tab/>
        <w:t>Les instructions d</w:t>
      </w:r>
      <w:r>
        <w:rPr>
          <w:lang w:val="fr-FR"/>
        </w:rPr>
        <w:t>’</w:t>
      </w:r>
      <w:r w:rsidRPr="00E37DFA">
        <w:rPr>
          <w:lang w:val="fr-FR"/>
        </w:rPr>
        <w:t>emballage ont été élaborées par un large éventail d</w:t>
      </w:r>
      <w:r>
        <w:rPr>
          <w:lang w:val="fr-FR"/>
        </w:rPr>
        <w:t>’</w:t>
      </w:r>
      <w:r w:rsidRPr="00E37DFA">
        <w:rPr>
          <w:lang w:val="fr-FR"/>
        </w:rPr>
        <w:t xml:space="preserve">experts pendant une longue période. </w:t>
      </w:r>
      <w:r>
        <w:rPr>
          <w:lang w:val="fr-FR"/>
        </w:rPr>
        <w:t xml:space="preserve">C’est pourquoi </w:t>
      </w:r>
      <w:r w:rsidRPr="00E37DFA">
        <w:rPr>
          <w:lang w:val="fr-FR"/>
        </w:rPr>
        <w:t xml:space="preserve">il </w:t>
      </w:r>
      <w:r>
        <w:rPr>
          <w:lang w:val="fr-FR"/>
        </w:rPr>
        <w:t xml:space="preserve">a été </w:t>
      </w:r>
      <w:r w:rsidRPr="00E37DFA">
        <w:rPr>
          <w:lang w:val="fr-FR"/>
        </w:rPr>
        <w:t xml:space="preserve">difficile </w:t>
      </w:r>
      <w:r>
        <w:rPr>
          <w:lang w:val="fr-FR"/>
        </w:rPr>
        <w:t xml:space="preserve">de </w:t>
      </w:r>
      <w:r w:rsidRPr="00E37DFA">
        <w:rPr>
          <w:lang w:val="fr-FR"/>
        </w:rPr>
        <w:t>se conformer à des conventions de mise en forme cohérentes. Dans la présente proposition, nous tentons de rapprocher toute la série d</w:t>
      </w:r>
      <w:r>
        <w:rPr>
          <w:lang w:val="fr-FR"/>
        </w:rPr>
        <w:t>’</w:t>
      </w:r>
      <w:r w:rsidRPr="00E37DFA">
        <w:rPr>
          <w:lang w:val="fr-FR"/>
        </w:rPr>
        <w:t>instructions d</w:t>
      </w:r>
      <w:r>
        <w:rPr>
          <w:lang w:val="fr-FR"/>
        </w:rPr>
        <w:t>’</w:t>
      </w:r>
      <w:r w:rsidRPr="00E37DFA">
        <w:rPr>
          <w:lang w:val="fr-FR"/>
        </w:rPr>
        <w:t>emballage d</w:t>
      </w:r>
      <w:r>
        <w:rPr>
          <w:lang w:val="fr-FR"/>
        </w:rPr>
        <w:t>’</w:t>
      </w:r>
      <w:r w:rsidRPr="00E37DFA">
        <w:rPr>
          <w:lang w:val="fr-FR"/>
        </w:rPr>
        <w:t>un ensemble de conventions cohérentes concernant l</w:t>
      </w:r>
      <w:r>
        <w:rPr>
          <w:lang w:val="fr-FR"/>
        </w:rPr>
        <w:t>’</w:t>
      </w:r>
      <w:r w:rsidRPr="00E37DFA">
        <w:rPr>
          <w:lang w:val="fr-FR"/>
        </w:rPr>
        <w:t>utilisation de listes numérotées en chiffres et en lettres, à condition que la clarté n</w:t>
      </w:r>
      <w:r>
        <w:rPr>
          <w:lang w:val="fr-FR"/>
        </w:rPr>
        <w:t>’</w:t>
      </w:r>
      <w:r w:rsidRPr="00E37DFA">
        <w:rPr>
          <w:lang w:val="fr-FR"/>
        </w:rPr>
        <w:t>en pâtisse pas. D</w:t>
      </w:r>
      <w:r>
        <w:rPr>
          <w:lang w:val="fr-FR"/>
        </w:rPr>
        <w:t>’</w:t>
      </w:r>
      <w:r w:rsidRPr="00E37DFA">
        <w:rPr>
          <w:lang w:val="fr-FR"/>
        </w:rPr>
        <w:t xml:space="preserve">une manière générale, la convention </w:t>
      </w:r>
      <w:r>
        <w:rPr>
          <w:lang w:val="fr-FR"/>
        </w:rPr>
        <w:t xml:space="preserve">proposée </w:t>
      </w:r>
      <w:r w:rsidRPr="00E37DFA">
        <w:rPr>
          <w:lang w:val="fr-FR"/>
        </w:rPr>
        <w:t>est la suivante</w:t>
      </w:r>
      <w:r w:rsidR="00182F62">
        <w:rPr>
          <w:lang w:val="fr-FR"/>
        </w:rPr>
        <w:t> </w:t>
      </w:r>
      <w:r w:rsidRPr="00E37DFA">
        <w:rPr>
          <w:lang w:val="fr-FR"/>
        </w:rPr>
        <w:t>: les chiffres suivis d</w:t>
      </w:r>
      <w:r>
        <w:rPr>
          <w:lang w:val="fr-FR"/>
        </w:rPr>
        <w:t>’</w:t>
      </w:r>
      <w:r w:rsidRPr="00E37DFA">
        <w:rPr>
          <w:lang w:val="fr-FR"/>
        </w:rPr>
        <w:t>une parenthèse fermante sont utilisés pour structurer les différentes sections ou prescriptions dans le corps des instructions d</w:t>
      </w:r>
      <w:r>
        <w:rPr>
          <w:lang w:val="fr-FR"/>
        </w:rPr>
        <w:t>’</w:t>
      </w:r>
      <w:r w:rsidRPr="00E37DFA">
        <w:rPr>
          <w:lang w:val="fr-FR"/>
        </w:rPr>
        <w:t>emballage, les lettres suivies d</w:t>
      </w:r>
      <w:r>
        <w:rPr>
          <w:lang w:val="fr-FR"/>
        </w:rPr>
        <w:t>’</w:t>
      </w:r>
      <w:r w:rsidRPr="00E37DFA">
        <w:rPr>
          <w:lang w:val="fr-FR"/>
        </w:rPr>
        <w:t>une parenthèse fermante pour les énumérations, et les chiffres suivis d</w:t>
      </w:r>
      <w:r>
        <w:rPr>
          <w:lang w:val="fr-FR"/>
        </w:rPr>
        <w:t>’</w:t>
      </w:r>
      <w:r w:rsidRPr="00E37DFA">
        <w:rPr>
          <w:lang w:val="fr-FR"/>
        </w:rPr>
        <w:t>un point pour numéroter les dispositions supplémentaires.</w:t>
      </w:r>
    </w:p>
    <w:p w14:paraId="56722E18" w14:textId="77777777" w:rsidR="003B11CB" w:rsidRPr="00E37DFA" w:rsidRDefault="003B11CB" w:rsidP="003B11CB">
      <w:pPr>
        <w:pStyle w:val="H23G"/>
        <w:rPr>
          <w:lang w:val="fr-FR"/>
        </w:rPr>
      </w:pPr>
      <w:r w:rsidRPr="00E37DFA">
        <w:rPr>
          <w:lang w:val="fr-FR"/>
        </w:rPr>
        <w:tab/>
      </w:r>
      <w:r w:rsidRPr="00E37DFA">
        <w:rPr>
          <w:lang w:val="fr-FR"/>
        </w:rPr>
        <w:tab/>
      </w:r>
      <w:r w:rsidRPr="00E37DFA">
        <w:rPr>
          <w:bCs/>
          <w:lang w:val="fr-FR"/>
        </w:rPr>
        <w:t>Proposition 5</w:t>
      </w:r>
    </w:p>
    <w:p w14:paraId="755F446E" w14:textId="77777777" w:rsidR="003B11CB" w:rsidRPr="00E37DFA" w:rsidRDefault="003B11CB" w:rsidP="003B11CB">
      <w:pPr>
        <w:pStyle w:val="SingleTxtG"/>
        <w:ind w:left="2268" w:hanging="1134"/>
        <w:rPr>
          <w:lang w:val="fr-FR"/>
        </w:rPr>
      </w:pPr>
      <w:r w:rsidRPr="00E37DFA">
        <w:rPr>
          <w:lang w:val="fr-FR"/>
        </w:rPr>
        <w:t>4.1.4.1, P200</w:t>
      </w:r>
      <w:r w:rsidRPr="00E37DFA">
        <w:rPr>
          <w:lang w:val="fr-FR"/>
        </w:rPr>
        <w:tab/>
        <w:t>Au point 4), renuméroter la première liste en remplaçant les tirets par les lettres a) à e) et supprimer les tirets de la deuxième liste.</w:t>
      </w:r>
    </w:p>
    <w:p w14:paraId="62D11783" w14:textId="2605F740" w:rsidR="003B11CB" w:rsidRPr="00E37DFA" w:rsidRDefault="003B11CB" w:rsidP="00182F62">
      <w:pPr>
        <w:pStyle w:val="SingleTxtG"/>
        <w:ind w:left="2268"/>
        <w:rPr>
          <w:lang w:val="fr-FR"/>
        </w:rPr>
      </w:pPr>
      <w:r w:rsidRPr="00E37DFA">
        <w:rPr>
          <w:lang w:val="fr-FR"/>
        </w:rPr>
        <w:t>À l</w:t>
      </w:r>
      <w:r>
        <w:rPr>
          <w:lang w:val="fr-FR"/>
        </w:rPr>
        <w:t>’</w:t>
      </w:r>
      <w:r w:rsidRPr="00E37DFA">
        <w:rPr>
          <w:lang w:val="fr-FR"/>
        </w:rPr>
        <w:t>alinéa s du point 5), renuméroter la liste en remplaçant les tirets par les lettres a) et b).</w:t>
      </w:r>
    </w:p>
    <w:p w14:paraId="0A7FD7A2" w14:textId="544ABAE6" w:rsidR="003B11CB" w:rsidRPr="00E37DFA" w:rsidRDefault="003B11CB" w:rsidP="00182F62">
      <w:pPr>
        <w:pStyle w:val="SingleTxtG"/>
        <w:ind w:left="2268"/>
        <w:rPr>
          <w:lang w:val="fr-FR"/>
        </w:rPr>
      </w:pPr>
      <w:r w:rsidRPr="00E37DFA">
        <w:rPr>
          <w:lang w:val="fr-FR"/>
        </w:rPr>
        <w:t>À l</w:t>
      </w:r>
      <w:r>
        <w:rPr>
          <w:lang w:val="fr-FR"/>
        </w:rPr>
        <w:t>’</w:t>
      </w:r>
      <w:r w:rsidRPr="00E37DFA">
        <w:rPr>
          <w:lang w:val="fr-FR"/>
        </w:rPr>
        <w:t>alinéa t du point 5), les sous-points i) et ii) deviennent les sous-points a) et b).</w:t>
      </w:r>
    </w:p>
    <w:p w14:paraId="65800990" w14:textId="77777777" w:rsidR="003B11CB" w:rsidRPr="00E37DFA" w:rsidRDefault="003B11CB" w:rsidP="003B11CB">
      <w:pPr>
        <w:pStyle w:val="SingleTxtG"/>
        <w:ind w:left="2268" w:hanging="1134"/>
        <w:rPr>
          <w:lang w:val="fr-FR"/>
        </w:rPr>
      </w:pPr>
      <w:r w:rsidRPr="00E37DFA">
        <w:rPr>
          <w:lang w:val="fr-FR"/>
        </w:rPr>
        <w:t>4.1.4.1, P203</w:t>
      </w:r>
      <w:r w:rsidRPr="00E37DFA">
        <w:rPr>
          <w:lang w:val="fr-FR"/>
        </w:rPr>
        <w:tab/>
        <w:t>Au point 9), renuméroter la liste en remplaçant les tirets par les lettres a) à e).</w:t>
      </w:r>
    </w:p>
    <w:p w14:paraId="7BFBBD7D" w14:textId="77777777" w:rsidR="003B11CB" w:rsidRPr="000F47F9" w:rsidRDefault="003B11CB" w:rsidP="003B11CB">
      <w:pPr>
        <w:pStyle w:val="SingleTxtG"/>
        <w:ind w:left="2268" w:hanging="1134"/>
        <w:rPr>
          <w:spacing w:val="-4"/>
          <w:lang w:val="fr-FR"/>
        </w:rPr>
      </w:pPr>
      <w:r w:rsidRPr="000F47F9">
        <w:rPr>
          <w:spacing w:val="-4"/>
          <w:lang w:val="fr-FR"/>
        </w:rPr>
        <w:t>4.1.4.1, P501</w:t>
      </w:r>
      <w:r w:rsidRPr="000F47F9">
        <w:rPr>
          <w:spacing w:val="-4"/>
          <w:lang w:val="fr-FR"/>
        </w:rPr>
        <w:tab/>
        <w:t>Sous « Emballages combinés », avant « Emballages intérieurs en verre », supprimer « 1) » et avant « Emballages intérieurs en plastique », supprimer « 2) ».</w:t>
      </w:r>
    </w:p>
    <w:p w14:paraId="03A15EFF" w14:textId="77777777" w:rsidR="003B11CB" w:rsidRPr="00E37DFA" w:rsidRDefault="003B11CB" w:rsidP="003B11CB">
      <w:pPr>
        <w:pStyle w:val="SingleTxtG"/>
        <w:ind w:left="2268" w:hanging="1134"/>
        <w:rPr>
          <w:lang w:val="fr-FR"/>
        </w:rPr>
      </w:pPr>
      <w:r w:rsidRPr="00E37DFA">
        <w:rPr>
          <w:lang w:val="fr-FR"/>
        </w:rPr>
        <w:t>4.1.4.1, P520</w:t>
      </w:r>
      <w:r w:rsidRPr="00E37DFA">
        <w:rPr>
          <w:lang w:val="fr-FR"/>
        </w:rPr>
        <w:tab/>
        <w:t>Dans la disposition spéciale d</w:t>
      </w:r>
      <w:r>
        <w:rPr>
          <w:lang w:val="fr-FR"/>
        </w:rPr>
        <w:t>’</w:t>
      </w:r>
      <w:r w:rsidRPr="00E37DFA">
        <w:rPr>
          <w:lang w:val="fr-FR"/>
        </w:rPr>
        <w:t>emballage PP94, les points 1 à 5 deviennent les points a) à e). Dans la disposition spéciale d</w:t>
      </w:r>
      <w:r>
        <w:rPr>
          <w:lang w:val="fr-FR"/>
        </w:rPr>
        <w:t>’</w:t>
      </w:r>
      <w:r w:rsidRPr="00E37DFA">
        <w:rPr>
          <w:lang w:val="fr-FR"/>
        </w:rPr>
        <w:t>emballage PP95, les points 1 à 6 deviennent les points a) à f).</w:t>
      </w:r>
    </w:p>
    <w:p w14:paraId="60C61668" w14:textId="77777777" w:rsidR="003B11CB" w:rsidRPr="00E37DFA" w:rsidRDefault="003B11CB" w:rsidP="003B11CB">
      <w:pPr>
        <w:pStyle w:val="SingleTxtG"/>
        <w:ind w:left="2268" w:hanging="1134"/>
        <w:rPr>
          <w:lang w:val="fr-FR"/>
        </w:rPr>
      </w:pPr>
      <w:r w:rsidRPr="00E37DFA">
        <w:rPr>
          <w:lang w:val="fr-FR"/>
        </w:rPr>
        <w:t>4.1.4.1, P601</w:t>
      </w:r>
      <w:r w:rsidRPr="00E37DFA">
        <w:rPr>
          <w:lang w:val="fr-FR"/>
        </w:rPr>
        <w:tab/>
        <w:t>Au point 1), renuméroter la liste en remplaçant les tirets par les lettres a) à c).</w:t>
      </w:r>
    </w:p>
    <w:p w14:paraId="2A566F58" w14:textId="77777777" w:rsidR="003B11CB" w:rsidRPr="00E37DFA" w:rsidRDefault="003B11CB" w:rsidP="003B11CB">
      <w:pPr>
        <w:pStyle w:val="SingleTxtG"/>
        <w:ind w:left="2268" w:hanging="1134"/>
        <w:rPr>
          <w:lang w:val="fr-FR"/>
        </w:rPr>
      </w:pPr>
      <w:r w:rsidRPr="00E37DFA">
        <w:rPr>
          <w:lang w:val="fr-FR"/>
        </w:rPr>
        <w:t>4.1.4.1, P602</w:t>
      </w:r>
      <w:r w:rsidRPr="00E37DFA">
        <w:rPr>
          <w:lang w:val="fr-FR"/>
        </w:rPr>
        <w:tab/>
        <w:t>Au point 1), renuméroter la liste en remplaçant les tirets par les lettres a) à c).</w:t>
      </w:r>
    </w:p>
    <w:p w14:paraId="50FA5B75" w14:textId="77777777" w:rsidR="003B11CB" w:rsidRPr="00E37DFA" w:rsidRDefault="003B11CB" w:rsidP="003B11CB">
      <w:pPr>
        <w:pStyle w:val="SingleTxtG"/>
        <w:ind w:left="2268" w:hanging="1134"/>
        <w:rPr>
          <w:lang w:val="fr-FR"/>
        </w:rPr>
      </w:pPr>
      <w:r w:rsidRPr="00E37DFA">
        <w:rPr>
          <w:lang w:val="fr-FR"/>
        </w:rPr>
        <w:t>4.1.4.1, P804</w:t>
      </w:r>
      <w:r w:rsidRPr="00E37DFA">
        <w:rPr>
          <w:lang w:val="fr-FR"/>
        </w:rPr>
        <w:tab/>
        <w:t>Au point 1), renuméroter la liste en remplaçant les tirets par les lettres a) à c).</w:t>
      </w:r>
    </w:p>
    <w:p w14:paraId="2F938533" w14:textId="4C8C196D" w:rsidR="003B11CB" w:rsidRPr="00E37DFA" w:rsidRDefault="003B11CB" w:rsidP="003B11CB">
      <w:pPr>
        <w:pStyle w:val="SingleTxtG"/>
        <w:ind w:left="2268" w:hanging="1134"/>
        <w:rPr>
          <w:lang w:val="fr-FR"/>
        </w:rPr>
      </w:pPr>
      <w:r w:rsidRPr="00E37DFA">
        <w:rPr>
          <w:lang w:val="fr-FR"/>
        </w:rPr>
        <w:t>4.1.4.1, P902</w:t>
      </w:r>
      <w:r w:rsidRPr="00E37DFA">
        <w:rPr>
          <w:lang w:val="fr-FR"/>
        </w:rPr>
        <w:tab/>
        <w:t xml:space="preserve">À la deuxième ligne sous le titre, ajouter </w:t>
      </w:r>
      <w:r>
        <w:rPr>
          <w:lang w:val="fr-FR"/>
        </w:rPr>
        <w:t>« </w:t>
      </w:r>
      <w:r w:rsidRPr="00E37DFA">
        <w:rPr>
          <w:lang w:val="fr-FR"/>
        </w:rPr>
        <w:t>1)</w:t>
      </w:r>
      <w:r>
        <w:rPr>
          <w:lang w:val="fr-FR"/>
        </w:rPr>
        <w:t> »</w:t>
      </w:r>
      <w:r w:rsidRPr="00E37DFA">
        <w:rPr>
          <w:lang w:val="fr-FR"/>
        </w:rPr>
        <w:t xml:space="preserve"> avant </w:t>
      </w:r>
      <w:r>
        <w:rPr>
          <w:lang w:val="fr-FR"/>
        </w:rPr>
        <w:t>« </w:t>
      </w:r>
      <w:r w:rsidRPr="00E37DFA">
        <w:rPr>
          <w:b/>
          <w:bCs/>
          <w:lang w:val="fr-FR"/>
        </w:rPr>
        <w:t>Objets emballés</w:t>
      </w:r>
      <w:r>
        <w:rPr>
          <w:b/>
          <w:bCs/>
          <w:lang w:val="fr-FR"/>
        </w:rPr>
        <w:t> </w:t>
      </w:r>
      <w:r w:rsidRPr="00E37DFA">
        <w:rPr>
          <w:b/>
          <w:bCs/>
          <w:lang w:val="fr-FR"/>
        </w:rPr>
        <w:t>:</w:t>
      </w:r>
      <w:r>
        <w:rPr>
          <w:lang w:val="fr-FR"/>
        </w:rPr>
        <w:t> »</w:t>
      </w:r>
      <w:r w:rsidRPr="00E37DFA">
        <w:rPr>
          <w:lang w:val="fr-FR"/>
        </w:rPr>
        <w:t xml:space="preserve"> en supprimant le gras et ajouter </w:t>
      </w:r>
      <w:r>
        <w:rPr>
          <w:lang w:val="fr-FR"/>
        </w:rPr>
        <w:t>« </w:t>
      </w:r>
      <w:r w:rsidRPr="00E37DFA">
        <w:rPr>
          <w:lang w:val="fr-FR"/>
        </w:rPr>
        <w:t>2)</w:t>
      </w:r>
      <w:r>
        <w:rPr>
          <w:lang w:val="fr-FR"/>
        </w:rPr>
        <w:t> »</w:t>
      </w:r>
      <w:r w:rsidRPr="00E37DFA">
        <w:rPr>
          <w:lang w:val="fr-FR"/>
        </w:rPr>
        <w:t xml:space="preserve"> avant </w:t>
      </w:r>
      <w:r>
        <w:rPr>
          <w:lang w:val="fr-FR"/>
        </w:rPr>
        <w:t>« </w:t>
      </w:r>
      <w:r w:rsidRPr="00E37DFA">
        <w:rPr>
          <w:b/>
          <w:bCs/>
          <w:lang w:val="fr-FR"/>
        </w:rPr>
        <w:t>Objets non emballés</w:t>
      </w:r>
      <w:r w:rsidR="000F47F9">
        <w:rPr>
          <w:b/>
          <w:bCs/>
          <w:lang w:val="fr-FR"/>
        </w:rPr>
        <w:t> </w:t>
      </w:r>
      <w:r w:rsidRPr="00E37DFA">
        <w:rPr>
          <w:b/>
          <w:bCs/>
          <w:lang w:val="fr-FR"/>
        </w:rPr>
        <w:t>:</w:t>
      </w:r>
      <w:r>
        <w:rPr>
          <w:lang w:val="fr-FR"/>
        </w:rPr>
        <w:t> »</w:t>
      </w:r>
      <w:r w:rsidRPr="00E37DFA">
        <w:rPr>
          <w:lang w:val="fr-FR"/>
        </w:rPr>
        <w:t xml:space="preserve"> en supprimant le gras.</w:t>
      </w:r>
    </w:p>
    <w:p w14:paraId="4969CC5E" w14:textId="544256AC" w:rsidR="003B11CB" w:rsidRPr="00E37DFA" w:rsidRDefault="003B11CB" w:rsidP="003B11CB">
      <w:pPr>
        <w:pStyle w:val="SingleTxtG"/>
        <w:ind w:left="2268" w:hanging="1134"/>
        <w:rPr>
          <w:lang w:val="fr-FR"/>
        </w:rPr>
      </w:pPr>
      <w:r w:rsidRPr="00E37DFA">
        <w:rPr>
          <w:lang w:val="fr-FR"/>
        </w:rPr>
        <w:t>4.1.4.1, P908</w:t>
      </w:r>
      <w:r w:rsidRPr="00E37DFA">
        <w:rPr>
          <w:lang w:val="fr-FR"/>
        </w:rPr>
        <w:tab/>
        <w:t>À la deuxième ligne sous le titre, avant la liste numérotée, ajouter un nouveau paragraphe libellé comme suit</w:t>
      </w:r>
      <w:r w:rsidR="000F47F9">
        <w:rPr>
          <w:lang w:val="fr-FR"/>
        </w:rPr>
        <w:t> </w:t>
      </w:r>
      <w:r w:rsidRPr="00E37DFA">
        <w:rPr>
          <w:lang w:val="fr-FR"/>
        </w:rPr>
        <w:t xml:space="preserve">: </w:t>
      </w:r>
      <w:r>
        <w:rPr>
          <w:lang w:val="fr-FR"/>
        </w:rPr>
        <w:t>« </w:t>
      </w:r>
      <w:r w:rsidRPr="00E37DFA">
        <w:rPr>
          <w:lang w:val="fr-FR"/>
        </w:rPr>
        <w:t>Les emballages doivent également satisfaire aux prescriptions suivantes</w:t>
      </w:r>
      <w:r w:rsidR="000F47F9">
        <w:rPr>
          <w:lang w:val="fr-FR"/>
        </w:rPr>
        <w:t> </w:t>
      </w:r>
      <w:r w:rsidRPr="00E37DFA">
        <w:rPr>
          <w:lang w:val="fr-FR"/>
        </w:rPr>
        <w:t>:</w:t>
      </w:r>
      <w:r>
        <w:rPr>
          <w:lang w:val="fr-FR"/>
        </w:rPr>
        <w:t> »</w:t>
      </w:r>
      <w:r w:rsidRPr="00E37DFA">
        <w:rPr>
          <w:lang w:val="fr-FR"/>
        </w:rPr>
        <w:t>. Dans la liste, les points 1 à 5 deviennent les points a) à e).</w:t>
      </w:r>
    </w:p>
    <w:p w14:paraId="7AD21FFD" w14:textId="77777777" w:rsidR="003B11CB" w:rsidRPr="00E37DFA" w:rsidRDefault="003B11CB" w:rsidP="003B11CB">
      <w:pPr>
        <w:pStyle w:val="SingleTxtG"/>
        <w:ind w:left="2268" w:hanging="1134"/>
        <w:rPr>
          <w:lang w:val="fr-FR"/>
        </w:rPr>
      </w:pPr>
      <w:r w:rsidRPr="00E37DFA">
        <w:rPr>
          <w:lang w:val="fr-FR"/>
        </w:rPr>
        <w:t>4.1.4.1, P909</w:t>
      </w:r>
      <w:r w:rsidRPr="00E37DFA">
        <w:rPr>
          <w:lang w:val="fr-FR"/>
        </w:rPr>
        <w:tab/>
        <w:t>Dans la disposition supplémentaire 2, renuméroter la liste en remplaçant les tirets par les lettres a) à d).</w:t>
      </w:r>
    </w:p>
    <w:p w14:paraId="6A22380D" w14:textId="77777777" w:rsidR="003B11CB" w:rsidRPr="00E37DFA" w:rsidRDefault="003B11CB" w:rsidP="003B11CB">
      <w:pPr>
        <w:pStyle w:val="SingleTxtG"/>
        <w:ind w:left="2268" w:hanging="1134"/>
        <w:rPr>
          <w:lang w:val="fr-FR"/>
        </w:rPr>
      </w:pPr>
      <w:r w:rsidRPr="00E37DFA">
        <w:rPr>
          <w:lang w:val="fr-FR"/>
        </w:rPr>
        <w:lastRenderedPageBreak/>
        <w:t>4.1.4.1, P910</w:t>
      </w:r>
      <w:r w:rsidRPr="00E37DFA">
        <w:rPr>
          <w:lang w:val="fr-FR"/>
        </w:rPr>
        <w:tab/>
        <w:t>Dans les dispositions supplémentaires, renuméroter la liste en remplaçant les tirets par les lettres a) à d).</w:t>
      </w:r>
    </w:p>
    <w:p w14:paraId="3DCD3067" w14:textId="007A7C0F" w:rsidR="003B11CB" w:rsidRPr="00E37DFA" w:rsidRDefault="003B11CB" w:rsidP="003B11CB">
      <w:pPr>
        <w:pStyle w:val="SingleTxtG"/>
        <w:tabs>
          <w:tab w:val="left" w:pos="6521"/>
        </w:tabs>
        <w:ind w:left="2268" w:hanging="1134"/>
        <w:rPr>
          <w:lang w:val="fr-FR"/>
        </w:rPr>
      </w:pPr>
      <w:r w:rsidRPr="00E37DFA">
        <w:rPr>
          <w:lang w:val="fr-FR"/>
        </w:rPr>
        <w:t>4.1.4.2, IBC02, IBC03, IBC05, IBC06, IBC07, IBC08 et IBC100</w:t>
      </w:r>
      <w:r w:rsidRPr="00E37DFA">
        <w:rPr>
          <w:lang w:val="fr-FR"/>
        </w:rPr>
        <w:tab/>
        <w:t xml:space="preserve">Supprimer les chiffres qui figurent </w:t>
      </w:r>
      <w:r>
        <w:rPr>
          <w:lang w:val="fr-FR"/>
        </w:rPr>
        <w:t xml:space="preserve">avant </w:t>
      </w:r>
      <w:r w:rsidRPr="00E37DFA">
        <w:rPr>
          <w:lang w:val="fr-FR"/>
        </w:rPr>
        <w:t xml:space="preserve">la liste, </w:t>
      </w:r>
      <w:r>
        <w:rPr>
          <w:lang w:val="fr-FR"/>
        </w:rPr>
        <w:t>sur</w:t>
      </w:r>
      <w:r w:rsidRPr="00E37DFA">
        <w:rPr>
          <w:lang w:val="fr-FR"/>
        </w:rPr>
        <w:t xml:space="preserve"> la ligne située sous le titre.</w:t>
      </w:r>
    </w:p>
    <w:p w14:paraId="03C6A58E" w14:textId="77777777" w:rsidR="003B11CB" w:rsidRPr="00E37DFA" w:rsidRDefault="003B11CB" w:rsidP="003B11CB">
      <w:pPr>
        <w:pStyle w:val="SingleTxtG"/>
        <w:ind w:left="2268" w:hanging="1134"/>
        <w:rPr>
          <w:lang w:val="fr-FR"/>
        </w:rPr>
      </w:pPr>
      <w:r w:rsidRPr="00E37DFA">
        <w:rPr>
          <w:lang w:val="fr-FR"/>
        </w:rPr>
        <w:t>4.1.4.3, LP902</w:t>
      </w:r>
      <w:r w:rsidRPr="00E37DFA">
        <w:rPr>
          <w:lang w:val="fr-FR"/>
        </w:rPr>
        <w:tab/>
        <w:t xml:space="preserve">À la deuxième ligne sous le titre, ajouter </w:t>
      </w:r>
      <w:r>
        <w:rPr>
          <w:lang w:val="fr-FR"/>
        </w:rPr>
        <w:t>« </w:t>
      </w:r>
      <w:r w:rsidRPr="00E37DFA">
        <w:rPr>
          <w:lang w:val="fr-FR"/>
        </w:rPr>
        <w:t>1)</w:t>
      </w:r>
      <w:r>
        <w:rPr>
          <w:lang w:val="fr-FR"/>
        </w:rPr>
        <w:t> »</w:t>
      </w:r>
      <w:r w:rsidRPr="00E37DFA">
        <w:rPr>
          <w:lang w:val="fr-FR"/>
        </w:rPr>
        <w:t xml:space="preserve"> avant </w:t>
      </w:r>
      <w:r>
        <w:rPr>
          <w:lang w:val="fr-FR"/>
        </w:rPr>
        <w:t>« </w:t>
      </w:r>
      <w:r w:rsidRPr="00E37DFA">
        <w:rPr>
          <w:b/>
          <w:bCs/>
          <w:lang w:val="fr-FR"/>
        </w:rPr>
        <w:t>Objets emballés</w:t>
      </w:r>
      <w:r>
        <w:rPr>
          <w:b/>
          <w:bCs/>
          <w:lang w:val="fr-FR"/>
        </w:rPr>
        <w:t> </w:t>
      </w:r>
      <w:r w:rsidRPr="00E37DFA">
        <w:rPr>
          <w:b/>
          <w:bCs/>
          <w:lang w:val="fr-FR"/>
        </w:rPr>
        <w:t>:</w:t>
      </w:r>
      <w:r>
        <w:rPr>
          <w:lang w:val="fr-FR"/>
        </w:rPr>
        <w:t> »</w:t>
      </w:r>
      <w:r w:rsidRPr="00E37DFA">
        <w:rPr>
          <w:lang w:val="fr-FR"/>
        </w:rPr>
        <w:t xml:space="preserve"> en supprimant le gras et ajouter </w:t>
      </w:r>
      <w:r>
        <w:rPr>
          <w:lang w:val="fr-FR"/>
        </w:rPr>
        <w:t>« </w:t>
      </w:r>
      <w:r w:rsidRPr="00E37DFA">
        <w:rPr>
          <w:lang w:val="fr-FR"/>
        </w:rPr>
        <w:t>2)</w:t>
      </w:r>
      <w:r>
        <w:rPr>
          <w:lang w:val="fr-FR"/>
        </w:rPr>
        <w:t> »</w:t>
      </w:r>
      <w:r w:rsidRPr="00E37DFA">
        <w:rPr>
          <w:lang w:val="fr-FR"/>
        </w:rPr>
        <w:t xml:space="preserve"> avant </w:t>
      </w:r>
      <w:r>
        <w:rPr>
          <w:lang w:val="fr-FR"/>
        </w:rPr>
        <w:t>« </w:t>
      </w:r>
      <w:r w:rsidRPr="00E37DFA">
        <w:rPr>
          <w:b/>
          <w:bCs/>
          <w:lang w:val="fr-FR"/>
        </w:rPr>
        <w:t>Objets non emballés</w:t>
      </w:r>
      <w:r>
        <w:rPr>
          <w:b/>
          <w:bCs/>
          <w:lang w:val="fr-FR"/>
        </w:rPr>
        <w:t> :</w:t>
      </w:r>
      <w:r>
        <w:rPr>
          <w:lang w:val="fr-FR"/>
        </w:rPr>
        <w:t> »</w:t>
      </w:r>
      <w:r w:rsidRPr="00E37DFA">
        <w:rPr>
          <w:lang w:val="fr-FR"/>
        </w:rPr>
        <w:t xml:space="preserve"> en supprimant le gras.</w:t>
      </w:r>
    </w:p>
    <w:p w14:paraId="76C9ECA8" w14:textId="75B7105B" w:rsidR="003B11CB" w:rsidRPr="00E37DFA" w:rsidRDefault="003B11CB" w:rsidP="003B11CB">
      <w:pPr>
        <w:pStyle w:val="SingleTxtG"/>
        <w:ind w:left="2268" w:hanging="1134"/>
        <w:rPr>
          <w:lang w:val="fr-FR"/>
        </w:rPr>
      </w:pPr>
      <w:r w:rsidRPr="00E37DFA">
        <w:rPr>
          <w:lang w:val="fr-FR"/>
        </w:rPr>
        <w:t>4.1.4.3, LP904</w:t>
      </w:r>
      <w:r w:rsidRPr="00E37DFA">
        <w:rPr>
          <w:lang w:val="fr-FR"/>
        </w:rPr>
        <w:tab/>
        <w:t>À la deuxième ligne sous le titre, avant la liste numérotée, ajouter un nouveau paragraphe libellé comme suit</w:t>
      </w:r>
      <w:r w:rsidR="000F47F9">
        <w:rPr>
          <w:lang w:val="fr-FR"/>
        </w:rPr>
        <w:t> </w:t>
      </w:r>
      <w:r w:rsidRPr="00E37DFA">
        <w:rPr>
          <w:lang w:val="fr-FR"/>
        </w:rPr>
        <w:t xml:space="preserve">: </w:t>
      </w:r>
      <w:r>
        <w:rPr>
          <w:lang w:val="fr-FR"/>
        </w:rPr>
        <w:t>« </w:t>
      </w:r>
      <w:r w:rsidRPr="00E37DFA">
        <w:rPr>
          <w:lang w:val="fr-FR"/>
        </w:rPr>
        <w:t>Les grands emballages doivent également satisfaire aux prescriptions suivantes</w:t>
      </w:r>
      <w:r w:rsidR="000F47F9">
        <w:rPr>
          <w:lang w:val="fr-FR"/>
        </w:rPr>
        <w:t> </w:t>
      </w:r>
      <w:r w:rsidRPr="00E37DFA">
        <w:rPr>
          <w:lang w:val="fr-FR"/>
        </w:rPr>
        <w:t>:</w:t>
      </w:r>
      <w:r>
        <w:rPr>
          <w:lang w:val="fr-FR"/>
        </w:rPr>
        <w:t> »</w:t>
      </w:r>
      <w:r w:rsidRPr="00E37DFA">
        <w:rPr>
          <w:lang w:val="fr-FR"/>
        </w:rPr>
        <w:t>. Dans la liste, les points 1 à 5 deviennent les points a) à e).</w:t>
      </w:r>
    </w:p>
    <w:p w14:paraId="3B88F273" w14:textId="77777777" w:rsidR="003B11CB" w:rsidRPr="00E37DFA" w:rsidRDefault="003B11CB" w:rsidP="003B11CB">
      <w:pPr>
        <w:pStyle w:val="H1G"/>
        <w:rPr>
          <w:lang w:val="fr-FR"/>
        </w:rPr>
      </w:pPr>
      <w:r w:rsidRPr="00E37DFA">
        <w:rPr>
          <w:bCs/>
          <w:lang w:val="fr-FR"/>
        </w:rPr>
        <w:tab/>
      </w:r>
      <w:r w:rsidRPr="00424944">
        <w:rPr>
          <w:bCs/>
          <w:lang w:val="fr-FR"/>
        </w:rPr>
        <w:t>6</w:t>
      </w:r>
      <w:r w:rsidRPr="00E37DFA">
        <w:rPr>
          <w:bCs/>
          <w:lang w:val="fr-FR"/>
        </w:rPr>
        <w:t>.</w:t>
      </w:r>
      <w:r w:rsidRPr="00E37DFA">
        <w:rPr>
          <w:lang w:val="fr-FR"/>
        </w:rPr>
        <w:tab/>
      </w:r>
      <w:r w:rsidRPr="00E37DFA">
        <w:rPr>
          <w:bCs/>
          <w:lang w:val="fr-FR"/>
        </w:rPr>
        <w:t>Sous-titre redondant dans les dispositions supplémentaires de l</w:t>
      </w:r>
      <w:r>
        <w:rPr>
          <w:bCs/>
          <w:lang w:val="fr-FR"/>
        </w:rPr>
        <w:t>’</w:t>
      </w:r>
      <w:r w:rsidRPr="00E37DFA">
        <w:rPr>
          <w:bCs/>
          <w:lang w:val="fr-FR"/>
        </w:rPr>
        <w:t>instruction d</w:t>
      </w:r>
      <w:r>
        <w:rPr>
          <w:bCs/>
          <w:lang w:val="fr-FR"/>
        </w:rPr>
        <w:t>’</w:t>
      </w:r>
      <w:r w:rsidRPr="00E37DFA">
        <w:rPr>
          <w:bCs/>
          <w:lang w:val="fr-FR"/>
        </w:rPr>
        <w:t>emballage P904</w:t>
      </w:r>
    </w:p>
    <w:p w14:paraId="0FCA04B7" w14:textId="6C6A7889" w:rsidR="003B11CB" w:rsidRPr="00E37DFA" w:rsidRDefault="003B11CB" w:rsidP="003B11CB">
      <w:pPr>
        <w:pStyle w:val="SingleTxtG"/>
        <w:rPr>
          <w:lang w:val="fr-FR"/>
        </w:rPr>
      </w:pPr>
      <w:r w:rsidRPr="00E37DFA">
        <w:rPr>
          <w:lang w:val="fr-FR"/>
        </w:rPr>
        <w:t>13.</w:t>
      </w:r>
      <w:r w:rsidRPr="00E37DFA">
        <w:rPr>
          <w:lang w:val="fr-FR"/>
        </w:rPr>
        <w:tab/>
        <w:t>Les dispositions supplémentaires de l</w:t>
      </w:r>
      <w:r>
        <w:rPr>
          <w:lang w:val="fr-FR"/>
        </w:rPr>
        <w:t>’</w:t>
      </w:r>
      <w:r w:rsidRPr="00E37DFA">
        <w:rPr>
          <w:lang w:val="fr-FR"/>
        </w:rPr>
        <w:t>instruction d</w:t>
      </w:r>
      <w:r>
        <w:rPr>
          <w:lang w:val="fr-FR"/>
        </w:rPr>
        <w:t>’</w:t>
      </w:r>
      <w:r w:rsidRPr="00E37DFA">
        <w:rPr>
          <w:lang w:val="fr-FR"/>
        </w:rPr>
        <w:t>emballage P904 contiennent un sous-titre libellé comme suit</w:t>
      </w:r>
      <w:r w:rsidR="000F47F9">
        <w:rPr>
          <w:lang w:val="fr-FR"/>
        </w:rPr>
        <w:t> </w:t>
      </w:r>
      <w:r w:rsidRPr="00E37DFA">
        <w:rPr>
          <w:lang w:val="fr-FR"/>
        </w:rPr>
        <w:t xml:space="preserve">: </w:t>
      </w:r>
      <w:r>
        <w:rPr>
          <w:lang w:val="fr-FR"/>
        </w:rPr>
        <w:t>« </w:t>
      </w:r>
      <w:r w:rsidRPr="00936164">
        <w:rPr>
          <w:u w:val="single"/>
          <w:lang w:val="fr-FR"/>
        </w:rPr>
        <w:t>Glace, neige carbonique et azote liquide</w:t>
      </w:r>
      <w:r>
        <w:rPr>
          <w:lang w:val="fr-FR"/>
        </w:rPr>
        <w:t> »</w:t>
      </w:r>
      <w:r w:rsidRPr="00E37DFA">
        <w:rPr>
          <w:lang w:val="fr-FR"/>
        </w:rPr>
        <w:t>. Il s</w:t>
      </w:r>
      <w:r>
        <w:rPr>
          <w:lang w:val="fr-FR"/>
        </w:rPr>
        <w:t>’</w:t>
      </w:r>
      <w:r w:rsidRPr="00E37DFA">
        <w:rPr>
          <w:lang w:val="fr-FR"/>
        </w:rPr>
        <w:t>agit de la seule instruction d</w:t>
      </w:r>
      <w:r>
        <w:rPr>
          <w:lang w:val="fr-FR"/>
        </w:rPr>
        <w:t>’</w:t>
      </w:r>
      <w:r w:rsidRPr="00E37DFA">
        <w:rPr>
          <w:lang w:val="fr-FR"/>
        </w:rPr>
        <w:t>emballage comprenant un tel sous-titre. En outre, ce sous-titre est superflu, car, dans le texte des dispositions supplémentaires, il est clairement précisé que celles-ci s</w:t>
      </w:r>
      <w:r>
        <w:rPr>
          <w:lang w:val="fr-FR"/>
        </w:rPr>
        <w:t>’</w:t>
      </w:r>
      <w:r w:rsidRPr="00E37DFA">
        <w:rPr>
          <w:lang w:val="fr-FR"/>
        </w:rPr>
        <w:t>appliquent à la glace, à la neige carbonique et à l</w:t>
      </w:r>
      <w:r>
        <w:rPr>
          <w:lang w:val="fr-FR"/>
        </w:rPr>
        <w:t>’</w:t>
      </w:r>
      <w:r w:rsidRPr="00E37DFA">
        <w:rPr>
          <w:lang w:val="fr-FR"/>
        </w:rPr>
        <w:t>azote liquide. Par conséquent, le secrétariat propose de supprimer le sous-titre.</w:t>
      </w:r>
    </w:p>
    <w:p w14:paraId="54239946" w14:textId="77777777" w:rsidR="003B11CB" w:rsidRPr="00E37DFA" w:rsidRDefault="003B11CB" w:rsidP="003B11CB">
      <w:pPr>
        <w:pStyle w:val="H23G"/>
        <w:rPr>
          <w:lang w:val="fr-FR"/>
        </w:rPr>
      </w:pPr>
      <w:r w:rsidRPr="00E37DFA">
        <w:rPr>
          <w:lang w:val="fr-FR"/>
        </w:rPr>
        <w:tab/>
      </w:r>
      <w:r w:rsidRPr="00E37DFA">
        <w:rPr>
          <w:lang w:val="fr-FR"/>
        </w:rPr>
        <w:tab/>
      </w:r>
      <w:r w:rsidRPr="00E37DFA">
        <w:rPr>
          <w:bCs/>
          <w:lang w:val="fr-FR"/>
        </w:rPr>
        <w:t>Proposition 6</w:t>
      </w:r>
    </w:p>
    <w:p w14:paraId="74BC067E" w14:textId="2E81347C" w:rsidR="003B11CB" w:rsidRPr="00E37DFA" w:rsidRDefault="003B11CB" w:rsidP="003B11CB">
      <w:pPr>
        <w:pStyle w:val="SingleTxtG"/>
        <w:ind w:left="2268" w:hanging="1134"/>
        <w:rPr>
          <w:lang w:val="fr-FR"/>
        </w:rPr>
      </w:pPr>
      <w:r w:rsidRPr="00E37DFA">
        <w:rPr>
          <w:lang w:val="fr-FR"/>
        </w:rPr>
        <w:t>4.1.4.1, P904</w:t>
      </w:r>
      <w:r w:rsidRPr="00E37DFA">
        <w:rPr>
          <w:lang w:val="fr-FR"/>
        </w:rPr>
        <w:tab/>
        <w:t>Dans les dispositions supplémentaires, supprimer la première ligne</w:t>
      </w:r>
      <w:r>
        <w:rPr>
          <w:lang w:val="fr-FR"/>
        </w:rPr>
        <w:t>,</w:t>
      </w:r>
      <w:r w:rsidRPr="00E37DFA">
        <w:rPr>
          <w:lang w:val="fr-FR"/>
        </w:rPr>
        <w:t xml:space="preserve"> libellée comme suit</w:t>
      </w:r>
      <w:r w:rsidR="000F47F9">
        <w:rPr>
          <w:lang w:val="fr-FR"/>
        </w:rPr>
        <w:t> </w:t>
      </w:r>
      <w:r w:rsidRPr="00E37DFA">
        <w:rPr>
          <w:lang w:val="fr-FR"/>
        </w:rPr>
        <w:t xml:space="preserve">: </w:t>
      </w:r>
      <w:r>
        <w:rPr>
          <w:lang w:val="fr-FR"/>
        </w:rPr>
        <w:t>« </w:t>
      </w:r>
      <w:r w:rsidRPr="00936164">
        <w:rPr>
          <w:u w:val="single"/>
          <w:lang w:val="fr-FR"/>
        </w:rPr>
        <w:t>Glace, neige carbonique et azote liquide</w:t>
      </w:r>
      <w:r>
        <w:rPr>
          <w:lang w:val="fr-FR"/>
        </w:rPr>
        <w:t> »</w:t>
      </w:r>
      <w:r w:rsidRPr="00E37DFA">
        <w:rPr>
          <w:lang w:val="fr-FR"/>
        </w:rPr>
        <w:t>.</w:t>
      </w:r>
    </w:p>
    <w:p w14:paraId="6C51F779" w14:textId="77777777" w:rsidR="003B11CB" w:rsidRPr="00E37DFA" w:rsidRDefault="003B11CB" w:rsidP="003B11CB">
      <w:pPr>
        <w:pStyle w:val="H1G"/>
        <w:rPr>
          <w:lang w:val="fr-FR"/>
        </w:rPr>
      </w:pPr>
      <w:r w:rsidRPr="00E37DFA">
        <w:rPr>
          <w:bCs/>
          <w:lang w:val="fr-FR"/>
        </w:rPr>
        <w:tab/>
        <w:t>7.</w:t>
      </w:r>
      <w:r w:rsidRPr="00E37DFA">
        <w:rPr>
          <w:lang w:val="fr-FR"/>
        </w:rPr>
        <w:tab/>
      </w:r>
      <w:r w:rsidRPr="00E37DFA">
        <w:rPr>
          <w:bCs/>
          <w:lang w:val="fr-FR"/>
        </w:rPr>
        <w:t>Réorganisation des instructions d</w:t>
      </w:r>
      <w:r>
        <w:rPr>
          <w:bCs/>
          <w:lang w:val="fr-FR"/>
        </w:rPr>
        <w:t>’</w:t>
      </w:r>
      <w:r w:rsidRPr="00E37DFA">
        <w:rPr>
          <w:bCs/>
          <w:lang w:val="fr-FR"/>
        </w:rPr>
        <w:t>emballage P600 et P803</w:t>
      </w:r>
    </w:p>
    <w:p w14:paraId="1F8FC5C9" w14:textId="02D9B46A" w:rsidR="003B11CB" w:rsidRPr="00E37DFA" w:rsidRDefault="003B11CB" w:rsidP="003B11CB">
      <w:pPr>
        <w:pStyle w:val="SingleTxtG"/>
        <w:rPr>
          <w:lang w:val="fr-FR"/>
        </w:rPr>
      </w:pPr>
      <w:r w:rsidRPr="00E37DFA">
        <w:rPr>
          <w:lang w:val="fr-FR"/>
        </w:rPr>
        <w:t>14.</w:t>
      </w:r>
      <w:r w:rsidRPr="00E37DFA">
        <w:rPr>
          <w:lang w:val="fr-FR"/>
        </w:rPr>
        <w:tab/>
        <w:t>L</w:t>
      </w:r>
      <w:r>
        <w:rPr>
          <w:lang w:val="fr-FR"/>
        </w:rPr>
        <w:t>’</w:t>
      </w:r>
      <w:r w:rsidRPr="00E37DFA">
        <w:rPr>
          <w:lang w:val="fr-FR"/>
        </w:rPr>
        <w:t>instruction d</w:t>
      </w:r>
      <w:r>
        <w:rPr>
          <w:lang w:val="fr-FR"/>
        </w:rPr>
        <w:t>’</w:t>
      </w:r>
      <w:r w:rsidRPr="00E37DFA">
        <w:rPr>
          <w:lang w:val="fr-FR"/>
        </w:rPr>
        <w:t xml:space="preserve">emballage P600 est très semblable, du point de vue du contenu, à </w:t>
      </w:r>
      <w:r>
        <w:rPr>
          <w:lang w:val="fr-FR"/>
        </w:rPr>
        <w:t>l’instruction</w:t>
      </w:r>
      <w:r w:rsidRPr="00E37DFA">
        <w:rPr>
          <w:lang w:val="fr-FR"/>
        </w:rPr>
        <w:t xml:space="preserve"> P803, mais elle est présentée sous la forme d</w:t>
      </w:r>
      <w:r>
        <w:rPr>
          <w:lang w:val="fr-FR"/>
        </w:rPr>
        <w:t>’</w:t>
      </w:r>
      <w:r w:rsidRPr="00E37DFA">
        <w:rPr>
          <w:lang w:val="fr-FR"/>
        </w:rPr>
        <w:t>un grand bloc de texte</w:t>
      </w:r>
      <w:r>
        <w:rPr>
          <w:lang w:val="fr-FR"/>
        </w:rPr>
        <w:t>,</w:t>
      </w:r>
      <w:r w:rsidRPr="00E37DFA">
        <w:rPr>
          <w:lang w:val="fr-FR"/>
        </w:rPr>
        <w:t xml:space="preserve"> au lieu d</w:t>
      </w:r>
      <w:r>
        <w:rPr>
          <w:lang w:val="fr-FR"/>
        </w:rPr>
        <w:t>’</w:t>
      </w:r>
      <w:r w:rsidRPr="00E37DFA">
        <w:rPr>
          <w:lang w:val="fr-FR"/>
        </w:rPr>
        <w:t>être plus structuré</w:t>
      </w:r>
      <w:r>
        <w:rPr>
          <w:lang w:val="fr-FR"/>
        </w:rPr>
        <w:t>e</w:t>
      </w:r>
      <w:r w:rsidRPr="00E37DFA">
        <w:rPr>
          <w:lang w:val="fr-FR"/>
        </w:rPr>
        <w:t xml:space="preserve"> comme </w:t>
      </w:r>
      <w:r>
        <w:rPr>
          <w:lang w:val="fr-FR"/>
        </w:rPr>
        <w:t xml:space="preserve">la </w:t>
      </w:r>
      <w:r w:rsidRPr="00E37DFA">
        <w:rPr>
          <w:lang w:val="fr-FR"/>
        </w:rPr>
        <w:t>P803. Nous proposons de modifier le deuxième paragraphe de la deuxième ligne sous le titre afin de l</w:t>
      </w:r>
      <w:r>
        <w:rPr>
          <w:lang w:val="fr-FR"/>
        </w:rPr>
        <w:t>’</w:t>
      </w:r>
      <w:r w:rsidRPr="00E37DFA">
        <w:rPr>
          <w:lang w:val="fr-FR"/>
        </w:rPr>
        <w:t>harmoniser avec la structure des autres instructions d</w:t>
      </w:r>
      <w:r>
        <w:rPr>
          <w:lang w:val="fr-FR"/>
        </w:rPr>
        <w:t>’</w:t>
      </w:r>
      <w:r w:rsidRPr="00E37DFA">
        <w:rPr>
          <w:lang w:val="fr-FR"/>
        </w:rPr>
        <w:t>emballage en général</w:t>
      </w:r>
      <w:r>
        <w:rPr>
          <w:lang w:val="fr-FR"/>
        </w:rPr>
        <w:t>,</w:t>
      </w:r>
      <w:r w:rsidRPr="00E37DFA">
        <w:rPr>
          <w:lang w:val="fr-FR"/>
        </w:rPr>
        <w:t xml:space="preserve"> et de celle </w:t>
      </w:r>
      <w:r w:rsidRPr="00DB5601">
        <w:rPr>
          <w:lang w:val="fr-FR"/>
        </w:rPr>
        <w:t>de la</w:t>
      </w:r>
      <w:r>
        <w:rPr>
          <w:lang w:val="fr-FR"/>
        </w:rPr>
        <w:t xml:space="preserve"> </w:t>
      </w:r>
      <w:r w:rsidRPr="00E37DFA">
        <w:rPr>
          <w:lang w:val="fr-FR"/>
        </w:rPr>
        <w:t>P803 en particulier. Il s</w:t>
      </w:r>
      <w:r>
        <w:rPr>
          <w:lang w:val="fr-FR"/>
        </w:rPr>
        <w:t>’</w:t>
      </w:r>
      <w:r w:rsidRPr="00E37DFA">
        <w:rPr>
          <w:lang w:val="fr-FR"/>
        </w:rPr>
        <w:t>agit d</w:t>
      </w:r>
      <w:r>
        <w:rPr>
          <w:lang w:val="fr-FR"/>
        </w:rPr>
        <w:t>’</w:t>
      </w:r>
      <w:r w:rsidRPr="00E37DFA">
        <w:rPr>
          <w:lang w:val="fr-FR"/>
        </w:rPr>
        <w:t>apporter quelques légères modifications au texte actuel, l</w:t>
      </w:r>
      <w:r>
        <w:rPr>
          <w:lang w:val="fr-FR"/>
        </w:rPr>
        <w:t>’</w:t>
      </w:r>
      <w:r w:rsidRPr="00E37DFA">
        <w:rPr>
          <w:lang w:val="fr-FR"/>
        </w:rPr>
        <w:t xml:space="preserve">intention </w:t>
      </w:r>
      <w:r>
        <w:rPr>
          <w:lang w:val="fr-FR"/>
        </w:rPr>
        <w:t xml:space="preserve">étant </w:t>
      </w:r>
      <w:r w:rsidRPr="00E37DFA">
        <w:rPr>
          <w:lang w:val="fr-FR"/>
        </w:rPr>
        <w:t>de conserver le même sens</w:t>
      </w:r>
      <w:r>
        <w:rPr>
          <w:lang w:val="fr-FR"/>
        </w:rPr>
        <w:t>,</w:t>
      </w:r>
      <w:r w:rsidRPr="00E37DFA">
        <w:rPr>
          <w:lang w:val="fr-FR"/>
        </w:rPr>
        <w:t xml:space="preserve"> </w:t>
      </w:r>
      <w:r>
        <w:rPr>
          <w:lang w:val="fr-FR"/>
        </w:rPr>
        <w:t xml:space="preserve">mais de faire en sorte que le texte soit </w:t>
      </w:r>
      <w:r w:rsidRPr="00E37DFA">
        <w:rPr>
          <w:lang w:val="fr-FR"/>
        </w:rPr>
        <w:t>plus lisible et plus facile à comprendre.</w:t>
      </w:r>
    </w:p>
    <w:p w14:paraId="69A367FD" w14:textId="772B9735" w:rsidR="003B11CB" w:rsidRPr="000F47F9" w:rsidRDefault="003B11CB" w:rsidP="003B11CB">
      <w:pPr>
        <w:pStyle w:val="SingleTxtG"/>
        <w:rPr>
          <w:spacing w:val="-4"/>
          <w:lang w:val="fr-FR"/>
        </w:rPr>
      </w:pPr>
      <w:r w:rsidRPr="000F47F9">
        <w:rPr>
          <w:spacing w:val="-4"/>
          <w:lang w:val="fr-FR"/>
        </w:rPr>
        <w:t>15.</w:t>
      </w:r>
      <w:r w:rsidRPr="000F47F9">
        <w:rPr>
          <w:spacing w:val="-4"/>
          <w:lang w:val="fr-FR"/>
        </w:rPr>
        <w:tab/>
        <w:t>Par souci de cohérence, le secrétariat propose de modifier légèrement l’instruction d’emballage P803 en déplaçant la ligne relative à la masse nette maximale à la fin de l’instruction et en supprimant les chiffres (voir la justification au point 5 de la section II ci</w:t>
      </w:r>
      <w:r w:rsidR="000F47F9" w:rsidRPr="000F47F9">
        <w:rPr>
          <w:spacing w:val="-4"/>
          <w:lang w:val="fr-FR"/>
        </w:rPr>
        <w:noBreakHyphen/>
      </w:r>
      <w:r w:rsidRPr="000F47F9">
        <w:rPr>
          <w:spacing w:val="-4"/>
          <w:lang w:val="fr-FR"/>
        </w:rPr>
        <w:t>dessus).</w:t>
      </w:r>
    </w:p>
    <w:p w14:paraId="3CD9490D" w14:textId="77777777" w:rsidR="003B11CB" w:rsidRPr="00E37DFA" w:rsidRDefault="003B11CB" w:rsidP="003B11CB">
      <w:pPr>
        <w:pStyle w:val="H23G"/>
        <w:rPr>
          <w:lang w:val="fr-FR"/>
        </w:rPr>
      </w:pPr>
      <w:r w:rsidRPr="00E37DFA">
        <w:rPr>
          <w:lang w:val="fr-FR"/>
        </w:rPr>
        <w:tab/>
      </w:r>
      <w:r w:rsidRPr="00E37DFA">
        <w:rPr>
          <w:lang w:val="fr-FR"/>
        </w:rPr>
        <w:tab/>
      </w:r>
      <w:r w:rsidRPr="00E37DFA">
        <w:rPr>
          <w:bCs/>
          <w:lang w:val="fr-FR"/>
        </w:rPr>
        <w:t>Proposition 7</w:t>
      </w:r>
    </w:p>
    <w:p w14:paraId="76D44007" w14:textId="77777777" w:rsidR="003B11CB" w:rsidRPr="00E37DFA" w:rsidRDefault="003B11CB" w:rsidP="003B11CB">
      <w:pPr>
        <w:pStyle w:val="SingleTxtG"/>
        <w:ind w:left="2268" w:hanging="1134"/>
        <w:rPr>
          <w:lang w:val="fr-FR"/>
        </w:rPr>
      </w:pPr>
      <w:r w:rsidRPr="00E37DFA">
        <w:rPr>
          <w:lang w:val="fr-FR"/>
        </w:rPr>
        <w:t>4.1.4.1, P600</w:t>
      </w:r>
      <w:r w:rsidRPr="00E37DFA">
        <w:rPr>
          <w:lang w:val="fr-FR"/>
        </w:rPr>
        <w:tab/>
        <w:t xml:space="preserve">Modifier </w:t>
      </w:r>
      <w:r>
        <w:rPr>
          <w:lang w:val="fr-FR"/>
        </w:rPr>
        <w:t xml:space="preserve">comme suit </w:t>
      </w:r>
      <w:r w:rsidRPr="00E37DFA">
        <w:rPr>
          <w:lang w:val="fr-FR"/>
        </w:rPr>
        <w:t>la deuxième ligne sous le titre :</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639"/>
      </w:tblGrid>
      <w:tr w:rsidR="003B11CB" w:rsidRPr="00E37DFA" w14:paraId="487B87F9" w14:textId="77777777" w:rsidTr="00693D63">
        <w:trPr>
          <w:trHeight w:val="20"/>
        </w:trPr>
        <w:tc>
          <w:tcPr>
            <w:tcW w:w="5000" w:type="pct"/>
            <w:tcBorders>
              <w:top w:val="single" w:sz="6" w:space="0" w:color="auto"/>
              <w:left w:val="single" w:sz="6" w:space="0" w:color="auto"/>
              <w:bottom w:val="single" w:sz="6" w:space="0" w:color="auto"/>
              <w:right w:val="single" w:sz="6" w:space="0" w:color="auto"/>
            </w:tcBorders>
          </w:tcPr>
          <w:p w14:paraId="47A9313F" w14:textId="5F57B314" w:rsidR="003B11CB" w:rsidRPr="00E37DFA" w:rsidRDefault="003B11CB" w:rsidP="000F47F9">
            <w:pPr>
              <w:pStyle w:val="Pnormal"/>
              <w:rPr>
                <w:lang w:val="fr-FR"/>
              </w:rPr>
            </w:pPr>
            <w:r w:rsidRPr="00E37DFA">
              <w:rPr>
                <w:lang w:val="fr-FR"/>
              </w:rPr>
              <w:t>Les emballages suivants sont autorisés s</w:t>
            </w:r>
            <w:r>
              <w:rPr>
                <w:lang w:val="fr-FR"/>
              </w:rPr>
              <w:t>’</w:t>
            </w:r>
            <w:r w:rsidRPr="00E37DFA">
              <w:rPr>
                <w:lang w:val="fr-FR"/>
              </w:rPr>
              <w:t xml:space="preserve">il est satisfait aux dispositions </w:t>
            </w:r>
            <w:r w:rsidRPr="00936164">
              <w:rPr>
                <w:lang w:val="fr-FR"/>
              </w:rPr>
              <w:t xml:space="preserve">générales des </w:t>
            </w:r>
            <w:r w:rsidRPr="00936164">
              <w:rPr>
                <w:b/>
                <w:bCs/>
                <w:lang w:val="fr-FR"/>
              </w:rPr>
              <w:t>4.1.1</w:t>
            </w:r>
            <w:r w:rsidRPr="00936164">
              <w:rPr>
                <w:lang w:val="fr-FR"/>
              </w:rPr>
              <w:t xml:space="preserve"> et </w:t>
            </w:r>
            <w:r w:rsidRPr="00936164">
              <w:rPr>
                <w:b/>
                <w:bCs/>
                <w:lang w:val="fr-FR"/>
              </w:rPr>
              <w:t>4.1.3</w:t>
            </w:r>
            <w:r w:rsidR="000F47F9" w:rsidRPr="00936164">
              <w:rPr>
                <w:lang w:val="fr-FR"/>
              </w:rPr>
              <w:t> </w:t>
            </w:r>
            <w:r w:rsidRPr="00936164">
              <w:rPr>
                <w:lang w:val="fr-FR"/>
              </w:rPr>
              <w:t>:</w:t>
            </w:r>
          </w:p>
          <w:p w14:paraId="40D31C85" w14:textId="030E8075" w:rsidR="003B11CB" w:rsidRPr="00473DAC" w:rsidRDefault="003B11CB" w:rsidP="00C715AA">
            <w:pPr>
              <w:pStyle w:val="Ph08"/>
              <w:keepNext/>
              <w:rPr>
                <w:lang w:val="en-US"/>
              </w:rPr>
            </w:pPr>
            <w:r w:rsidRPr="00E37DFA">
              <w:rPr>
                <w:lang w:val="fr-FR"/>
              </w:rPr>
              <w:tab/>
            </w:r>
            <w:proofErr w:type="spellStart"/>
            <w:r w:rsidRPr="00473DAC">
              <w:rPr>
                <w:lang w:val="en-US"/>
              </w:rPr>
              <w:t>Fûts</w:t>
            </w:r>
            <w:proofErr w:type="spellEnd"/>
            <w:r w:rsidRPr="00473DAC">
              <w:rPr>
                <w:lang w:val="en-US"/>
              </w:rPr>
              <w:t xml:space="preserve"> (1A1, 1A2, 1B1, 1B2, 1N1, 1N2, 1H1, 1H2, 1D, 1G</w:t>
            </w:r>
            <w:proofErr w:type="gramStart"/>
            <w:r w:rsidRPr="00473DAC">
              <w:rPr>
                <w:lang w:val="en-US"/>
              </w:rPr>
              <w:t>)</w:t>
            </w:r>
            <w:r w:rsidR="000F47F9">
              <w:rPr>
                <w:lang w:val="en-US"/>
              </w:rPr>
              <w:t> </w:t>
            </w:r>
            <w:r w:rsidRPr="00473DAC">
              <w:rPr>
                <w:lang w:val="en-US"/>
              </w:rPr>
              <w:t>;</w:t>
            </w:r>
            <w:proofErr w:type="gramEnd"/>
          </w:p>
          <w:p w14:paraId="7DFA03F6" w14:textId="77777777" w:rsidR="003B11CB" w:rsidRPr="00E37DFA" w:rsidRDefault="003B11CB" w:rsidP="00C715AA">
            <w:pPr>
              <w:pStyle w:val="Ph08"/>
              <w:keepNext/>
              <w:rPr>
                <w:lang w:val="fr-FR"/>
              </w:rPr>
            </w:pPr>
            <w:r w:rsidRPr="00473DAC">
              <w:rPr>
                <w:lang w:val="en-US"/>
              </w:rPr>
              <w:tab/>
            </w:r>
            <w:r w:rsidRPr="00E37DFA">
              <w:rPr>
                <w:lang w:val="fr-FR"/>
              </w:rPr>
              <w:t>Caisses (4A, 4B, 4N, 4C1, 4C2, 4D, 4F, 4G, 4H2).</w:t>
            </w:r>
          </w:p>
          <w:p w14:paraId="7B76F8E9" w14:textId="77777777" w:rsidR="003B11CB" w:rsidRPr="00E37DFA" w:rsidRDefault="003B11CB" w:rsidP="00C715AA">
            <w:pPr>
              <w:pStyle w:val="Pnormal"/>
              <w:keepNext/>
              <w:rPr>
                <w:lang w:val="fr-FR"/>
              </w:rPr>
            </w:pPr>
            <w:r w:rsidRPr="00E37DFA">
              <w:rPr>
                <w:lang w:val="fr-FR"/>
              </w:rPr>
              <w:t>Les emballages extérieurs doivent satisfaire au niveau d</w:t>
            </w:r>
            <w:r>
              <w:rPr>
                <w:lang w:val="fr-FR"/>
              </w:rPr>
              <w:t>’</w:t>
            </w:r>
            <w:r w:rsidRPr="00E37DFA">
              <w:rPr>
                <w:lang w:val="fr-FR"/>
              </w:rPr>
              <w:t>épreuve du groupe d</w:t>
            </w:r>
            <w:r>
              <w:rPr>
                <w:lang w:val="fr-FR"/>
              </w:rPr>
              <w:t>’</w:t>
            </w:r>
            <w:r w:rsidRPr="00E37DFA">
              <w:rPr>
                <w:lang w:val="fr-FR"/>
              </w:rPr>
              <w:t>emballage II.</w:t>
            </w:r>
          </w:p>
          <w:p w14:paraId="1E380F4A" w14:textId="77777777" w:rsidR="003B11CB" w:rsidRPr="00E37DFA" w:rsidRDefault="003B11CB" w:rsidP="00C715AA">
            <w:pPr>
              <w:pStyle w:val="Pnormal"/>
              <w:keepNext/>
              <w:rPr>
                <w:lang w:val="fr-FR"/>
              </w:rPr>
            </w:pPr>
            <w:r w:rsidRPr="00E37DFA">
              <w:rPr>
                <w:lang w:val="fr-FR"/>
              </w:rPr>
              <w:t>Les objets doivent être emballés individuellement et séparés les uns des autres par des cloisons, des séparations, des emballages intérieurs ou du matériau de rembourrage, afin d</w:t>
            </w:r>
            <w:r>
              <w:rPr>
                <w:lang w:val="fr-FR"/>
              </w:rPr>
              <w:t>’</w:t>
            </w:r>
            <w:r w:rsidRPr="00E37DFA">
              <w:rPr>
                <w:lang w:val="fr-FR"/>
              </w:rPr>
              <w:t>éviter toute décharge accidentelle dans des conditions normales de transport.</w:t>
            </w:r>
          </w:p>
          <w:p w14:paraId="67AF3B1C" w14:textId="095936D5" w:rsidR="003B11CB" w:rsidRPr="00E37DFA" w:rsidRDefault="003B11CB" w:rsidP="00C715AA">
            <w:pPr>
              <w:pStyle w:val="Pnormal"/>
              <w:rPr>
                <w:lang w:val="fr-FR"/>
              </w:rPr>
            </w:pPr>
            <w:r w:rsidRPr="00E37DFA">
              <w:rPr>
                <w:lang w:val="fr-FR"/>
              </w:rPr>
              <w:t>Masse nette maximale</w:t>
            </w:r>
            <w:r w:rsidR="00693D63">
              <w:rPr>
                <w:lang w:val="fr-FR"/>
              </w:rPr>
              <w:t> </w:t>
            </w:r>
            <w:r w:rsidRPr="00E37DFA">
              <w:rPr>
                <w:lang w:val="fr-FR"/>
              </w:rPr>
              <w:t>: 75 kg</w:t>
            </w:r>
          </w:p>
        </w:tc>
      </w:tr>
    </w:tbl>
    <w:p w14:paraId="461C3D63" w14:textId="3E99465F" w:rsidR="003B11CB" w:rsidRPr="00E37DFA" w:rsidRDefault="003B11CB" w:rsidP="000F47F9">
      <w:pPr>
        <w:pStyle w:val="SingleTxtG"/>
        <w:keepNext/>
        <w:spacing w:before="120"/>
        <w:ind w:left="2268" w:hanging="1134"/>
        <w:rPr>
          <w:lang w:val="fr-FR"/>
        </w:rPr>
      </w:pPr>
      <w:r w:rsidRPr="00E37DFA">
        <w:rPr>
          <w:lang w:val="fr-FR"/>
        </w:rPr>
        <w:lastRenderedPageBreak/>
        <w:t>4.1.4.1, P803</w:t>
      </w:r>
      <w:r w:rsidRPr="00E37DFA">
        <w:rPr>
          <w:lang w:val="fr-FR"/>
        </w:rPr>
        <w:tab/>
        <w:t>Modifier comme suit la deuxième ligne sous le titre</w:t>
      </w:r>
      <w:r w:rsidR="00693D63">
        <w:rPr>
          <w:lang w:val="fr-FR"/>
        </w:rPr>
        <w:t> </w:t>
      </w:r>
      <w:r w:rsidRPr="00E37DFA">
        <w:rPr>
          <w:lang w:val="fr-FR"/>
        </w:rPr>
        <w:t>:</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639"/>
      </w:tblGrid>
      <w:tr w:rsidR="003B11CB" w:rsidRPr="00E37DFA" w14:paraId="1D1F0D80" w14:textId="77777777" w:rsidTr="00693D63">
        <w:trPr>
          <w:trHeight w:val="20"/>
        </w:trPr>
        <w:tc>
          <w:tcPr>
            <w:tcW w:w="5000" w:type="pct"/>
            <w:tcBorders>
              <w:top w:val="single" w:sz="6" w:space="0" w:color="auto"/>
              <w:left w:val="single" w:sz="6" w:space="0" w:color="auto"/>
              <w:right w:val="single" w:sz="6" w:space="0" w:color="auto"/>
            </w:tcBorders>
          </w:tcPr>
          <w:p w14:paraId="446BE850" w14:textId="192D7ECF" w:rsidR="003B11CB" w:rsidRPr="00E37DFA" w:rsidRDefault="003B11CB" w:rsidP="00C715AA">
            <w:pPr>
              <w:pStyle w:val="Pnormal"/>
              <w:rPr>
                <w:lang w:val="fr-FR"/>
              </w:rPr>
            </w:pPr>
            <w:r w:rsidRPr="00E37DFA">
              <w:rPr>
                <w:lang w:val="fr-FR"/>
              </w:rPr>
              <w:t>Les emballages suivants sont autorisés s</w:t>
            </w:r>
            <w:r>
              <w:rPr>
                <w:lang w:val="fr-FR"/>
              </w:rPr>
              <w:t>’</w:t>
            </w:r>
            <w:r w:rsidRPr="00E37DFA">
              <w:rPr>
                <w:lang w:val="fr-FR"/>
              </w:rPr>
              <w:t xml:space="preserve">il est satisfait aux dispositions </w:t>
            </w:r>
            <w:r w:rsidRPr="00936164">
              <w:rPr>
                <w:lang w:val="fr-FR"/>
              </w:rPr>
              <w:t xml:space="preserve">générales des </w:t>
            </w:r>
            <w:r w:rsidRPr="00936164">
              <w:rPr>
                <w:b/>
                <w:bCs/>
                <w:lang w:val="fr-FR"/>
              </w:rPr>
              <w:t>4.1.1</w:t>
            </w:r>
            <w:r w:rsidRPr="00936164">
              <w:rPr>
                <w:lang w:val="fr-FR"/>
              </w:rPr>
              <w:t xml:space="preserve"> et </w:t>
            </w:r>
            <w:r w:rsidRPr="00936164">
              <w:rPr>
                <w:b/>
                <w:bCs/>
                <w:lang w:val="fr-FR"/>
              </w:rPr>
              <w:t>4.1.3</w:t>
            </w:r>
            <w:r w:rsidR="00693D63" w:rsidRPr="00936164">
              <w:rPr>
                <w:lang w:val="fr-FR"/>
              </w:rPr>
              <w:t> </w:t>
            </w:r>
            <w:r w:rsidRPr="00936164">
              <w:rPr>
                <w:lang w:val="fr-FR"/>
              </w:rPr>
              <w:t>:</w:t>
            </w:r>
          </w:p>
          <w:p w14:paraId="7ABC2DBC" w14:textId="56134DA1" w:rsidR="003B11CB" w:rsidRPr="00473DAC" w:rsidRDefault="003B11CB" w:rsidP="00C715AA">
            <w:pPr>
              <w:pStyle w:val="Ph08"/>
              <w:rPr>
                <w:lang w:val="en-US"/>
              </w:rPr>
            </w:pPr>
            <w:r w:rsidRPr="00E37DFA">
              <w:rPr>
                <w:lang w:val="fr-FR"/>
              </w:rPr>
              <w:tab/>
            </w:r>
            <w:proofErr w:type="spellStart"/>
            <w:r w:rsidRPr="00473DAC">
              <w:rPr>
                <w:lang w:val="en-US"/>
              </w:rPr>
              <w:t>Fûts</w:t>
            </w:r>
            <w:proofErr w:type="spellEnd"/>
            <w:r w:rsidRPr="00473DAC">
              <w:rPr>
                <w:lang w:val="en-US"/>
              </w:rPr>
              <w:t xml:space="preserve"> (1A2, 1B2, 1N2, 1H2, 1D, 1G</w:t>
            </w:r>
            <w:proofErr w:type="gramStart"/>
            <w:r w:rsidRPr="00473DAC">
              <w:rPr>
                <w:lang w:val="en-US"/>
              </w:rPr>
              <w:t>)</w:t>
            </w:r>
            <w:r w:rsidR="00693D63">
              <w:rPr>
                <w:lang w:val="en-US"/>
              </w:rPr>
              <w:t> </w:t>
            </w:r>
            <w:r w:rsidRPr="00473DAC">
              <w:rPr>
                <w:lang w:val="en-US"/>
              </w:rPr>
              <w:t>;</w:t>
            </w:r>
            <w:proofErr w:type="gramEnd"/>
          </w:p>
          <w:p w14:paraId="20337BFC" w14:textId="77777777" w:rsidR="003B11CB" w:rsidRPr="00E37DFA" w:rsidRDefault="003B11CB" w:rsidP="00C715AA">
            <w:pPr>
              <w:pStyle w:val="Ph08"/>
              <w:rPr>
                <w:lang w:val="fr-FR"/>
              </w:rPr>
            </w:pPr>
            <w:r w:rsidRPr="00473DAC">
              <w:rPr>
                <w:lang w:val="en-US"/>
              </w:rPr>
              <w:tab/>
            </w:r>
            <w:r w:rsidRPr="00E37DFA">
              <w:rPr>
                <w:lang w:val="fr-FR"/>
              </w:rPr>
              <w:t>Caisses (4A, 4B, 4N, 4C1, 4C2, 4D, 4F, 4G, 4H2).</w:t>
            </w:r>
          </w:p>
          <w:p w14:paraId="72284198" w14:textId="77777777" w:rsidR="003B11CB" w:rsidRPr="00E37DFA" w:rsidRDefault="003B11CB" w:rsidP="00C715AA">
            <w:pPr>
              <w:pStyle w:val="Pnormal"/>
              <w:rPr>
                <w:lang w:val="fr-FR"/>
              </w:rPr>
            </w:pPr>
            <w:r w:rsidRPr="00E37DFA">
              <w:rPr>
                <w:lang w:val="fr-FR"/>
              </w:rPr>
              <w:t>Les objets doivent être emballés individuellement et séparés les uns des autres au moyen de cloisons, de séparations, d</w:t>
            </w:r>
            <w:r>
              <w:rPr>
                <w:lang w:val="fr-FR"/>
              </w:rPr>
              <w:t>’</w:t>
            </w:r>
            <w:r w:rsidRPr="00E37DFA">
              <w:rPr>
                <w:lang w:val="fr-FR"/>
              </w:rPr>
              <w:t>emballages intérieurs ou de matériau de rembourrage afin d</w:t>
            </w:r>
            <w:r>
              <w:rPr>
                <w:lang w:val="fr-FR"/>
              </w:rPr>
              <w:t>’</w:t>
            </w:r>
            <w:r w:rsidRPr="00E37DFA">
              <w:rPr>
                <w:lang w:val="fr-FR"/>
              </w:rPr>
              <w:t>empêcher toute décharge accidentelle dans des conditions normales de transport.</w:t>
            </w:r>
          </w:p>
          <w:p w14:paraId="0D695643" w14:textId="3C7F5C55" w:rsidR="003B11CB" w:rsidRPr="00E37DFA" w:rsidRDefault="003B11CB" w:rsidP="00C715AA">
            <w:pPr>
              <w:pStyle w:val="Pnormal"/>
              <w:rPr>
                <w:lang w:val="fr-FR"/>
              </w:rPr>
            </w:pPr>
            <w:r w:rsidRPr="00E37DFA">
              <w:rPr>
                <w:lang w:val="fr-FR"/>
              </w:rPr>
              <w:t>Masse nette maximale</w:t>
            </w:r>
            <w:r w:rsidR="00693D63">
              <w:rPr>
                <w:lang w:val="fr-FR"/>
              </w:rPr>
              <w:t> </w:t>
            </w:r>
            <w:r w:rsidRPr="00E37DFA">
              <w:rPr>
                <w:lang w:val="fr-FR"/>
              </w:rPr>
              <w:t>: 75 kg</w:t>
            </w:r>
          </w:p>
        </w:tc>
      </w:tr>
    </w:tbl>
    <w:p w14:paraId="4B55B414" w14:textId="7D060975" w:rsidR="003B11CB" w:rsidRPr="00E37DFA" w:rsidRDefault="003B11CB" w:rsidP="003B11CB">
      <w:pPr>
        <w:pStyle w:val="H1G"/>
        <w:rPr>
          <w:lang w:val="fr-FR"/>
        </w:rPr>
      </w:pPr>
      <w:r w:rsidRPr="00E37DFA">
        <w:rPr>
          <w:bCs/>
          <w:lang w:val="fr-FR"/>
        </w:rPr>
        <w:tab/>
        <w:t>8.</w:t>
      </w:r>
      <w:r w:rsidRPr="00E37DFA">
        <w:rPr>
          <w:lang w:val="fr-FR"/>
        </w:rPr>
        <w:tab/>
      </w:r>
      <w:r w:rsidRPr="00E37DFA">
        <w:rPr>
          <w:bCs/>
          <w:lang w:val="fr-FR"/>
        </w:rPr>
        <w:t xml:space="preserve">Présentation de la section sur les emballages combinés </w:t>
      </w:r>
      <w:r w:rsidR="00693D63">
        <w:rPr>
          <w:bCs/>
          <w:lang w:val="fr-FR"/>
        </w:rPr>
        <w:br/>
      </w:r>
      <w:r w:rsidRPr="00E37DFA">
        <w:rPr>
          <w:bCs/>
          <w:lang w:val="fr-FR"/>
        </w:rPr>
        <w:t>dans l</w:t>
      </w:r>
      <w:r>
        <w:rPr>
          <w:bCs/>
          <w:lang w:val="fr-FR"/>
        </w:rPr>
        <w:t>’</w:t>
      </w:r>
      <w:r w:rsidRPr="00E37DFA">
        <w:rPr>
          <w:bCs/>
          <w:lang w:val="fr-FR"/>
        </w:rPr>
        <w:t>instruction d</w:t>
      </w:r>
      <w:r>
        <w:rPr>
          <w:bCs/>
          <w:lang w:val="fr-FR"/>
        </w:rPr>
        <w:t>’</w:t>
      </w:r>
      <w:r w:rsidRPr="00E37DFA">
        <w:rPr>
          <w:bCs/>
          <w:lang w:val="fr-FR"/>
        </w:rPr>
        <w:t>emballage P505</w:t>
      </w:r>
    </w:p>
    <w:p w14:paraId="31EA2F2B" w14:textId="3C30D561" w:rsidR="003B11CB" w:rsidRPr="00E37DFA" w:rsidRDefault="003B11CB" w:rsidP="003B11CB">
      <w:pPr>
        <w:pStyle w:val="SingleTxtG"/>
        <w:rPr>
          <w:lang w:val="fr-FR"/>
        </w:rPr>
      </w:pPr>
      <w:r w:rsidRPr="00E37DFA">
        <w:rPr>
          <w:lang w:val="fr-FR"/>
        </w:rPr>
        <w:t>16.</w:t>
      </w:r>
      <w:r w:rsidRPr="00E37DFA">
        <w:rPr>
          <w:lang w:val="fr-FR"/>
        </w:rPr>
        <w:tab/>
        <w:t>Les instructions d</w:t>
      </w:r>
      <w:r>
        <w:rPr>
          <w:lang w:val="fr-FR"/>
        </w:rPr>
        <w:t>’</w:t>
      </w:r>
      <w:r w:rsidRPr="00E37DFA">
        <w:rPr>
          <w:lang w:val="fr-FR"/>
        </w:rPr>
        <w:t xml:space="preserve">emballage comprenant des spécifications </w:t>
      </w:r>
      <w:r>
        <w:rPr>
          <w:lang w:val="fr-FR"/>
        </w:rPr>
        <w:t xml:space="preserve">relatives aux </w:t>
      </w:r>
      <w:r w:rsidRPr="00E37DFA">
        <w:rPr>
          <w:lang w:val="fr-FR"/>
        </w:rPr>
        <w:t xml:space="preserve">emballages combinés obéissent généralement à une présentation type (voir par exemple </w:t>
      </w:r>
      <w:r>
        <w:rPr>
          <w:lang w:val="fr-FR"/>
        </w:rPr>
        <w:t xml:space="preserve">les </w:t>
      </w:r>
      <w:r w:rsidRPr="00E37DFA">
        <w:rPr>
          <w:lang w:val="fr-FR"/>
        </w:rPr>
        <w:t>P001, P002, P010 et P110 a) à P144). L</w:t>
      </w:r>
      <w:r>
        <w:rPr>
          <w:lang w:val="fr-FR"/>
        </w:rPr>
        <w:t>’</w:t>
      </w:r>
      <w:r w:rsidRPr="00E37DFA">
        <w:rPr>
          <w:lang w:val="fr-FR"/>
        </w:rPr>
        <w:t>instruction d</w:t>
      </w:r>
      <w:r>
        <w:rPr>
          <w:lang w:val="fr-FR"/>
        </w:rPr>
        <w:t>’</w:t>
      </w:r>
      <w:r w:rsidRPr="00E37DFA">
        <w:rPr>
          <w:lang w:val="fr-FR"/>
        </w:rPr>
        <w:t xml:space="preserve">emballage P505 constitue une exception à cet égard. </w:t>
      </w:r>
      <w:r>
        <w:rPr>
          <w:lang w:val="fr-FR"/>
        </w:rPr>
        <w:t>En effet, b</w:t>
      </w:r>
      <w:r w:rsidRPr="00E37DFA">
        <w:rPr>
          <w:lang w:val="fr-FR"/>
        </w:rPr>
        <w:t xml:space="preserve">ien que la présentation de </w:t>
      </w:r>
      <w:r>
        <w:rPr>
          <w:lang w:val="fr-FR"/>
        </w:rPr>
        <w:t xml:space="preserve">cette instruction </w:t>
      </w:r>
      <w:r w:rsidRPr="00E37DFA">
        <w:rPr>
          <w:lang w:val="fr-FR"/>
        </w:rPr>
        <w:t>soit plus compacte, le secrétariat estime que la présentation type utilisée dans les autres instructions d</w:t>
      </w:r>
      <w:r>
        <w:rPr>
          <w:lang w:val="fr-FR"/>
        </w:rPr>
        <w:t>’</w:t>
      </w:r>
      <w:r w:rsidRPr="00E37DFA">
        <w:rPr>
          <w:lang w:val="fr-FR"/>
        </w:rPr>
        <w:t xml:space="preserve">emballage est plus lisible et plus facile à comprendre. Il est </w:t>
      </w:r>
      <w:r>
        <w:rPr>
          <w:lang w:val="fr-FR"/>
        </w:rPr>
        <w:t>en outre</w:t>
      </w:r>
      <w:r w:rsidRPr="00E37DFA">
        <w:rPr>
          <w:lang w:val="fr-FR"/>
        </w:rPr>
        <w:t xml:space="preserve"> utile d</w:t>
      </w:r>
      <w:r>
        <w:rPr>
          <w:lang w:val="fr-FR"/>
        </w:rPr>
        <w:t>’</w:t>
      </w:r>
      <w:r w:rsidRPr="00E37DFA">
        <w:rPr>
          <w:lang w:val="fr-FR"/>
        </w:rPr>
        <w:t>appliquer autant que possible des modèles de présentation uniformes dans l</w:t>
      </w:r>
      <w:r>
        <w:rPr>
          <w:lang w:val="fr-FR"/>
        </w:rPr>
        <w:t>’</w:t>
      </w:r>
      <w:r w:rsidRPr="00E37DFA">
        <w:rPr>
          <w:lang w:val="fr-FR"/>
        </w:rPr>
        <w:t>ensemble du Règlement. Nous proposons donc de restructurer la section sur les emballages combinés dans l</w:t>
      </w:r>
      <w:r>
        <w:rPr>
          <w:lang w:val="fr-FR"/>
        </w:rPr>
        <w:t>’</w:t>
      </w:r>
      <w:r w:rsidRPr="00E37DFA">
        <w:rPr>
          <w:lang w:val="fr-FR"/>
        </w:rPr>
        <w:t>instruction P505 pour la rendre conforme à la présentation type. Nous proposons également d</w:t>
      </w:r>
      <w:r>
        <w:rPr>
          <w:lang w:val="fr-FR"/>
        </w:rPr>
        <w:t>’</w:t>
      </w:r>
      <w:r w:rsidRPr="00E37DFA">
        <w:rPr>
          <w:lang w:val="fr-FR"/>
        </w:rPr>
        <w:t>uniformiser l</w:t>
      </w:r>
      <w:r>
        <w:rPr>
          <w:lang w:val="fr-FR"/>
        </w:rPr>
        <w:t>’</w:t>
      </w:r>
      <w:r w:rsidRPr="00E37DFA">
        <w:rPr>
          <w:lang w:val="fr-FR"/>
        </w:rPr>
        <w:t xml:space="preserve">en-tête de </w:t>
      </w:r>
      <w:r>
        <w:rPr>
          <w:lang w:val="fr-FR"/>
        </w:rPr>
        <w:t>la c</w:t>
      </w:r>
      <w:r w:rsidRPr="00E37DFA">
        <w:rPr>
          <w:lang w:val="fr-FR"/>
        </w:rPr>
        <w:t>ontenance</w:t>
      </w:r>
      <w:r>
        <w:rPr>
          <w:lang w:val="fr-FR"/>
        </w:rPr>
        <w:t xml:space="preserve"> et de la </w:t>
      </w:r>
      <w:r w:rsidRPr="00E37DFA">
        <w:rPr>
          <w:lang w:val="fr-FR"/>
        </w:rPr>
        <w:t xml:space="preserve">masse nette maximale </w:t>
      </w:r>
      <w:r>
        <w:rPr>
          <w:lang w:val="fr-FR"/>
        </w:rPr>
        <w:t xml:space="preserve">pour </w:t>
      </w:r>
      <w:r w:rsidRPr="00E37DFA">
        <w:rPr>
          <w:lang w:val="fr-FR"/>
        </w:rPr>
        <w:t>les emballages combinés et les emballages simples, comme c</w:t>
      </w:r>
      <w:r>
        <w:rPr>
          <w:lang w:val="fr-FR"/>
        </w:rPr>
        <w:t>’</w:t>
      </w:r>
      <w:r w:rsidRPr="00E37DFA">
        <w:rPr>
          <w:lang w:val="fr-FR"/>
        </w:rPr>
        <w:t>est le cas dans d</w:t>
      </w:r>
      <w:r>
        <w:rPr>
          <w:lang w:val="fr-FR"/>
        </w:rPr>
        <w:t>’</w:t>
      </w:r>
      <w:r w:rsidRPr="00E37DFA">
        <w:rPr>
          <w:lang w:val="fr-FR"/>
        </w:rPr>
        <w:t>autres instructions d</w:t>
      </w:r>
      <w:r>
        <w:rPr>
          <w:lang w:val="fr-FR"/>
        </w:rPr>
        <w:t>’</w:t>
      </w:r>
      <w:r w:rsidRPr="00E37DFA">
        <w:rPr>
          <w:lang w:val="fr-FR"/>
        </w:rPr>
        <w:t xml:space="preserve">emballage comprenant des emballages combinés et des emballages simples, telles que </w:t>
      </w:r>
      <w:r>
        <w:rPr>
          <w:lang w:val="fr-FR"/>
        </w:rPr>
        <w:t xml:space="preserve">les </w:t>
      </w:r>
      <w:r w:rsidRPr="00E37DFA">
        <w:rPr>
          <w:lang w:val="fr-FR"/>
        </w:rPr>
        <w:t>P001, P002 et P010.</w:t>
      </w:r>
    </w:p>
    <w:p w14:paraId="74D78668" w14:textId="77777777" w:rsidR="003B11CB" w:rsidRPr="00E37DFA" w:rsidRDefault="003B11CB" w:rsidP="003B11CB">
      <w:pPr>
        <w:pStyle w:val="H23G"/>
        <w:rPr>
          <w:lang w:val="fr-FR"/>
        </w:rPr>
      </w:pPr>
      <w:r w:rsidRPr="00E37DFA">
        <w:rPr>
          <w:lang w:val="fr-FR"/>
        </w:rPr>
        <w:tab/>
      </w:r>
      <w:r w:rsidRPr="00E37DFA">
        <w:rPr>
          <w:lang w:val="fr-FR"/>
        </w:rPr>
        <w:tab/>
      </w:r>
      <w:r w:rsidRPr="00E37DFA">
        <w:rPr>
          <w:bCs/>
          <w:lang w:val="fr-FR"/>
        </w:rPr>
        <w:t>Proposition 8</w:t>
      </w:r>
    </w:p>
    <w:p w14:paraId="0B4C3F6B" w14:textId="7EFF1F9F" w:rsidR="003B11CB" w:rsidRPr="00E37DFA" w:rsidRDefault="003B11CB" w:rsidP="003B11CB">
      <w:pPr>
        <w:pStyle w:val="SingleTxtG"/>
        <w:ind w:left="2268" w:hanging="1134"/>
        <w:rPr>
          <w:lang w:val="fr-FR"/>
        </w:rPr>
      </w:pPr>
      <w:r w:rsidRPr="00E37DFA">
        <w:rPr>
          <w:lang w:val="fr-FR"/>
        </w:rPr>
        <w:t>4.1.4.1, P505</w:t>
      </w:r>
      <w:r w:rsidRPr="00E37DFA">
        <w:rPr>
          <w:lang w:val="fr-FR"/>
        </w:rPr>
        <w:tab/>
        <w:t>Modifier comme suit les lignes 3 et 4 sous le titre</w:t>
      </w:r>
      <w:r w:rsidR="00693D63">
        <w:rPr>
          <w:lang w:val="fr-FR"/>
        </w:rPr>
        <w:t> </w:t>
      </w:r>
      <w:r w:rsidRPr="00E37DFA">
        <w:rPr>
          <w:lang w:val="fr-FR"/>
        </w:rPr>
        <w:t>:</w:t>
      </w: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500"/>
        <w:gridCol w:w="4438"/>
        <w:gridCol w:w="2701"/>
      </w:tblGrid>
      <w:tr w:rsidR="003B11CB" w:rsidRPr="00473DAC" w14:paraId="681BBE29" w14:textId="77777777" w:rsidTr="00693D63">
        <w:trPr>
          <w:trHeight w:val="20"/>
        </w:trPr>
        <w:tc>
          <w:tcPr>
            <w:tcW w:w="3599" w:type="pct"/>
            <w:gridSpan w:val="2"/>
            <w:tcBorders>
              <w:top w:val="single" w:sz="6" w:space="0" w:color="auto"/>
              <w:left w:val="single" w:sz="6" w:space="0" w:color="auto"/>
              <w:bottom w:val="single" w:sz="6" w:space="0" w:color="auto"/>
              <w:right w:val="single" w:sz="6" w:space="0" w:color="auto"/>
            </w:tcBorders>
            <w:shd w:val="clear" w:color="auto" w:fill="auto"/>
          </w:tcPr>
          <w:p w14:paraId="0729A27F" w14:textId="77777777" w:rsidR="003B11CB" w:rsidRPr="00E37DFA" w:rsidRDefault="003B11CB" w:rsidP="00C715AA">
            <w:pPr>
              <w:pStyle w:val="Pnormal"/>
              <w:rPr>
                <w:b/>
                <w:bCs/>
                <w:lang w:val="fr-FR"/>
              </w:rPr>
            </w:pPr>
          </w:p>
        </w:tc>
        <w:tc>
          <w:tcPr>
            <w:tcW w:w="1401" w:type="pct"/>
            <w:tcBorders>
              <w:top w:val="single" w:sz="6" w:space="0" w:color="auto"/>
              <w:left w:val="single" w:sz="6" w:space="0" w:color="auto"/>
              <w:bottom w:val="single" w:sz="6" w:space="0" w:color="auto"/>
              <w:right w:val="single" w:sz="6" w:space="0" w:color="auto"/>
            </w:tcBorders>
            <w:shd w:val="clear" w:color="auto" w:fill="auto"/>
            <w:vAlign w:val="center"/>
          </w:tcPr>
          <w:p w14:paraId="634BA592" w14:textId="77777777" w:rsidR="003B11CB" w:rsidRPr="00E37DFA" w:rsidRDefault="003B11CB" w:rsidP="00C715AA">
            <w:pPr>
              <w:pStyle w:val="Pnormal"/>
              <w:jc w:val="center"/>
              <w:rPr>
                <w:b/>
                <w:bCs/>
                <w:lang w:val="fr-FR"/>
              </w:rPr>
            </w:pPr>
            <w:r w:rsidRPr="00E37DFA">
              <w:rPr>
                <w:b/>
                <w:bCs/>
                <w:lang w:val="fr-FR"/>
              </w:rPr>
              <w:t>Contenance maximale/masse nette maximale</w:t>
            </w:r>
          </w:p>
        </w:tc>
      </w:tr>
      <w:tr w:rsidR="003B11CB" w:rsidRPr="00E37DFA" w14:paraId="3E6F8ADB" w14:textId="77777777" w:rsidTr="00C715AA">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0B5B08DC" w14:textId="77777777" w:rsidR="003B11CB" w:rsidRPr="00E37DFA" w:rsidRDefault="003B11CB" w:rsidP="00C715AA">
            <w:pPr>
              <w:pStyle w:val="Pnormal"/>
              <w:jc w:val="left"/>
              <w:rPr>
                <w:lang w:val="fr-FR"/>
              </w:rPr>
            </w:pPr>
            <w:r w:rsidRPr="00E37DFA">
              <w:rPr>
                <w:b/>
                <w:bCs/>
                <w:lang w:val="fr-FR"/>
              </w:rPr>
              <w:t>Emballages combinés</w:t>
            </w:r>
          </w:p>
        </w:tc>
      </w:tr>
      <w:tr w:rsidR="003B11CB" w:rsidRPr="00E37DFA" w14:paraId="0699157B" w14:textId="77777777" w:rsidTr="00C715AA">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582ED078" w14:textId="77777777" w:rsidR="003B11CB" w:rsidRPr="00E37DFA" w:rsidRDefault="003B11CB" w:rsidP="00C715AA">
            <w:pPr>
              <w:pStyle w:val="Pnormal"/>
              <w:ind w:left="113" w:hanging="113"/>
              <w:jc w:val="left"/>
              <w:rPr>
                <w:lang w:val="fr-FR"/>
              </w:rPr>
            </w:pPr>
            <w:r w:rsidRPr="00E37DFA">
              <w:rPr>
                <w:b/>
                <w:bCs/>
                <w:lang w:val="fr-FR"/>
              </w:rPr>
              <w:t>Emballages intérieurs</w:t>
            </w:r>
          </w:p>
        </w:tc>
        <w:tc>
          <w:tcPr>
            <w:tcW w:w="3703" w:type="pct"/>
            <w:gridSpan w:val="2"/>
            <w:tcBorders>
              <w:top w:val="single" w:sz="6" w:space="0" w:color="auto"/>
              <w:left w:val="single" w:sz="6" w:space="0" w:color="auto"/>
              <w:bottom w:val="single" w:sz="6" w:space="0" w:color="auto"/>
              <w:right w:val="single" w:sz="6" w:space="0" w:color="auto"/>
            </w:tcBorders>
            <w:shd w:val="clear" w:color="auto" w:fill="auto"/>
          </w:tcPr>
          <w:p w14:paraId="17006E6D" w14:textId="77777777" w:rsidR="003B11CB" w:rsidRPr="00E37DFA" w:rsidRDefault="003B11CB" w:rsidP="00C715AA">
            <w:pPr>
              <w:pStyle w:val="Pnormal"/>
              <w:jc w:val="left"/>
              <w:rPr>
                <w:lang w:val="fr-FR"/>
              </w:rPr>
            </w:pPr>
            <w:r w:rsidRPr="00E37DFA">
              <w:rPr>
                <w:b/>
                <w:bCs/>
                <w:lang w:val="fr-FR"/>
              </w:rPr>
              <w:t>Emballages extérieurs</w:t>
            </w:r>
          </w:p>
        </w:tc>
      </w:tr>
      <w:tr w:rsidR="003B11CB" w:rsidRPr="00E37DFA" w14:paraId="2E1FF804" w14:textId="77777777" w:rsidTr="00693D63">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39D9C6E8" w14:textId="77777777" w:rsidR="003B11CB" w:rsidRPr="00E37DFA" w:rsidRDefault="003B11CB" w:rsidP="00C715AA">
            <w:pPr>
              <w:pStyle w:val="Pu4d2"/>
              <w:tabs>
                <w:tab w:val="right" w:pos="2180"/>
              </w:tabs>
              <w:rPr>
                <w:lang w:val="fr-FR"/>
              </w:rPr>
            </w:pPr>
            <w:proofErr w:type="gramStart"/>
            <w:r>
              <w:rPr>
                <w:lang w:val="fr-FR"/>
              </w:rPr>
              <w:t>e</w:t>
            </w:r>
            <w:r w:rsidRPr="00E37DFA">
              <w:rPr>
                <w:lang w:val="fr-FR"/>
              </w:rPr>
              <w:t>n</w:t>
            </w:r>
            <w:proofErr w:type="gramEnd"/>
            <w:r w:rsidRPr="00E37DFA">
              <w:rPr>
                <w:lang w:val="fr-FR"/>
              </w:rPr>
              <w:t xml:space="preserve"> verre</w:t>
            </w:r>
            <w:r w:rsidRPr="00E37DFA">
              <w:rPr>
                <w:lang w:val="fr-FR"/>
              </w:rPr>
              <w:tab/>
            </w:r>
            <w:r w:rsidRPr="00E37DFA">
              <w:rPr>
                <w:i/>
                <w:iCs/>
                <w:lang w:val="fr-FR"/>
              </w:rPr>
              <w:t>5 l</w:t>
            </w:r>
          </w:p>
          <w:p w14:paraId="72B08719" w14:textId="77777777" w:rsidR="003B11CB" w:rsidRPr="00E37DFA" w:rsidRDefault="003B11CB" w:rsidP="00C715AA">
            <w:pPr>
              <w:pStyle w:val="Pud2"/>
              <w:tabs>
                <w:tab w:val="right" w:pos="2180"/>
              </w:tabs>
              <w:rPr>
                <w:lang w:val="fr-FR"/>
              </w:rPr>
            </w:pPr>
            <w:proofErr w:type="gramStart"/>
            <w:r w:rsidRPr="00E37DFA">
              <w:rPr>
                <w:lang w:val="fr-FR"/>
              </w:rPr>
              <w:t>en</w:t>
            </w:r>
            <w:proofErr w:type="gramEnd"/>
            <w:r w:rsidRPr="00E37DFA">
              <w:rPr>
                <w:lang w:val="fr-FR"/>
              </w:rPr>
              <w:t xml:space="preserve"> plastique</w:t>
            </w:r>
            <w:r w:rsidRPr="00E37DFA">
              <w:rPr>
                <w:lang w:val="fr-FR"/>
              </w:rPr>
              <w:tab/>
            </w:r>
            <w:r w:rsidRPr="00E37DFA">
              <w:rPr>
                <w:i/>
                <w:iCs/>
                <w:lang w:val="fr-FR"/>
              </w:rPr>
              <w:t>5 l</w:t>
            </w:r>
          </w:p>
          <w:p w14:paraId="793BBB98" w14:textId="77777777" w:rsidR="003B11CB" w:rsidRPr="00E37DFA" w:rsidRDefault="003B11CB" w:rsidP="00C715AA">
            <w:pPr>
              <w:pStyle w:val="Pud2"/>
              <w:tabs>
                <w:tab w:val="right" w:pos="2180"/>
              </w:tabs>
              <w:rPr>
                <w:b/>
                <w:lang w:val="fr-FR"/>
              </w:rPr>
            </w:pPr>
            <w:proofErr w:type="gramStart"/>
            <w:r w:rsidRPr="00E37DFA">
              <w:rPr>
                <w:lang w:val="fr-FR"/>
              </w:rPr>
              <w:t>en</w:t>
            </w:r>
            <w:proofErr w:type="gramEnd"/>
            <w:r w:rsidRPr="00E37DFA">
              <w:rPr>
                <w:lang w:val="fr-FR"/>
              </w:rPr>
              <w:t xml:space="preserve"> métal</w:t>
            </w:r>
            <w:r w:rsidRPr="00E37DFA">
              <w:rPr>
                <w:lang w:val="fr-FR"/>
              </w:rPr>
              <w:tab/>
            </w:r>
            <w:r w:rsidRPr="00E37DFA">
              <w:rPr>
                <w:i/>
                <w:iCs/>
                <w:lang w:val="fr-FR"/>
              </w:rPr>
              <w:t>5 l</w:t>
            </w:r>
          </w:p>
        </w:tc>
        <w:tc>
          <w:tcPr>
            <w:tcW w:w="2302" w:type="pct"/>
            <w:tcBorders>
              <w:top w:val="single" w:sz="6" w:space="0" w:color="auto"/>
              <w:left w:val="single" w:sz="6" w:space="0" w:color="auto"/>
              <w:bottom w:val="single" w:sz="6" w:space="0" w:color="auto"/>
              <w:right w:val="single" w:sz="6" w:space="0" w:color="auto"/>
            </w:tcBorders>
            <w:shd w:val="clear" w:color="auto" w:fill="auto"/>
          </w:tcPr>
          <w:p w14:paraId="0398BD9E" w14:textId="77777777" w:rsidR="003B11CB" w:rsidRPr="00E37DFA" w:rsidRDefault="003B11CB" w:rsidP="00C715AA">
            <w:pPr>
              <w:pStyle w:val="Pu4d2"/>
              <w:rPr>
                <w:b/>
                <w:bCs/>
                <w:lang w:val="fr-FR"/>
              </w:rPr>
            </w:pPr>
            <w:r w:rsidRPr="00E37DFA">
              <w:rPr>
                <w:b/>
                <w:bCs/>
                <w:lang w:val="fr-FR"/>
              </w:rPr>
              <w:t>Caisses</w:t>
            </w:r>
          </w:p>
          <w:p w14:paraId="15AF1292" w14:textId="77777777" w:rsidR="003B11CB" w:rsidRPr="00E37DFA" w:rsidRDefault="003B11CB" w:rsidP="00C715AA">
            <w:pPr>
              <w:pStyle w:val="Pb04h02ud2"/>
              <w:rPr>
                <w:lang w:val="fr-FR"/>
              </w:rPr>
            </w:pPr>
            <w:proofErr w:type="gramStart"/>
            <w:r w:rsidRPr="00E37DFA">
              <w:rPr>
                <w:lang w:val="fr-FR"/>
              </w:rPr>
              <w:t>en</w:t>
            </w:r>
            <w:proofErr w:type="gramEnd"/>
            <w:r w:rsidRPr="00E37DFA">
              <w:rPr>
                <w:lang w:val="fr-FR"/>
              </w:rPr>
              <w:t xml:space="preserve"> aluminium (4B)</w:t>
            </w:r>
          </w:p>
          <w:p w14:paraId="7868190B" w14:textId="77777777" w:rsidR="003B11CB" w:rsidRPr="00E37DFA" w:rsidRDefault="003B11CB" w:rsidP="00C715AA">
            <w:pPr>
              <w:pStyle w:val="Pb04h02ud2"/>
              <w:rPr>
                <w:lang w:val="fr-FR"/>
              </w:rPr>
            </w:pPr>
            <w:proofErr w:type="gramStart"/>
            <w:r w:rsidRPr="00E37DFA">
              <w:rPr>
                <w:lang w:val="fr-FR"/>
              </w:rPr>
              <w:t>en</w:t>
            </w:r>
            <w:proofErr w:type="gramEnd"/>
            <w:r w:rsidRPr="00E37DFA">
              <w:rPr>
                <w:lang w:val="fr-FR"/>
              </w:rPr>
              <w:t xml:space="preserve"> bois naturel ordinaire (4C1)</w:t>
            </w:r>
          </w:p>
          <w:p w14:paraId="4C95A911" w14:textId="77777777" w:rsidR="003B11CB" w:rsidRPr="00E37DFA" w:rsidRDefault="003B11CB" w:rsidP="00C715AA">
            <w:pPr>
              <w:pStyle w:val="Pb04h02ud2"/>
              <w:rPr>
                <w:lang w:val="fr-FR"/>
              </w:rPr>
            </w:pPr>
            <w:proofErr w:type="gramStart"/>
            <w:r w:rsidRPr="00E37DFA">
              <w:rPr>
                <w:lang w:val="fr-FR"/>
              </w:rPr>
              <w:t>en</w:t>
            </w:r>
            <w:proofErr w:type="gramEnd"/>
            <w:r w:rsidRPr="00E37DFA">
              <w:rPr>
                <w:lang w:val="fr-FR"/>
              </w:rPr>
              <w:t xml:space="preserve"> bois naturel, à panneaux étanches aux pulvérulents (4C2)</w:t>
            </w:r>
          </w:p>
          <w:p w14:paraId="2483C493" w14:textId="77777777" w:rsidR="003B11CB" w:rsidRPr="00E37DFA" w:rsidRDefault="003B11CB" w:rsidP="00C715AA">
            <w:pPr>
              <w:pStyle w:val="Pb04h02ud2"/>
              <w:rPr>
                <w:lang w:val="fr-FR"/>
              </w:rPr>
            </w:pPr>
            <w:proofErr w:type="gramStart"/>
            <w:r w:rsidRPr="00E37DFA">
              <w:rPr>
                <w:lang w:val="fr-FR"/>
              </w:rPr>
              <w:t>en</w:t>
            </w:r>
            <w:proofErr w:type="gramEnd"/>
            <w:r w:rsidRPr="00E37DFA">
              <w:rPr>
                <w:lang w:val="fr-FR"/>
              </w:rPr>
              <w:t xml:space="preserve"> contreplaqué (4D)</w:t>
            </w:r>
          </w:p>
          <w:p w14:paraId="6E18F53F" w14:textId="77777777" w:rsidR="003B11CB" w:rsidRPr="00E37DFA" w:rsidRDefault="003B11CB" w:rsidP="00C715AA">
            <w:pPr>
              <w:pStyle w:val="Pb04h02ud2"/>
              <w:rPr>
                <w:lang w:val="fr-FR"/>
              </w:rPr>
            </w:pPr>
            <w:proofErr w:type="gramStart"/>
            <w:r w:rsidRPr="00E37DFA">
              <w:rPr>
                <w:lang w:val="fr-FR"/>
              </w:rPr>
              <w:t>en</w:t>
            </w:r>
            <w:proofErr w:type="gramEnd"/>
            <w:r w:rsidRPr="00E37DFA">
              <w:rPr>
                <w:lang w:val="fr-FR"/>
              </w:rPr>
              <w:t xml:space="preserve"> carton (4G)</w:t>
            </w:r>
          </w:p>
          <w:p w14:paraId="4E85546B" w14:textId="77777777" w:rsidR="003B11CB" w:rsidRPr="00E37DFA" w:rsidRDefault="003B11CB" w:rsidP="00C715AA">
            <w:pPr>
              <w:pStyle w:val="Pb04h02ud2"/>
              <w:rPr>
                <w:lang w:val="fr-FR"/>
              </w:rPr>
            </w:pPr>
            <w:proofErr w:type="gramStart"/>
            <w:r w:rsidRPr="00E37DFA">
              <w:rPr>
                <w:lang w:val="fr-FR"/>
              </w:rPr>
              <w:t>en</w:t>
            </w:r>
            <w:proofErr w:type="gramEnd"/>
            <w:r w:rsidRPr="00E37DFA">
              <w:rPr>
                <w:lang w:val="fr-FR"/>
              </w:rPr>
              <w:t xml:space="preserve"> plastique rigide (4H2)</w:t>
            </w:r>
          </w:p>
          <w:p w14:paraId="6C046150" w14:textId="77777777" w:rsidR="003B11CB" w:rsidRPr="00E37DFA" w:rsidRDefault="003B11CB" w:rsidP="00C715AA">
            <w:pPr>
              <w:pStyle w:val="Pu4d2"/>
              <w:rPr>
                <w:b/>
                <w:bCs/>
                <w:lang w:val="fr-FR"/>
              </w:rPr>
            </w:pPr>
            <w:r w:rsidRPr="00E37DFA">
              <w:rPr>
                <w:b/>
                <w:bCs/>
                <w:lang w:val="fr-FR"/>
              </w:rPr>
              <w:t>Fûts</w:t>
            </w:r>
          </w:p>
          <w:p w14:paraId="7F162F19" w14:textId="77777777" w:rsidR="003B11CB" w:rsidRPr="00E37DFA" w:rsidRDefault="003B11CB" w:rsidP="00C715AA">
            <w:pPr>
              <w:pStyle w:val="Pb04h02ud2"/>
              <w:rPr>
                <w:lang w:val="fr-FR"/>
              </w:rPr>
            </w:pPr>
            <w:proofErr w:type="gramStart"/>
            <w:r w:rsidRPr="00E37DFA">
              <w:rPr>
                <w:lang w:val="fr-FR"/>
              </w:rPr>
              <w:t>en</w:t>
            </w:r>
            <w:proofErr w:type="gramEnd"/>
            <w:r w:rsidRPr="00E37DFA">
              <w:rPr>
                <w:lang w:val="fr-FR"/>
              </w:rPr>
              <w:t xml:space="preserve"> aluminium à dessus amovible (1B2)</w:t>
            </w:r>
          </w:p>
          <w:p w14:paraId="1119C7CC" w14:textId="77777777" w:rsidR="003B11CB" w:rsidRPr="00E37DFA" w:rsidRDefault="003B11CB" w:rsidP="00C715AA">
            <w:pPr>
              <w:pStyle w:val="Pb04h02ud2"/>
              <w:rPr>
                <w:lang w:val="fr-FR"/>
              </w:rPr>
            </w:pPr>
            <w:proofErr w:type="gramStart"/>
            <w:r w:rsidRPr="00E37DFA">
              <w:rPr>
                <w:lang w:val="fr-FR"/>
              </w:rPr>
              <w:t>en</w:t>
            </w:r>
            <w:proofErr w:type="gramEnd"/>
            <w:r w:rsidRPr="00E37DFA">
              <w:rPr>
                <w:lang w:val="fr-FR"/>
              </w:rPr>
              <w:t xml:space="preserve"> carton (1G)</w:t>
            </w:r>
          </w:p>
          <w:p w14:paraId="25129E60" w14:textId="77777777" w:rsidR="003B11CB" w:rsidRPr="00E37DFA" w:rsidRDefault="003B11CB" w:rsidP="00C715AA">
            <w:pPr>
              <w:pStyle w:val="Pb04h02ud2"/>
              <w:rPr>
                <w:lang w:val="fr-FR"/>
              </w:rPr>
            </w:pPr>
            <w:proofErr w:type="gramStart"/>
            <w:r w:rsidRPr="00E37DFA">
              <w:rPr>
                <w:lang w:val="fr-FR"/>
              </w:rPr>
              <w:t>en</w:t>
            </w:r>
            <w:proofErr w:type="gramEnd"/>
            <w:r w:rsidRPr="00E37DFA">
              <w:rPr>
                <w:lang w:val="fr-FR"/>
              </w:rPr>
              <w:t xml:space="preserve"> un autre métal à dessus amovible (1N2)</w:t>
            </w:r>
          </w:p>
          <w:p w14:paraId="5652845E" w14:textId="77777777" w:rsidR="003B11CB" w:rsidRPr="00E37DFA" w:rsidRDefault="003B11CB" w:rsidP="00C715AA">
            <w:pPr>
              <w:pStyle w:val="Pb04h02ud2"/>
              <w:rPr>
                <w:lang w:val="fr-FR"/>
              </w:rPr>
            </w:pPr>
            <w:proofErr w:type="gramStart"/>
            <w:r w:rsidRPr="00E37DFA">
              <w:rPr>
                <w:lang w:val="fr-FR"/>
              </w:rPr>
              <w:t>en</w:t>
            </w:r>
            <w:proofErr w:type="gramEnd"/>
            <w:r w:rsidRPr="00E37DFA">
              <w:rPr>
                <w:lang w:val="fr-FR"/>
              </w:rPr>
              <w:t xml:space="preserve"> plastique à dessus amovible (1H2)</w:t>
            </w:r>
          </w:p>
          <w:p w14:paraId="36ACEC88" w14:textId="77777777" w:rsidR="003B11CB" w:rsidRPr="00E37DFA" w:rsidRDefault="003B11CB" w:rsidP="00C715AA">
            <w:pPr>
              <w:pStyle w:val="Pb04h02ud2"/>
              <w:rPr>
                <w:lang w:val="fr-FR"/>
              </w:rPr>
            </w:pPr>
            <w:proofErr w:type="gramStart"/>
            <w:r w:rsidRPr="00E37DFA">
              <w:rPr>
                <w:lang w:val="fr-FR"/>
              </w:rPr>
              <w:t>en</w:t>
            </w:r>
            <w:proofErr w:type="gramEnd"/>
            <w:r w:rsidRPr="00E37DFA">
              <w:rPr>
                <w:lang w:val="fr-FR"/>
              </w:rPr>
              <w:t xml:space="preserve"> contreplaqué (1D)</w:t>
            </w:r>
          </w:p>
          <w:p w14:paraId="22FAE3D7" w14:textId="77777777" w:rsidR="003B11CB" w:rsidRPr="00E37DFA" w:rsidRDefault="003B11CB" w:rsidP="00C715AA">
            <w:pPr>
              <w:pStyle w:val="Pu4d2"/>
              <w:rPr>
                <w:b/>
                <w:bCs/>
                <w:lang w:val="fr-FR"/>
              </w:rPr>
            </w:pPr>
            <w:r w:rsidRPr="00E37DFA">
              <w:rPr>
                <w:b/>
                <w:bCs/>
                <w:lang w:val="fr-FR"/>
              </w:rPr>
              <w:t>Bidons (jerricans)</w:t>
            </w:r>
          </w:p>
          <w:p w14:paraId="0E037F0F" w14:textId="77777777" w:rsidR="003B11CB" w:rsidRPr="00E37DFA" w:rsidRDefault="003B11CB" w:rsidP="00C715AA">
            <w:pPr>
              <w:pStyle w:val="Pb04h02ud2"/>
              <w:rPr>
                <w:lang w:val="fr-FR"/>
              </w:rPr>
            </w:pPr>
            <w:proofErr w:type="gramStart"/>
            <w:r w:rsidRPr="00E37DFA">
              <w:rPr>
                <w:lang w:val="fr-FR"/>
              </w:rPr>
              <w:t>en</w:t>
            </w:r>
            <w:proofErr w:type="gramEnd"/>
            <w:r w:rsidRPr="00E37DFA">
              <w:rPr>
                <w:lang w:val="fr-FR"/>
              </w:rPr>
              <w:t xml:space="preserve"> aluminium à dessus amovible (3B2)</w:t>
            </w:r>
          </w:p>
          <w:p w14:paraId="372E0EA8" w14:textId="77777777" w:rsidR="003B11CB" w:rsidRPr="00E37DFA" w:rsidRDefault="003B11CB" w:rsidP="00C715AA">
            <w:pPr>
              <w:pStyle w:val="Pb04h02ud2"/>
              <w:rPr>
                <w:b/>
                <w:lang w:val="fr-FR"/>
              </w:rPr>
            </w:pPr>
            <w:proofErr w:type="gramStart"/>
            <w:r w:rsidRPr="00E37DFA">
              <w:rPr>
                <w:lang w:val="fr-FR"/>
              </w:rPr>
              <w:t>en</w:t>
            </w:r>
            <w:proofErr w:type="gramEnd"/>
            <w:r w:rsidRPr="00E37DFA">
              <w:rPr>
                <w:lang w:val="fr-FR"/>
              </w:rPr>
              <w:t xml:space="preserve"> plastique à dessus amovible (3H2)</w:t>
            </w:r>
          </w:p>
        </w:tc>
        <w:tc>
          <w:tcPr>
            <w:tcW w:w="1401" w:type="pct"/>
            <w:tcBorders>
              <w:top w:val="single" w:sz="6" w:space="0" w:color="auto"/>
              <w:left w:val="single" w:sz="6" w:space="0" w:color="auto"/>
              <w:bottom w:val="single" w:sz="6" w:space="0" w:color="auto"/>
              <w:right w:val="single" w:sz="6" w:space="0" w:color="auto"/>
            </w:tcBorders>
            <w:shd w:val="clear" w:color="auto" w:fill="auto"/>
          </w:tcPr>
          <w:p w14:paraId="7CF52350" w14:textId="77777777" w:rsidR="003B11CB" w:rsidRPr="00E37DFA" w:rsidRDefault="003B11CB" w:rsidP="00C715AA">
            <w:pPr>
              <w:pStyle w:val="Pu4d2"/>
              <w:jc w:val="center"/>
              <w:rPr>
                <w:lang w:val="fr-FR"/>
              </w:rPr>
            </w:pPr>
          </w:p>
          <w:p w14:paraId="63589D8F" w14:textId="77777777" w:rsidR="003B11CB" w:rsidRPr="00473DAC" w:rsidRDefault="003B11CB" w:rsidP="00C715AA">
            <w:pPr>
              <w:pStyle w:val="Pud2"/>
              <w:jc w:val="center"/>
              <w:rPr>
                <w:lang w:val="fr-FR"/>
              </w:rPr>
            </w:pPr>
            <w:r w:rsidRPr="00473DAC">
              <w:rPr>
                <w:lang w:val="fr-FR"/>
              </w:rPr>
              <w:t>125 kg</w:t>
            </w:r>
          </w:p>
          <w:p w14:paraId="59A16D8F" w14:textId="77777777" w:rsidR="003B11CB" w:rsidRPr="00473DAC" w:rsidRDefault="003B11CB" w:rsidP="00C715AA">
            <w:pPr>
              <w:pStyle w:val="Pud2"/>
              <w:jc w:val="center"/>
              <w:rPr>
                <w:lang w:val="fr-FR"/>
              </w:rPr>
            </w:pPr>
            <w:r w:rsidRPr="00473DAC">
              <w:rPr>
                <w:lang w:val="fr-FR"/>
              </w:rPr>
              <w:t>125 kg</w:t>
            </w:r>
          </w:p>
          <w:p w14:paraId="6C96F841" w14:textId="77777777" w:rsidR="00693D63" w:rsidRDefault="00693D63" w:rsidP="00C715AA">
            <w:pPr>
              <w:pStyle w:val="Pud2"/>
              <w:jc w:val="center"/>
              <w:rPr>
                <w:lang w:val="fr-FR"/>
              </w:rPr>
            </w:pPr>
          </w:p>
          <w:p w14:paraId="20F4F565" w14:textId="5F80D5CD" w:rsidR="003B11CB" w:rsidRPr="00473DAC" w:rsidRDefault="003B11CB" w:rsidP="00C715AA">
            <w:pPr>
              <w:pStyle w:val="Pud2"/>
              <w:jc w:val="center"/>
              <w:rPr>
                <w:lang w:val="fr-FR"/>
              </w:rPr>
            </w:pPr>
            <w:r w:rsidRPr="00473DAC">
              <w:rPr>
                <w:lang w:val="fr-FR"/>
              </w:rPr>
              <w:t>125 kg</w:t>
            </w:r>
          </w:p>
          <w:p w14:paraId="7076F37D" w14:textId="16AC1318" w:rsidR="003B11CB" w:rsidRPr="00473DAC" w:rsidRDefault="003B11CB" w:rsidP="00C715AA">
            <w:pPr>
              <w:pStyle w:val="Pud2"/>
              <w:jc w:val="center"/>
              <w:rPr>
                <w:lang w:val="fr-FR"/>
              </w:rPr>
            </w:pPr>
            <w:r w:rsidRPr="00473DAC">
              <w:rPr>
                <w:lang w:val="fr-FR"/>
              </w:rPr>
              <w:t>125 kg</w:t>
            </w:r>
          </w:p>
          <w:p w14:paraId="1E67ED69" w14:textId="77777777" w:rsidR="003B11CB" w:rsidRPr="00473DAC" w:rsidRDefault="003B11CB" w:rsidP="00C715AA">
            <w:pPr>
              <w:pStyle w:val="Pud2"/>
              <w:jc w:val="center"/>
              <w:rPr>
                <w:lang w:val="fr-FR"/>
              </w:rPr>
            </w:pPr>
            <w:r w:rsidRPr="00473DAC">
              <w:rPr>
                <w:lang w:val="fr-FR"/>
              </w:rPr>
              <w:t>125 kg</w:t>
            </w:r>
          </w:p>
          <w:p w14:paraId="140B974F" w14:textId="77777777" w:rsidR="003B11CB" w:rsidRDefault="003B11CB" w:rsidP="00C715AA">
            <w:pPr>
              <w:pStyle w:val="Pud2"/>
              <w:jc w:val="center"/>
              <w:rPr>
                <w:lang w:val="fr-FR"/>
              </w:rPr>
            </w:pPr>
            <w:r w:rsidRPr="00473DAC">
              <w:rPr>
                <w:lang w:val="fr-FR"/>
              </w:rPr>
              <w:t>125 kg</w:t>
            </w:r>
          </w:p>
          <w:p w14:paraId="10D2F379" w14:textId="77777777" w:rsidR="00693D63" w:rsidRDefault="00693D63" w:rsidP="00C715AA">
            <w:pPr>
              <w:pStyle w:val="Pud2"/>
              <w:jc w:val="center"/>
              <w:rPr>
                <w:lang w:val="fr-FR"/>
              </w:rPr>
            </w:pPr>
          </w:p>
          <w:p w14:paraId="1BB87417" w14:textId="76BECD32" w:rsidR="003B11CB" w:rsidRPr="00473DAC" w:rsidRDefault="003B11CB" w:rsidP="00C715AA">
            <w:pPr>
              <w:pStyle w:val="Pud2"/>
              <w:jc w:val="center"/>
              <w:rPr>
                <w:lang w:val="fr-FR"/>
              </w:rPr>
            </w:pPr>
            <w:r w:rsidRPr="00473DAC">
              <w:rPr>
                <w:lang w:val="fr-FR"/>
              </w:rPr>
              <w:t>125 kg</w:t>
            </w:r>
          </w:p>
          <w:p w14:paraId="0E4A4749" w14:textId="77777777" w:rsidR="003B11CB" w:rsidRPr="00473DAC" w:rsidRDefault="003B11CB" w:rsidP="00C715AA">
            <w:pPr>
              <w:pStyle w:val="Pud2"/>
              <w:jc w:val="center"/>
              <w:rPr>
                <w:lang w:val="fr-FR"/>
              </w:rPr>
            </w:pPr>
            <w:r w:rsidRPr="00473DAC">
              <w:rPr>
                <w:lang w:val="fr-FR"/>
              </w:rPr>
              <w:t>125 kg</w:t>
            </w:r>
          </w:p>
          <w:p w14:paraId="529D8672" w14:textId="77777777" w:rsidR="003B11CB" w:rsidRPr="00473DAC" w:rsidRDefault="003B11CB" w:rsidP="00C715AA">
            <w:pPr>
              <w:pStyle w:val="Pud2"/>
              <w:jc w:val="center"/>
              <w:rPr>
                <w:lang w:val="fr-FR"/>
              </w:rPr>
            </w:pPr>
            <w:r w:rsidRPr="00473DAC">
              <w:rPr>
                <w:lang w:val="fr-FR"/>
              </w:rPr>
              <w:t>125 kg</w:t>
            </w:r>
          </w:p>
          <w:p w14:paraId="003BB5D5" w14:textId="77777777" w:rsidR="003B11CB" w:rsidRPr="00473DAC" w:rsidRDefault="003B11CB" w:rsidP="00C715AA">
            <w:pPr>
              <w:pStyle w:val="Pud2"/>
              <w:jc w:val="center"/>
              <w:rPr>
                <w:lang w:val="fr-FR"/>
              </w:rPr>
            </w:pPr>
            <w:r w:rsidRPr="00473DAC">
              <w:rPr>
                <w:lang w:val="fr-FR"/>
              </w:rPr>
              <w:t>125 kg</w:t>
            </w:r>
          </w:p>
          <w:p w14:paraId="0DBB6DDF" w14:textId="77777777" w:rsidR="003B11CB" w:rsidRDefault="003B11CB" w:rsidP="00C715AA">
            <w:pPr>
              <w:pStyle w:val="Pud2"/>
              <w:jc w:val="center"/>
              <w:rPr>
                <w:lang w:val="fr-FR"/>
              </w:rPr>
            </w:pPr>
            <w:r w:rsidRPr="00473DAC">
              <w:rPr>
                <w:lang w:val="fr-FR"/>
              </w:rPr>
              <w:t>125 kg</w:t>
            </w:r>
          </w:p>
          <w:p w14:paraId="4AF0893C" w14:textId="77777777" w:rsidR="00693D63" w:rsidRDefault="00693D63" w:rsidP="00C715AA">
            <w:pPr>
              <w:pStyle w:val="Pud2"/>
              <w:jc w:val="center"/>
              <w:rPr>
                <w:lang w:val="fr-FR"/>
              </w:rPr>
            </w:pPr>
          </w:p>
          <w:p w14:paraId="6A72AE0C" w14:textId="07D329A0" w:rsidR="003B11CB" w:rsidRPr="00473DAC" w:rsidRDefault="003B11CB" w:rsidP="00C715AA">
            <w:pPr>
              <w:pStyle w:val="Pud2"/>
              <w:jc w:val="center"/>
              <w:rPr>
                <w:lang w:val="fr-FR"/>
              </w:rPr>
            </w:pPr>
            <w:r w:rsidRPr="00473DAC">
              <w:rPr>
                <w:lang w:val="fr-FR"/>
              </w:rPr>
              <w:t>125 kg</w:t>
            </w:r>
          </w:p>
          <w:p w14:paraId="4C8BE6BE" w14:textId="77777777" w:rsidR="003B11CB" w:rsidRPr="00E37DFA" w:rsidRDefault="003B11CB" w:rsidP="00C715AA">
            <w:pPr>
              <w:pStyle w:val="Pu2d4"/>
              <w:jc w:val="center"/>
              <w:rPr>
                <w:lang w:val="fr-FR"/>
              </w:rPr>
            </w:pPr>
            <w:r w:rsidRPr="00E37DFA">
              <w:rPr>
                <w:lang w:val="fr-FR"/>
              </w:rPr>
              <w:t>125 kg</w:t>
            </w:r>
          </w:p>
        </w:tc>
      </w:tr>
      <w:tr w:rsidR="003B11CB" w:rsidRPr="00E37DFA" w14:paraId="46C0139C" w14:textId="77777777" w:rsidTr="00C715AA">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tcPr>
          <w:p w14:paraId="1B7A87FF" w14:textId="77777777" w:rsidR="003B11CB" w:rsidRPr="00E37DFA" w:rsidRDefault="003B11CB" w:rsidP="00C715AA">
            <w:pPr>
              <w:pStyle w:val="Pnormal"/>
              <w:rPr>
                <w:b/>
                <w:bCs/>
                <w:lang w:val="fr-FR"/>
              </w:rPr>
            </w:pPr>
            <w:r w:rsidRPr="00E37DFA">
              <w:rPr>
                <w:b/>
                <w:bCs/>
                <w:lang w:val="fr-FR"/>
              </w:rPr>
              <w:t>Emballages simples</w:t>
            </w:r>
          </w:p>
        </w:tc>
      </w:tr>
    </w:tbl>
    <w:p w14:paraId="51BD1692" w14:textId="77777777" w:rsidR="003B11CB" w:rsidRPr="00E37DFA" w:rsidRDefault="003B11CB" w:rsidP="003B11CB">
      <w:pPr>
        <w:pStyle w:val="H1G"/>
        <w:rPr>
          <w:lang w:val="fr-FR"/>
        </w:rPr>
      </w:pPr>
      <w:r w:rsidRPr="00E37DFA">
        <w:rPr>
          <w:bCs/>
          <w:lang w:val="fr-FR"/>
        </w:rPr>
        <w:lastRenderedPageBreak/>
        <w:tab/>
        <w:t>9.</w:t>
      </w:r>
      <w:r w:rsidRPr="00E37DFA">
        <w:rPr>
          <w:lang w:val="fr-FR"/>
        </w:rPr>
        <w:tab/>
      </w:r>
      <w:r w:rsidRPr="00E37DFA">
        <w:rPr>
          <w:bCs/>
          <w:lang w:val="fr-FR"/>
        </w:rPr>
        <w:t>Disposition spéciale d</w:t>
      </w:r>
      <w:r>
        <w:rPr>
          <w:bCs/>
          <w:lang w:val="fr-FR"/>
        </w:rPr>
        <w:t>’</w:t>
      </w:r>
      <w:r w:rsidRPr="00E37DFA">
        <w:rPr>
          <w:bCs/>
          <w:lang w:val="fr-FR"/>
        </w:rPr>
        <w:t>emballage dans l</w:t>
      </w:r>
      <w:r>
        <w:rPr>
          <w:bCs/>
          <w:lang w:val="fr-FR"/>
        </w:rPr>
        <w:t>’</w:t>
      </w:r>
      <w:r w:rsidRPr="00E37DFA">
        <w:rPr>
          <w:bCs/>
          <w:lang w:val="fr-FR"/>
        </w:rPr>
        <w:t>instruction d</w:t>
      </w:r>
      <w:r>
        <w:rPr>
          <w:bCs/>
          <w:lang w:val="fr-FR"/>
        </w:rPr>
        <w:t>’</w:t>
      </w:r>
      <w:r w:rsidRPr="00E37DFA">
        <w:rPr>
          <w:bCs/>
          <w:lang w:val="fr-FR"/>
        </w:rPr>
        <w:t>emballage P603</w:t>
      </w:r>
    </w:p>
    <w:p w14:paraId="5E17C324" w14:textId="30133F43" w:rsidR="003B11CB" w:rsidRPr="00E37DFA" w:rsidRDefault="003B11CB" w:rsidP="003B11CB">
      <w:pPr>
        <w:pStyle w:val="SingleTxtG"/>
        <w:rPr>
          <w:lang w:val="fr-FR"/>
        </w:rPr>
      </w:pPr>
      <w:r w:rsidRPr="00E37DFA">
        <w:rPr>
          <w:lang w:val="fr-FR"/>
        </w:rPr>
        <w:t>17.</w:t>
      </w:r>
      <w:r w:rsidRPr="00E37DFA">
        <w:rPr>
          <w:lang w:val="fr-FR"/>
        </w:rPr>
        <w:tab/>
      </w:r>
      <w:r>
        <w:rPr>
          <w:lang w:val="fr-FR"/>
        </w:rPr>
        <w:t xml:space="preserve">L’instruction d’emballage </w:t>
      </w:r>
      <w:r w:rsidRPr="00E37DFA">
        <w:rPr>
          <w:lang w:val="fr-FR"/>
        </w:rPr>
        <w:t>P603 est la seule instruction d</w:t>
      </w:r>
      <w:r>
        <w:rPr>
          <w:lang w:val="fr-FR"/>
        </w:rPr>
        <w:t>’</w:t>
      </w:r>
      <w:r w:rsidRPr="00E37DFA">
        <w:rPr>
          <w:lang w:val="fr-FR"/>
        </w:rPr>
        <w:t>emballage du Règlement type qui contient une disposition spéciale d</w:t>
      </w:r>
      <w:r>
        <w:rPr>
          <w:lang w:val="fr-FR"/>
        </w:rPr>
        <w:t>’</w:t>
      </w:r>
      <w:r w:rsidRPr="00E37DFA">
        <w:rPr>
          <w:lang w:val="fr-FR"/>
        </w:rPr>
        <w:t>emballage sans code. Elle s</w:t>
      </w:r>
      <w:r>
        <w:rPr>
          <w:lang w:val="fr-FR"/>
        </w:rPr>
        <w:t>’</w:t>
      </w:r>
      <w:r w:rsidRPr="00E37DFA">
        <w:rPr>
          <w:lang w:val="fr-FR"/>
        </w:rPr>
        <w:t xml:space="preserve">applique uniquement au </w:t>
      </w:r>
      <w:r>
        <w:rPr>
          <w:lang w:val="fr-FR"/>
        </w:rPr>
        <w:t>No</w:t>
      </w:r>
      <w:r w:rsidRPr="00E37DFA">
        <w:rPr>
          <w:lang w:val="fr-FR"/>
        </w:rPr>
        <w:t xml:space="preserve"> ONU 3507, HEXAFLUORURE D</w:t>
      </w:r>
      <w:r>
        <w:rPr>
          <w:lang w:val="fr-FR"/>
        </w:rPr>
        <w:t>’</w:t>
      </w:r>
      <w:r w:rsidRPr="00E37DFA">
        <w:rPr>
          <w:lang w:val="fr-FR"/>
        </w:rPr>
        <w:t>URANIUM, MATIÈRES RADIOACTIVES, moins de 0,1 kg par colis, non fissiles ou fissiles exceptées, EN COLIS EXCEPTÉ. La disposition spéciale d</w:t>
      </w:r>
      <w:r>
        <w:rPr>
          <w:lang w:val="fr-FR"/>
        </w:rPr>
        <w:t>’</w:t>
      </w:r>
      <w:r w:rsidRPr="00E37DFA">
        <w:rPr>
          <w:lang w:val="fr-FR"/>
        </w:rPr>
        <w:t>emballage est libellée comme suit</w:t>
      </w:r>
      <w:r w:rsidR="00693D63">
        <w:rPr>
          <w:lang w:val="fr-FR"/>
        </w:rPr>
        <w:t> </w:t>
      </w:r>
      <w:r w:rsidRPr="00E37DFA">
        <w:rPr>
          <w:lang w:val="fr-FR"/>
        </w:rPr>
        <w:t xml:space="preserve">: </w:t>
      </w:r>
      <w:r>
        <w:rPr>
          <w:lang w:val="fr-FR"/>
        </w:rPr>
        <w:t>« </w:t>
      </w:r>
      <w:r w:rsidRPr="00E37DFA">
        <w:rPr>
          <w:lang w:val="fr-FR"/>
        </w:rPr>
        <w:t>Dans le cas de matières fissiles exceptées, les limites spécifiées au 2.7.2.3.5 doivent être respectées.</w:t>
      </w:r>
      <w:r>
        <w:rPr>
          <w:lang w:val="fr-FR"/>
        </w:rPr>
        <w:t> »</w:t>
      </w:r>
      <w:r w:rsidRPr="00E37DFA">
        <w:rPr>
          <w:lang w:val="fr-FR"/>
        </w:rPr>
        <w:t>.</w:t>
      </w:r>
    </w:p>
    <w:p w14:paraId="50A62FB1" w14:textId="6CD170ED" w:rsidR="003B11CB" w:rsidRPr="00E37DFA" w:rsidRDefault="003B11CB" w:rsidP="003B11CB">
      <w:pPr>
        <w:pStyle w:val="SingleTxtG"/>
        <w:rPr>
          <w:rFonts w:asciiTheme="majorBidi" w:hAnsiTheme="majorBidi" w:cstheme="majorBidi"/>
          <w:lang w:val="fr-FR"/>
        </w:rPr>
      </w:pPr>
      <w:r w:rsidRPr="00E37DFA">
        <w:rPr>
          <w:lang w:val="fr-FR"/>
        </w:rPr>
        <w:t>18.</w:t>
      </w:r>
      <w:r w:rsidRPr="00E37DFA">
        <w:rPr>
          <w:lang w:val="fr-FR"/>
        </w:rPr>
        <w:tab/>
        <w:t xml:space="preserve">Selon les principes directeurs (partie 4, A.2, </w:t>
      </w:r>
      <w:r>
        <w:rPr>
          <w:lang w:val="fr-FR"/>
        </w:rPr>
        <w:t xml:space="preserve">par. </w:t>
      </w:r>
      <w:r w:rsidRPr="00E37DFA">
        <w:rPr>
          <w:lang w:val="fr-FR"/>
        </w:rPr>
        <w:t>9), les dispositions spéciales d</w:t>
      </w:r>
      <w:r>
        <w:rPr>
          <w:lang w:val="fr-FR"/>
        </w:rPr>
        <w:t>’</w:t>
      </w:r>
      <w:r w:rsidRPr="00E37DFA">
        <w:rPr>
          <w:lang w:val="fr-FR"/>
        </w:rPr>
        <w:t>emballage sont utilisées pour les dispositions ne concernant qu</w:t>
      </w:r>
      <w:r>
        <w:rPr>
          <w:lang w:val="fr-FR"/>
        </w:rPr>
        <w:t>’</w:t>
      </w:r>
      <w:r w:rsidRPr="00E37DFA">
        <w:rPr>
          <w:lang w:val="fr-FR"/>
        </w:rPr>
        <w:t>un petit nombre de matières ou d</w:t>
      </w:r>
      <w:r>
        <w:rPr>
          <w:lang w:val="fr-FR"/>
        </w:rPr>
        <w:t>’</w:t>
      </w:r>
      <w:r w:rsidRPr="00E37DFA">
        <w:rPr>
          <w:lang w:val="fr-FR"/>
        </w:rPr>
        <w:t>objets parmi beaucoup d</w:t>
      </w:r>
      <w:r>
        <w:rPr>
          <w:lang w:val="fr-FR"/>
        </w:rPr>
        <w:t>’</w:t>
      </w:r>
      <w:r w:rsidRPr="00E37DFA">
        <w:rPr>
          <w:lang w:val="fr-FR"/>
        </w:rPr>
        <w:t>autres qui sont affectés à une instruction d</w:t>
      </w:r>
      <w:r>
        <w:rPr>
          <w:lang w:val="fr-FR"/>
        </w:rPr>
        <w:t>’</w:t>
      </w:r>
      <w:r w:rsidRPr="00E37DFA">
        <w:rPr>
          <w:lang w:val="fr-FR"/>
        </w:rPr>
        <w:t>emballage particulière. D</w:t>
      </w:r>
      <w:r>
        <w:rPr>
          <w:lang w:val="fr-FR"/>
        </w:rPr>
        <w:t>’</w:t>
      </w:r>
      <w:r w:rsidRPr="00E37DFA">
        <w:rPr>
          <w:lang w:val="fr-FR"/>
        </w:rPr>
        <w:t>une part, étant donné que l</w:t>
      </w:r>
      <w:r>
        <w:rPr>
          <w:lang w:val="fr-FR"/>
        </w:rPr>
        <w:t>’</w:t>
      </w:r>
      <w:r w:rsidRPr="00E37DFA">
        <w:rPr>
          <w:lang w:val="fr-FR"/>
        </w:rPr>
        <w:t>instruction P603 ne s</w:t>
      </w:r>
      <w:r>
        <w:rPr>
          <w:lang w:val="fr-FR"/>
        </w:rPr>
        <w:t>’</w:t>
      </w:r>
      <w:r w:rsidRPr="00E37DFA">
        <w:rPr>
          <w:lang w:val="fr-FR"/>
        </w:rPr>
        <w:t>applique qu</w:t>
      </w:r>
      <w:r>
        <w:rPr>
          <w:lang w:val="fr-FR"/>
        </w:rPr>
        <w:t>’</w:t>
      </w:r>
      <w:r w:rsidRPr="00E37DFA">
        <w:rPr>
          <w:lang w:val="fr-FR"/>
        </w:rPr>
        <w:t>à un seul numéro ONU, on pourrait faire valoir qu</w:t>
      </w:r>
      <w:r>
        <w:rPr>
          <w:lang w:val="fr-FR"/>
        </w:rPr>
        <w:t>’</w:t>
      </w:r>
      <w:r w:rsidRPr="00E37DFA">
        <w:rPr>
          <w:lang w:val="fr-FR"/>
        </w:rPr>
        <w:t>il serait préférable d</w:t>
      </w:r>
      <w:r>
        <w:rPr>
          <w:lang w:val="fr-FR"/>
        </w:rPr>
        <w:t>’</w:t>
      </w:r>
      <w:r w:rsidRPr="00E37DFA">
        <w:rPr>
          <w:lang w:val="fr-FR"/>
        </w:rPr>
        <w:t>inclure cette disposition comme disposition supplémentaire</w:t>
      </w:r>
      <w:r>
        <w:rPr>
          <w:lang w:val="fr-FR"/>
        </w:rPr>
        <w:t>,</w:t>
      </w:r>
      <w:r w:rsidRPr="00E37DFA">
        <w:rPr>
          <w:lang w:val="fr-FR"/>
        </w:rPr>
        <w:t xml:space="preserve"> plutôt que comme disposition spéciale d</w:t>
      </w:r>
      <w:r>
        <w:rPr>
          <w:lang w:val="fr-FR"/>
        </w:rPr>
        <w:t>’</w:t>
      </w:r>
      <w:r w:rsidRPr="00E37DFA">
        <w:rPr>
          <w:lang w:val="fr-FR"/>
        </w:rPr>
        <w:t>emballage (voir la proposition 9a ci-dessous). D</w:t>
      </w:r>
      <w:r>
        <w:rPr>
          <w:lang w:val="fr-FR"/>
        </w:rPr>
        <w:t>’</w:t>
      </w:r>
      <w:r w:rsidRPr="00E37DFA">
        <w:rPr>
          <w:lang w:val="fr-FR"/>
        </w:rPr>
        <w:t>autre part, cette disposition s</w:t>
      </w:r>
      <w:r>
        <w:rPr>
          <w:lang w:val="fr-FR"/>
        </w:rPr>
        <w:t>’</w:t>
      </w:r>
      <w:r w:rsidRPr="00E37DFA">
        <w:rPr>
          <w:lang w:val="fr-FR"/>
        </w:rPr>
        <w:t>appliquant aux matières fissiles exceptées</w:t>
      </w:r>
      <w:r>
        <w:rPr>
          <w:lang w:val="fr-FR"/>
        </w:rPr>
        <w:t>,</w:t>
      </w:r>
      <w:r w:rsidRPr="00E37DFA">
        <w:rPr>
          <w:lang w:val="fr-FR"/>
        </w:rPr>
        <w:t xml:space="preserve"> mais pas aux matières non fissiles, on pourrait soutenir qu</w:t>
      </w:r>
      <w:r>
        <w:rPr>
          <w:lang w:val="fr-FR"/>
        </w:rPr>
        <w:t>’</w:t>
      </w:r>
      <w:r w:rsidRPr="00E37DFA">
        <w:rPr>
          <w:lang w:val="fr-FR"/>
        </w:rPr>
        <w:t>une disposition spéciale d</w:t>
      </w:r>
      <w:r>
        <w:rPr>
          <w:lang w:val="fr-FR"/>
        </w:rPr>
        <w:t>’</w:t>
      </w:r>
      <w:r w:rsidRPr="00E37DFA">
        <w:rPr>
          <w:lang w:val="fr-FR"/>
        </w:rPr>
        <w:t xml:space="preserve">emballage </w:t>
      </w:r>
      <w:r>
        <w:rPr>
          <w:lang w:val="fr-FR"/>
        </w:rPr>
        <w:t>se</w:t>
      </w:r>
      <w:r w:rsidRPr="00E37DFA">
        <w:rPr>
          <w:lang w:val="fr-FR"/>
        </w:rPr>
        <w:t xml:space="preserve"> justifie. </w:t>
      </w:r>
      <w:r>
        <w:rPr>
          <w:lang w:val="fr-FR"/>
        </w:rPr>
        <w:t>D</w:t>
      </w:r>
      <w:r w:rsidRPr="00E37DFA">
        <w:rPr>
          <w:lang w:val="fr-FR"/>
        </w:rPr>
        <w:t>ans ce cas</w:t>
      </w:r>
      <w:r>
        <w:rPr>
          <w:lang w:val="fr-FR"/>
        </w:rPr>
        <w:t xml:space="preserve"> toutefois</w:t>
      </w:r>
      <w:r w:rsidRPr="00E37DFA">
        <w:rPr>
          <w:lang w:val="fr-FR"/>
        </w:rPr>
        <w:t>, rien ne semble justifier qu</w:t>
      </w:r>
      <w:r>
        <w:rPr>
          <w:lang w:val="fr-FR"/>
        </w:rPr>
        <w:t>’</w:t>
      </w:r>
      <w:r w:rsidRPr="00E37DFA">
        <w:rPr>
          <w:lang w:val="fr-FR"/>
        </w:rPr>
        <w:t>un code ne lui soit pas attribué (proposition 9b ci-dessous). Ce cas serait analogue à celui de l</w:t>
      </w:r>
      <w:r>
        <w:rPr>
          <w:lang w:val="fr-FR"/>
        </w:rPr>
        <w:t>’</w:t>
      </w:r>
      <w:r w:rsidRPr="00E37DFA">
        <w:rPr>
          <w:lang w:val="fr-FR"/>
        </w:rPr>
        <w:t>instruction d</w:t>
      </w:r>
      <w:r>
        <w:rPr>
          <w:lang w:val="fr-FR"/>
        </w:rPr>
        <w:t>’</w:t>
      </w:r>
      <w:r w:rsidRPr="00E37DFA">
        <w:rPr>
          <w:lang w:val="fr-FR"/>
        </w:rPr>
        <w:t>emballage P207, qui ne s</w:t>
      </w:r>
      <w:r>
        <w:rPr>
          <w:lang w:val="fr-FR"/>
        </w:rPr>
        <w:t>’</w:t>
      </w:r>
      <w:r w:rsidRPr="00E37DFA">
        <w:rPr>
          <w:lang w:val="fr-FR"/>
        </w:rPr>
        <w:t>applique qu</w:t>
      </w:r>
      <w:r>
        <w:rPr>
          <w:lang w:val="fr-FR"/>
        </w:rPr>
        <w:t>’</w:t>
      </w:r>
      <w:r w:rsidRPr="00E37DFA">
        <w:rPr>
          <w:lang w:val="fr-FR"/>
        </w:rPr>
        <w:t>au No ONU 1950 AÉROSOLS, mais qui contient une disposition spéciale d</w:t>
      </w:r>
      <w:r>
        <w:rPr>
          <w:lang w:val="fr-FR"/>
        </w:rPr>
        <w:t>’</w:t>
      </w:r>
      <w:r w:rsidRPr="00E37DFA">
        <w:rPr>
          <w:lang w:val="fr-FR"/>
        </w:rPr>
        <w:t>emballage (PP87) ne s</w:t>
      </w:r>
      <w:r>
        <w:rPr>
          <w:lang w:val="fr-FR"/>
        </w:rPr>
        <w:t>’</w:t>
      </w:r>
      <w:r w:rsidRPr="00E37DFA">
        <w:rPr>
          <w:lang w:val="fr-FR"/>
        </w:rPr>
        <w:t>appliquant qu</w:t>
      </w:r>
      <w:r>
        <w:rPr>
          <w:lang w:val="fr-FR"/>
        </w:rPr>
        <w:t>’</w:t>
      </w:r>
      <w:r w:rsidRPr="00E37DFA">
        <w:rPr>
          <w:lang w:val="fr-FR"/>
        </w:rPr>
        <w:t>aux aérosols mis au rebut.</w:t>
      </w:r>
    </w:p>
    <w:p w14:paraId="12807D8F" w14:textId="77777777" w:rsidR="003B11CB" w:rsidRPr="00E37DFA" w:rsidRDefault="003B11CB" w:rsidP="003B11CB">
      <w:pPr>
        <w:pStyle w:val="SingleTxtG"/>
        <w:rPr>
          <w:rFonts w:asciiTheme="majorBidi" w:hAnsiTheme="majorBidi" w:cstheme="majorBidi"/>
          <w:lang w:val="fr-FR"/>
        </w:rPr>
      </w:pPr>
      <w:r w:rsidRPr="00E37DFA">
        <w:rPr>
          <w:lang w:val="fr-FR"/>
        </w:rPr>
        <w:t>19.</w:t>
      </w:r>
      <w:r w:rsidRPr="00E37DFA">
        <w:rPr>
          <w:lang w:val="fr-FR"/>
        </w:rPr>
        <w:tab/>
      </w:r>
      <w:r w:rsidRPr="00E37DFA">
        <w:rPr>
          <w:b/>
          <w:bCs/>
          <w:lang w:val="fr-FR"/>
        </w:rPr>
        <w:t>Le Sous-Comité est invité à déterminer laquelle des deux propositions ci-après est éventuellement la plus appropriée.</w:t>
      </w:r>
    </w:p>
    <w:p w14:paraId="665D8BC6" w14:textId="77777777" w:rsidR="003B11CB" w:rsidRPr="00E37DFA" w:rsidRDefault="003B11CB" w:rsidP="003B11CB">
      <w:pPr>
        <w:pStyle w:val="H23G"/>
        <w:rPr>
          <w:lang w:val="fr-FR"/>
        </w:rPr>
      </w:pPr>
      <w:r w:rsidRPr="00E37DFA">
        <w:rPr>
          <w:lang w:val="fr-FR"/>
        </w:rPr>
        <w:tab/>
      </w:r>
      <w:r w:rsidRPr="00E37DFA">
        <w:rPr>
          <w:lang w:val="fr-FR"/>
        </w:rPr>
        <w:tab/>
      </w:r>
      <w:r w:rsidRPr="00E37DFA">
        <w:rPr>
          <w:bCs/>
          <w:lang w:val="fr-FR"/>
        </w:rPr>
        <w:t>Proposition 9a</w:t>
      </w:r>
    </w:p>
    <w:p w14:paraId="2DC806F1" w14:textId="317D1C70" w:rsidR="003B11CB" w:rsidRPr="00E37DFA" w:rsidRDefault="003B11CB" w:rsidP="003B11CB">
      <w:pPr>
        <w:pStyle w:val="SingleTxtG"/>
        <w:ind w:left="2268" w:hanging="1134"/>
        <w:rPr>
          <w:lang w:val="fr-FR"/>
        </w:rPr>
      </w:pPr>
      <w:r w:rsidRPr="00E37DFA">
        <w:rPr>
          <w:lang w:val="fr-FR"/>
        </w:rPr>
        <w:t>4.1.4.1, P603</w:t>
      </w:r>
      <w:r w:rsidRPr="00E37DFA">
        <w:rPr>
          <w:lang w:val="fr-FR"/>
        </w:rPr>
        <w:tab/>
        <w:t>Ajouter une nouvelle disposition supplémentaire libellée comme suit</w:t>
      </w:r>
      <w:r w:rsidR="00693D63">
        <w:rPr>
          <w:lang w:val="fr-FR"/>
        </w:rPr>
        <w:t> </w:t>
      </w:r>
      <w:r w:rsidRPr="00E37DFA">
        <w:rPr>
          <w:lang w:val="fr-FR"/>
        </w:rPr>
        <w:t xml:space="preserve">: </w:t>
      </w:r>
      <w:r>
        <w:rPr>
          <w:lang w:val="fr-FR"/>
        </w:rPr>
        <w:t>« </w:t>
      </w:r>
      <w:r w:rsidRPr="00E37DFA">
        <w:rPr>
          <w:lang w:val="fr-FR"/>
        </w:rPr>
        <w:t>4.</w:t>
      </w:r>
      <w:r w:rsidR="00693D63">
        <w:rPr>
          <w:lang w:val="fr-FR"/>
        </w:rPr>
        <w:t> </w:t>
      </w:r>
      <w:r w:rsidRPr="00E37DFA">
        <w:rPr>
          <w:lang w:val="fr-FR"/>
        </w:rPr>
        <w:t>Dans le cas de matières fissiles exceptées, les limites spécifiées au 2.7.2.3.5 doivent être respectées.</w:t>
      </w:r>
      <w:r>
        <w:rPr>
          <w:lang w:val="fr-FR"/>
        </w:rPr>
        <w:t> »</w:t>
      </w:r>
      <w:r w:rsidRPr="00E37DFA">
        <w:rPr>
          <w:lang w:val="fr-FR"/>
        </w:rPr>
        <w:t>. Supprimer la ligne entière de la disposition spéciale d</w:t>
      </w:r>
      <w:r>
        <w:rPr>
          <w:lang w:val="fr-FR"/>
        </w:rPr>
        <w:t>’</w:t>
      </w:r>
      <w:r w:rsidRPr="00E37DFA">
        <w:rPr>
          <w:lang w:val="fr-FR"/>
        </w:rPr>
        <w:t>emballage.</w:t>
      </w:r>
    </w:p>
    <w:p w14:paraId="595ABB61" w14:textId="77777777" w:rsidR="003B11CB" w:rsidRPr="00E37DFA" w:rsidRDefault="003B11CB" w:rsidP="003B11CB">
      <w:pPr>
        <w:pStyle w:val="H23G"/>
        <w:rPr>
          <w:lang w:val="fr-FR"/>
        </w:rPr>
      </w:pPr>
      <w:r w:rsidRPr="00E37DFA">
        <w:rPr>
          <w:lang w:val="fr-FR"/>
        </w:rPr>
        <w:tab/>
      </w:r>
      <w:r w:rsidRPr="00E37DFA">
        <w:rPr>
          <w:lang w:val="fr-FR"/>
        </w:rPr>
        <w:tab/>
      </w:r>
      <w:r w:rsidRPr="00E37DFA">
        <w:rPr>
          <w:bCs/>
          <w:lang w:val="fr-FR"/>
        </w:rPr>
        <w:t>Proposition 9b</w:t>
      </w:r>
    </w:p>
    <w:p w14:paraId="08D3517B" w14:textId="6F4C914E" w:rsidR="003B11CB" w:rsidRPr="00E37DFA" w:rsidRDefault="003B11CB" w:rsidP="003B11CB">
      <w:pPr>
        <w:pStyle w:val="SingleTxtG"/>
        <w:ind w:left="2268" w:hanging="1134"/>
        <w:rPr>
          <w:lang w:val="fr-FR"/>
        </w:rPr>
      </w:pPr>
      <w:r w:rsidRPr="00E37DFA">
        <w:rPr>
          <w:lang w:val="fr-FR"/>
        </w:rPr>
        <w:t>3.2.2, No ONU 3507</w:t>
      </w:r>
      <w:r w:rsidR="003B0FD8">
        <w:rPr>
          <w:lang w:val="fr-FR"/>
        </w:rPr>
        <w:tab/>
      </w:r>
      <w:r w:rsidRPr="00E37DFA">
        <w:rPr>
          <w:lang w:val="fr-FR"/>
        </w:rPr>
        <w:t xml:space="preserve">Dans la colonne (9), ajouter </w:t>
      </w:r>
      <w:r>
        <w:rPr>
          <w:lang w:val="fr-FR"/>
        </w:rPr>
        <w:t>« </w:t>
      </w:r>
      <w:r w:rsidRPr="00E37DFA">
        <w:rPr>
          <w:lang w:val="fr-FR"/>
        </w:rPr>
        <w:t>PPXX</w:t>
      </w:r>
      <w:r>
        <w:rPr>
          <w:lang w:val="fr-FR"/>
        </w:rPr>
        <w:t> »</w:t>
      </w:r>
      <w:r w:rsidRPr="00E37DFA">
        <w:rPr>
          <w:lang w:val="fr-FR"/>
        </w:rPr>
        <w:t>.</w:t>
      </w:r>
    </w:p>
    <w:p w14:paraId="2DE99BF9" w14:textId="77777777" w:rsidR="003B11CB" w:rsidRPr="00E37DFA" w:rsidRDefault="003B11CB" w:rsidP="003B11CB">
      <w:pPr>
        <w:pStyle w:val="SingleTxtG"/>
        <w:ind w:left="2268" w:hanging="1134"/>
        <w:rPr>
          <w:lang w:val="fr-FR"/>
        </w:rPr>
      </w:pPr>
      <w:r w:rsidRPr="00E37DFA">
        <w:rPr>
          <w:lang w:val="fr-FR"/>
        </w:rPr>
        <w:t>4.1.4.1, P603</w:t>
      </w:r>
      <w:r w:rsidRPr="00E37DFA">
        <w:rPr>
          <w:lang w:val="fr-FR"/>
        </w:rPr>
        <w:tab/>
        <w:t xml:space="preserve">Attribuer le code </w:t>
      </w:r>
      <w:r>
        <w:rPr>
          <w:lang w:val="fr-FR"/>
        </w:rPr>
        <w:t>« </w:t>
      </w:r>
      <w:r w:rsidRPr="00E37DFA">
        <w:rPr>
          <w:lang w:val="fr-FR"/>
        </w:rPr>
        <w:t>PPXX</w:t>
      </w:r>
      <w:r>
        <w:rPr>
          <w:lang w:val="fr-FR"/>
        </w:rPr>
        <w:t> »</w:t>
      </w:r>
      <w:r w:rsidRPr="00E37DFA">
        <w:rPr>
          <w:lang w:val="fr-FR"/>
        </w:rPr>
        <w:t xml:space="preserve"> à la disposition spéciale d</w:t>
      </w:r>
      <w:r>
        <w:rPr>
          <w:lang w:val="fr-FR"/>
        </w:rPr>
        <w:t>’</w:t>
      </w:r>
      <w:r w:rsidRPr="00E37DFA">
        <w:rPr>
          <w:lang w:val="fr-FR"/>
        </w:rPr>
        <w:t>emballage existante.</w:t>
      </w:r>
    </w:p>
    <w:p w14:paraId="76117373" w14:textId="6F897BE3" w:rsidR="003B11CB" w:rsidRPr="00E37DFA" w:rsidRDefault="003B11CB" w:rsidP="003B11CB">
      <w:pPr>
        <w:pStyle w:val="H1G"/>
        <w:rPr>
          <w:lang w:val="fr-FR"/>
        </w:rPr>
      </w:pPr>
      <w:r w:rsidRPr="00E37DFA">
        <w:rPr>
          <w:bCs/>
          <w:lang w:val="fr-FR"/>
        </w:rPr>
        <w:tab/>
        <w:t>10.</w:t>
      </w:r>
      <w:r w:rsidRPr="00E37DFA">
        <w:rPr>
          <w:lang w:val="fr-FR"/>
        </w:rPr>
        <w:tab/>
      </w:r>
      <w:r w:rsidRPr="00E37DFA">
        <w:rPr>
          <w:bCs/>
          <w:lang w:val="fr-FR"/>
        </w:rPr>
        <w:t xml:space="preserve">Autres </w:t>
      </w:r>
      <w:r>
        <w:rPr>
          <w:bCs/>
          <w:lang w:val="fr-FR"/>
        </w:rPr>
        <w:t>propositions d’amendements</w:t>
      </w:r>
    </w:p>
    <w:p w14:paraId="1686F45F" w14:textId="77777777" w:rsidR="003B11CB" w:rsidRPr="00E37DFA" w:rsidRDefault="003B11CB" w:rsidP="003B11CB">
      <w:pPr>
        <w:pStyle w:val="SingleTxtG"/>
        <w:rPr>
          <w:lang w:val="fr-FR"/>
        </w:rPr>
      </w:pPr>
      <w:r w:rsidRPr="00E37DFA">
        <w:rPr>
          <w:lang w:val="fr-FR"/>
        </w:rPr>
        <w:t>20.</w:t>
      </w:r>
      <w:r w:rsidRPr="00E37DFA">
        <w:rPr>
          <w:lang w:val="fr-FR"/>
        </w:rPr>
        <w:tab/>
        <w:t>La proposition 10 contient une série de modifications mineures visant à améliorer la cohérence et la lisibilité.</w:t>
      </w:r>
    </w:p>
    <w:p w14:paraId="76FA4C2F" w14:textId="77777777" w:rsidR="003B0FD8" w:rsidRDefault="003B0FD8">
      <w:pPr>
        <w:suppressAutoHyphens w:val="0"/>
        <w:kinsoku/>
        <w:overflowPunct/>
        <w:autoSpaceDE/>
        <w:autoSpaceDN/>
        <w:adjustRightInd/>
        <w:snapToGrid/>
        <w:spacing w:after="200" w:line="276" w:lineRule="auto"/>
        <w:rPr>
          <w:b/>
          <w:lang w:val="fr-FR"/>
        </w:rPr>
      </w:pPr>
      <w:r>
        <w:rPr>
          <w:lang w:val="fr-FR"/>
        </w:rPr>
        <w:br w:type="page"/>
      </w:r>
    </w:p>
    <w:p w14:paraId="5259A213" w14:textId="4B64D989" w:rsidR="003B11CB" w:rsidRPr="00E37DFA" w:rsidRDefault="003B11CB" w:rsidP="003B11CB">
      <w:pPr>
        <w:pStyle w:val="H23G"/>
        <w:rPr>
          <w:lang w:val="fr-FR"/>
        </w:rPr>
      </w:pPr>
      <w:r w:rsidRPr="00E37DFA">
        <w:rPr>
          <w:lang w:val="fr-FR"/>
        </w:rPr>
        <w:lastRenderedPageBreak/>
        <w:tab/>
      </w:r>
      <w:r w:rsidRPr="00E37DFA">
        <w:rPr>
          <w:lang w:val="fr-FR"/>
        </w:rPr>
        <w:tab/>
      </w:r>
      <w:r w:rsidRPr="00E37DFA">
        <w:rPr>
          <w:bCs/>
          <w:lang w:val="fr-FR"/>
        </w:rPr>
        <w:t>Proposition 10</w:t>
      </w:r>
    </w:p>
    <w:p w14:paraId="53AB8A45" w14:textId="77777777" w:rsidR="003B11CB" w:rsidRPr="00E37DFA" w:rsidRDefault="003B11CB" w:rsidP="003B11CB">
      <w:pPr>
        <w:pStyle w:val="SingleTxtG"/>
        <w:ind w:left="2268" w:hanging="1134"/>
        <w:rPr>
          <w:lang w:val="fr-FR"/>
        </w:rPr>
      </w:pPr>
      <w:r w:rsidRPr="00E37DFA">
        <w:rPr>
          <w:lang w:val="fr-FR"/>
        </w:rPr>
        <w:t>4.1.4.1, P208</w:t>
      </w:r>
      <w:r w:rsidRPr="00E37DFA">
        <w:rPr>
          <w:lang w:val="fr-FR"/>
        </w:rPr>
        <w:tab/>
        <w:t>Dans le tableau 1, supprimer la ligne d</w:t>
      </w:r>
      <w:r>
        <w:rPr>
          <w:lang w:val="fr-FR"/>
        </w:rPr>
        <w:t>’</w:t>
      </w:r>
      <w:r w:rsidRPr="00E37DFA">
        <w:rPr>
          <w:lang w:val="fr-FR"/>
        </w:rPr>
        <w:t>en-tête contenant les numéros de colonnes.</w:t>
      </w:r>
    </w:p>
    <w:p w14:paraId="76E44AF6" w14:textId="4BAACEDA" w:rsidR="003B11CB" w:rsidRPr="00E37DFA" w:rsidRDefault="003B11CB" w:rsidP="003B11CB">
      <w:pPr>
        <w:pStyle w:val="SingleTxtG"/>
        <w:ind w:left="2268" w:hanging="1134"/>
        <w:rPr>
          <w:lang w:val="fr-FR"/>
        </w:rPr>
      </w:pPr>
      <w:r w:rsidRPr="00E37DFA">
        <w:rPr>
          <w:lang w:val="fr-FR"/>
        </w:rPr>
        <w:t>4.1.4.1, P404</w:t>
      </w:r>
      <w:r w:rsidRPr="00E37DFA">
        <w:rPr>
          <w:lang w:val="fr-FR"/>
        </w:rPr>
        <w:tab/>
        <w:t>Modifier comme suit la deuxième ligne sous le titre</w:t>
      </w:r>
      <w:r w:rsidR="003B0FD8">
        <w:rPr>
          <w:lang w:val="fr-FR"/>
        </w:rPr>
        <w:t> </w:t>
      </w:r>
      <w:r w:rsidRPr="00E37DFA">
        <w:rPr>
          <w:lang w:val="fr-FR"/>
        </w:rPr>
        <w:t>:</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39"/>
      </w:tblGrid>
      <w:tr w:rsidR="003B11CB" w:rsidRPr="00473DAC" w14:paraId="04124617" w14:textId="77777777" w:rsidTr="003B0FD8">
        <w:trPr>
          <w:trHeight w:val="20"/>
        </w:trPr>
        <w:tc>
          <w:tcPr>
            <w:tcW w:w="5000" w:type="pct"/>
          </w:tcPr>
          <w:p w14:paraId="2F1CADAA" w14:textId="72CE6B97" w:rsidR="003B11CB" w:rsidRPr="00E37DFA" w:rsidRDefault="003B11CB" w:rsidP="00C715AA">
            <w:pPr>
              <w:pStyle w:val="Ph08"/>
              <w:rPr>
                <w:lang w:val="fr-FR"/>
              </w:rPr>
            </w:pPr>
            <w:r w:rsidRPr="00E37DFA">
              <w:rPr>
                <w:lang w:val="fr-FR"/>
              </w:rPr>
              <w:t>Les emballages suivants sont autorisés s</w:t>
            </w:r>
            <w:r>
              <w:rPr>
                <w:lang w:val="fr-FR"/>
              </w:rPr>
              <w:t>’</w:t>
            </w:r>
            <w:r w:rsidRPr="00E37DFA">
              <w:rPr>
                <w:lang w:val="fr-FR"/>
              </w:rPr>
              <w:t xml:space="preserve">il est satisfait aux dispositions </w:t>
            </w:r>
            <w:r w:rsidRPr="00936164">
              <w:rPr>
                <w:lang w:val="fr-FR"/>
              </w:rPr>
              <w:t xml:space="preserve">générales des </w:t>
            </w:r>
            <w:r w:rsidRPr="00936164">
              <w:rPr>
                <w:b/>
                <w:bCs/>
                <w:lang w:val="fr-FR"/>
              </w:rPr>
              <w:t>4.1.1</w:t>
            </w:r>
            <w:r w:rsidRPr="00936164">
              <w:rPr>
                <w:lang w:val="fr-FR"/>
              </w:rPr>
              <w:t xml:space="preserve"> et </w:t>
            </w:r>
            <w:r w:rsidRPr="00936164">
              <w:rPr>
                <w:b/>
                <w:bCs/>
                <w:lang w:val="fr-FR"/>
              </w:rPr>
              <w:t>4.1.3</w:t>
            </w:r>
            <w:r w:rsidR="003B0FD8" w:rsidRPr="00936164">
              <w:rPr>
                <w:lang w:val="fr-FR"/>
              </w:rPr>
              <w:t> </w:t>
            </w:r>
            <w:r w:rsidRPr="00936164">
              <w:rPr>
                <w:lang w:val="fr-FR"/>
              </w:rPr>
              <w:t>:</w:t>
            </w:r>
            <w:r w:rsidRPr="00E37DFA">
              <w:rPr>
                <w:lang w:val="fr-FR"/>
              </w:rPr>
              <w:t xml:space="preserve"> </w:t>
            </w:r>
          </w:p>
          <w:p w14:paraId="7A3F149E" w14:textId="1E9015DB" w:rsidR="003B11CB" w:rsidRPr="00E37DFA" w:rsidRDefault="003B11CB" w:rsidP="00C715AA">
            <w:pPr>
              <w:pStyle w:val="Ph08"/>
              <w:rPr>
                <w:lang w:val="fr-FR"/>
              </w:rPr>
            </w:pPr>
            <w:r w:rsidRPr="00E37DFA">
              <w:rPr>
                <w:lang w:val="fr-FR"/>
              </w:rPr>
              <w:t>1)</w:t>
            </w:r>
            <w:r w:rsidRPr="00E37DFA">
              <w:rPr>
                <w:lang w:val="fr-FR"/>
              </w:rPr>
              <w:tab/>
              <w:t>Emballages combinés</w:t>
            </w:r>
            <w:r w:rsidR="003B0FD8">
              <w:rPr>
                <w:lang w:val="fr-FR"/>
              </w:rPr>
              <w:t> </w:t>
            </w:r>
            <w:r w:rsidRPr="00E37DFA">
              <w:rPr>
                <w:lang w:val="fr-FR"/>
              </w:rPr>
              <w:t>:</w:t>
            </w:r>
          </w:p>
          <w:p w14:paraId="6106E4A3" w14:textId="778653F7" w:rsidR="003B11CB" w:rsidRPr="00E37DFA" w:rsidRDefault="003B11CB" w:rsidP="00C715AA">
            <w:pPr>
              <w:pStyle w:val="Pb08h08"/>
              <w:rPr>
                <w:lang w:val="fr-FR"/>
              </w:rPr>
            </w:pPr>
            <w:r w:rsidRPr="00E37DFA">
              <w:rPr>
                <w:lang w:val="fr-FR"/>
              </w:rPr>
              <w:tab/>
              <w:t>Emballages extérieurs</w:t>
            </w:r>
            <w:r w:rsidR="003B0FD8">
              <w:rPr>
                <w:lang w:val="fr-FR"/>
              </w:rPr>
              <w:t> </w:t>
            </w:r>
            <w:r w:rsidRPr="00E37DFA">
              <w:rPr>
                <w:lang w:val="fr-FR"/>
              </w:rPr>
              <w:t>:</w:t>
            </w:r>
          </w:p>
          <w:p w14:paraId="607E2924" w14:textId="58CE2D1B" w:rsidR="003B11CB" w:rsidRPr="00E37DFA" w:rsidRDefault="003B11CB" w:rsidP="00C715AA">
            <w:pPr>
              <w:pStyle w:val="Pb16h08"/>
              <w:rPr>
                <w:lang w:val="fr-FR"/>
              </w:rPr>
            </w:pPr>
            <w:r w:rsidRPr="00E37DFA">
              <w:rPr>
                <w:lang w:val="fr-FR"/>
              </w:rPr>
              <w:tab/>
              <w:t>Fûts (1A1, 1A2, 1B1, 1B2, 1N1, 1N2, 1H1, 1H2, 1D, 1G)</w:t>
            </w:r>
            <w:r w:rsidR="003B0FD8">
              <w:rPr>
                <w:lang w:val="fr-FR"/>
              </w:rPr>
              <w:t> </w:t>
            </w:r>
            <w:r w:rsidRPr="00E37DFA">
              <w:rPr>
                <w:lang w:val="fr-FR"/>
              </w:rPr>
              <w:t>;</w:t>
            </w:r>
          </w:p>
          <w:p w14:paraId="62FD2171" w14:textId="77777777" w:rsidR="003B11CB" w:rsidRPr="00E37DFA" w:rsidRDefault="003B11CB" w:rsidP="00C715AA">
            <w:pPr>
              <w:pStyle w:val="Pb16h08"/>
              <w:rPr>
                <w:lang w:val="fr-FR"/>
              </w:rPr>
            </w:pPr>
            <w:r w:rsidRPr="00E37DFA">
              <w:rPr>
                <w:lang w:val="fr-FR"/>
              </w:rPr>
              <w:tab/>
              <w:t>Caisses (4A, 4B, 4N, 4C1,4C2, 4D, 4F, 4G ou 4H2).</w:t>
            </w:r>
          </w:p>
          <w:p w14:paraId="23F8E450" w14:textId="77E266A5" w:rsidR="003B11CB" w:rsidRPr="00E37DFA" w:rsidRDefault="003B11CB" w:rsidP="00C715AA">
            <w:pPr>
              <w:pStyle w:val="Pb08h08"/>
              <w:rPr>
                <w:lang w:val="fr-FR"/>
              </w:rPr>
            </w:pPr>
            <w:r w:rsidRPr="00E37DFA">
              <w:rPr>
                <w:lang w:val="fr-FR"/>
              </w:rPr>
              <w:tab/>
              <w:t>Emballages intérieurs</w:t>
            </w:r>
            <w:r w:rsidR="003B0FD8">
              <w:rPr>
                <w:lang w:val="fr-FR"/>
              </w:rPr>
              <w:t> </w:t>
            </w:r>
            <w:r w:rsidRPr="00E37DFA">
              <w:rPr>
                <w:lang w:val="fr-FR"/>
              </w:rPr>
              <w:t>:</w:t>
            </w:r>
          </w:p>
          <w:p w14:paraId="1E5B98FF" w14:textId="6F1D2016" w:rsidR="003B11CB" w:rsidRPr="00E37DFA" w:rsidRDefault="003B11CB" w:rsidP="00C715AA">
            <w:pPr>
              <w:pStyle w:val="Pb16h08"/>
              <w:rPr>
                <w:lang w:val="fr-FR"/>
              </w:rPr>
            </w:pPr>
            <w:r w:rsidRPr="00E37DFA">
              <w:rPr>
                <w:lang w:val="fr-FR"/>
              </w:rPr>
              <w:tab/>
              <w:t>Récipients en métal d</w:t>
            </w:r>
            <w:r>
              <w:rPr>
                <w:lang w:val="fr-FR"/>
              </w:rPr>
              <w:t>’</w:t>
            </w:r>
            <w:r w:rsidRPr="00E37DFA">
              <w:rPr>
                <w:lang w:val="fr-FR"/>
              </w:rPr>
              <w:t>une masse nette maximale de 15 kg chacun. Les emballages intérieurs doivent être hermétiquement fermés</w:t>
            </w:r>
            <w:r w:rsidR="003B0FD8">
              <w:rPr>
                <w:lang w:val="fr-FR"/>
              </w:rPr>
              <w:t> </w:t>
            </w:r>
            <w:r w:rsidRPr="00E37DFA">
              <w:rPr>
                <w:lang w:val="fr-FR"/>
              </w:rPr>
              <w:t>;</w:t>
            </w:r>
          </w:p>
          <w:p w14:paraId="3B093080" w14:textId="77777777" w:rsidR="003B11CB" w:rsidRPr="00E37DFA" w:rsidRDefault="003B11CB" w:rsidP="00C715AA">
            <w:pPr>
              <w:pStyle w:val="Pb16h08"/>
              <w:rPr>
                <w:lang w:val="fr-FR"/>
              </w:rPr>
            </w:pPr>
            <w:r w:rsidRPr="00E37DFA">
              <w:rPr>
                <w:lang w:val="fr-FR"/>
              </w:rPr>
              <w:tab/>
              <w:t>Récipients en verre d</w:t>
            </w:r>
            <w:r>
              <w:rPr>
                <w:lang w:val="fr-FR"/>
              </w:rPr>
              <w:t>’</w:t>
            </w:r>
            <w:r w:rsidRPr="00E37DFA">
              <w:rPr>
                <w:lang w:val="fr-FR"/>
              </w:rPr>
              <w:t>une masse nette maximale de 1 kg chacun, munis de bouchons avec joints, calés de tous les côtés et contenus dans des bidons en métal hermétiquement fermés.</w:t>
            </w:r>
          </w:p>
          <w:p w14:paraId="6A966B60" w14:textId="77777777" w:rsidR="003B11CB" w:rsidRPr="00E37DFA" w:rsidRDefault="003B11CB" w:rsidP="00C715AA">
            <w:pPr>
              <w:pStyle w:val="Ph08"/>
              <w:rPr>
                <w:lang w:val="fr-FR"/>
              </w:rPr>
            </w:pPr>
            <w:r w:rsidRPr="00E37DFA">
              <w:rPr>
                <w:lang w:val="fr-FR"/>
              </w:rPr>
              <w:tab/>
              <w:t>La masse nette maximale des emballages extérieurs est de 125 kg.</w:t>
            </w:r>
          </w:p>
          <w:p w14:paraId="27A229A7" w14:textId="77777777" w:rsidR="003B11CB" w:rsidRPr="00E37DFA" w:rsidRDefault="003B11CB" w:rsidP="00C715AA">
            <w:pPr>
              <w:pStyle w:val="Ph08"/>
              <w:rPr>
                <w:lang w:val="fr-FR"/>
              </w:rPr>
            </w:pPr>
            <w:r w:rsidRPr="00E37DFA">
              <w:rPr>
                <w:lang w:val="fr-FR"/>
              </w:rPr>
              <w:tab/>
              <w:t>Les emballages intérieurs doivent être munis de bouchons filetés ou de fermetures bloquées par tout moyen physique empêchant leur dégagement ou leur relâchement en cas de choc ou de vibration au cours du transport.</w:t>
            </w:r>
          </w:p>
          <w:p w14:paraId="1324B51A" w14:textId="77777777" w:rsidR="003B11CB" w:rsidRPr="00E37DFA" w:rsidRDefault="003B11CB" w:rsidP="00C715AA">
            <w:pPr>
              <w:pStyle w:val="Ph08"/>
              <w:rPr>
                <w:lang w:val="fr-FR"/>
              </w:rPr>
            </w:pPr>
            <w:r w:rsidRPr="00E37DFA">
              <w:rPr>
                <w:lang w:val="fr-FR"/>
              </w:rPr>
              <w:t>2)</w:t>
            </w:r>
            <w:r w:rsidRPr="00E37DFA">
              <w:rPr>
                <w:lang w:val="fr-FR"/>
              </w:rPr>
              <w:tab/>
              <w:t>Emballages en métal</w:t>
            </w:r>
            <w:r>
              <w:rPr>
                <w:lang w:val="fr-FR"/>
              </w:rPr>
              <w:t> :</w:t>
            </w:r>
          </w:p>
          <w:p w14:paraId="02445A3A" w14:textId="0A835F7D" w:rsidR="003B11CB" w:rsidRPr="003B0FD8" w:rsidRDefault="003B11CB" w:rsidP="00C715AA">
            <w:pPr>
              <w:pStyle w:val="Pb08h08"/>
              <w:rPr>
                <w:lang w:val="en-US"/>
              </w:rPr>
            </w:pPr>
            <w:r w:rsidRPr="00E37DFA">
              <w:rPr>
                <w:lang w:val="fr-FR"/>
              </w:rPr>
              <w:tab/>
            </w:r>
            <w:proofErr w:type="spellStart"/>
            <w:r w:rsidRPr="003B0FD8">
              <w:rPr>
                <w:lang w:val="en-US"/>
              </w:rPr>
              <w:t>Fûts</w:t>
            </w:r>
            <w:proofErr w:type="spellEnd"/>
            <w:r w:rsidRPr="003B0FD8">
              <w:rPr>
                <w:lang w:val="en-US"/>
              </w:rPr>
              <w:t xml:space="preserve"> (1A1, 1A2, 1B1, 1B2, 1N1, 1N2</w:t>
            </w:r>
            <w:proofErr w:type="gramStart"/>
            <w:r w:rsidRPr="003B0FD8">
              <w:rPr>
                <w:lang w:val="en-US"/>
              </w:rPr>
              <w:t>)</w:t>
            </w:r>
            <w:r w:rsidR="003B0FD8" w:rsidRPr="003B0FD8">
              <w:rPr>
                <w:lang w:val="en-US"/>
              </w:rPr>
              <w:t> </w:t>
            </w:r>
            <w:r w:rsidRPr="003B0FD8">
              <w:rPr>
                <w:lang w:val="en-US"/>
              </w:rPr>
              <w:t>;</w:t>
            </w:r>
            <w:proofErr w:type="gramEnd"/>
          </w:p>
          <w:p w14:paraId="134603E4" w14:textId="77777777" w:rsidR="003B11CB" w:rsidRPr="00473DAC" w:rsidRDefault="003B11CB" w:rsidP="00C715AA">
            <w:pPr>
              <w:pStyle w:val="Pb08h08"/>
              <w:rPr>
                <w:lang w:val="fr-CH"/>
              </w:rPr>
            </w:pPr>
            <w:r w:rsidRPr="003B0FD8">
              <w:rPr>
                <w:lang w:val="en-US"/>
              </w:rPr>
              <w:tab/>
            </w:r>
            <w:r w:rsidRPr="00473DAC">
              <w:rPr>
                <w:lang w:val="fr-CH"/>
              </w:rPr>
              <w:t>Bidons (jerricans) (3A1, 3A2, 3B1 et 3B2).</w:t>
            </w:r>
          </w:p>
          <w:p w14:paraId="00100ABD" w14:textId="423BA059" w:rsidR="003B11CB" w:rsidRPr="00E37DFA" w:rsidRDefault="003B11CB" w:rsidP="00C715AA">
            <w:pPr>
              <w:pStyle w:val="Pb08h08"/>
              <w:rPr>
                <w:lang w:val="fr-FR"/>
              </w:rPr>
            </w:pPr>
            <w:r w:rsidRPr="00E37DFA">
              <w:rPr>
                <w:lang w:val="fr-FR"/>
              </w:rPr>
              <w:t>Masse brute maximale</w:t>
            </w:r>
            <w:r w:rsidR="003B0FD8">
              <w:rPr>
                <w:lang w:val="fr-FR"/>
              </w:rPr>
              <w:t> </w:t>
            </w:r>
            <w:r w:rsidRPr="00E37DFA">
              <w:rPr>
                <w:lang w:val="fr-FR"/>
              </w:rPr>
              <w:t>: 150 kg.</w:t>
            </w:r>
          </w:p>
          <w:p w14:paraId="0278B507" w14:textId="77777777" w:rsidR="003B11CB" w:rsidRPr="00E37DFA" w:rsidRDefault="003B11CB" w:rsidP="00C715AA">
            <w:pPr>
              <w:pStyle w:val="Ph08"/>
              <w:rPr>
                <w:lang w:val="fr-FR"/>
              </w:rPr>
            </w:pPr>
            <w:r w:rsidRPr="00E37DFA">
              <w:rPr>
                <w:lang w:val="fr-FR"/>
              </w:rPr>
              <w:t>3)</w:t>
            </w:r>
            <w:r w:rsidRPr="00E37DFA">
              <w:rPr>
                <w:lang w:val="fr-FR"/>
              </w:rPr>
              <w:tab/>
              <w:t>Emballages composites</w:t>
            </w:r>
            <w:r>
              <w:rPr>
                <w:lang w:val="fr-FR"/>
              </w:rPr>
              <w:t> :</w:t>
            </w:r>
          </w:p>
          <w:p w14:paraId="6BC58224" w14:textId="77777777" w:rsidR="003B11CB" w:rsidRPr="00E37DFA" w:rsidRDefault="003B11CB" w:rsidP="00C715AA">
            <w:pPr>
              <w:pStyle w:val="Pb08h08"/>
              <w:rPr>
                <w:lang w:val="fr-FR"/>
              </w:rPr>
            </w:pPr>
            <w:r w:rsidRPr="00E37DFA">
              <w:rPr>
                <w:lang w:val="fr-FR"/>
              </w:rPr>
              <w:tab/>
              <w:t>Récipient en plastique dans un fût en acier ou en aluminium (6HA1 ou 6HB1).</w:t>
            </w:r>
          </w:p>
          <w:p w14:paraId="131E9A35" w14:textId="3D317373" w:rsidR="003B11CB" w:rsidRPr="00E37DFA" w:rsidRDefault="003B11CB" w:rsidP="00C715AA">
            <w:pPr>
              <w:pStyle w:val="Pb08h08"/>
              <w:rPr>
                <w:lang w:val="fr-FR"/>
              </w:rPr>
            </w:pPr>
            <w:r w:rsidRPr="00E37DFA">
              <w:rPr>
                <w:lang w:val="fr-FR"/>
              </w:rPr>
              <w:t>Masse brute maximale</w:t>
            </w:r>
            <w:r w:rsidR="003B0FD8">
              <w:rPr>
                <w:lang w:val="fr-FR"/>
              </w:rPr>
              <w:t> </w:t>
            </w:r>
            <w:r w:rsidRPr="00E37DFA">
              <w:rPr>
                <w:lang w:val="fr-FR"/>
              </w:rPr>
              <w:t>: 150 kg.</w:t>
            </w:r>
          </w:p>
          <w:p w14:paraId="180E9FB9" w14:textId="77777777" w:rsidR="003B11CB" w:rsidRPr="00E37DFA" w:rsidRDefault="003B11CB" w:rsidP="00C715AA">
            <w:pPr>
              <w:pStyle w:val="Ph08"/>
              <w:rPr>
                <w:lang w:val="fr-FR"/>
              </w:rPr>
            </w:pPr>
            <w:r w:rsidRPr="00E37DFA">
              <w:rPr>
                <w:lang w:val="fr-FR"/>
              </w:rPr>
              <w:t>4)</w:t>
            </w:r>
            <w:r w:rsidRPr="00E37DFA">
              <w:rPr>
                <w:lang w:val="fr-FR"/>
              </w:rPr>
              <w:tab/>
              <w:t>Récipients à pression, s</w:t>
            </w:r>
            <w:r>
              <w:rPr>
                <w:lang w:val="fr-FR"/>
              </w:rPr>
              <w:t>’</w:t>
            </w:r>
            <w:r w:rsidRPr="00E37DFA">
              <w:rPr>
                <w:lang w:val="fr-FR"/>
              </w:rPr>
              <w:t>il est satisfait aux dispositions générales du 4.1.3.6.</w:t>
            </w:r>
          </w:p>
        </w:tc>
      </w:tr>
    </w:tbl>
    <w:p w14:paraId="4C179794" w14:textId="77777777" w:rsidR="003B11CB" w:rsidRPr="00E37DFA" w:rsidRDefault="003B11CB" w:rsidP="003B11CB">
      <w:pPr>
        <w:pStyle w:val="SingleTxtG"/>
        <w:spacing w:before="120"/>
        <w:ind w:left="2268" w:hanging="1134"/>
        <w:rPr>
          <w:lang w:val="fr-FR"/>
        </w:rPr>
      </w:pPr>
      <w:r w:rsidRPr="00E37DFA">
        <w:rPr>
          <w:lang w:val="fr-FR"/>
        </w:rPr>
        <w:t>4.1.4.1, P520</w:t>
      </w:r>
      <w:r w:rsidRPr="00E37DFA">
        <w:rPr>
          <w:lang w:val="fr-FR"/>
        </w:rPr>
        <w:tab/>
        <w:t>Sans objet en français.</w:t>
      </w:r>
    </w:p>
    <w:p w14:paraId="401EDD96" w14:textId="77777777" w:rsidR="003B11CB" w:rsidRPr="00E37DFA" w:rsidRDefault="003B11CB" w:rsidP="003B11CB">
      <w:pPr>
        <w:pStyle w:val="SingleTxtG"/>
        <w:ind w:left="2268" w:hanging="1134"/>
        <w:rPr>
          <w:lang w:val="fr-FR"/>
        </w:rPr>
      </w:pPr>
      <w:r w:rsidRPr="00E37DFA">
        <w:rPr>
          <w:lang w:val="fr-FR"/>
        </w:rPr>
        <w:t>4.1.4.1, P910</w:t>
      </w:r>
      <w:r w:rsidRPr="00E37DFA">
        <w:rPr>
          <w:lang w:val="fr-FR"/>
        </w:rPr>
        <w:tab/>
        <w:t>Dans les dispositions supplémentaires, à la fin de la première phrase, remplacer le point-virgule par un point et supprimer le saut de paragraphe, de manière que les deux premières phrases forment un seul paragraphe.</w:t>
      </w:r>
    </w:p>
    <w:p w14:paraId="7B278EA4" w14:textId="39E616C7" w:rsidR="003B11CB" w:rsidRPr="00E37DFA" w:rsidRDefault="003B11CB" w:rsidP="003B11CB">
      <w:pPr>
        <w:pStyle w:val="SingleTxtG"/>
        <w:ind w:left="2268" w:hanging="1134"/>
        <w:rPr>
          <w:lang w:val="fr-FR"/>
        </w:rPr>
      </w:pPr>
      <w:r w:rsidRPr="00E37DFA">
        <w:rPr>
          <w:lang w:val="fr-FR"/>
        </w:rPr>
        <w:t>4.1.4.2, IBC520</w:t>
      </w:r>
      <w:r w:rsidRPr="00E37DFA">
        <w:rPr>
          <w:lang w:val="fr-FR"/>
        </w:rPr>
        <w:tab/>
        <w:t xml:space="preserve">Pour le </w:t>
      </w:r>
      <w:r>
        <w:rPr>
          <w:lang w:val="fr-FR"/>
        </w:rPr>
        <w:t>No</w:t>
      </w:r>
      <w:r w:rsidRPr="00E37DFA">
        <w:rPr>
          <w:lang w:val="fr-FR"/>
        </w:rPr>
        <w:t xml:space="preserve"> ONU 3109, dans la rubrique </w:t>
      </w:r>
      <w:r>
        <w:rPr>
          <w:lang w:val="fr-FR"/>
        </w:rPr>
        <w:t>« </w:t>
      </w:r>
      <w:proofErr w:type="spellStart"/>
      <w:r w:rsidRPr="00E37DFA">
        <w:rPr>
          <w:lang w:val="fr-FR"/>
        </w:rPr>
        <w:t>Hydroperoxyde</w:t>
      </w:r>
      <w:proofErr w:type="spellEnd"/>
      <w:r w:rsidRPr="00E37DFA">
        <w:rPr>
          <w:lang w:val="fr-FR"/>
        </w:rPr>
        <w:t xml:space="preserve"> de </w:t>
      </w:r>
      <w:proofErr w:type="spellStart"/>
      <w:r w:rsidRPr="00E37DFA">
        <w:rPr>
          <w:lang w:val="fr-FR"/>
        </w:rPr>
        <w:t>tert</w:t>
      </w:r>
      <w:proofErr w:type="spellEnd"/>
      <w:r w:rsidR="003B0FD8">
        <w:rPr>
          <w:lang w:val="fr-FR"/>
        </w:rPr>
        <w:noBreakHyphen/>
      </w:r>
      <w:r w:rsidRPr="00E37DFA">
        <w:rPr>
          <w:lang w:val="fr-FR"/>
        </w:rPr>
        <w:t>butyle, à 72 % au plus dans l</w:t>
      </w:r>
      <w:r>
        <w:rPr>
          <w:lang w:val="fr-FR"/>
        </w:rPr>
        <w:t>’</w:t>
      </w:r>
      <w:r w:rsidRPr="00E37DFA">
        <w:rPr>
          <w:lang w:val="fr-FR"/>
        </w:rPr>
        <w:t>eau</w:t>
      </w:r>
      <w:r>
        <w:rPr>
          <w:lang w:val="fr-FR"/>
        </w:rPr>
        <w:t> »</w:t>
      </w:r>
      <w:r w:rsidRPr="00E37DFA">
        <w:rPr>
          <w:lang w:val="fr-FR"/>
        </w:rPr>
        <w:t xml:space="preserve">, supprimer le trait horizontal séparant les lignes pour les types de GRV </w:t>
      </w:r>
      <w:r>
        <w:rPr>
          <w:lang w:val="fr-FR"/>
        </w:rPr>
        <w:t>« </w:t>
      </w:r>
      <w:r w:rsidRPr="00E37DFA">
        <w:rPr>
          <w:lang w:val="fr-FR"/>
        </w:rPr>
        <w:t>31A</w:t>
      </w:r>
      <w:r>
        <w:rPr>
          <w:lang w:val="fr-FR"/>
        </w:rPr>
        <w:t> »</w:t>
      </w:r>
      <w:r w:rsidRPr="00E37DFA">
        <w:rPr>
          <w:lang w:val="fr-FR"/>
        </w:rPr>
        <w:t xml:space="preserve"> et </w:t>
      </w:r>
      <w:r>
        <w:rPr>
          <w:lang w:val="fr-FR"/>
        </w:rPr>
        <w:t>« </w:t>
      </w:r>
      <w:r w:rsidRPr="00E37DFA">
        <w:rPr>
          <w:lang w:val="fr-FR"/>
        </w:rPr>
        <w:t>31HA1</w:t>
      </w:r>
      <w:r>
        <w:rPr>
          <w:lang w:val="fr-FR"/>
        </w:rPr>
        <w:t> »</w:t>
      </w:r>
      <w:r w:rsidRPr="00E37DFA">
        <w:rPr>
          <w:lang w:val="fr-FR"/>
        </w:rPr>
        <w:t>.</w:t>
      </w:r>
    </w:p>
    <w:p w14:paraId="379830E6" w14:textId="77777777" w:rsidR="003B11CB" w:rsidRPr="00E37DFA" w:rsidRDefault="003B11CB" w:rsidP="003B11CB">
      <w:pPr>
        <w:pStyle w:val="SingleTxtG"/>
        <w:ind w:left="2268" w:hanging="1134"/>
        <w:rPr>
          <w:lang w:val="fr-FR"/>
        </w:rPr>
      </w:pPr>
      <w:r w:rsidRPr="00E37DFA">
        <w:rPr>
          <w:lang w:val="fr-FR"/>
        </w:rPr>
        <w:t>4.1.4.3, LP906</w:t>
      </w:r>
      <w:r w:rsidRPr="00E37DFA">
        <w:rPr>
          <w:lang w:val="fr-FR"/>
        </w:rPr>
        <w:tab/>
        <w:t>Sans objet en français.</w:t>
      </w:r>
    </w:p>
    <w:p w14:paraId="507DC734" w14:textId="1E72D855" w:rsidR="00446FE5" w:rsidRPr="003B0FD8" w:rsidRDefault="003B11CB" w:rsidP="003B0FD8">
      <w:pPr>
        <w:spacing w:before="240"/>
        <w:jc w:val="center"/>
        <w:rPr>
          <w:u w:val="single"/>
          <w:lang w:val="fr-FR"/>
        </w:rPr>
      </w:pPr>
      <w:r w:rsidRPr="00E37DFA">
        <w:rPr>
          <w:u w:val="single"/>
          <w:lang w:val="fr-FR"/>
        </w:rPr>
        <w:tab/>
      </w:r>
      <w:r w:rsidRPr="00E37DFA">
        <w:rPr>
          <w:u w:val="single"/>
          <w:lang w:val="fr-FR"/>
        </w:rPr>
        <w:tab/>
      </w:r>
      <w:r w:rsidRPr="00E37DFA">
        <w:rPr>
          <w:u w:val="single"/>
          <w:lang w:val="fr-FR"/>
        </w:rPr>
        <w:tab/>
      </w:r>
    </w:p>
    <w:sectPr w:rsidR="00446FE5" w:rsidRPr="003B0FD8" w:rsidSect="003B11C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DC7C" w14:textId="77777777" w:rsidR="00FF4FB7" w:rsidRDefault="00FF4FB7" w:rsidP="00F95C08">
      <w:pPr>
        <w:spacing w:line="240" w:lineRule="auto"/>
      </w:pPr>
    </w:p>
  </w:endnote>
  <w:endnote w:type="continuationSeparator" w:id="0">
    <w:p w14:paraId="7F73C73F" w14:textId="77777777" w:rsidR="00FF4FB7" w:rsidRPr="00AC3823" w:rsidRDefault="00FF4FB7" w:rsidP="00AC3823">
      <w:pPr>
        <w:pStyle w:val="Footer"/>
      </w:pPr>
    </w:p>
  </w:endnote>
  <w:endnote w:type="continuationNotice" w:id="1">
    <w:p w14:paraId="4BDDEF61" w14:textId="77777777" w:rsidR="00FF4FB7" w:rsidRDefault="00FF4F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44EB" w14:textId="67659269" w:rsidR="003B11CB" w:rsidRPr="003B11CB" w:rsidRDefault="003B11CB" w:rsidP="003B11CB">
    <w:pPr>
      <w:pStyle w:val="Footer"/>
      <w:tabs>
        <w:tab w:val="right" w:pos="9638"/>
      </w:tabs>
    </w:pPr>
    <w:r w:rsidRPr="003B11CB">
      <w:rPr>
        <w:b/>
        <w:sz w:val="18"/>
      </w:rPr>
      <w:fldChar w:fldCharType="begin"/>
    </w:r>
    <w:r w:rsidRPr="003B11CB">
      <w:rPr>
        <w:b/>
        <w:sz w:val="18"/>
      </w:rPr>
      <w:instrText xml:space="preserve"> PAGE  \* MERGEFORMAT </w:instrText>
    </w:r>
    <w:r w:rsidRPr="003B11CB">
      <w:rPr>
        <w:b/>
        <w:sz w:val="18"/>
      </w:rPr>
      <w:fldChar w:fldCharType="separate"/>
    </w:r>
    <w:r w:rsidRPr="003B11CB">
      <w:rPr>
        <w:b/>
        <w:noProof/>
        <w:sz w:val="18"/>
      </w:rPr>
      <w:t>2</w:t>
    </w:r>
    <w:r w:rsidRPr="003B11CB">
      <w:rPr>
        <w:b/>
        <w:sz w:val="18"/>
      </w:rPr>
      <w:fldChar w:fldCharType="end"/>
    </w:r>
    <w:r>
      <w:rPr>
        <w:b/>
        <w:sz w:val="18"/>
      </w:rPr>
      <w:tab/>
    </w:r>
    <w:r>
      <w:t>GE.22-14427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1745" w14:textId="413173F4" w:rsidR="003B11CB" w:rsidRPr="003B11CB" w:rsidRDefault="003B11CB" w:rsidP="003B11CB">
    <w:pPr>
      <w:pStyle w:val="Footer"/>
      <w:tabs>
        <w:tab w:val="right" w:pos="9638"/>
      </w:tabs>
      <w:rPr>
        <w:b/>
        <w:sz w:val="18"/>
      </w:rPr>
    </w:pPr>
    <w:r>
      <w:t>GE.22-14427</w:t>
    </w:r>
    <w:r>
      <w:tab/>
    </w:r>
    <w:r w:rsidRPr="003B11CB">
      <w:rPr>
        <w:b/>
        <w:sz w:val="18"/>
      </w:rPr>
      <w:fldChar w:fldCharType="begin"/>
    </w:r>
    <w:r w:rsidRPr="003B11CB">
      <w:rPr>
        <w:b/>
        <w:sz w:val="18"/>
      </w:rPr>
      <w:instrText xml:space="preserve"> PAGE  \* MERGEFORMAT </w:instrText>
    </w:r>
    <w:r w:rsidRPr="003B11CB">
      <w:rPr>
        <w:b/>
        <w:sz w:val="18"/>
      </w:rPr>
      <w:fldChar w:fldCharType="separate"/>
    </w:r>
    <w:r w:rsidRPr="003B11CB">
      <w:rPr>
        <w:b/>
        <w:noProof/>
        <w:sz w:val="18"/>
      </w:rPr>
      <w:t>3</w:t>
    </w:r>
    <w:r w:rsidRPr="003B11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7110" w14:textId="18C35CF5" w:rsidR="0068456F" w:rsidRPr="003B11CB" w:rsidRDefault="003B11CB" w:rsidP="003B11CB">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829D744" wp14:editId="041A28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14427  (</w:t>
    </w:r>
    <w:proofErr w:type="gramEnd"/>
    <w:r>
      <w:rPr>
        <w:sz w:val="20"/>
      </w:rPr>
      <w:t>F)</w:t>
    </w:r>
    <w:r>
      <w:rPr>
        <w:noProof/>
        <w:sz w:val="20"/>
      </w:rPr>
      <w:drawing>
        <wp:anchor distT="0" distB="0" distL="114300" distR="114300" simplePos="0" relativeHeight="251660288" behindDoc="0" locked="0" layoutInCell="1" allowOverlap="1" wp14:anchorId="0723A21C" wp14:editId="7445BB0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061022    061022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F59E" w14:textId="77777777" w:rsidR="00FF4FB7" w:rsidRPr="00AC3823" w:rsidRDefault="00FF4FB7" w:rsidP="00AC3823">
      <w:pPr>
        <w:pStyle w:val="Footer"/>
        <w:tabs>
          <w:tab w:val="right" w:pos="2155"/>
        </w:tabs>
        <w:spacing w:after="80" w:line="240" w:lineRule="atLeast"/>
        <w:ind w:left="680"/>
        <w:rPr>
          <w:u w:val="single"/>
        </w:rPr>
      </w:pPr>
      <w:r>
        <w:rPr>
          <w:u w:val="single"/>
        </w:rPr>
        <w:tab/>
      </w:r>
    </w:p>
  </w:footnote>
  <w:footnote w:type="continuationSeparator" w:id="0">
    <w:p w14:paraId="194D45ED" w14:textId="77777777" w:rsidR="00FF4FB7" w:rsidRPr="00AC3823" w:rsidRDefault="00FF4FB7" w:rsidP="00AC3823">
      <w:pPr>
        <w:pStyle w:val="Footer"/>
        <w:tabs>
          <w:tab w:val="right" w:pos="2155"/>
        </w:tabs>
        <w:spacing w:after="80" w:line="240" w:lineRule="atLeast"/>
        <w:ind w:left="680"/>
        <w:rPr>
          <w:u w:val="single"/>
        </w:rPr>
      </w:pPr>
      <w:r>
        <w:rPr>
          <w:u w:val="single"/>
        </w:rPr>
        <w:tab/>
      </w:r>
    </w:p>
  </w:footnote>
  <w:footnote w:type="continuationNotice" w:id="1">
    <w:p w14:paraId="0A166DF0" w14:textId="77777777" w:rsidR="00FF4FB7" w:rsidRPr="00AC3823" w:rsidRDefault="00FF4FB7">
      <w:pPr>
        <w:spacing w:line="240" w:lineRule="auto"/>
        <w:rPr>
          <w:sz w:val="2"/>
          <w:szCs w:val="2"/>
        </w:rPr>
      </w:pPr>
    </w:p>
  </w:footnote>
  <w:footnote w:id="2">
    <w:p w14:paraId="53850E42" w14:textId="5CD37E8C" w:rsidR="003B11CB" w:rsidRPr="00653AAE" w:rsidRDefault="003B11CB" w:rsidP="003B11CB">
      <w:pPr>
        <w:pStyle w:val="FootnoteText"/>
      </w:pPr>
      <w:r>
        <w:rPr>
          <w:lang w:val="fr-FR"/>
        </w:rPr>
        <w:tab/>
      </w:r>
      <w:r w:rsidRPr="003B0FD8">
        <w:rPr>
          <w:sz w:val="20"/>
          <w:lang w:val="fr-FR"/>
        </w:rPr>
        <w:t>*</w:t>
      </w:r>
      <w:r>
        <w:rPr>
          <w:lang w:val="fr-FR"/>
        </w:rPr>
        <w:tab/>
        <w:t>A/75/6 (Sect. 20), par. 20.51</w:t>
      </w:r>
      <w:r w:rsidR="003B0FD8">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E2B6" w14:textId="2E10A96B" w:rsidR="003B11CB" w:rsidRPr="003B11CB" w:rsidRDefault="00C04249">
    <w:pPr>
      <w:pStyle w:val="Header"/>
    </w:pPr>
    <w:r>
      <w:fldChar w:fldCharType="begin"/>
    </w:r>
    <w:r>
      <w:instrText xml:space="preserve"> TITLE  \* MERGEFORMAT </w:instrText>
    </w:r>
    <w:r>
      <w:fldChar w:fldCharType="separate"/>
    </w:r>
    <w:r>
      <w:t>ST/SG/AC.10/C.3/2022/76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F860" w14:textId="4ADB5C02" w:rsidR="003B11CB" w:rsidRPr="003B11CB" w:rsidRDefault="00C04249" w:rsidP="003B11CB">
    <w:pPr>
      <w:pStyle w:val="Header"/>
      <w:jc w:val="right"/>
    </w:pPr>
    <w:r>
      <w:fldChar w:fldCharType="begin"/>
    </w:r>
    <w:r>
      <w:instrText xml:space="preserve"> TITLE  \* MERGEFORMAT </w:instrText>
    </w:r>
    <w:r>
      <w:fldChar w:fldCharType="separate"/>
    </w:r>
    <w:r>
      <w:t>ST/SG/AC.10/C.3/2022/76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B7"/>
    <w:rsid w:val="00017F94"/>
    <w:rsid w:val="00023842"/>
    <w:rsid w:val="000305D3"/>
    <w:rsid w:val="000334F9"/>
    <w:rsid w:val="0007796D"/>
    <w:rsid w:val="000B7790"/>
    <w:rsid w:val="000F47F9"/>
    <w:rsid w:val="00111F2F"/>
    <w:rsid w:val="00132EA9"/>
    <w:rsid w:val="0014365E"/>
    <w:rsid w:val="00172E49"/>
    <w:rsid w:val="00175AE2"/>
    <w:rsid w:val="00176178"/>
    <w:rsid w:val="00182F62"/>
    <w:rsid w:val="001F525A"/>
    <w:rsid w:val="00223272"/>
    <w:rsid w:val="0024779E"/>
    <w:rsid w:val="00283190"/>
    <w:rsid w:val="002832AC"/>
    <w:rsid w:val="002D7C93"/>
    <w:rsid w:val="003B0FD8"/>
    <w:rsid w:val="003B11CB"/>
    <w:rsid w:val="00441C3B"/>
    <w:rsid w:val="00446FE5"/>
    <w:rsid w:val="00452396"/>
    <w:rsid w:val="004E468C"/>
    <w:rsid w:val="005505B7"/>
    <w:rsid w:val="00573BE5"/>
    <w:rsid w:val="00584DC4"/>
    <w:rsid w:val="00586ED3"/>
    <w:rsid w:val="00596AA9"/>
    <w:rsid w:val="0068456F"/>
    <w:rsid w:val="00693D63"/>
    <w:rsid w:val="0071601D"/>
    <w:rsid w:val="007946AE"/>
    <w:rsid w:val="007A62E6"/>
    <w:rsid w:val="0080684C"/>
    <w:rsid w:val="008123E0"/>
    <w:rsid w:val="00871C75"/>
    <w:rsid w:val="008776DC"/>
    <w:rsid w:val="008B40CD"/>
    <w:rsid w:val="00936164"/>
    <w:rsid w:val="009705C8"/>
    <w:rsid w:val="009C1CF4"/>
    <w:rsid w:val="00A30353"/>
    <w:rsid w:val="00A40CEA"/>
    <w:rsid w:val="00A81281"/>
    <w:rsid w:val="00AC3823"/>
    <w:rsid w:val="00AE323C"/>
    <w:rsid w:val="00B00181"/>
    <w:rsid w:val="00B00B0D"/>
    <w:rsid w:val="00B765F7"/>
    <w:rsid w:val="00BA0CA9"/>
    <w:rsid w:val="00C02897"/>
    <w:rsid w:val="00C04249"/>
    <w:rsid w:val="00D3439C"/>
    <w:rsid w:val="00DB1831"/>
    <w:rsid w:val="00DD3BFD"/>
    <w:rsid w:val="00DF6678"/>
    <w:rsid w:val="00ED52ED"/>
    <w:rsid w:val="00EF2E22"/>
    <w:rsid w:val="00F01738"/>
    <w:rsid w:val="00F660DF"/>
    <w:rsid w:val="00F730C8"/>
    <w:rsid w:val="00F95C08"/>
    <w:rsid w:val="00FF4FB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A389C"/>
  <w15:docId w15:val="{AE2FC282-F6C4-441F-8E03-AA00F8CE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3B11CB"/>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3B11CB"/>
    <w:rPr>
      <w:rFonts w:ascii="Times New Roman" w:eastAsiaTheme="minorHAnsi" w:hAnsi="Times New Roman" w:cs="Times New Roman"/>
      <w:sz w:val="20"/>
      <w:szCs w:val="20"/>
      <w:lang w:eastAsia="en-US"/>
    </w:rPr>
  </w:style>
  <w:style w:type="character" w:customStyle="1" w:styleId="H1GChar">
    <w:name w:val="_ H_1_G Char"/>
    <w:link w:val="H1G"/>
    <w:qFormat/>
    <w:rsid w:val="003B11CB"/>
    <w:rPr>
      <w:rFonts w:ascii="Times New Roman" w:eastAsiaTheme="minorHAnsi" w:hAnsi="Times New Roman" w:cs="Times New Roman"/>
      <w:b/>
      <w:sz w:val="24"/>
      <w:szCs w:val="20"/>
      <w:lang w:eastAsia="en-US"/>
    </w:rPr>
  </w:style>
  <w:style w:type="paragraph" w:customStyle="1" w:styleId="Pnormal">
    <w:name w:val="P_normal"/>
    <w:basedOn w:val="Normal"/>
    <w:link w:val="PnormalChar"/>
    <w:qFormat/>
    <w:rsid w:val="003B11CB"/>
    <w:pPr>
      <w:suppressAutoHyphens w:val="0"/>
      <w:kinsoku/>
      <w:overflowPunct/>
      <w:autoSpaceDE/>
      <w:autoSpaceDN/>
      <w:adjustRightInd/>
      <w:snapToGrid/>
      <w:spacing w:before="80" w:after="80" w:line="240" w:lineRule="auto"/>
      <w:jc w:val="both"/>
    </w:pPr>
    <w:rPr>
      <w:rFonts w:eastAsia="Times New Roman"/>
      <w:lang w:val="en-GB"/>
    </w:rPr>
  </w:style>
  <w:style w:type="character" w:customStyle="1" w:styleId="PnormalChar">
    <w:name w:val="P_normal Char"/>
    <w:basedOn w:val="DefaultParagraphFont"/>
    <w:link w:val="Pnormal"/>
    <w:rsid w:val="003B11CB"/>
    <w:rPr>
      <w:rFonts w:ascii="Times New Roman" w:hAnsi="Times New Roman" w:cs="Times New Roman"/>
      <w:sz w:val="20"/>
      <w:szCs w:val="20"/>
      <w:lang w:val="en-GB" w:eastAsia="en-US"/>
    </w:rPr>
  </w:style>
  <w:style w:type="paragraph" w:customStyle="1" w:styleId="Ph08">
    <w:name w:val="P_h0.8"/>
    <w:basedOn w:val="Pnormal"/>
    <w:link w:val="Ph08Char"/>
    <w:qFormat/>
    <w:rsid w:val="003B11CB"/>
    <w:pPr>
      <w:ind w:left="454" w:hanging="454"/>
    </w:pPr>
  </w:style>
  <w:style w:type="character" w:customStyle="1" w:styleId="Ph08Char">
    <w:name w:val="P_h0.8 Char"/>
    <w:basedOn w:val="PnormalChar"/>
    <w:link w:val="Ph08"/>
    <w:rsid w:val="003B11CB"/>
    <w:rPr>
      <w:rFonts w:ascii="Times New Roman" w:hAnsi="Times New Roman" w:cs="Times New Roman"/>
      <w:sz w:val="20"/>
      <w:szCs w:val="20"/>
      <w:lang w:val="en-GB" w:eastAsia="en-US"/>
    </w:rPr>
  </w:style>
  <w:style w:type="paragraph" w:customStyle="1" w:styleId="Pu4d2">
    <w:name w:val="P_u4_d2"/>
    <w:basedOn w:val="Pnormal"/>
    <w:link w:val="Pu4d2Char"/>
    <w:qFormat/>
    <w:rsid w:val="003B11CB"/>
    <w:pPr>
      <w:spacing w:after="40"/>
    </w:pPr>
  </w:style>
  <w:style w:type="paragraph" w:customStyle="1" w:styleId="Pud2">
    <w:name w:val="P_ud2"/>
    <w:basedOn w:val="Pnormal"/>
    <w:link w:val="Pud2Char"/>
    <w:qFormat/>
    <w:rsid w:val="003B11CB"/>
    <w:pPr>
      <w:spacing w:before="40" w:after="40"/>
    </w:pPr>
  </w:style>
  <w:style w:type="character" w:customStyle="1" w:styleId="Pu4d2Char">
    <w:name w:val="P_u4_d2 Char"/>
    <w:basedOn w:val="PnormalChar"/>
    <w:link w:val="Pu4d2"/>
    <w:rsid w:val="003B11CB"/>
    <w:rPr>
      <w:rFonts w:ascii="Times New Roman" w:hAnsi="Times New Roman" w:cs="Times New Roman"/>
      <w:sz w:val="20"/>
      <w:szCs w:val="20"/>
      <w:lang w:val="en-GB" w:eastAsia="en-US"/>
    </w:rPr>
  </w:style>
  <w:style w:type="character" w:customStyle="1" w:styleId="Pud2Char">
    <w:name w:val="P_ud2 Char"/>
    <w:basedOn w:val="PnormalChar"/>
    <w:link w:val="Pud2"/>
    <w:rsid w:val="003B11CB"/>
    <w:rPr>
      <w:rFonts w:ascii="Times New Roman" w:hAnsi="Times New Roman" w:cs="Times New Roman"/>
      <w:sz w:val="20"/>
      <w:szCs w:val="20"/>
      <w:lang w:val="en-GB" w:eastAsia="en-US"/>
    </w:rPr>
  </w:style>
  <w:style w:type="paragraph" w:customStyle="1" w:styleId="Pb08h08">
    <w:name w:val="P_b0.8h0.8"/>
    <w:basedOn w:val="Pnormal"/>
    <w:link w:val="Pb08h08Char"/>
    <w:qFormat/>
    <w:rsid w:val="003B11CB"/>
    <w:pPr>
      <w:ind w:left="908" w:hanging="454"/>
    </w:pPr>
  </w:style>
  <w:style w:type="character" w:customStyle="1" w:styleId="Pb08h08Char">
    <w:name w:val="P_b0.8h0.8 Char"/>
    <w:basedOn w:val="PnormalChar"/>
    <w:link w:val="Pb08h08"/>
    <w:rsid w:val="003B11CB"/>
    <w:rPr>
      <w:rFonts w:ascii="Times New Roman" w:hAnsi="Times New Roman" w:cs="Times New Roman"/>
      <w:sz w:val="20"/>
      <w:szCs w:val="20"/>
      <w:lang w:val="en-GB" w:eastAsia="en-US"/>
    </w:rPr>
  </w:style>
  <w:style w:type="paragraph" w:customStyle="1" w:styleId="Pb16h08">
    <w:name w:val="P_b1.6_h0.8"/>
    <w:basedOn w:val="Pnormal"/>
    <w:link w:val="Pb16h08Char"/>
    <w:qFormat/>
    <w:rsid w:val="003B11CB"/>
    <w:pPr>
      <w:ind w:left="1361" w:hanging="454"/>
    </w:pPr>
  </w:style>
  <w:style w:type="character" w:customStyle="1" w:styleId="Pb16h08Char">
    <w:name w:val="P_b1.6_h0.8 Char"/>
    <w:basedOn w:val="PnormalChar"/>
    <w:link w:val="Pb16h08"/>
    <w:rsid w:val="003B11CB"/>
    <w:rPr>
      <w:rFonts w:ascii="Times New Roman" w:hAnsi="Times New Roman" w:cs="Times New Roman"/>
      <w:sz w:val="20"/>
      <w:szCs w:val="20"/>
      <w:lang w:val="en-GB" w:eastAsia="en-US"/>
    </w:rPr>
  </w:style>
  <w:style w:type="paragraph" w:customStyle="1" w:styleId="Pb04h02ud2">
    <w:name w:val="P_b0.4_h0.2_ud2"/>
    <w:basedOn w:val="Pud2"/>
    <w:link w:val="Pb04h02ud2Char"/>
    <w:qFormat/>
    <w:rsid w:val="003B11CB"/>
    <w:pPr>
      <w:ind w:left="340" w:hanging="113"/>
      <w:jc w:val="left"/>
    </w:pPr>
  </w:style>
  <w:style w:type="character" w:customStyle="1" w:styleId="Pb04h02ud2Char">
    <w:name w:val="P_b0.4_h0.2_ud2 Char"/>
    <w:basedOn w:val="DefaultParagraphFont"/>
    <w:link w:val="Pb04h02ud2"/>
    <w:rsid w:val="003B11CB"/>
    <w:rPr>
      <w:rFonts w:ascii="Times New Roman" w:hAnsi="Times New Roman" w:cs="Times New Roman"/>
      <w:sz w:val="20"/>
      <w:szCs w:val="20"/>
      <w:lang w:val="en-GB" w:eastAsia="en-US"/>
    </w:rPr>
  </w:style>
  <w:style w:type="paragraph" w:customStyle="1" w:styleId="Pu2d4">
    <w:name w:val="P_u2_d4"/>
    <w:basedOn w:val="Pnormal"/>
    <w:link w:val="Pu2d4Char"/>
    <w:qFormat/>
    <w:rsid w:val="003B11CB"/>
    <w:pPr>
      <w:spacing w:before="40"/>
    </w:pPr>
  </w:style>
  <w:style w:type="character" w:customStyle="1" w:styleId="Pu2d4Char">
    <w:name w:val="P_u2_d4 Char"/>
    <w:basedOn w:val="PnormalChar"/>
    <w:link w:val="Pu2d4"/>
    <w:rsid w:val="003B11CB"/>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3212</Words>
  <Characters>18313</Characters>
  <Application>Microsoft Office Word</Application>
  <DocSecurity>0</DocSecurity>
  <Lines>152</Lines>
  <Paragraphs>42</Paragraphs>
  <ScaleCrop>false</ScaleCrop>
  <HeadingPairs>
    <vt:vector size="2" baseType="variant">
      <vt:variant>
        <vt:lpstr>Titre</vt:lpstr>
      </vt:variant>
      <vt:variant>
        <vt:i4>1</vt:i4>
      </vt:variant>
    </vt:vector>
  </HeadingPairs>
  <TitlesOfParts>
    <vt:vector size="1" baseType="lpstr">
      <vt:lpstr>ST/SG/AC.10/C.3/2022/76</vt:lpstr>
    </vt:vector>
  </TitlesOfParts>
  <Company>DCM</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ST/SG/AC.10/C.3/2022/76</dc:title>
  <dc:subject/>
  <dc:creator>Sandrine CLERE</dc:creator>
  <cp:keywords/>
  <cp:lastModifiedBy>Laurence Berthet</cp:lastModifiedBy>
  <cp:revision>3</cp:revision>
  <cp:lastPrinted>2022-10-06T12:42:00Z</cp:lastPrinted>
  <dcterms:created xsi:type="dcterms:W3CDTF">2022-10-06T12:42:00Z</dcterms:created>
  <dcterms:modified xsi:type="dcterms:W3CDTF">2022-10-06T12:42:00Z</dcterms:modified>
</cp:coreProperties>
</file>