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32EA9" w:rsidRPr="00DB58B5" w14:paraId="2793340F" w14:textId="77777777" w:rsidTr="00F01738">
        <w:trPr>
          <w:trHeight w:hRule="exact" w:val="851"/>
        </w:trPr>
        <w:tc>
          <w:tcPr>
            <w:tcW w:w="1276" w:type="dxa"/>
            <w:tcBorders>
              <w:bottom w:val="single" w:sz="4" w:space="0" w:color="auto"/>
            </w:tcBorders>
          </w:tcPr>
          <w:p w14:paraId="57951BC6" w14:textId="77777777" w:rsidR="00132EA9" w:rsidRPr="00DB58B5" w:rsidRDefault="00132EA9" w:rsidP="007101CE"/>
        </w:tc>
        <w:tc>
          <w:tcPr>
            <w:tcW w:w="2268" w:type="dxa"/>
            <w:tcBorders>
              <w:bottom w:val="single" w:sz="4" w:space="0" w:color="auto"/>
            </w:tcBorders>
            <w:vAlign w:val="bottom"/>
          </w:tcPr>
          <w:p w14:paraId="0E57658E" w14:textId="77777777" w:rsidR="00132EA9" w:rsidRPr="00DB58B5" w:rsidRDefault="00132EA9" w:rsidP="00F01738">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49DFBE45" w14:textId="55351A41" w:rsidR="00132EA9" w:rsidRPr="00DB58B5" w:rsidRDefault="007101CE" w:rsidP="007101CE">
            <w:pPr>
              <w:jc w:val="right"/>
            </w:pPr>
            <w:r w:rsidRPr="007101CE">
              <w:rPr>
                <w:sz w:val="40"/>
              </w:rPr>
              <w:t>ST</w:t>
            </w:r>
            <w:r>
              <w:t>/SG/AC.10/C.3/2022/72</w:t>
            </w:r>
          </w:p>
        </w:tc>
      </w:tr>
      <w:tr w:rsidR="00132EA9" w:rsidRPr="00DB58B5" w14:paraId="3FBB8215" w14:textId="77777777" w:rsidTr="00F01738">
        <w:trPr>
          <w:trHeight w:hRule="exact" w:val="2835"/>
        </w:trPr>
        <w:tc>
          <w:tcPr>
            <w:tcW w:w="1276" w:type="dxa"/>
            <w:tcBorders>
              <w:top w:val="single" w:sz="4" w:space="0" w:color="auto"/>
              <w:bottom w:val="single" w:sz="12" w:space="0" w:color="auto"/>
            </w:tcBorders>
          </w:tcPr>
          <w:p w14:paraId="5540F8DE" w14:textId="77777777" w:rsidR="00132EA9" w:rsidRPr="00DB58B5" w:rsidRDefault="00132EA9" w:rsidP="00F01738">
            <w:pPr>
              <w:spacing w:before="120"/>
              <w:jc w:val="center"/>
            </w:pPr>
            <w:r>
              <w:rPr>
                <w:noProof/>
                <w:lang w:eastAsia="fr-CH"/>
              </w:rPr>
              <w:drawing>
                <wp:inline distT="0" distB="0" distL="0" distR="0" wp14:anchorId="47435F08" wp14:editId="7EA19B5B">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38983930" w14:textId="77777777" w:rsidR="00132EA9" w:rsidRPr="00740562" w:rsidRDefault="00132EA9" w:rsidP="00F01738">
            <w:pPr>
              <w:spacing w:before="120" w:line="420" w:lineRule="exact"/>
              <w:rPr>
                <w:b/>
                <w:sz w:val="40"/>
                <w:szCs w:val="40"/>
              </w:rPr>
            </w:pPr>
            <w:r w:rsidRPr="00A55C22">
              <w:rPr>
                <w:b/>
                <w:sz w:val="40"/>
                <w:szCs w:val="40"/>
              </w:rPr>
              <w:t>Secrétariat</w:t>
            </w:r>
          </w:p>
        </w:tc>
        <w:tc>
          <w:tcPr>
            <w:tcW w:w="2835" w:type="dxa"/>
            <w:tcBorders>
              <w:top w:val="single" w:sz="4" w:space="0" w:color="auto"/>
              <w:bottom w:val="single" w:sz="12" w:space="0" w:color="auto"/>
            </w:tcBorders>
          </w:tcPr>
          <w:p w14:paraId="5C0048FC" w14:textId="77777777" w:rsidR="00132EA9" w:rsidRDefault="007101CE" w:rsidP="00F01738">
            <w:pPr>
              <w:spacing w:before="240"/>
            </w:pPr>
            <w:r>
              <w:t xml:space="preserve">Distr. </w:t>
            </w:r>
            <w:proofErr w:type="gramStart"/>
            <w:r>
              <w:t>générale</w:t>
            </w:r>
            <w:proofErr w:type="gramEnd"/>
          </w:p>
          <w:p w14:paraId="6056E213" w14:textId="77777777" w:rsidR="007101CE" w:rsidRDefault="007101CE" w:rsidP="007101CE">
            <w:pPr>
              <w:spacing w:line="240" w:lineRule="exact"/>
            </w:pPr>
            <w:r>
              <w:t>9 septembre 2022</w:t>
            </w:r>
          </w:p>
          <w:p w14:paraId="00C5C85D" w14:textId="77777777" w:rsidR="007101CE" w:rsidRDefault="007101CE" w:rsidP="007101CE">
            <w:pPr>
              <w:spacing w:line="240" w:lineRule="exact"/>
            </w:pPr>
            <w:r>
              <w:t>Français</w:t>
            </w:r>
          </w:p>
          <w:p w14:paraId="42D6A66D" w14:textId="420482B3" w:rsidR="007101CE" w:rsidRPr="00DB58B5" w:rsidRDefault="007101CE" w:rsidP="007101CE">
            <w:pPr>
              <w:spacing w:line="240" w:lineRule="exact"/>
            </w:pPr>
            <w:r>
              <w:t>Original : anglais</w:t>
            </w:r>
          </w:p>
        </w:tc>
      </w:tr>
    </w:tbl>
    <w:p w14:paraId="41ECD031" w14:textId="6E067F6D" w:rsidR="007101CE" w:rsidRPr="007E6643" w:rsidRDefault="007101CE" w:rsidP="007101CE">
      <w:pPr>
        <w:spacing w:before="120"/>
        <w:rPr>
          <w:b/>
          <w:sz w:val="32"/>
          <w:szCs w:val="32"/>
          <w:lang w:val="fr-FR"/>
        </w:rPr>
      </w:pPr>
      <w:r w:rsidRPr="007E6643">
        <w:rPr>
          <w:b/>
          <w:bCs/>
          <w:sz w:val="24"/>
          <w:szCs w:val="24"/>
          <w:lang w:val="fr-FR"/>
        </w:rPr>
        <w:t xml:space="preserve">Comité d’experts du transport des marchandises dangereuses </w:t>
      </w:r>
      <w:r w:rsidR="007E6643">
        <w:rPr>
          <w:b/>
          <w:bCs/>
          <w:sz w:val="24"/>
          <w:szCs w:val="24"/>
          <w:lang w:val="fr-FR"/>
        </w:rPr>
        <w:br/>
      </w:r>
      <w:r w:rsidRPr="007E6643">
        <w:rPr>
          <w:b/>
          <w:bCs/>
          <w:sz w:val="24"/>
          <w:szCs w:val="24"/>
          <w:lang w:val="fr-FR"/>
        </w:rPr>
        <w:t xml:space="preserve">et du Système général harmonisé de classification </w:t>
      </w:r>
      <w:r w:rsidR="007E6643">
        <w:rPr>
          <w:b/>
          <w:bCs/>
          <w:sz w:val="24"/>
          <w:szCs w:val="24"/>
          <w:lang w:val="fr-FR"/>
        </w:rPr>
        <w:br/>
      </w:r>
      <w:r w:rsidRPr="007E6643">
        <w:rPr>
          <w:b/>
          <w:bCs/>
          <w:sz w:val="24"/>
          <w:szCs w:val="24"/>
          <w:lang w:val="fr-FR"/>
        </w:rPr>
        <w:t>et d’étiquetage des produits chimiques</w:t>
      </w:r>
    </w:p>
    <w:p w14:paraId="34FBB162" w14:textId="77777777" w:rsidR="007101CE" w:rsidRPr="00624207" w:rsidRDefault="007101CE" w:rsidP="007101CE">
      <w:pPr>
        <w:spacing w:before="120"/>
        <w:rPr>
          <w:rFonts w:ascii="Helv" w:hAnsi="Helv" w:cs="Helv"/>
          <w:b/>
          <w:color w:val="000000"/>
          <w:lang w:val="fr-FR"/>
        </w:rPr>
      </w:pPr>
      <w:r w:rsidRPr="00624207">
        <w:rPr>
          <w:b/>
          <w:bCs/>
          <w:lang w:val="fr-FR"/>
        </w:rPr>
        <w:t>Sous-Comité d</w:t>
      </w:r>
      <w:r>
        <w:rPr>
          <w:b/>
          <w:bCs/>
          <w:lang w:val="fr-FR"/>
        </w:rPr>
        <w:t>’</w:t>
      </w:r>
      <w:r w:rsidRPr="00624207">
        <w:rPr>
          <w:b/>
          <w:bCs/>
          <w:lang w:val="fr-FR"/>
        </w:rPr>
        <w:t>experts du transport des marchandises dangereuses</w:t>
      </w:r>
    </w:p>
    <w:p w14:paraId="36D0BE51" w14:textId="77777777" w:rsidR="007101CE" w:rsidRPr="00624207" w:rsidRDefault="007101CE" w:rsidP="007101CE">
      <w:pPr>
        <w:spacing w:before="120"/>
        <w:rPr>
          <w:b/>
          <w:lang w:val="fr-FR"/>
        </w:rPr>
      </w:pPr>
      <w:r w:rsidRPr="00624207">
        <w:rPr>
          <w:b/>
          <w:bCs/>
          <w:lang w:val="fr-FR"/>
        </w:rPr>
        <w:t>Soixante et unième session</w:t>
      </w:r>
    </w:p>
    <w:p w14:paraId="0121E85F" w14:textId="77777777" w:rsidR="007101CE" w:rsidRPr="00624207" w:rsidRDefault="007101CE" w:rsidP="007101CE">
      <w:pPr>
        <w:rPr>
          <w:lang w:val="fr-FR"/>
        </w:rPr>
      </w:pPr>
      <w:r w:rsidRPr="00624207">
        <w:rPr>
          <w:lang w:val="fr-FR"/>
        </w:rPr>
        <w:t xml:space="preserve">Genève, 28 novembre-6 décembre 2022 </w:t>
      </w:r>
    </w:p>
    <w:p w14:paraId="0CDC27CE" w14:textId="77777777" w:rsidR="007101CE" w:rsidRPr="00624207" w:rsidRDefault="007101CE" w:rsidP="007101CE">
      <w:pPr>
        <w:rPr>
          <w:lang w:val="fr-FR"/>
        </w:rPr>
      </w:pPr>
      <w:r w:rsidRPr="00624207">
        <w:rPr>
          <w:lang w:val="fr-FR"/>
        </w:rPr>
        <w:t>Point 3 de l</w:t>
      </w:r>
      <w:r>
        <w:rPr>
          <w:lang w:val="fr-FR"/>
        </w:rPr>
        <w:t>’</w:t>
      </w:r>
      <w:r w:rsidRPr="00624207">
        <w:rPr>
          <w:lang w:val="fr-FR"/>
        </w:rPr>
        <w:t>ordre du jour provisoire</w:t>
      </w:r>
    </w:p>
    <w:p w14:paraId="74EFD284" w14:textId="77777777" w:rsidR="007101CE" w:rsidRPr="00624207" w:rsidRDefault="007101CE" w:rsidP="007101CE">
      <w:pPr>
        <w:rPr>
          <w:b/>
          <w:bCs/>
          <w:lang w:val="fr-FR"/>
        </w:rPr>
      </w:pPr>
      <w:r w:rsidRPr="00624207">
        <w:rPr>
          <w:b/>
          <w:bCs/>
          <w:lang w:val="fr-FR"/>
        </w:rPr>
        <w:t>Inscription, classement et emballage</w:t>
      </w:r>
    </w:p>
    <w:p w14:paraId="2F6BFEA3" w14:textId="77777777" w:rsidR="007101CE" w:rsidRPr="00624207" w:rsidRDefault="007101CE" w:rsidP="007E6643">
      <w:pPr>
        <w:pStyle w:val="HChG"/>
        <w:rPr>
          <w:lang w:val="fr-FR"/>
        </w:rPr>
      </w:pPr>
      <w:r w:rsidRPr="00624207">
        <w:rPr>
          <w:lang w:val="fr-FR"/>
        </w:rPr>
        <w:tab/>
      </w:r>
      <w:r w:rsidRPr="00624207">
        <w:rPr>
          <w:lang w:val="fr-FR"/>
        </w:rPr>
        <w:tab/>
        <w:t>Révision du classement de l</w:t>
      </w:r>
      <w:r>
        <w:rPr>
          <w:lang w:val="fr-FR"/>
        </w:rPr>
        <w:t>’</w:t>
      </w:r>
      <w:r w:rsidRPr="00624207">
        <w:rPr>
          <w:lang w:val="fr-FR"/>
        </w:rPr>
        <w:t>hydroxyde de tétraméthylammonium</w:t>
      </w:r>
    </w:p>
    <w:p w14:paraId="5D148C01" w14:textId="365AAF26" w:rsidR="007101CE" w:rsidRPr="00624207" w:rsidRDefault="007101CE" w:rsidP="007101CE">
      <w:pPr>
        <w:pStyle w:val="H1G"/>
        <w:spacing w:before="240" w:after="120"/>
        <w:rPr>
          <w:lang w:val="fr-FR"/>
        </w:rPr>
      </w:pPr>
      <w:r w:rsidRPr="00624207">
        <w:rPr>
          <w:lang w:val="fr-FR"/>
        </w:rPr>
        <w:tab/>
      </w:r>
      <w:r w:rsidRPr="00624207">
        <w:rPr>
          <w:lang w:val="fr-FR"/>
        </w:rPr>
        <w:tab/>
      </w:r>
      <w:r w:rsidRPr="00624207">
        <w:rPr>
          <w:bCs/>
          <w:lang w:val="fr-FR"/>
        </w:rPr>
        <w:t>Communication d</w:t>
      </w:r>
      <w:r>
        <w:rPr>
          <w:bCs/>
          <w:lang w:val="fr-FR"/>
        </w:rPr>
        <w:t>e l’</w:t>
      </w:r>
      <w:r w:rsidRPr="00624207">
        <w:rPr>
          <w:bCs/>
          <w:lang w:val="fr-FR"/>
        </w:rPr>
        <w:t xml:space="preserve">European Chemical Industry Council (Cefic) </w:t>
      </w:r>
      <w:r w:rsidR="007E6643">
        <w:rPr>
          <w:bCs/>
          <w:lang w:val="fr-FR"/>
        </w:rPr>
        <w:br/>
      </w:r>
      <w:r w:rsidRPr="00624207">
        <w:rPr>
          <w:bCs/>
          <w:lang w:val="fr-FR"/>
        </w:rPr>
        <w:t>et du Conseil consultatif des marchandises dangereuses (DGAC)</w:t>
      </w:r>
      <w:r w:rsidRPr="007E6643">
        <w:rPr>
          <w:rStyle w:val="FootnoteReference"/>
          <w:b w:val="0"/>
          <w:bCs/>
          <w:lang w:val="fr-FR"/>
        </w:rPr>
        <w:footnoteReference w:id="2"/>
      </w:r>
    </w:p>
    <w:p w14:paraId="784BE591" w14:textId="77777777" w:rsidR="007101CE" w:rsidRPr="00624207" w:rsidRDefault="007101CE" w:rsidP="002C5DD6">
      <w:pPr>
        <w:pStyle w:val="HChG"/>
        <w:rPr>
          <w:lang w:val="fr-FR"/>
        </w:rPr>
      </w:pPr>
      <w:r w:rsidRPr="00624207">
        <w:rPr>
          <w:lang w:val="fr-FR"/>
        </w:rPr>
        <w:tab/>
        <w:t>I.</w:t>
      </w:r>
      <w:r w:rsidRPr="00624207">
        <w:rPr>
          <w:lang w:val="fr-FR"/>
        </w:rPr>
        <w:tab/>
      </w:r>
      <w:r w:rsidRPr="007E6643">
        <w:t>Introduction</w:t>
      </w:r>
    </w:p>
    <w:p w14:paraId="12B2D866" w14:textId="3067B155" w:rsidR="007101CE" w:rsidRPr="00624207" w:rsidRDefault="007101CE" w:rsidP="007E6643">
      <w:pPr>
        <w:pStyle w:val="SingleTxtG"/>
        <w:rPr>
          <w:rFonts w:asciiTheme="majorBidi" w:eastAsiaTheme="majorBidi" w:hAnsiTheme="majorBidi" w:cstheme="majorBidi"/>
          <w:lang w:val="fr-FR"/>
        </w:rPr>
      </w:pPr>
      <w:r w:rsidRPr="00624207">
        <w:rPr>
          <w:lang w:val="fr-FR"/>
        </w:rPr>
        <w:t>1.</w:t>
      </w:r>
      <w:r w:rsidRPr="00624207">
        <w:rPr>
          <w:lang w:val="fr-FR"/>
        </w:rPr>
        <w:tab/>
        <w:t>À la soixantième session du Sous-Comité, l</w:t>
      </w:r>
      <w:r>
        <w:rPr>
          <w:lang w:val="fr-FR"/>
        </w:rPr>
        <w:t>’</w:t>
      </w:r>
      <w:r w:rsidRPr="00624207">
        <w:rPr>
          <w:lang w:val="fr-FR"/>
        </w:rPr>
        <w:t>expert des Pays-Bas a soumis le document ST/SG/AC.10/C.3/2022/24, dans lequel il est proposé de reclasser l</w:t>
      </w:r>
      <w:r>
        <w:rPr>
          <w:lang w:val="fr-FR"/>
        </w:rPr>
        <w:t>’</w:t>
      </w:r>
      <w:r w:rsidRPr="00624207">
        <w:rPr>
          <w:lang w:val="fr-FR"/>
        </w:rPr>
        <w:t xml:space="preserve">hydroxyde de tétraméthylammonium (TMAH) et </w:t>
      </w:r>
      <w:r>
        <w:rPr>
          <w:lang w:val="fr-FR"/>
        </w:rPr>
        <w:t>s</w:t>
      </w:r>
      <w:r w:rsidRPr="00624207">
        <w:rPr>
          <w:lang w:val="fr-FR"/>
        </w:rPr>
        <w:t>es solutions</w:t>
      </w:r>
      <w:r w:rsidRPr="005D2BE4">
        <w:rPr>
          <w:lang w:val="fr-FR"/>
        </w:rPr>
        <w:t xml:space="preserve"> </w:t>
      </w:r>
      <w:r>
        <w:rPr>
          <w:lang w:val="fr-FR"/>
        </w:rPr>
        <w:t>en fonction de se</w:t>
      </w:r>
      <w:r w:rsidRPr="00624207">
        <w:rPr>
          <w:lang w:val="fr-FR"/>
        </w:rPr>
        <w:t>s effets connus sur l</w:t>
      </w:r>
      <w:r>
        <w:rPr>
          <w:lang w:val="fr-FR"/>
        </w:rPr>
        <w:t>’</w:t>
      </w:r>
      <w:r w:rsidRPr="00624207">
        <w:rPr>
          <w:lang w:val="fr-FR"/>
        </w:rPr>
        <w:t>homme. Ce document officiel</w:t>
      </w:r>
      <w:r w:rsidR="00CA4E50">
        <w:rPr>
          <w:lang w:val="fr-FR"/>
        </w:rPr>
        <w:t xml:space="preserve"> </w:t>
      </w:r>
      <w:r>
        <w:rPr>
          <w:lang w:val="fr-FR"/>
        </w:rPr>
        <w:t>faisait suite à la présentation du</w:t>
      </w:r>
      <w:r w:rsidRPr="00624207">
        <w:rPr>
          <w:lang w:val="fr-FR"/>
        </w:rPr>
        <w:t xml:space="preserve"> document informel INF.12 à la cinquante-neuvième session.</w:t>
      </w:r>
    </w:p>
    <w:p w14:paraId="72248A1B" w14:textId="2A9A1793" w:rsidR="007101CE" w:rsidRPr="00624207" w:rsidRDefault="007101CE" w:rsidP="007E6643">
      <w:pPr>
        <w:pStyle w:val="SingleTxtG"/>
        <w:rPr>
          <w:rFonts w:asciiTheme="majorBidi" w:eastAsiaTheme="majorBidi" w:hAnsiTheme="majorBidi" w:cstheme="majorBidi"/>
          <w:lang w:val="fr-FR"/>
        </w:rPr>
      </w:pPr>
      <w:r w:rsidRPr="00624207">
        <w:rPr>
          <w:lang w:val="fr-FR"/>
        </w:rPr>
        <w:t>2.</w:t>
      </w:r>
      <w:r w:rsidRPr="00624207">
        <w:rPr>
          <w:lang w:val="fr-FR"/>
        </w:rPr>
        <w:tab/>
        <w:t xml:space="preserve">Le TMAH est principalement utilisé </w:t>
      </w:r>
      <w:r>
        <w:rPr>
          <w:lang w:val="fr-FR"/>
        </w:rPr>
        <w:t>par les fabricants de</w:t>
      </w:r>
      <w:r w:rsidRPr="00624207">
        <w:rPr>
          <w:lang w:val="fr-FR"/>
        </w:rPr>
        <w:t xml:space="preserve"> semi-conducteurs et d</w:t>
      </w:r>
      <w:r>
        <w:rPr>
          <w:lang w:val="fr-FR"/>
        </w:rPr>
        <w:t>’</w:t>
      </w:r>
      <w:r w:rsidRPr="00624207">
        <w:rPr>
          <w:lang w:val="fr-FR"/>
        </w:rPr>
        <w:t xml:space="preserve">écrans. Il est utilisé comme composant principal dans les révélateurs pour la photolithographie et </w:t>
      </w:r>
      <w:r>
        <w:rPr>
          <w:lang w:val="fr-FR"/>
        </w:rPr>
        <w:t xml:space="preserve">joue un rôle </w:t>
      </w:r>
      <w:r w:rsidRPr="00624207">
        <w:rPr>
          <w:lang w:val="fr-FR"/>
        </w:rPr>
        <w:t xml:space="preserve">essentiel dans le processus de fabrication des micropuces. Ainsi, toutes les puces </w:t>
      </w:r>
      <w:r w:rsidRPr="00C22E77">
        <w:rPr>
          <w:lang w:val="fr-FR"/>
        </w:rPr>
        <w:t>électronique</w:t>
      </w:r>
      <w:r>
        <w:rPr>
          <w:lang w:val="fr-FR"/>
        </w:rPr>
        <w:t>s</w:t>
      </w:r>
      <w:r w:rsidRPr="00C22E77">
        <w:rPr>
          <w:lang w:val="fr-FR"/>
        </w:rPr>
        <w:t xml:space="preserve"> </w:t>
      </w:r>
      <w:r w:rsidRPr="00624207">
        <w:rPr>
          <w:lang w:val="fr-FR"/>
        </w:rPr>
        <w:t xml:space="preserve">et tous les écrans à cristaux liquides (LCD) ou à diodes électroluminescentes organiques (DELO) sont fabriqués en utilisant du TMAH. </w:t>
      </w:r>
      <w:r>
        <w:rPr>
          <w:lang w:val="fr-FR"/>
        </w:rPr>
        <w:t xml:space="preserve">Pour </w:t>
      </w:r>
      <w:r w:rsidRPr="00624207">
        <w:rPr>
          <w:lang w:val="fr-FR"/>
        </w:rPr>
        <w:t xml:space="preserve">ces applications, le TMAH est le plus souvent transporté </w:t>
      </w:r>
      <w:r>
        <w:rPr>
          <w:lang w:val="fr-FR"/>
        </w:rPr>
        <w:t>en</w:t>
      </w:r>
      <w:r w:rsidRPr="00624207">
        <w:rPr>
          <w:lang w:val="fr-FR"/>
        </w:rPr>
        <w:t xml:space="preserve"> solution aqueuse </w:t>
      </w:r>
      <w:r w:rsidRPr="00C51EB9">
        <w:rPr>
          <w:lang w:val="fr-FR"/>
        </w:rPr>
        <w:t>simple</w:t>
      </w:r>
      <w:r w:rsidRPr="00F974E6">
        <w:rPr>
          <w:lang w:val="fr-FR"/>
        </w:rPr>
        <w:t xml:space="preserve"> </w:t>
      </w:r>
      <w:r w:rsidRPr="003A5FEF">
        <w:rPr>
          <w:lang w:val="fr-FR"/>
        </w:rPr>
        <w:t xml:space="preserve">à une concentration comprise entre </w:t>
      </w:r>
      <w:r w:rsidRPr="00624207">
        <w:rPr>
          <w:lang w:val="fr-FR"/>
        </w:rPr>
        <w:t>2,5</w:t>
      </w:r>
      <w:r w:rsidR="002C5DD6">
        <w:rPr>
          <w:lang w:val="fr-FR"/>
        </w:rPr>
        <w:t> </w:t>
      </w:r>
      <w:r w:rsidRPr="00624207">
        <w:rPr>
          <w:lang w:val="fr-FR"/>
        </w:rPr>
        <w:t xml:space="preserve">% </w:t>
      </w:r>
      <w:r>
        <w:rPr>
          <w:lang w:val="fr-FR"/>
        </w:rPr>
        <w:t>et</w:t>
      </w:r>
      <w:r w:rsidRPr="00624207">
        <w:rPr>
          <w:lang w:val="fr-FR"/>
        </w:rPr>
        <w:t xml:space="preserve"> 25</w:t>
      </w:r>
      <w:r w:rsidR="002C5DD6">
        <w:rPr>
          <w:lang w:val="fr-FR"/>
        </w:rPr>
        <w:t> </w:t>
      </w:r>
      <w:r w:rsidRPr="00624207">
        <w:rPr>
          <w:lang w:val="fr-FR"/>
        </w:rPr>
        <w:t xml:space="preserve">%, bien que les </w:t>
      </w:r>
      <w:r>
        <w:rPr>
          <w:lang w:val="fr-FR"/>
        </w:rPr>
        <w:t xml:space="preserve">solutions dont la </w:t>
      </w:r>
      <w:r w:rsidRPr="00624207">
        <w:rPr>
          <w:lang w:val="fr-FR"/>
        </w:rPr>
        <w:t xml:space="preserve">concentration </w:t>
      </w:r>
      <w:r>
        <w:rPr>
          <w:lang w:val="fr-FR"/>
        </w:rPr>
        <w:t xml:space="preserve">est </w:t>
      </w:r>
      <w:r w:rsidRPr="00624207">
        <w:rPr>
          <w:lang w:val="fr-FR"/>
        </w:rPr>
        <w:t>inférieure puissent contenir des composants supplémentaires représentant moins de 1</w:t>
      </w:r>
      <w:r w:rsidR="002C5DD6">
        <w:rPr>
          <w:lang w:val="fr-FR"/>
        </w:rPr>
        <w:t> </w:t>
      </w:r>
      <w:r w:rsidRPr="00624207">
        <w:rPr>
          <w:lang w:val="fr-FR"/>
        </w:rPr>
        <w:t>% de la préparation. Ces solutions aqueuses sont conditionnées dans différents types d</w:t>
      </w:r>
      <w:r>
        <w:rPr>
          <w:lang w:val="fr-FR"/>
        </w:rPr>
        <w:t>’</w:t>
      </w:r>
      <w:r w:rsidRPr="00624207">
        <w:rPr>
          <w:lang w:val="fr-FR"/>
        </w:rPr>
        <w:t>emballages, tels que des grands récipients pour vrac (GRV), des fûts, des boîtes ou des jerricanes. Les solutions aqueuses à 25</w:t>
      </w:r>
      <w:r w:rsidR="002C5DD6">
        <w:rPr>
          <w:lang w:val="fr-FR"/>
        </w:rPr>
        <w:t> </w:t>
      </w:r>
      <w:r w:rsidRPr="00624207">
        <w:rPr>
          <w:lang w:val="fr-FR"/>
        </w:rPr>
        <w:t>% sont le plus souvent conditionnées dans des GRV et les auteurs estiment qu</w:t>
      </w:r>
      <w:r>
        <w:rPr>
          <w:lang w:val="fr-FR"/>
        </w:rPr>
        <w:t>’</w:t>
      </w:r>
      <w:r w:rsidRPr="00624207">
        <w:rPr>
          <w:lang w:val="fr-FR"/>
        </w:rPr>
        <w:t>environ 0,5</w:t>
      </w:r>
      <w:r w:rsidR="002C5DD6">
        <w:rPr>
          <w:lang w:val="fr-FR"/>
        </w:rPr>
        <w:t> </w:t>
      </w:r>
      <w:r w:rsidRPr="00624207">
        <w:rPr>
          <w:lang w:val="fr-FR"/>
        </w:rPr>
        <w:t xml:space="preserve">million de GRV </w:t>
      </w:r>
      <w:r>
        <w:rPr>
          <w:lang w:val="fr-FR"/>
        </w:rPr>
        <w:t xml:space="preserve">contenant </w:t>
      </w:r>
      <w:r w:rsidRPr="00624207">
        <w:rPr>
          <w:lang w:val="fr-FR"/>
        </w:rPr>
        <w:t>de</w:t>
      </w:r>
      <w:r>
        <w:rPr>
          <w:lang w:val="fr-FR"/>
        </w:rPr>
        <w:t>s</w:t>
      </w:r>
      <w:r w:rsidRPr="00624207">
        <w:rPr>
          <w:lang w:val="fr-FR"/>
        </w:rPr>
        <w:t xml:space="preserve"> solutions aqueuses à 25</w:t>
      </w:r>
      <w:r w:rsidR="002C5DD6">
        <w:rPr>
          <w:lang w:val="fr-FR"/>
        </w:rPr>
        <w:t> </w:t>
      </w:r>
      <w:r w:rsidRPr="00624207">
        <w:rPr>
          <w:lang w:val="fr-FR"/>
        </w:rPr>
        <w:t>% s</w:t>
      </w:r>
      <w:r>
        <w:rPr>
          <w:lang w:val="fr-FR"/>
        </w:rPr>
        <w:t>on</w:t>
      </w:r>
      <w:r w:rsidRPr="00624207">
        <w:rPr>
          <w:lang w:val="fr-FR"/>
        </w:rPr>
        <w:t>t expédié</w:t>
      </w:r>
      <w:r>
        <w:rPr>
          <w:lang w:val="fr-FR"/>
        </w:rPr>
        <w:t>s</w:t>
      </w:r>
      <w:r w:rsidRPr="00624207">
        <w:rPr>
          <w:lang w:val="fr-FR"/>
        </w:rPr>
        <w:t xml:space="preserve"> chaque année dans le monde. Le volume transporté de solutions ayant des concentrations inférieures est </w:t>
      </w:r>
      <w:r>
        <w:rPr>
          <w:lang w:val="fr-FR"/>
        </w:rPr>
        <w:t xml:space="preserve">sans doute </w:t>
      </w:r>
      <w:r w:rsidRPr="00624207">
        <w:rPr>
          <w:lang w:val="fr-FR"/>
        </w:rPr>
        <w:t>beaucoup plus élevé.</w:t>
      </w:r>
    </w:p>
    <w:p w14:paraId="7ED331D4" w14:textId="77777777" w:rsidR="007101CE" w:rsidRPr="00624207" w:rsidRDefault="007101CE" w:rsidP="007E6643">
      <w:pPr>
        <w:pStyle w:val="SingleTxtG"/>
        <w:rPr>
          <w:rFonts w:asciiTheme="majorBidi" w:eastAsiaTheme="majorBidi" w:hAnsiTheme="majorBidi" w:cstheme="majorBidi"/>
          <w:lang w:val="fr-FR"/>
        </w:rPr>
      </w:pPr>
      <w:r w:rsidRPr="00624207">
        <w:rPr>
          <w:lang w:val="fr-FR"/>
        </w:rPr>
        <w:t>3.</w:t>
      </w:r>
      <w:r w:rsidRPr="00624207">
        <w:rPr>
          <w:lang w:val="fr-FR"/>
        </w:rPr>
        <w:tab/>
      </w:r>
      <w:r w:rsidRPr="002E5185">
        <w:rPr>
          <w:lang w:val="fr-FR"/>
        </w:rPr>
        <w:t>Il est nécessaire d</w:t>
      </w:r>
      <w:r>
        <w:rPr>
          <w:lang w:val="fr-FR"/>
        </w:rPr>
        <w:t>’</w:t>
      </w:r>
      <w:r w:rsidRPr="002E5185">
        <w:rPr>
          <w:lang w:val="fr-FR"/>
        </w:rPr>
        <w:t xml:space="preserve">actualiser le classement </w:t>
      </w:r>
      <w:r w:rsidRPr="00624207">
        <w:rPr>
          <w:lang w:val="fr-FR"/>
        </w:rPr>
        <w:t xml:space="preserve">du TMAH </w:t>
      </w:r>
      <w:r>
        <w:rPr>
          <w:lang w:val="fr-FR"/>
        </w:rPr>
        <w:t xml:space="preserve">pour </w:t>
      </w:r>
      <w:r w:rsidRPr="00624207">
        <w:rPr>
          <w:lang w:val="fr-FR"/>
        </w:rPr>
        <w:t>la sécurité des personnes, des biens et de l</w:t>
      </w:r>
      <w:r>
        <w:rPr>
          <w:lang w:val="fr-FR"/>
        </w:rPr>
        <w:t>’</w:t>
      </w:r>
      <w:r w:rsidRPr="00624207">
        <w:rPr>
          <w:lang w:val="fr-FR"/>
        </w:rPr>
        <w:t>environnement. Ce faisant, le Sous-Comité s</w:t>
      </w:r>
      <w:r>
        <w:rPr>
          <w:lang w:val="fr-FR"/>
        </w:rPr>
        <w:t>’</w:t>
      </w:r>
      <w:r w:rsidRPr="00624207">
        <w:rPr>
          <w:lang w:val="fr-FR"/>
        </w:rPr>
        <w:t>aligne sur le troisième objectif de développement durable, qui consiste à permettre à tous de vivre en bonne santé et à promouvoir le bien-être de tous à tout âge.</w:t>
      </w:r>
    </w:p>
    <w:p w14:paraId="072B9452" w14:textId="2331813E" w:rsidR="007101CE" w:rsidRPr="00624207" w:rsidRDefault="007101CE" w:rsidP="002C5DD6">
      <w:pPr>
        <w:pStyle w:val="HChG"/>
        <w:rPr>
          <w:lang w:val="fr-FR"/>
        </w:rPr>
      </w:pPr>
      <w:r w:rsidRPr="00624207">
        <w:rPr>
          <w:lang w:val="fr-FR"/>
        </w:rPr>
        <w:lastRenderedPageBreak/>
        <w:tab/>
      </w:r>
      <w:r w:rsidR="002C5DD6">
        <w:rPr>
          <w:lang w:val="fr-FR"/>
        </w:rPr>
        <w:t>II.</w:t>
      </w:r>
      <w:r w:rsidR="002C5DD6">
        <w:rPr>
          <w:lang w:val="fr-FR"/>
        </w:rPr>
        <w:tab/>
      </w:r>
      <w:r w:rsidRPr="00624207">
        <w:rPr>
          <w:lang w:val="fr-FR"/>
        </w:rPr>
        <w:t>Vue d</w:t>
      </w:r>
      <w:r>
        <w:rPr>
          <w:lang w:val="fr-FR"/>
        </w:rPr>
        <w:t>’</w:t>
      </w:r>
      <w:r w:rsidRPr="00624207">
        <w:rPr>
          <w:lang w:val="fr-FR"/>
        </w:rPr>
        <w:t>ensemble et examen de la question</w:t>
      </w:r>
    </w:p>
    <w:p w14:paraId="2DE5BC79" w14:textId="62087539" w:rsidR="007101CE" w:rsidRPr="00624207" w:rsidRDefault="007101CE" w:rsidP="007E6643">
      <w:pPr>
        <w:pStyle w:val="SingleTxtG"/>
        <w:rPr>
          <w:rFonts w:asciiTheme="majorBidi" w:eastAsiaTheme="majorBidi" w:hAnsiTheme="majorBidi" w:cstheme="majorBidi"/>
          <w:lang w:val="fr-FR"/>
        </w:rPr>
      </w:pPr>
      <w:r w:rsidRPr="00624207">
        <w:rPr>
          <w:lang w:val="fr-FR"/>
        </w:rPr>
        <w:t>4.</w:t>
      </w:r>
      <w:r w:rsidRPr="00624207">
        <w:rPr>
          <w:lang w:val="fr-FR"/>
        </w:rPr>
        <w:tab/>
        <w:t xml:space="preserve">Le TMAH figure actuellement dans le Règlement type pour le transport des marchandises dangereuses sous le </w:t>
      </w:r>
      <w:r>
        <w:rPr>
          <w:lang w:val="fr-FR"/>
        </w:rPr>
        <w:t>No</w:t>
      </w:r>
      <w:r w:rsidRPr="00624207">
        <w:rPr>
          <w:lang w:val="fr-FR"/>
        </w:rPr>
        <w:t xml:space="preserve"> ONU 3423, classe 8, groupe d</w:t>
      </w:r>
      <w:r>
        <w:rPr>
          <w:lang w:val="fr-FR"/>
        </w:rPr>
        <w:t>’</w:t>
      </w:r>
      <w:r w:rsidRPr="00624207">
        <w:rPr>
          <w:lang w:val="fr-FR"/>
        </w:rPr>
        <w:t xml:space="preserve">emballage (GE) II. Les solutions de TMAH figurent sous le </w:t>
      </w:r>
      <w:r>
        <w:rPr>
          <w:lang w:val="fr-FR"/>
        </w:rPr>
        <w:t>No</w:t>
      </w:r>
      <w:r w:rsidRPr="00624207">
        <w:rPr>
          <w:lang w:val="fr-FR"/>
        </w:rPr>
        <w:t xml:space="preserve"> ONU 1835, classe 8, groupe GE II/III (sans limites de concentration). Le document informel soumis à la cinquante-neuvième session et le document officiel soumis à la soixantième session font état de plusieurs incidents sur le lieu de travail </w:t>
      </w:r>
      <w:r>
        <w:rPr>
          <w:lang w:val="fr-FR"/>
        </w:rPr>
        <w:t xml:space="preserve">où </w:t>
      </w:r>
      <w:r w:rsidRPr="00624207">
        <w:rPr>
          <w:lang w:val="fr-FR"/>
        </w:rPr>
        <w:t>des travailleurs ont été exposés à d</w:t>
      </w:r>
      <w:r>
        <w:rPr>
          <w:lang w:val="fr-FR"/>
        </w:rPr>
        <w:t xml:space="preserve">ifférents types de </w:t>
      </w:r>
      <w:r w:rsidRPr="00624207">
        <w:rPr>
          <w:lang w:val="fr-FR"/>
        </w:rPr>
        <w:t xml:space="preserve">solution de TMAH. Dans la plupart des cas, </w:t>
      </w:r>
      <w:r>
        <w:rPr>
          <w:lang w:val="fr-FR"/>
        </w:rPr>
        <w:t xml:space="preserve">il s’agissait de </w:t>
      </w:r>
      <w:r w:rsidRPr="00624207">
        <w:rPr>
          <w:lang w:val="fr-FR"/>
        </w:rPr>
        <w:t>solutions aqueuses simples, semblables à celles qui sont mentionnées au paragraphe</w:t>
      </w:r>
      <w:r w:rsidR="002C5DD6">
        <w:rPr>
          <w:lang w:val="fr-FR"/>
        </w:rPr>
        <w:t> </w:t>
      </w:r>
      <w:r w:rsidRPr="00624207">
        <w:rPr>
          <w:lang w:val="fr-FR"/>
        </w:rPr>
        <w:t>2 ci-dessus</w:t>
      </w:r>
      <w:r>
        <w:rPr>
          <w:lang w:val="fr-FR"/>
        </w:rPr>
        <w:t>,</w:t>
      </w:r>
      <w:r w:rsidRPr="00624207">
        <w:rPr>
          <w:lang w:val="fr-FR"/>
        </w:rPr>
        <w:t xml:space="preserve"> mais</w:t>
      </w:r>
      <w:r>
        <w:rPr>
          <w:lang w:val="fr-FR"/>
        </w:rPr>
        <w:t xml:space="preserve"> d</w:t>
      </w:r>
      <w:r w:rsidRPr="00624207">
        <w:rPr>
          <w:lang w:val="fr-FR"/>
        </w:rPr>
        <w:t>ans d</w:t>
      </w:r>
      <w:r>
        <w:rPr>
          <w:lang w:val="fr-FR"/>
        </w:rPr>
        <w:t>’</w:t>
      </w:r>
      <w:r w:rsidRPr="00624207">
        <w:rPr>
          <w:lang w:val="fr-FR"/>
        </w:rPr>
        <w:t>autres cas, il s</w:t>
      </w:r>
      <w:r>
        <w:rPr>
          <w:lang w:val="fr-FR"/>
        </w:rPr>
        <w:t>’</w:t>
      </w:r>
      <w:r w:rsidRPr="00624207">
        <w:rPr>
          <w:lang w:val="fr-FR"/>
        </w:rPr>
        <w:t>agissait de préparations plus complexes</w:t>
      </w:r>
      <w:r>
        <w:rPr>
          <w:lang w:val="fr-FR"/>
        </w:rPr>
        <w:t>. L’</w:t>
      </w:r>
      <w:r w:rsidRPr="00624207">
        <w:rPr>
          <w:lang w:val="fr-FR"/>
        </w:rPr>
        <w:t xml:space="preserve">une de ces préparations contenait </w:t>
      </w:r>
      <w:r>
        <w:rPr>
          <w:lang w:val="fr-FR"/>
        </w:rPr>
        <w:t xml:space="preserve">en </w:t>
      </w:r>
      <w:r w:rsidRPr="00624207">
        <w:rPr>
          <w:lang w:val="fr-FR"/>
        </w:rPr>
        <w:t xml:space="preserve">concentration </w:t>
      </w:r>
      <w:r>
        <w:rPr>
          <w:lang w:val="fr-FR"/>
        </w:rPr>
        <w:t>élevé</w:t>
      </w:r>
      <w:r w:rsidRPr="00624207">
        <w:rPr>
          <w:lang w:val="fr-FR"/>
        </w:rPr>
        <w:t>e d</w:t>
      </w:r>
      <w:r>
        <w:rPr>
          <w:lang w:val="fr-FR"/>
        </w:rPr>
        <w:t>’</w:t>
      </w:r>
      <w:r w:rsidRPr="00624207">
        <w:rPr>
          <w:lang w:val="fr-FR"/>
        </w:rPr>
        <w:t xml:space="preserve">autres </w:t>
      </w:r>
      <w:r w:rsidRPr="004553BE">
        <w:rPr>
          <w:lang w:val="fr-FR"/>
        </w:rPr>
        <w:t xml:space="preserve">composants </w:t>
      </w:r>
      <w:r w:rsidRPr="00624207">
        <w:rPr>
          <w:lang w:val="fr-FR"/>
        </w:rPr>
        <w:t>que le TMAH et l</w:t>
      </w:r>
      <w:r>
        <w:rPr>
          <w:lang w:val="fr-FR"/>
        </w:rPr>
        <w:t>’</w:t>
      </w:r>
      <w:r w:rsidRPr="00624207">
        <w:rPr>
          <w:lang w:val="fr-FR"/>
        </w:rPr>
        <w:t xml:space="preserve">eau, </w:t>
      </w:r>
      <w:r>
        <w:rPr>
          <w:lang w:val="fr-FR"/>
        </w:rPr>
        <w:t xml:space="preserve">à tel point </w:t>
      </w:r>
      <w:r w:rsidRPr="00624207">
        <w:rPr>
          <w:lang w:val="fr-FR"/>
        </w:rPr>
        <w:t>que l</w:t>
      </w:r>
      <w:r>
        <w:rPr>
          <w:lang w:val="fr-FR"/>
        </w:rPr>
        <w:t>’</w:t>
      </w:r>
      <w:r w:rsidRPr="00624207">
        <w:rPr>
          <w:lang w:val="fr-FR"/>
        </w:rPr>
        <w:t>on peut se demander s</w:t>
      </w:r>
      <w:r w:rsidR="002C5DD6">
        <w:rPr>
          <w:lang w:val="fr-FR"/>
        </w:rPr>
        <w:t>’</w:t>
      </w:r>
      <w:r w:rsidRPr="00624207">
        <w:rPr>
          <w:lang w:val="fr-FR"/>
        </w:rPr>
        <w:t>i</w:t>
      </w:r>
      <w:r w:rsidR="002C5DD6">
        <w:rPr>
          <w:lang w:val="fr-FR"/>
        </w:rPr>
        <w:t>l</w:t>
      </w:r>
      <w:r w:rsidRPr="00624207">
        <w:rPr>
          <w:lang w:val="fr-FR"/>
        </w:rPr>
        <w:t xml:space="preserve"> </w:t>
      </w:r>
      <w:r>
        <w:rPr>
          <w:lang w:val="fr-FR"/>
        </w:rPr>
        <w:t>s’agissait vraiment d’</w:t>
      </w:r>
      <w:r w:rsidRPr="00624207">
        <w:rPr>
          <w:lang w:val="fr-FR"/>
        </w:rPr>
        <w:t xml:space="preserve">une </w:t>
      </w:r>
      <w:r>
        <w:rPr>
          <w:lang w:val="fr-FR"/>
        </w:rPr>
        <w:t>« </w:t>
      </w:r>
      <w:r w:rsidRPr="00624207">
        <w:rPr>
          <w:lang w:val="fr-FR"/>
        </w:rPr>
        <w:t>solution de TMAH</w:t>
      </w:r>
      <w:r>
        <w:rPr>
          <w:lang w:val="fr-FR"/>
        </w:rPr>
        <w:t> »</w:t>
      </w:r>
      <w:r w:rsidRPr="00624207">
        <w:rPr>
          <w:lang w:val="fr-FR"/>
        </w:rPr>
        <w:t xml:space="preserve"> ou s</w:t>
      </w:r>
      <w:r>
        <w:rPr>
          <w:lang w:val="fr-FR"/>
        </w:rPr>
        <w:t>’</w:t>
      </w:r>
      <w:r w:rsidRPr="00624207">
        <w:rPr>
          <w:lang w:val="fr-FR"/>
        </w:rPr>
        <w:t>il serait plus exact de la décrire comme une solution d</w:t>
      </w:r>
      <w:r>
        <w:rPr>
          <w:lang w:val="fr-FR"/>
        </w:rPr>
        <w:t>’</w:t>
      </w:r>
      <w:r w:rsidRPr="00624207">
        <w:rPr>
          <w:lang w:val="fr-FR"/>
        </w:rPr>
        <w:t>alcool éthoxylé.</w:t>
      </w:r>
    </w:p>
    <w:p w14:paraId="617C27A6" w14:textId="58833BF9" w:rsidR="007101CE" w:rsidRPr="00624207" w:rsidRDefault="007101CE" w:rsidP="002C5DD6">
      <w:pPr>
        <w:pStyle w:val="SingleTxtG"/>
        <w:keepNext/>
        <w:rPr>
          <w:rFonts w:asciiTheme="majorBidi" w:eastAsiaTheme="majorBidi" w:hAnsiTheme="majorBidi" w:cstheme="majorBidi"/>
          <w:lang w:val="fr-FR"/>
        </w:rPr>
      </w:pPr>
      <w:r w:rsidRPr="00624207">
        <w:rPr>
          <w:lang w:val="fr-FR"/>
        </w:rPr>
        <w:t>5.</w:t>
      </w:r>
      <w:r w:rsidRPr="00624207">
        <w:rPr>
          <w:lang w:val="fr-FR"/>
        </w:rPr>
        <w:tab/>
        <w:t>Le document ST/SG/AC.10/C.3/2022/24</w:t>
      </w:r>
      <w:r>
        <w:rPr>
          <w:lang w:val="fr-FR"/>
        </w:rPr>
        <w:t>,</w:t>
      </w:r>
      <w:r w:rsidRPr="00624207">
        <w:rPr>
          <w:lang w:val="fr-FR"/>
        </w:rPr>
        <w:t xml:space="preserve"> </w:t>
      </w:r>
      <w:r>
        <w:rPr>
          <w:lang w:val="fr-FR"/>
        </w:rPr>
        <w:t xml:space="preserve">qui a été établi après une étude </w:t>
      </w:r>
      <w:r w:rsidRPr="00624207">
        <w:rPr>
          <w:lang w:val="fr-FR"/>
        </w:rPr>
        <w:t>de ces incidents</w:t>
      </w:r>
      <w:r>
        <w:rPr>
          <w:lang w:val="fr-FR"/>
        </w:rPr>
        <w:t>,</w:t>
      </w:r>
      <w:r w:rsidRPr="00624207">
        <w:rPr>
          <w:lang w:val="fr-FR"/>
        </w:rPr>
        <w:t xml:space="preserve"> contient une proposition de révision du classement de</w:t>
      </w:r>
      <w:r w:rsidRPr="00E1509E">
        <w:rPr>
          <w:lang w:val="fr-FR"/>
        </w:rPr>
        <w:t xml:space="preserve"> </w:t>
      </w:r>
      <w:r>
        <w:rPr>
          <w:lang w:val="fr-FR"/>
        </w:rPr>
        <w:t xml:space="preserve">la forme </w:t>
      </w:r>
      <w:r w:rsidRPr="00624207">
        <w:rPr>
          <w:lang w:val="fr-FR"/>
        </w:rPr>
        <w:t>solide</w:t>
      </w:r>
      <w:r w:rsidRPr="00E1509E">
        <w:rPr>
          <w:lang w:val="fr-FR"/>
        </w:rPr>
        <w:t xml:space="preserve"> </w:t>
      </w:r>
      <w:r>
        <w:rPr>
          <w:lang w:val="fr-FR"/>
        </w:rPr>
        <w:t xml:space="preserve">du </w:t>
      </w:r>
      <w:r w:rsidRPr="00624207">
        <w:rPr>
          <w:lang w:val="fr-FR"/>
        </w:rPr>
        <w:t xml:space="preserve">TMAH </w:t>
      </w:r>
      <w:r>
        <w:rPr>
          <w:lang w:val="fr-FR"/>
        </w:rPr>
        <w:t xml:space="preserve">(No </w:t>
      </w:r>
      <w:r w:rsidRPr="00624207">
        <w:rPr>
          <w:lang w:val="fr-FR"/>
        </w:rPr>
        <w:t>ONU 3423</w:t>
      </w:r>
      <w:r>
        <w:rPr>
          <w:lang w:val="fr-FR"/>
        </w:rPr>
        <w:t>)</w:t>
      </w:r>
      <w:r w:rsidRPr="00624207">
        <w:rPr>
          <w:lang w:val="fr-FR"/>
        </w:rPr>
        <w:t xml:space="preserve"> </w:t>
      </w:r>
      <w:r>
        <w:rPr>
          <w:lang w:val="fr-FR"/>
        </w:rPr>
        <w:t xml:space="preserve">et du </w:t>
      </w:r>
      <w:r w:rsidRPr="00624207">
        <w:rPr>
          <w:lang w:val="fr-FR"/>
        </w:rPr>
        <w:t>TMAH en solution</w:t>
      </w:r>
      <w:r w:rsidRPr="00E1509E">
        <w:rPr>
          <w:lang w:val="fr-FR"/>
        </w:rPr>
        <w:t xml:space="preserve"> </w:t>
      </w:r>
      <w:r>
        <w:rPr>
          <w:lang w:val="fr-FR"/>
        </w:rPr>
        <w:t xml:space="preserve">(No </w:t>
      </w:r>
      <w:r w:rsidRPr="00624207">
        <w:rPr>
          <w:lang w:val="fr-FR"/>
        </w:rPr>
        <w:t xml:space="preserve">ONU 1835). Deux options </w:t>
      </w:r>
      <w:r>
        <w:rPr>
          <w:lang w:val="fr-FR"/>
        </w:rPr>
        <w:t>s</w:t>
      </w:r>
      <w:r w:rsidRPr="00624207">
        <w:rPr>
          <w:lang w:val="fr-FR"/>
        </w:rPr>
        <w:t>ont proposées</w:t>
      </w:r>
      <w:r w:rsidR="002C5DD6">
        <w:rPr>
          <w:lang w:val="fr-FR"/>
        </w:rPr>
        <w:t> </w:t>
      </w:r>
      <w:r w:rsidRPr="00624207">
        <w:rPr>
          <w:lang w:val="fr-FR"/>
        </w:rPr>
        <w:t>:</w:t>
      </w:r>
    </w:p>
    <w:p w14:paraId="730A0642" w14:textId="21BC6F52" w:rsidR="007101CE" w:rsidRPr="00624207" w:rsidRDefault="007101CE" w:rsidP="002C5DD6">
      <w:pPr>
        <w:pStyle w:val="SingleTxtG"/>
        <w:ind w:firstLine="567"/>
        <w:rPr>
          <w:rFonts w:asciiTheme="majorBidi" w:eastAsiaTheme="majorBidi" w:hAnsiTheme="majorBidi" w:cstheme="majorBidi"/>
          <w:lang w:val="fr-FR"/>
        </w:rPr>
      </w:pPr>
      <w:r w:rsidRPr="00624207">
        <w:rPr>
          <w:lang w:val="fr-FR"/>
        </w:rPr>
        <w:t>Option 1</w:t>
      </w:r>
      <w:r w:rsidR="002C5DD6">
        <w:rPr>
          <w:lang w:val="fr-FR"/>
        </w:rPr>
        <w:t> </w:t>
      </w:r>
      <w:r w:rsidRPr="00624207">
        <w:rPr>
          <w:lang w:val="fr-FR"/>
        </w:rPr>
        <w:t>:</w:t>
      </w:r>
    </w:p>
    <w:p w14:paraId="629F14F3" w14:textId="725612F4" w:rsidR="007101CE" w:rsidRPr="00624207" w:rsidRDefault="007101CE" w:rsidP="002C5DD6">
      <w:pPr>
        <w:pStyle w:val="Bullet1G"/>
        <w:rPr>
          <w:rFonts w:eastAsiaTheme="majorBidi"/>
          <w:lang w:val="fr-FR"/>
        </w:rPr>
      </w:pPr>
      <w:r w:rsidRPr="002C5DD6">
        <w:t>Reclasser</w:t>
      </w:r>
      <w:r w:rsidRPr="00624207">
        <w:rPr>
          <w:lang w:val="fr-FR"/>
        </w:rPr>
        <w:t xml:space="preserve"> le TMAH solide (</w:t>
      </w:r>
      <w:r>
        <w:rPr>
          <w:lang w:val="fr-FR"/>
        </w:rPr>
        <w:t xml:space="preserve">No </w:t>
      </w:r>
      <w:r w:rsidRPr="00624207">
        <w:rPr>
          <w:lang w:val="fr-FR"/>
        </w:rPr>
        <w:t>ONU 3423)</w:t>
      </w:r>
      <w:r>
        <w:rPr>
          <w:lang w:val="fr-FR"/>
        </w:rPr>
        <w:t>,</w:t>
      </w:r>
      <w:r w:rsidRPr="00624207">
        <w:rPr>
          <w:lang w:val="fr-FR"/>
        </w:rPr>
        <w:t xml:space="preserve"> classe 8, GE</w:t>
      </w:r>
      <w:r w:rsidR="002C5DD6">
        <w:rPr>
          <w:lang w:val="fr-FR"/>
        </w:rPr>
        <w:t> </w:t>
      </w:r>
      <w:r w:rsidRPr="00624207">
        <w:rPr>
          <w:lang w:val="fr-FR"/>
        </w:rPr>
        <w:t>II dans la classe 6.1 (8), GE</w:t>
      </w:r>
      <w:r w:rsidR="002C5DD6">
        <w:rPr>
          <w:lang w:val="fr-FR"/>
        </w:rPr>
        <w:t> </w:t>
      </w:r>
      <w:r w:rsidRPr="00624207">
        <w:rPr>
          <w:lang w:val="fr-FR"/>
        </w:rPr>
        <w:t xml:space="preserve">I, et ajouter la disposition spéciale 279 </w:t>
      </w:r>
      <w:r>
        <w:rPr>
          <w:lang w:val="fr-FR"/>
        </w:rPr>
        <w:t xml:space="preserve">dans </w:t>
      </w:r>
      <w:r w:rsidRPr="00624207">
        <w:rPr>
          <w:lang w:val="fr-FR"/>
        </w:rPr>
        <w:t xml:space="preserve">la </w:t>
      </w:r>
      <w:r>
        <w:rPr>
          <w:lang w:val="fr-FR"/>
        </w:rPr>
        <w:t xml:space="preserve">sixième </w:t>
      </w:r>
      <w:r w:rsidRPr="00624207">
        <w:rPr>
          <w:lang w:val="fr-FR"/>
        </w:rPr>
        <w:t>colonne</w:t>
      </w:r>
      <w:r>
        <w:rPr>
          <w:lang w:val="fr-FR"/>
        </w:rPr>
        <w:t> ;</w:t>
      </w:r>
    </w:p>
    <w:p w14:paraId="0BF39B9A" w14:textId="3BDF20BB" w:rsidR="007101CE" w:rsidRPr="00624207" w:rsidRDefault="007101CE" w:rsidP="007101CE">
      <w:pPr>
        <w:pStyle w:val="Bullet1G"/>
        <w:numPr>
          <w:ilvl w:val="0"/>
          <w:numId w:val="24"/>
        </w:numPr>
        <w:rPr>
          <w:rFonts w:eastAsiaTheme="majorBidi"/>
          <w:lang w:val="fr-FR"/>
        </w:rPr>
      </w:pPr>
      <w:r w:rsidRPr="00624207">
        <w:rPr>
          <w:lang w:val="fr-FR"/>
        </w:rPr>
        <w:t xml:space="preserve">Ajouter une nouvelle rubrique </w:t>
      </w:r>
      <w:r>
        <w:rPr>
          <w:lang w:val="fr-FR"/>
        </w:rPr>
        <w:t xml:space="preserve">concernant le </w:t>
      </w:r>
      <w:r w:rsidRPr="00624207">
        <w:rPr>
          <w:lang w:val="fr-FR"/>
        </w:rPr>
        <w:t>GE</w:t>
      </w:r>
      <w:r w:rsidR="002C5DD6">
        <w:rPr>
          <w:lang w:val="fr-FR"/>
        </w:rPr>
        <w:t> </w:t>
      </w:r>
      <w:r w:rsidRPr="00624207">
        <w:rPr>
          <w:lang w:val="fr-FR"/>
        </w:rPr>
        <w:t>I pour le TMAH en solution (</w:t>
      </w:r>
      <w:r>
        <w:rPr>
          <w:lang w:val="fr-FR"/>
        </w:rPr>
        <w:t>No</w:t>
      </w:r>
      <w:r w:rsidR="002C5DD6">
        <w:rPr>
          <w:lang w:val="fr-FR"/>
        </w:rPr>
        <w:t> </w:t>
      </w:r>
      <w:r>
        <w:rPr>
          <w:lang w:val="fr-FR"/>
        </w:rPr>
        <w:t>ONU</w:t>
      </w:r>
      <w:r w:rsidRPr="00624207">
        <w:rPr>
          <w:lang w:val="fr-FR"/>
        </w:rPr>
        <w:t xml:space="preserve"> 1835), dans laquelle les </w:t>
      </w:r>
      <w:r w:rsidRPr="004B646D">
        <w:rPr>
          <w:lang w:val="fr-FR"/>
        </w:rPr>
        <w:t>concentrations supérieures à 8,75</w:t>
      </w:r>
      <w:r w:rsidR="002C5DD6">
        <w:rPr>
          <w:lang w:val="fr-FR"/>
        </w:rPr>
        <w:t> </w:t>
      </w:r>
      <w:r w:rsidRPr="004B646D">
        <w:rPr>
          <w:lang w:val="fr-FR"/>
        </w:rPr>
        <w:t>%</w:t>
      </w:r>
      <w:r w:rsidRPr="00624207">
        <w:rPr>
          <w:lang w:val="fr-FR"/>
        </w:rPr>
        <w:t xml:space="preserve"> sont reclassées dans la classe 6.1 (8), GE</w:t>
      </w:r>
      <w:r w:rsidR="002C5DD6">
        <w:rPr>
          <w:lang w:val="fr-FR"/>
        </w:rPr>
        <w:t> </w:t>
      </w:r>
      <w:r w:rsidRPr="00624207">
        <w:rPr>
          <w:lang w:val="fr-FR"/>
        </w:rPr>
        <w:t>I, et y ajouter la disposition spéciale 279 (correspondant à la rubrique de la matière pure)</w:t>
      </w:r>
      <w:r>
        <w:rPr>
          <w:lang w:val="fr-FR"/>
        </w:rPr>
        <w:t> ;</w:t>
      </w:r>
    </w:p>
    <w:p w14:paraId="1BA516F3" w14:textId="0750B8BD" w:rsidR="007101CE" w:rsidRPr="00624207" w:rsidRDefault="007101CE" w:rsidP="007101CE">
      <w:pPr>
        <w:pStyle w:val="Bullet1G"/>
        <w:numPr>
          <w:ilvl w:val="0"/>
          <w:numId w:val="24"/>
        </w:numPr>
        <w:rPr>
          <w:rFonts w:eastAsiaTheme="majorBidi"/>
          <w:lang w:val="fr-FR"/>
        </w:rPr>
      </w:pPr>
      <w:r w:rsidRPr="00624207">
        <w:rPr>
          <w:lang w:val="fr-FR"/>
        </w:rPr>
        <w:t xml:space="preserve">Réviser la rubrique </w:t>
      </w:r>
      <w:r>
        <w:rPr>
          <w:lang w:val="fr-FR"/>
        </w:rPr>
        <w:t xml:space="preserve">du </w:t>
      </w:r>
      <w:r w:rsidRPr="00624207">
        <w:rPr>
          <w:lang w:val="fr-FR"/>
        </w:rPr>
        <w:t>GE</w:t>
      </w:r>
      <w:r w:rsidR="002C5DD6">
        <w:rPr>
          <w:lang w:val="fr-FR"/>
        </w:rPr>
        <w:t> </w:t>
      </w:r>
      <w:r w:rsidRPr="00624207">
        <w:rPr>
          <w:lang w:val="fr-FR"/>
        </w:rPr>
        <w:t>II</w:t>
      </w:r>
      <w:r w:rsidRPr="00624207">
        <w:rPr>
          <w:b/>
          <w:bCs/>
          <w:lang w:val="fr-FR"/>
        </w:rPr>
        <w:t xml:space="preserve"> </w:t>
      </w:r>
      <w:r w:rsidRPr="00624207">
        <w:rPr>
          <w:lang w:val="fr-FR"/>
        </w:rPr>
        <w:t>pour le TMAH en solution (</w:t>
      </w:r>
      <w:r>
        <w:rPr>
          <w:lang w:val="fr-FR"/>
        </w:rPr>
        <w:t>No ONU</w:t>
      </w:r>
      <w:r w:rsidRPr="00624207">
        <w:rPr>
          <w:lang w:val="fr-FR"/>
        </w:rPr>
        <w:t xml:space="preserve"> 1835) </w:t>
      </w:r>
      <w:r>
        <w:rPr>
          <w:lang w:val="fr-FR"/>
        </w:rPr>
        <w:t>de telle manière</w:t>
      </w:r>
      <w:r w:rsidRPr="00624207">
        <w:rPr>
          <w:lang w:val="fr-FR"/>
        </w:rPr>
        <w:t xml:space="preserve"> qu</w:t>
      </w:r>
      <w:r>
        <w:rPr>
          <w:lang w:val="fr-FR"/>
        </w:rPr>
        <w:t>’</w:t>
      </w:r>
      <w:r w:rsidRPr="00624207">
        <w:rPr>
          <w:lang w:val="fr-FR"/>
        </w:rPr>
        <w:t>elle s</w:t>
      </w:r>
      <w:r>
        <w:rPr>
          <w:lang w:val="fr-FR"/>
        </w:rPr>
        <w:t>’</w:t>
      </w:r>
      <w:r w:rsidRPr="00624207">
        <w:rPr>
          <w:lang w:val="fr-FR"/>
        </w:rPr>
        <w:t xml:space="preserve">applique </w:t>
      </w:r>
      <w:proofErr w:type="gramStart"/>
      <w:r w:rsidRPr="00624207">
        <w:rPr>
          <w:lang w:val="fr-FR"/>
        </w:rPr>
        <w:t xml:space="preserve">aux solutions </w:t>
      </w:r>
      <w:r w:rsidRPr="004B646D">
        <w:rPr>
          <w:lang w:val="fr-FR"/>
        </w:rPr>
        <w:t>contenant</w:t>
      </w:r>
      <w:proofErr w:type="gramEnd"/>
      <w:r w:rsidRPr="004B646D">
        <w:rPr>
          <w:lang w:val="fr-FR"/>
        </w:rPr>
        <w:t xml:space="preserve"> au moins 2,38</w:t>
      </w:r>
      <w:r w:rsidR="002C5DD6">
        <w:rPr>
          <w:lang w:val="fr-FR"/>
        </w:rPr>
        <w:t> </w:t>
      </w:r>
      <w:r w:rsidRPr="004B646D">
        <w:rPr>
          <w:lang w:val="fr-FR"/>
        </w:rPr>
        <w:t>% et au plus 8,75</w:t>
      </w:r>
      <w:r w:rsidR="002C5DD6">
        <w:rPr>
          <w:lang w:val="fr-FR"/>
        </w:rPr>
        <w:t> </w:t>
      </w:r>
      <w:r w:rsidRPr="004B646D">
        <w:rPr>
          <w:lang w:val="fr-FR"/>
        </w:rPr>
        <w:t>% de TMAH</w:t>
      </w:r>
      <w:r>
        <w:rPr>
          <w:lang w:val="fr-FR"/>
        </w:rPr>
        <w:t>,</w:t>
      </w:r>
      <w:r w:rsidRPr="004B646D">
        <w:rPr>
          <w:lang w:val="fr-FR"/>
        </w:rPr>
        <w:t xml:space="preserve"> et</w:t>
      </w:r>
      <w:r w:rsidRPr="00624207">
        <w:rPr>
          <w:i/>
          <w:iCs/>
          <w:lang w:val="fr-FR"/>
        </w:rPr>
        <w:t xml:space="preserve"> </w:t>
      </w:r>
      <w:r w:rsidRPr="00624207">
        <w:rPr>
          <w:lang w:val="fr-FR"/>
        </w:rPr>
        <w:t xml:space="preserve">reclasser </w:t>
      </w:r>
      <w:r>
        <w:rPr>
          <w:lang w:val="fr-FR"/>
        </w:rPr>
        <w:t xml:space="preserve">ces </w:t>
      </w:r>
      <w:r w:rsidRPr="003B4F84">
        <w:rPr>
          <w:lang w:val="fr-FR"/>
        </w:rPr>
        <w:t xml:space="preserve">solutions </w:t>
      </w:r>
      <w:r w:rsidRPr="00624207">
        <w:rPr>
          <w:lang w:val="fr-FR"/>
        </w:rPr>
        <w:t>dans la classe 6.1 (8), II</w:t>
      </w:r>
      <w:r>
        <w:rPr>
          <w:lang w:val="fr-FR"/>
        </w:rPr>
        <w:t>,</w:t>
      </w:r>
      <w:r w:rsidRPr="00624207">
        <w:rPr>
          <w:lang w:val="fr-FR"/>
        </w:rPr>
        <w:t xml:space="preserve"> au lieu de </w:t>
      </w:r>
      <w:r>
        <w:rPr>
          <w:lang w:val="fr-FR"/>
        </w:rPr>
        <w:t xml:space="preserve">la classe </w:t>
      </w:r>
      <w:r w:rsidRPr="00624207">
        <w:rPr>
          <w:lang w:val="fr-FR"/>
        </w:rPr>
        <w:t>8, II</w:t>
      </w:r>
      <w:r>
        <w:rPr>
          <w:lang w:val="fr-FR"/>
        </w:rPr>
        <w:t> ;</w:t>
      </w:r>
      <w:r w:rsidRPr="00624207">
        <w:rPr>
          <w:lang w:val="fr-FR"/>
        </w:rPr>
        <w:t xml:space="preserve"> </w:t>
      </w:r>
    </w:p>
    <w:p w14:paraId="276E1E01" w14:textId="5A877739" w:rsidR="007101CE" w:rsidRPr="00624207" w:rsidRDefault="007101CE" w:rsidP="007101CE">
      <w:pPr>
        <w:pStyle w:val="Bullet1G"/>
        <w:numPr>
          <w:ilvl w:val="0"/>
          <w:numId w:val="24"/>
        </w:numPr>
        <w:rPr>
          <w:rFonts w:eastAsiaTheme="majorBidi"/>
          <w:lang w:val="fr-FR"/>
        </w:rPr>
      </w:pPr>
      <w:r w:rsidRPr="00624207">
        <w:rPr>
          <w:lang w:val="fr-FR"/>
        </w:rPr>
        <w:t xml:space="preserve">Réviser la rubrique </w:t>
      </w:r>
      <w:r>
        <w:rPr>
          <w:lang w:val="fr-FR"/>
        </w:rPr>
        <w:t xml:space="preserve">du </w:t>
      </w:r>
      <w:r w:rsidRPr="00624207">
        <w:rPr>
          <w:lang w:val="fr-FR"/>
        </w:rPr>
        <w:t>GE</w:t>
      </w:r>
      <w:r w:rsidR="002C5DD6">
        <w:rPr>
          <w:lang w:val="fr-FR"/>
        </w:rPr>
        <w:t> </w:t>
      </w:r>
      <w:r w:rsidRPr="00624207">
        <w:rPr>
          <w:lang w:val="fr-FR"/>
        </w:rPr>
        <w:t xml:space="preserve">III pour le TMAH en solution </w:t>
      </w:r>
      <w:r>
        <w:rPr>
          <w:lang w:val="fr-FR"/>
        </w:rPr>
        <w:t>de telle manière</w:t>
      </w:r>
      <w:r w:rsidRPr="00624207">
        <w:rPr>
          <w:lang w:val="fr-FR"/>
        </w:rPr>
        <w:t xml:space="preserve"> qu</w:t>
      </w:r>
      <w:r>
        <w:rPr>
          <w:lang w:val="fr-FR"/>
        </w:rPr>
        <w:t>’</w:t>
      </w:r>
      <w:r w:rsidRPr="00624207">
        <w:rPr>
          <w:lang w:val="fr-FR"/>
        </w:rPr>
        <w:t>elle s</w:t>
      </w:r>
      <w:r>
        <w:rPr>
          <w:lang w:val="fr-FR"/>
        </w:rPr>
        <w:t>’</w:t>
      </w:r>
      <w:r w:rsidRPr="00624207">
        <w:rPr>
          <w:lang w:val="fr-FR"/>
        </w:rPr>
        <w:t>applique aux solutions contenant moins de 2,38</w:t>
      </w:r>
      <w:r w:rsidR="002C5DD6">
        <w:rPr>
          <w:lang w:val="fr-FR"/>
        </w:rPr>
        <w:t> </w:t>
      </w:r>
      <w:r w:rsidRPr="00624207">
        <w:rPr>
          <w:lang w:val="fr-FR"/>
        </w:rPr>
        <w:t xml:space="preserve">%, mais sans proposer de changement au classement existant, à savoir </w:t>
      </w:r>
      <w:r>
        <w:rPr>
          <w:lang w:val="fr-FR"/>
        </w:rPr>
        <w:t xml:space="preserve">la </w:t>
      </w:r>
      <w:r w:rsidRPr="00624207">
        <w:rPr>
          <w:lang w:val="fr-FR"/>
        </w:rPr>
        <w:t>classe 8, III.</w:t>
      </w:r>
    </w:p>
    <w:p w14:paraId="4681C8E8" w14:textId="5E3656DC" w:rsidR="007101CE" w:rsidRPr="00624207" w:rsidRDefault="007101CE" w:rsidP="007101CE">
      <w:pPr>
        <w:pStyle w:val="Bullet1G"/>
        <w:numPr>
          <w:ilvl w:val="0"/>
          <w:numId w:val="24"/>
        </w:numPr>
        <w:rPr>
          <w:rFonts w:eastAsiaTheme="majorBidi"/>
          <w:lang w:val="fr-FR"/>
        </w:rPr>
      </w:pPr>
      <w:r>
        <w:rPr>
          <w:lang w:val="fr-FR"/>
        </w:rPr>
        <w:t>N’affecter l</w:t>
      </w:r>
      <w:r w:rsidRPr="00624207">
        <w:rPr>
          <w:lang w:val="fr-FR"/>
        </w:rPr>
        <w:t>a disposition spéciale 223</w:t>
      </w:r>
      <w:r w:rsidR="00CA4E50">
        <w:rPr>
          <w:lang w:val="fr-FR"/>
        </w:rPr>
        <w:t xml:space="preserve"> </w:t>
      </w:r>
      <w:r w:rsidRPr="00624207">
        <w:rPr>
          <w:lang w:val="fr-FR"/>
        </w:rPr>
        <w:t>qu</w:t>
      </w:r>
      <w:r>
        <w:rPr>
          <w:lang w:val="fr-FR"/>
        </w:rPr>
        <w:t>’</w:t>
      </w:r>
      <w:r w:rsidRPr="00624207">
        <w:rPr>
          <w:lang w:val="fr-FR"/>
        </w:rPr>
        <w:t xml:space="preserve">à la rubrique </w:t>
      </w:r>
      <w:r>
        <w:rPr>
          <w:lang w:val="fr-FR"/>
        </w:rPr>
        <w:t xml:space="preserve">du </w:t>
      </w:r>
      <w:r w:rsidRPr="00624207">
        <w:rPr>
          <w:lang w:val="fr-FR"/>
        </w:rPr>
        <w:t>GE III, comme c</w:t>
      </w:r>
      <w:r>
        <w:rPr>
          <w:lang w:val="fr-FR"/>
        </w:rPr>
        <w:t>’</w:t>
      </w:r>
      <w:r w:rsidRPr="00624207">
        <w:rPr>
          <w:lang w:val="fr-FR"/>
        </w:rPr>
        <w:t>est le cas actuellement.</w:t>
      </w:r>
    </w:p>
    <w:p w14:paraId="7C053D20" w14:textId="2D23967A" w:rsidR="007101CE" w:rsidRPr="00624207" w:rsidRDefault="007101CE" w:rsidP="002C5DD6">
      <w:pPr>
        <w:pStyle w:val="SingleTxtG"/>
        <w:ind w:firstLine="567"/>
        <w:rPr>
          <w:lang w:val="fr-FR"/>
        </w:rPr>
      </w:pPr>
      <w:r w:rsidRPr="00624207">
        <w:rPr>
          <w:lang w:val="fr-FR"/>
        </w:rPr>
        <w:t>L</w:t>
      </w:r>
      <w:r>
        <w:rPr>
          <w:lang w:val="fr-FR"/>
        </w:rPr>
        <w:t>’</w:t>
      </w:r>
      <w:r w:rsidRPr="00624207">
        <w:rPr>
          <w:lang w:val="fr-FR"/>
        </w:rPr>
        <w:t xml:space="preserve">option 2 serait </w:t>
      </w:r>
      <w:r>
        <w:rPr>
          <w:lang w:val="fr-FR"/>
        </w:rPr>
        <w:t>identique</w:t>
      </w:r>
      <w:r w:rsidRPr="00624207">
        <w:rPr>
          <w:lang w:val="fr-FR"/>
        </w:rPr>
        <w:t xml:space="preserve"> à l</w:t>
      </w:r>
      <w:r>
        <w:rPr>
          <w:lang w:val="fr-FR"/>
        </w:rPr>
        <w:t>’</w:t>
      </w:r>
      <w:r w:rsidRPr="00624207">
        <w:rPr>
          <w:lang w:val="fr-FR"/>
        </w:rPr>
        <w:t xml:space="preserve">option 1, </w:t>
      </w:r>
      <w:r>
        <w:rPr>
          <w:lang w:val="fr-FR"/>
        </w:rPr>
        <w:t xml:space="preserve">mais </w:t>
      </w:r>
      <w:r w:rsidRPr="00624207">
        <w:rPr>
          <w:lang w:val="fr-FR"/>
        </w:rPr>
        <w:t>elle ne prévoirait pas de limites de concentration.</w:t>
      </w:r>
    </w:p>
    <w:p w14:paraId="7006F473" w14:textId="3403633E" w:rsidR="007101CE" w:rsidRPr="00624207" w:rsidRDefault="007101CE" w:rsidP="002C5DD6">
      <w:pPr>
        <w:pStyle w:val="SingleTxtG"/>
        <w:keepNext/>
        <w:rPr>
          <w:lang w:val="fr-FR"/>
        </w:rPr>
      </w:pPr>
      <w:r w:rsidRPr="00624207">
        <w:rPr>
          <w:lang w:val="fr-FR"/>
        </w:rPr>
        <w:t>6.</w:t>
      </w:r>
      <w:r w:rsidRPr="00624207">
        <w:rPr>
          <w:lang w:val="fr-FR"/>
        </w:rPr>
        <w:tab/>
        <w:t xml:space="preserve">Le Cefic et le DGAC, ainsi que la plupart des membres du Sous-Comité, </w:t>
      </w:r>
      <w:r>
        <w:rPr>
          <w:lang w:val="fr-FR"/>
        </w:rPr>
        <w:t>estimaient</w:t>
      </w:r>
      <w:r w:rsidRPr="00624207">
        <w:rPr>
          <w:lang w:val="fr-FR"/>
        </w:rPr>
        <w:t xml:space="preserve"> que les incidents </w:t>
      </w:r>
      <w:r>
        <w:rPr>
          <w:lang w:val="fr-FR"/>
        </w:rPr>
        <w:t xml:space="preserve">ayant donné lieu à des </w:t>
      </w:r>
      <w:r w:rsidRPr="00624207">
        <w:rPr>
          <w:lang w:val="fr-FR"/>
        </w:rPr>
        <w:t>effets connus sur l</w:t>
      </w:r>
      <w:r>
        <w:rPr>
          <w:lang w:val="fr-FR"/>
        </w:rPr>
        <w:t>’</w:t>
      </w:r>
      <w:r w:rsidRPr="00624207">
        <w:rPr>
          <w:lang w:val="fr-FR"/>
        </w:rPr>
        <w:t>homme justifiaient l</w:t>
      </w:r>
      <w:r>
        <w:rPr>
          <w:lang w:val="fr-FR"/>
        </w:rPr>
        <w:t>’</w:t>
      </w:r>
      <w:r w:rsidRPr="00624207">
        <w:rPr>
          <w:lang w:val="fr-FR"/>
        </w:rPr>
        <w:t xml:space="preserve">ajout de la division 6.1 </w:t>
      </w:r>
      <w:r>
        <w:rPr>
          <w:lang w:val="fr-FR"/>
        </w:rPr>
        <w:t xml:space="preserve">comme </w:t>
      </w:r>
      <w:r w:rsidRPr="00624207">
        <w:rPr>
          <w:lang w:val="fr-FR"/>
        </w:rPr>
        <w:t xml:space="preserve">classement supplémentaire pour cette matière et pour </w:t>
      </w:r>
      <w:r>
        <w:rPr>
          <w:lang w:val="fr-FR"/>
        </w:rPr>
        <w:t>s</w:t>
      </w:r>
      <w:r w:rsidRPr="00624207">
        <w:rPr>
          <w:lang w:val="fr-FR"/>
        </w:rPr>
        <w:t xml:space="preserve">es solutions </w:t>
      </w:r>
      <w:r>
        <w:rPr>
          <w:lang w:val="fr-FR"/>
        </w:rPr>
        <w:t xml:space="preserve">i </w:t>
      </w:r>
      <w:r w:rsidRPr="00624207">
        <w:rPr>
          <w:lang w:val="fr-FR"/>
        </w:rPr>
        <w:t xml:space="preserve">en concentration plus élevée. Toutefois, </w:t>
      </w:r>
      <w:r>
        <w:rPr>
          <w:lang w:val="fr-FR"/>
        </w:rPr>
        <w:t>on a fait observer</w:t>
      </w:r>
      <w:r w:rsidR="002C5DD6">
        <w:rPr>
          <w:lang w:val="fr-FR"/>
        </w:rPr>
        <w:t> </w:t>
      </w:r>
      <w:r w:rsidRPr="00624207">
        <w:rPr>
          <w:lang w:val="fr-FR"/>
        </w:rPr>
        <w:t xml:space="preserve">: </w:t>
      </w:r>
    </w:p>
    <w:p w14:paraId="55DCDB7C" w14:textId="77777777" w:rsidR="007101CE" w:rsidRPr="002C5DD6" w:rsidRDefault="007101CE" w:rsidP="007101CE">
      <w:pPr>
        <w:pStyle w:val="Bullet1G"/>
        <w:numPr>
          <w:ilvl w:val="0"/>
          <w:numId w:val="24"/>
        </w:numPr>
      </w:pPr>
      <w:r>
        <w:rPr>
          <w:lang w:val="fr-FR"/>
        </w:rPr>
        <w:t>Qu’</w:t>
      </w:r>
      <w:r w:rsidRPr="00624207">
        <w:rPr>
          <w:lang w:val="fr-FR"/>
        </w:rPr>
        <w:t>il est difficile d</w:t>
      </w:r>
      <w:r>
        <w:rPr>
          <w:lang w:val="fr-FR"/>
        </w:rPr>
        <w:t>’</w:t>
      </w:r>
      <w:r w:rsidRPr="00624207">
        <w:rPr>
          <w:lang w:val="fr-FR"/>
        </w:rPr>
        <w:t>affecter</w:t>
      </w:r>
      <w:r w:rsidRPr="00624207">
        <w:rPr>
          <w:b/>
          <w:bCs/>
          <w:lang w:val="fr-FR"/>
        </w:rPr>
        <w:t xml:space="preserve"> </w:t>
      </w:r>
      <w:r w:rsidRPr="00624207">
        <w:rPr>
          <w:lang w:val="fr-FR"/>
        </w:rPr>
        <w:t>une matière</w:t>
      </w:r>
      <w:r w:rsidRPr="00624207">
        <w:rPr>
          <w:b/>
          <w:bCs/>
          <w:lang w:val="fr-FR"/>
        </w:rPr>
        <w:t xml:space="preserve"> </w:t>
      </w:r>
      <w:r w:rsidRPr="00624207">
        <w:rPr>
          <w:lang w:val="fr-FR"/>
        </w:rPr>
        <w:t>à</w:t>
      </w:r>
      <w:r w:rsidRPr="002C5DD6">
        <w:rPr>
          <w:lang w:val="fr-FR"/>
        </w:rPr>
        <w:t xml:space="preserve"> </w:t>
      </w:r>
      <w:r w:rsidRPr="00624207">
        <w:rPr>
          <w:lang w:val="fr-FR"/>
        </w:rPr>
        <w:t>un groupe d</w:t>
      </w:r>
      <w:r>
        <w:rPr>
          <w:lang w:val="fr-FR"/>
        </w:rPr>
        <w:t>’</w:t>
      </w:r>
      <w:r w:rsidRPr="00624207">
        <w:rPr>
          <w:lang w:val="fr-FR"/>
        </w:rPr>
        <w:t>emballage en se fondant uniquement sur les effets connus sur l</w:t>
      </w:r>
      <w:r>
        <w:rPr>
          <w:lang w:val="fr-FR"/>
        </w:rPr>
        <w:t>’</w:t>
      </w:r>
      <w:r w:rsidRPr="00624207">
        <w:rPr>
          <w:lang w:val="fr-FR"/>
        </w:rPr>
        <w:t>homme</w:t>
      </w:r>
      <w:r>
        <w:rPr>
          <w:lang w:val="fr-FR"/>
        </w:rPr>
        <w:t> </w:t>
      </w:r>
      <w:r w:rsidRPr="002C5DD6">
        <w:t>;</w:t>
      </w:r>
    </w:p>
    <w:p w14:paraId="14DCF9B1" w14:textId="77777777" w:rsidR="007101CE" w:rsidRPr="002C5DD6" w:rsidRDefault="007101CE" w:rsidP="002C5DD6">
      <w:pPr>
        <w:pStyle w:val="Bullet1G"/>
      </w:pPr>
      <w:r>
        <w:rPr>
          <w:lang w:val="fr-FR"/>
        </w:rPr>
        <w:t xml:space="preserve">Que selon </w:t>
      </w:r>
      <w:r w:rsidRPr="00624207">
        <w:rPr>
          <w:lang w:val="fr-FR"/>
        </w:rPr>
        <w:t xml:space="preserve">les données disponibles concernant les animaux les solutions </w:t>
      </w:r>
      <w:r w:rsidRPr="002C5DD6">
        <w:t>aqueuses contenant moins de 25 % de TMAH devraient être affectées au GE II et non au GE I ;</w:t>
      </w:r>
    </w:p>
    <w:p w14:paraId="7C63C660" w14:textId="77777777" w:rsidR="007101CE" w:rsidRPr="002C5DD6" w:rsidRDefault="007101CE" w:rsidP="002C5DD6">
      <w:pPr>
        <w:pStyle w:val="Bullet1G"/>
      </w:pPr>
      <w:r w:rsidRPr="002C5DD6">
        <w:t>Que la proposition visait à reclasser toutes les solutions contenant du TMAH en se fondant uniquement sur la concentration, sans prendre en considération la complexité de la préparation (c’est-à-dire sans tenir compte de la présence ou de l’absence d’autres composants) ;</w:t>
      </w:r>
    </w:p>
    <w:p w14:paraId="1ABE513B" w14:textId="6F4D5921" w:rsidR="007101CE" w:rsidRPr="00624207" w:rsidRDefault="007101CE" w:rsidP="007101CE">
      <w:pPr>
        <w:pStyle w:val="Bullet1G"/>
        <w:numPr>
          <w:ilvl w:val="0"/>
          <w:numId w:val="24"/>
        </w:numPr>
        <w:rPr>
          <w:lang w:val="fr-FR"/>
        </w:rPr>
      </w:pPr>
      <w:r>
        <w:rPr>
          <w:lang w:val="fr-FR"/>
        </w:rPr>
        <w:t xml:space="preserve">Que </w:t>
      </w:r>
      <w:r w:rsidRPr="00624207">
        <w:rPr>
          <w:lang w:val="fr-FR"/>
        </w:rPr>
        <w:t xml:space="preserve">la proposition visant à classer toutes les solutions de TMAH </w:t>
      </w:r>
      <w:r>
        <w:rPr>
          <w:lang w:val="fr-FR"/>
        </w:rPr>
        <w:t xml:space="preserve">en </w:t>
      </w:r>
      <w:r w:rsidRPr="00624207">
        <w:rPr>
          <w:lang w:val="fr-FR"/>
        </w:rPr>
        <w:t>concentration supérieure à 8,75</w:t>
      </w:r>
      <w:r w:rsidR="002C5DD6">
        <w:rPr>
          <w:lang w:val="fr-FR"/>
        </w:rPr>
        <w:t> </w:t>
      </w:r>
      <w:r w:rsidRPr="00624207">
        <w:rPr>
          <w:lang w:val="fr-FR"/>
        </w:rPr>
        <w:t>% était fondée sur un incident</w:t>
      </w:r>
      <w:r>
        <w:rPr>
          <w:lang w:val="fr-FR"/>
        </w:rPr>
        <w:t xml:space="preserve"> </w:t>
      </w:r>
      <w:r w:rsidRPr="00B93727">
        <w:rPr>
          <w:lang w:val="fr-FR"/>
        </w:rPr>
        <w:t xml:space="preserve">aux conséquences </w:t>
      </w:r>
      <w:r>
        <w:rPr>
          <w:lang w:val="fr-FR"/>
        </w:rPr>
        <w:t>certes tragiques, mais isolé, où il y avait eu</w:t>
      </w:r>
      <w:r w:rsidRPr="00624207">
        <w:rPr>
          <w:lang w:val="fr-FR"/>
        </w:rPr>
        <w:t xml:space="preserve"> exposition à une préparation complexe contenant plusieurs produits chimiques, notamment un agent tensioactif (</w:t>
      </w:r>
      <w:r>
        <w:rPr>
          <w:lang w:val="fr-FR"/>
        </w:rPr>
        <w:t xml:space="preserve">dans ce cas </w:t>
      </w:r>
      <w:r w:rsidRPr="00624207">
        <w:rPr>
          <w:lang w:val="fr-FR"/>
        </w:rPr>
        <w:t xml:space="preserve">utilisé pour accroître </w:t>
      </w:r>
      <w:r w:rsidRPr="00624207">
        <w:rPr>
          <w:lang w:val="fr-FR"/>
        </w:rPr>
        <w:lastRenderedPageBreak/>
        <w:t>l</w:t>
      </w:r>
      <w:r>
        <w:rPr>
          <w:lang w:val="fr-FR"/>
        </w:rPr>
        <w:t>’</w:t>
      </w:r>
      <w:r w:rsidRPr="00624207">
        <w:rPr>
          <w:lang w:val="fr-FR"/>
        </w:rPr>
        <w:t>efficacité de médicaments agissant par voie cutanée) en concentration encore plus élevée que le TMAH</w:t>
      </w:r>
      <w:r>
        <w:rPr>
          <w:lang w:val="fr-FR"/>
        </w:rPr>
        <w:t> ;</w:t>
      </w:r>
    </w:p>
    <w:p w14:paraId="123EFDC2" w14:textId="003CD13E" w:rsidR="007101CE" w:rsidRPr="00624207" w:rsidRDefault="007101CE" w:rsidP="007101CE">
      <w:pPr>
        <w:pStyle w:val="Bullet1G"/>
        <w:numPr>
          <w:ilvl w:val="0"/>
          <w:numId w:val="24"/>
        </w:numPr>
        <w:rPr>
          <w:lang w:val="fr-FR"/>
        </w:rPr>
      </w:pPr>
      <w:r>
        <w:rPr>
          <w:lang w:val="fr-FR"/>
        </w:rPr>
        <w:t xml:space="preserve">Que </w:t>
      </w:r>
      <w:r w:rsidRPr="00624207">
        <w:rPr>
          <w:lang w:val="fr-FR"/>
        </w:rPr>
        <w:t xml:space="preserve">le reclassement des solutions aqueuses de TMAH </w:t>
      </w:r>
      <w:r>
        <w:rPr>
          <w:lang w:val="fr-FR"/>
        </w:rPr>
        <w:t>visant à les affecter a</w:t>
      </w:r>
      <w:r w:rsidRPr="00624207">
        <w:rPr>
          <w:lang w:val="fr-FR"/>
        </w:rPr>
        <w:t xml:space="preserve">u GE I </w:t>
      </w:r>
      <w:r>
        <w:rPr>
          <w:lang w:val="fr-FR"/>
        </w:rPr>
        <w:t xml:space="preserve">au lieu du </w:t>
      </w:r>
      <w:r w:rsidRPr="00B905B2">
        <w:rPr>
          <w:lang w:val="fr-FR"/>
        </w:rPr>
        <w:t xml:space="preserve">GE II </w:t>
      </w:r>
      <w:proofErr w:type="gramStart"/>
      <w:r w:rsidRPr="00624207">
        <w:rPr>
          <w:lang w:val="fr-FR"/>
        </w:rPr>
        <w:t>aurait</w:t>
      </w:r>
      <w:proofErr w:type="gramEnd"/>
      <w:r w:rsidRPr="00624207">
        <w:rPr>
          <w:lang w:val="fr-FR"/>
        </w:rPr>
        <w:t xml:space="preserve"> des conséquences importantes pour leur transport, notamment l</w:t>
      </w:r>
      <w:r>
        <w:rPr>
          <w:lang w:val="fr-FR"/>
        </w:rPr>
        <w:t>’</w:t>
      </w:r>
      <w:r w:rsidRPr="00624207">
        <w:rPr>
          <w:lang w:val="fr-FR"/>
        </w:rPr>
        <w:t>interdiction d</w:t>
      </w:r>
      <w:r>
        <w:rPr>
          <w:lang w:val="fr-FR"/>
        </w:rPr>
        <w:t>’</w:t>
      </w:r>
      <w:r w:rsidRPr="00624207">
        <w:rPr>
          <w:lang w:val="fr-FR"/>
        </w:rPr>
        <w:t xml:space="preserve">utiliser des GRV, </w:t>
      </w:r>
      <w:r>
        <w:rPr>
          <w:lang w:val="fr-FR"/>
        </w:rPr>
        <w:t xml:space="preserve">alors qu’il s’agit </w:t>
      </w:r>
      <w:r w:rsidRPr="00624207">
        <w:rPr>
          <w:lang w:val="fr-FR"/>
        </w:rPr>
        <w:t xml:space="preserve">actuellement </w:t>
      </w:r>
      <w:r>
        <w:rPr>
          <w:lang w:val="fr-FR"/>
        </w:rPr>
        <w:t xml:space="preserve">du </w:t>
      </w:r>
      <w:r w:rsidRPr="00624207">
        <w:rPr>
          <w:lang w:val="fr-FR"/>
        </w:rPr>
        <w:t>type d</w:t>
      </w:r>
      <w:r>
        <w:rPr>
          <w:lang w:val="fr-FR"/>
        </w:rPr>
        <w:t>’</w:t>
      </w:r>
      <w:r w:rsidRPr="00624207">
        <w:rPr>
          <w:lang w:val="fr-FR"/>
        </w:rPr>
        <w:t>emballage le plus</w:t>
      </w:r>
      <w:r w:rsidRPr="00673A33">
        <w:rPr>
          <w:lang w:val="fr-FR"/>
        </w:rPr>
        <w:t xml:space="preserve"> </w:t>
      </w:r>
      <w:r w:rsidRPr="00624207">
        <w:rPr>
          <w:lang w:val="fr-FR"/>
        </w:rPr>
        <w:t>coura</w:t>
      </w:r>
      <w:r>
        <w:rPr>
          <w:lang w:val="fr-FR"/>
        </w:rPr>
        <w:t>nt.</w:t>
      </w:r>
    </w:p>
    <w:p w14:paraId="1599AD3B" w14:textId="3833F69D" w:rsidR="007101CE" w:rsidRPr="00624207" w:rsidRDefault="007101CE" w:rsidP="007101CE">
      <w:pPr>
        <w:pStyle w:val="SingleTxtG"/>
        <w:rPr>
          <w:lang w:val="fr-FR"/>
        </w:rPr>
      </w:pPr>
      <w:r>
        <w:rPr>
          <w:lang w:val="fr-FR"/>
        </w:rPr>
        <w:t>L</w:t>
      </w:r>
      <w:r w:rsidRPr="00624207">
        <w:rPr>
          <w:lang w:val="fr-FR"/>
        </w:rPr>
        <w:t>e Cefic et le DGAC ont soumis le document informel INF.22 (soixantième session)</w:t>
      </w:r>
      <w:r>
        <w:rPr>
          <w:lang w:val="fr-FR"/>
        </w:rPr>
        <w:t>,</w:t>
      </w:r>
      <w:r w:rsidRPr="00624207">
        <w:rPr>
          <w:lang w:val="fr-FR"/>
        </w:rPr>
        <w:t xml:space="preserve"> dans lequel il</w:t>
      </w:r>
      <w:r>
        <w:rPr>
          <w:lang w:val="fr-FR"/>
        </w:rPr>
        <w:t>s</w:t>
      </w:r>
      <w:r w:rsidRPr="00624207">
        <w:rPr>
          <w:lang w:val="fr-FR"/>
        </w:rPr>
        <w:t xml:space="preserve"> </w:t>
      </w:r>
      <w:r>
        <w:rPr>
          <w:lang w:val="fr-FR"/>
        </w:rPr>
        <w:t xml:space="preserve">font observer </w:t>
      </w:r>
      <w:r w:rsidRPr="00624207">
        <w:rPr>
          <w:lang w:val="fr-FR"/>
        </w:rPr>
        <w:t>qu</w:t>
      </w:r>
      <w:r>
        <w:rPr>
          <w:lang w:val="fr-FR"/>
        </w:rPr>
        <w:t>’</w:t>
      </w:r>
      <w:r w:rsidRPr="00624207">
        <w:rPr>
          <w:lang w:val="fr-FR"/>
        </w:rPr>
        <w:t>il est nécessaire</w:t>
      </w:r>
      <w:r>
        <w:rPr>
          <w:lang w:val="fr-FR"/>
        </w:rPr>
        <w:t>,</w:t>
      </w:r>
      <w:r w:rsidRPr="00624207">
        <w:rPr>
          <w:lang w:val="fr-FR"/>
        </w:rPr>
        <w:t xml:space="preserve"> avant de prendre une décision </w:t>
      </w:r>
      <w:r>
        <w:rPr>
          <w:lang w:val="fr-FR"/>
        </w:rPr>
        <w:t>dé</w:t>
      </w:r>
      <w:r w:rsidRPr="00624207">
        <w:rPr>
          <w:lang w:val="fr-FR"/>
        </w:rPr>
        <w:t>fin</w:t>
      </w:r>
      <w:r>
        <w:rPr>
          <w:lang w:val="fr-FR"/>
        </w:rPr>
        <w:t xml:space="preserve">itive </w:t>
      </w:r>
      <w:r w:rsidRPr="00624207">
        <w:rPr>
          <w:lang w:val="fr-FR"/>
        </w:rPr>
        <w:t>concernant les affectations à</w:t>
      </w:r>
      <w:r w:rsidRPr="002C5DD6">
        <w:rPr>
          <w:lang w:val="fr-FR"/>
        </w:rPr>
        <w:t xml:space="preserve"> </w:t>
      </w:r>
      <w:r w:rsidRPr="00624207">
        <w:rPr>
          <w:lang w:val="fr-FR"/>
        </w:rPr>
        <w:t>des groupes d</w:t>
      </w:r>
      <w:r>
        <w:rPr>
          <w:lang w:val="fr-FR"/>
        </w:rPr>
        <w:t>’</w:t>
      </w:r>
      <w:r w:rsidRPr="00624207">
        <w:rPr>
          <w:lang w:val="fr-FR"/>
        </w:rPr>
        <w:t>emballage</w:t>
      </w:r>
      <w:r>
        <w:rPr>
          <w:lang w:val="fr-FR"/>
        </w:rPr>
        <w:t>,</w:t>
      </w:r>
      <w:r w:rsidRPr="00624207">
        <w:rPr>
          <w:lang w:val="fr-FR"/>
        </w:rPr>
        <w:t xml:space="preserve"> de procéder à un examen minutieux des données disponibles</w:t>
      </w:r>
      <w:r>
        <w:rPr>
          <w:lang w:val="fr-FR"/>
        </w:rPr>
        <w:t>, et se portent volontaires pour cela</w:t>
      </w:r>
      <w:r w:rsidRPr="00624207">
        <w:rPr>
          <w:lang w:val="fr-FR"/>
        </w:rPr>
        <w:t>. Le Sous-Comité a accueilli favorablement la proposition d</w:t>
      </w:r>
      <w:r>
        <w:rPr>
          <w:lang w:val="fr-FR"/>
        </w:rPr>
        <w:t>’</w:t>
      </w:r>
      <w:r w:rsidRPr="00624207">
        <w:rPr>
          <w:lang w:val="fr-FR"/>
        </w:rPr>
        <w:t>examiner les données</w:t>
      </w:r>
      <w:r>
        <w:rPr>
          <w:lang w:val="fr-FR"/>
        </w:rPr>
        <w:t xml:space="preserve"> concernées</w:t>
      </w:r>
      <w:r w:rsidRPr="00624207">
        <w:rPr>
          <w:lang w:val="fr-FR"/>
        </w:rPr>
        <w:t xml:space="preserve"> et l</w:t>
      </w:r>
      <w:r>
        <w:rPr>
          <w:lang w:val="fr-FR"/>
        </w:rPr>
        <w:t>’</w:t>
      </w:r>
      <w:r w:rsidRPr="00624207">
        <w:rPr>
          <w:lang w:val="fr-FR"/>
        </w:rPr>
        <w:t>expert des Pays-</w:t>
      </w:r>
      <w:r w:rsidRPr="00045B1D">
        <w:rPr>
          <w:lang w:val="fr-FR"/>
        </w:rPr>
        <w:t>Bas s</w:t>
      </w:r>
      <w:r>
        <w:rPr>
          <w:lang w:val="fr-FR"/>
        </w:rPr>
        <w:t>’</w:t>
      </w:r>
      <w:r w:rsidRPr="00045B1D">
        <w:rPr>
          <w:lang w:val="fr-FR"/>
        </w:rPr>
        <w:t>est dit prêt à soumettre</w:t>
      </w:r>
      <w:r>
        <w:rPr>
          <w:lang w:val="fr-FR"/>
        </w:rPr>
        <w:t>,</w:t>
      </w:r>
      <w:r w:rsidRPr="00045B1D">
        <w:rPr>
          <w:lang w:val="fr-FR"/>
        </w:rPr>
        <w:t xml:space="preserve"> en vue de la prochaine session</w:t>
      </w:r>
      <w:r>
        <w:rPr>
          <w:lang w:val="fr-FR"/>
        </w:rPr>
        <w:t>,</w:t>
      </w:r>
      <w:r w:rsidRPr="00045B1D">
        <w:rPr>
          <w:lang w:val="fr-FR"/>
        </w:rPr>
        <w:t xml:space="preserve"> une proposition révisée tenant compte des observations reçues</w:t>
      </w:r>
      <w:r w:rsidRPr="00624207">
        <w:rPr>
          <w:lang w:val="fr-FR"/>
        </w:rPr>
        <w:t>.</w:t>
      </w:r>
    </w:p>
    <w:p w14:paraId="43977B49" w14:textId="4B027FB4" w:rsidR="007101CE" w:rsidRPr="00624207" w:rsidRDefault="007101CE" w:rsidP="007101CE">
      <w:pPr>
        <w:pStyle w:val="SingleTxtG"/>
        <w:rPr>
          <w:rFonts w:asciiTheme="minorHAnsi" w:eastAsiaTheme="minorEastAsia" w:hAnsiTheme="minorHAnsi" w:cstheme="minorBidi"/>
          <w:lang w:val="fr-FR"/>
        </w:rPr>
      </w:pPr>
      <w:r w:rsidRPr="00624207">
        <w:rPr>
          <w:lang w:val="fr-FR"/>
        </w:rPr>
        <w:t>7.</w:t>
      </w:r>
      <w:r w:rsidRPr="00624207">
        <w:rPr>
          <w:lang w:val="fr-FR"/>
        </w:rPr>
        <w:tab/>
        <w:t xml:space="preserve">Les </w:t>
      </w:r>
      <w:r>
        <w:rPr>
          <w:lang w:val="fr-FR"/>
        </w:rPr>
        <w:t>professionnels</w:t>
      </w:r>
      <w:r w:rsidRPr="00624207">
        <w:rPr>
          <w:lang w:val="fr-FR"/>
        </w:rPr>
        <w:t xml:space="preserve"> concernés ont procédé à cet examen des données</w:t>
      </w:r>
      <w:r>
        <w:rPr>
          <w:lang w:val="fr-FR"/>
        </w:rPr>
        <w:t>,</w:t>
      </w:r>
      <w:r w:rsidRPr="00624207">
        <w:rPr>
          <w:lang w:val="fr-FR"/>
        </w:rPr>
        <w:t xml:space="preserve"> comme ils s</w:t>
      </w:r>
      <w:r>
        <w:rPr>
          <w:lang w:val="fr-FR"/>
        </w:rPr>
        <w:t>’</w:t>
      </w:r>
      <w:r w:rsidRPr="00624207">
        <w:rPr>
          <w:lang w:val="fr-FR"/>
        </w:rPr>
        <w:t>y</w:t>
      </w:r>
      <w:r w:rsidR="002C5DD6">
        <w:rPr>
          <w:lang w:val="fr-FR"/>
        </w:rPr>
        <w:t> </w:t>
      </w:r>
      <w:r w:rsidRPr="00624207">
        <w:rPr>
          <w:lang w:val="fr-FR"/>
        </w:rPr>
        <w:t>étaient engagés. Diverses études et sources d</w:t>
      </w:r>
      <w:r>
        <w:rPr>
          <w:lang w:val="fr-FR"/>
        </w:rPr>
        <w:t>’</w:t>
      </w:r>
      <w:r w:rsidRPr="00624207">
        <w:rPr>
          <w:lang w:val="fr-FR"/>
        </w:rPr>
        <w:t xml:space="preserve">information ont été évaluées. Un rapport global a été établi par Industrial Health and Safety Consultants (IHSC, LLC) et une étude complète </w:t>
      </w:r>
      <w:r>
        <w:rPr>
          <w:lang w:val="fr-FR"/>
        </w:rPr>
        <w:t xml:space="preserve">du problème survenu </w:t>
      </w:r>
      <w:r w:rsidRPr="00624207">
        <w:rPr>
          <w:lang w:val="fr-FR"/>
        </w:rPr>
        <w:t>avec la solution à 8,75</w:t>
      </w:r>
      <w:r w:rsidR="002C5DD6">
        <w:rPr>
          <w:lang w:val="fr-FR"/>
        </w:rPr>
        <w:t> </w:t>
      </w:r>
      <w:r w:rsidRPr="00624207">
        <w:rPr>
          <w:lang w:val="fr-FR"/>
        </w:rPr>
        <w:t xml:space="preserve">% a été réalisée par Charles River. Ces </w:t>
      </w:r>
      <w:proofErr w:type="gramStart"/>
      <w:r w:rsidRPr="00624207">
        <w:rPr>
          <w:lang w:val="fr-FR"/>
        </w:rPr>
        <w:t>deux</w:t>
      </w:r>
      <w:proofErr w:type="gramEnd"/>
      <w:r w:rsidRPr="00624207">
        <w:rPr>
          <w:lang w:val="fr-FR"/>
        </w:rPr>
        <w:t xml:space="preserve"> </w:t>
      </w:r>
      <w:r>
        <w:rPr>
          <w:lang w:val="fr-FR"/>
        </w:rPr>
        <w:t xml:space="preserve">documents </w:t>
      </w:r>
      <w:r w:rsidRPr="00624207">
        <w:rPr>
          <w:lang w:val="fr-FR"/>
        </w:rPr>
        <w:t>sont présentés respectivement dans les annexes</w:t>
      </w:r>
      <w:r w:rsidR="002C5DD6">
        <w:rPr>
          <w:lang w:val="fr-FR"/>
        </w:rPr>
        <w:t> </w:t>
      </w:r>
      <w:r w:rsidRPr="00624207">
        <w:rPr>
          <w:lang w:val="fr-FR"/>
        </w:rPr>
        <w:t>1 et 2 du présent document. En résumé, le Cefic et le DGAC estiment que les données disponibles justifient l</w:t>
      </w:r>
      <w:r>
        <w:rPr>
          <w:lang w:val="fr-FR"/>
        </w:rPr>
        <w:t>’</w:t>
      </w:r>
      <w:r w:rsidRPr="00624207">
        <w:rPr>
          <w:lang w:val="fr-FR"/>
        </w:rPr>
        <w:t>ajout de la division 6.1 dans le classement d</w:t>
      </w:r>
      <w:r>
        <w:rPr>
          <w:lang w:val="fr-FR"/>
        </w:rPr>
        <w:t>u</w:t>
      </w:r>
      <w:r w:rsidRPr="00624207">
        <w:rPr>
          <w:lang w:val="fr-FR"/>
        </w:rPr>
        <w:t xml:space="preserve"> </w:t>
      </w:r>
      <w:r w:rsidRPr="008522D5">
        <w:rPr>
          <w:lang w:val="fr-FR"/>
        </w:rPr>
        <w:t xml:space="preserve">TMAH </w:t>
      </w:r>
      <w:r w:rsidRPr="00624207">
        <w:rPr>
          <w:lang w:val="fr-FR"/>
        </w:rPr>
        <w:t>et d</w:t>
      </w:r>
      <w:r>
        <w:rPr>
          <w:lang w:val="fr-FR"/>
        </w:rPr>
        <w:t>’</w:t>
      </w:r>
      <w:r w:rsidRPr="00624207">
        <w:rPr>
          <w:lang w:val="fr-FR"/>
        </w:rPr>
        <w:t>un grand nombre de solutions</w:t>
      </w:r>
      <w:r>
        <w:rPr>
          <w:lang w:val="fr-FR"/>
        </w:rPr>
        <w:t xml:space="preserve"> de cette matière</w:t>
      </w:r>
      <w:r w:rsidRPr="00624207">
        <w:rPr>
          <w:lang w:val="fr-FR"/>
        </w:rPr>
        <w:t xml:space="preserve">, mais aussi que ces données </w:t>
      </w:r>
      <w:r>
        <w:rPr>
          <w:lang w:val="fr-FR"/>
        </w:rPr>
        <w:t>permett</w:t>
      </w:r>
      <w:r w:rsidRPr="00624207">
        <w:rPr>
          <w:lang w:val="fr-FR"/>
        </w:rPr>
        <w:t xml:space="preserve">ent </w:t>
      </w:r>
      <w:r>
        <w:rPr>
          <w:lang w:val="fr-FR"/>
        </w:rPr>
        <w:t xml:space="preserve">de conclure </w:t>
      </w:r>
      <w:r w:rsidRPr="00624207">
        <w:rPr>
          <w:lang w:val="fr-FR"/>
        </w:rPr>
        <w:t>qu</w:t>
      </w:r>
      <w:r>
        <w:rPr>
          <w:lang w:val="fr-FR"/>
        </w:rPr>
        <w:t>’</w:t>
      </w:r>
      <w:r w:rsidRPr="00624207">
        <w:rPr>
          <w:lang w:val="fr-FR"/>
        </w:rPr>
        <w:t>il n</w:t>
      </w:r>
      <w:r>
        <w:rPr>
          <w:lang w:val="fr-FR"/>
        </w:rPr>
        <w:t>’</w:t>
      </w:r>
      <w:r w:rsidRPr="00624207">
        <w:rPr>
          <w:lang w:val="fr-FR"/>
        </w:rPr>
        <w:t xml:space="preserve">est pas possible de définir un ensemble unique de valeurs </w:t>
      </w:r>
      <w:r>
        <w:rPr>
          <w:lang w:val="fr-FR"/>
        </w:rPr>
        <w:t xml:space="preserve">seuil </w:t>
      </w:r>
      <w:r w:rsidRPr="00624207">
        <w:rPr>
          <w:lang w:val="fr-FR"/>
        </w:rPr>
        <w:t>pour déterminer le groupe d</w:t>
      </w:r>
      <w:r>
        <w:rPr>
          <w:lang w:val="fr-FR"/>
        </w:rPr>
        <w:t>’</w:t>
      </w:r>
      <w:r w:rsidRPr="00624207">
        <w:rPr>
          <w:lang w:val="fr-FR"/>
        </w:rPr>
        <w:t xml:space="preserve">emballage </w:t>
      </w:r>
      <w:r>
        <w:rPr>
          <w:lang w:val="fr-FR"/>
        </w:rPr>
        <w:t xml:space="preserve">à affecter à </w:t>
      </w:r>
      <w:r w:rsidRPr="00624207">
        <w:rPr>
          <w:lang w:val="fr-FR"/>
        </w:rPr>
        <w:t>chaque préparation contenant du TMAH. Ces conclusions concordent avec la méthode générale de classement présentée dans le Règlement type, qui consiste à classer un mélange en fonction de ses caractéristiques</w:t>
      </w:r>
      <w:r w:rsidRPr="002C5DD6">
        <w:rPr>
          <w:lang w:val="fr-FR"/>
        </w:rPr>
        <w:t>, plutôt que des caractéristiques des composants de ce mélange. Plus précisément, le Cefic et le DGAC estiment que les solutions aqueuses peuvent être classées de manière fiable en fonction de la concentration de TMAH dans l’eau, mais qu’une telle méthode ne convient pas</w:t>
      </w:r>
      <w:r w:rsidRPr="00624207">
        <w:rPr>
          <w:lang w:val="fr-FR"/>
        </w:rPr>
        <w:t xml:space="preserve"> pour les préparations plus complexes contenant du TMAH et d</w:t>
      </w:r>
      <w:r>
        <w:rPr>
          <w:lang w:val="fr-FR"/>
        </w:rPr>
        <w:t>’</w:t>
      </w:r>
      <w:r w:rsidRPr="00624207">
        <w:rPr>
          <w:lang w:val="fr-FR"/>
        </w:rPr>
        <w:t>autres composants. En résumé, les données disponibles justifient l</w:t>
      </w:r>
      <w:r>
        <w:rPr>
          <w:lang w:val="fr-FR"/>
        </w:rPr>
        <w:t>’</w:t>
      </w:r>
      <w:r w:rsidRPr="00624207">
        <w:rPr>
          <w:lang w:val="fr-FR"/>
        </w:rPr>
        <w:t xml:space="preserve">ajout de la division 6.1 dans le classement </w:t>
      </w:r>
      <w:r w:rsidRPr="00042C8B">
        <w:rPr>
          <w:lang w:val="fr-FR"/>
        </w:rPr>
        <w:t xml:space="preserve">du TMAH </w:t>
      </w:r>
      <w:r w:rsidRPr="00624207">
        <w:rPr>
          <w:lang w:val="fr-FR"/>
        </w:rPr>
        <w:t xml:space="preserve">et </w:t>
      </w:r>
      <w:r>
        <w:rPr>
          <w:lang w:val="fr-FR"/>
        </w:rPr>
        <w:t xml:space="preserve">de </w:t>
      </w:r>
      <w:r w:rsidRPr="00624207">
        <w:rPr>
          <w:lang w:val="fr-FR"/>
        </w:rPr>
        <w:t>la plupart des solutions</w:t>
      </w:r>
      <w:r>
        <w:rPr>
          <w:lang w:val="fr-FR"/>
        </w:rPr>
        <w:t xml:space="preserve"> de </w:t>
      </w:r>
      <w:r w:rsidRPr="00042C8B">
        <w:rPr>
          <w:lang w:val="fr-FR"/>
        </w:rPr>
        <w:t>cette matière</w:t>
      </w:r>
      <w:r w:rsidRPr="00624207">
        <w:rPr>
          <w:lang w:val="fr-FR"/>
        </w:rPr>
        <w:t>, mais ne justifient pas l</w:t>
      </w:r>
      <w:r>
        <w:rPr>
          <w:lang w:val="fr-FR"/>
        </w:rPr>
        <w:t>’</w:t>
      </w:r>
      <w:r w:rsidRPr="00624207">
        <w:rPr>
          <w:lang w:val="fr-FR"/>
        </w:rPr>
        <w:t>affectation au GE I des solutions aqueuses contenant moins de 25</w:t>
      </w:r>
      <w:r w:rsidR="002C5DD6">
        <w:rPr>
          <w:lang w:val="fr-FR"/>
        </w:rPr>
        <w:t> </w:t>
      </w:r>
      <w:r w:rsidRPr="00624207">
        <w:rPr>
          <w:lang w:val="fr-FR"/>
        </w:rPr>
        <w:t>% de TMAH (voir annexe 1).</w:t>
      </w:r>
    </w:p>
    <w:p w14:paraId="25618AF8" w14:textId="40AC4C99" w:rsidR="007101CE" w:rsidRPr="00624207" w:rsidRDefault="007101CE" w:rsidP="00703A5A">
      <w:pPr>
        <w:pStyle w:val="HChG"/>
        <w:rPr>
          <w:lang w:val="fr-FR"/>
        </w:rPr>
      </w:pPr>
      <w:r w:rsidRPr="00624207">
        <w:rPr>
          <w:lang w:val="fr-FR"/>
        </w:rPr>
        <w:tab/>
        <w:t>III.</w:t>
      </w:r>
      <w:r w:rsidRPr="00624207">
        <w:rPr>
          <w:lang w:val="fr-FR"/>
        </w:rPr>
        <w:tab/>
        <w:t xml:space="preserve">Le classement </w:t>
      </w:r>
      <w:r>
        <w:rPr>
          <w:lang w:val="fr-FR"/>
        </w:rPr>
        <w:t>en fonction des</w:t>
      </w:r>
      <w:r w:rsidRPr="00624207">
        <w:rPr>
          <w:lang w:val="fr-FR"/>
        </w:rPr>
        <w:t xml:space="preserve"> effets connus </w:t>
      </w:r>
      <w:r w:rsidR="00703A5A">
        <w:rPr>
          <w:lang w:val="fr-FR"/>
        </w:rPr>
        <w:br/>
      </w:r>
      <w:r w:rsidRPr="00624207">
        <w:rPr>
          <w:lang w:val="fr-FR"/>
        </w:rPr>
        <w:t>sur l</w:t>
      </w:r>
      <w:r>
        <w:rPr>
          <w:lang w:val="fr-FR"/>
        </w:rPr>
        <w:t>’</w:t>
      </w:r>
      <w:r w:rsidRPr="00624207">
        <w:rPr>
          <w:lang w:val="fr-FR"/>
        </w:rPr>
        <w:t xml:space="preserve">homme doit être affiné </w:t>
      </w:r>
      <w:r>
        <w:rPr>
          <w:lang w:val="fr-FR"/>
        </w:rPr>
        <w:t xml:space="preserve">en utilisant </w:t>
      </w:r>
      <w:r w:rsidR="00703A5A">
        <w:rPr>
          <w:lang w:val="fr-FR"/>
        </w:rPr>
        <w:br/>
      </w:r>
      <w:r>
        <w:rPr>
          <w:lang w:val="fr-FR"/>
        </w:rPr>
        <w:t>l</w:t>
      </w:r>
      <w:r w:rsidRPr="00624207">
        <w:rPr>
          <w:lang w:val="fr-FR"/>
        </w:rPr>
        <w:t>es données relatives aux animaux</w:t>
      </w:r>
    </w:p>
    <w:p w14:paraId="2A1D11B4" w14:textId="77777777" w:rsidR="007101CE" w:rsidRPr="00624207" w:rsidRDefault="007101CE" w:rsidP="007101CE">
      <w:pPr>
        <w:pStyle w:val="SingleTxtG"/>
        <w:rPr>
          <w:lang w:val="fr-FR"/>
        </w:rPr>
      </w:pPr>
      <w:r w:rsidRPr="00624207">
        <w:rPr>
          <w:lang w:val="fr-FR"/>
        </w:rPr>
        <w:t>8.</w:t>
      </w:r>
      <w:r w:rsidRPr="00624207">
        <w:rPr>
          <w:lang w:val="fr-FR"/>
        </w:rPr>
        <w:tab/>
        <w:t>Un certain nombre de cas d</w:t>
      </w:r>
      <w:r>
        <w:rPr>
          <w:lang w:val="fr-FR"/>
        </w:rPr>
        <w:t>’</w:t>
      </w:r>
      <w:r w:rsidRPr="00624207">
        <w:rPr>
          <w:lang w:val="fr-FR"/>
        </w:rPr>
        <w:t xml:space="preserve">exposition de travailleurs au TMAH ont été signalés et des effets toxiques </w:t>
      </w:r>
      <w:r w:rsidRPr="00042C8B">
        <w:rPr>
          <w:lang w:val="fr-FR"/>
        </w:rPr>
        <w:t>d</w:t>
      </w:r>
      <w:r>
        <w:rPr>
          <w:lang w:val="fr-FR"/>
        </w:rPr>
        <w:t xml:space="preserve">e cette </w:t>
      </w:r>
      <w:r w:rsidRPr="00042C8B">
        <w:rPr>
          <w:lang w:val="fr-FR"/>
        </w:rPr>
        <w:t xml:space="preserve">exposition </w:t>
      </w:r>
      <w:r w:rsidRPr="00624207">
        <w:rPr>
          <w:lang w:val="fr-FR"/>
        </w:rPr>
        <w:t xml:space="preserve">ont été observés (voir le tableau 1 du document ST/SG/AC.10/C.3/2022/24). Ces </w:t>
      </w:r>
      <w:r>
        <w:rPr>
          <w:lang w:val="fr-FR"/>
        </w:rPr>
        <w:t xml:space="preserve">renseignements </w:t>
      </w:r>
      <w:r w:rsidRPr="00624207">
        <w:rPr>
          <w:lang w:val="fr-FR"/>
        </w:rPr>
        <w:t>appuient la conclusion selon laquelle le TMAH doit être classé, pour le transport, pour sa toxicité aiguë en plus de sa corrosivité.</w:t>
      </w:r>
    </w:p>
    <w:p w14:paraId="383CF66A" w14:textId="77777777" w:rsidR="007101CE" w:rsidRDefault="007101CE" w:rsidP="007101CE">
      <w:pPr>
        <w:pStyle w:val="SingleTxtG"/>
        <w:rPr>
          <w:lang w:val="fr-FR"/>
        </w:rPr>
      </w:pPr>
      <w:r w:rsidRPr="00624207">
        <w:rPr>
          <w:lang w:val="fr-FR"/>
        </w:rPr>
        <w:t>9.</w:t>
      </w:r>
      <w:r w:rsidRPr="00624207">
        <w:rPr>
          <w:lang w:val="fr-FR"/>
        </w:rPr>
        <w:tab/>
        <w:t>Si l</w:t>
      </w:r>
      <w:r>
        <w:rPr>
          <w:lang w:val="fr-FR"/>
        </w:rPr>
        <w:t>’</w:t>
      </w:r>
      <w:r w:rsidRPr="00624207">
        <w:rPr>
          <w:lang w:val="fr-FR"/>
        </w:rPr>
        <w:t>action accidentelle</w:t>
      </w:r>
      <w:r w:rsidRPr="00624207">
        <w:rPr>
          <w:b/>
          <w:bCs/>
          <w:lang w:val="fr-FR"/>
        </w:rPr>
        <w:t xml:space="preserve"> </w:t>
      </w:r>
      <w:r w:rsidRPr="00624207">
        <w:rPr>
          <w:lang w:val="fr-FR"/>
        </w:rPr>
        <w:t>sur l</w:t>
      </w:r>
      <w:r>
        <w:rPr>
          <w:lang w:val="fr-FR"/>
        </w:rPr>
        <w:t>’</w:t>
      </w:r>
      <w:r w:rsidRPr="00624207">
        <w:rPr>
          <w:lang w:val="fr-FR"/>
        </w:rPr>
        <w:t xml:space="preserve">organisme humain peut certainement fournir des informations précieuses sur les dangers </w:t>
      </w:r>
      <w:r>
        <w:rPr>
          <w:lang w:val="fr-FR"/>
        </w:rPr>
        <w:t xml:space="preserve">liés aux </w:t>
      </w:r>
      <w:r w:rsidRPr="00624207">
        <w:rPr>
          <w:lang w:val="fr-FR"/>
        </w:rPr>
        <w:t>produits chimiques, il existe des limites inhérentes aux études d</w:t>
      </w:r>
      <w:r>
        <w:rPr>
          <w:lang w:val="fr-FR"/>
        </w:rPr>
        <w:t>’</w:t>
      </w:r>
      <w:r w:rsidRPr="00624207">
        <w:rPr>
          <w:lang w:val="fr-FR"/>
        </w:rPr>
        <w:t>observation rétrospectives concernant des incidents survenus dans des conditions non contrôlées. Comme indiqué dans une étude de Huang et al.</w:t>
      </w:r>
      <w:r w:rsidRPr="00624207">
        <w:rPr>
          <w:rStyle w:val="FootnoteReference"/>
          <w:lang w:val="fr-FR"/>
        </w:rPr>
        <w:footnoteReference w:customMarkFollows="1" w:id="3"/>
        <w:t>1</w:t>
      </w:r>
      <w:r w:rsidRPr="00624207">
        <w:rPr>
          <w:lang w:val="fr-FR"/>
        </w:rPr>
        <w:t xml:space="preserve">, </w:t>
      </w:r>
      <w:r>
        <w:rPr>
          <w:lang w:val="fr-FR"/>
        </w:rPr>
        <w:t xml:space="preserve">le </w:t>
      </w:r>
      <w:r w:rsidRPr="00624207">
        <w:rPr>
          <w:lang w:val="fr-FR"/>
        </w:rPr>
        <w:t xml:space="preserve">petit nombre de cas </w:t>
      </w:r>
      <w:r>
        <w:rPr>
          <w:lang w:val="fr-FR"/>
        </w:rPr>
        <w:t xml:space="preserve">mentionnés </w:t>
      </w:r>
      <w:r w:rsidRPr="00624207">
        <w:rPr>
          <w:lang w:val="fr-FR"/>
        </w:rPr>
        <w:t>dans des études rétrospectives ne permet pas d</w:t>
      </w:r>
      <w:r>
        <w:rPr>
          <w:lang w:val="fr-FR"/>
        </w:rPr>
        <w:t>’</w:t>
      </w:r>
      <w:r w:rsidRPr="00624207">
        <w:rPr>
          <w:lang w:val="fr-FR"/>
        </w:rPr>
        <w:t>évaluer avec précision la gravité de l</w:t>
      </w:r>
      <w:r>
        <w:rPr>
          <w:lang w:val="fr-FR"/>
        </w:rPr>
        <w:t>’</w:t>
      </w:r>
      <w:r w:rsidRPr="00624207">
        <w:rPr>
          <w:lang w:val="fr-FR"/>
        </w:rPr>
        <w:t>empoisonnement au TMAH. Par exemple, l</w:t>
      </w:r>
      <w:r>
        <w:rPr>
          <w:lang w:val="fr-FR"/>
        </w:rPr>
        <w:t xml:space="preserve">es </w:t>
      </w:r>
      <w:r w:rsidRPr="00624207">
        <w:rPr>
          <w:lang w:val="fr-FR"/>
        </w:rPr>
        <w:t xml:space="preserve">données </w:t>
      </w:r>
      <w:r>
        <w:rPr>
          <w:lang w:val="fr-FR"/>
        </w:rPr>
        <w:t xml:space="preserve">ont </w:t>
      </w:r>
      <w:r w:rsidRPr="00624207">
        <w:rPr>
          <w:lang w:val="fr-FR"/>
        </w:rPr>
        <w:t xml:space="preserve">souvent </w:t>
      </w:r>
      <w:r>
        <w:rPr>
          <w:lang w:val="fr-FR"/>
        </w:rPr>
        <w:t xml:space="preserve">été collectées dans le cadre </w:t>
      </w:r>
      <w:r w:rsidRPr="00624207">
        <w:rPr>
          <w:lang w:val="fr-FR"/>
        </w:rPr>
        <w:t xml:space="preserve">de consultations téléphoniques, ce qui, selon </w:t>
      </w:r>
      <w:r>
        <w:rPr>
          <w:lang w:val="fr-FR"/>
        </w:rPr>
        <w:t>les auteurs de cette étude</w:t>
      </w:r>
      <w:r w:rsidRPr="00624207">
        <w:rPr>
          <w:lang w:val="fr-FR"/>
        </w:rPr>
        <w:t xml:space="preserve">, </w:t>
      </w:r>
      <w:r>
        <w:rPr>
          <w:lang w:val="fr-FR"/>
        </w:rPr>
        <w:t xml:space="preserve">entraîne </w:t>
      </w:r>
      <w:r w:rsidRPr="00624207">
        <w:rPr>
          <w:lang w:val="fr-FR"/>
        </w:rPr>
        <w:t xml:space="preserve">probablement </w:t>
      </w:r>
      <w:r>
        <w:rPr>
          <w:lang w:val="fr-FR"/>
        </w:rPr>
        <w:t xml:space="preserve">la mention de variations plus importantes </w:t>
      </w:r>
      <w:r w:rsidRPr="00624207">
        <w:rPr>
          <w:lang w:val="fr-FR"/>
        </w:rPr>
        <w:t>entre les cas</w:t>
      </w:r>
      <w:r>
        <w:rPr>
          <w:lang w:val="fr-FR"/>
        </w:rPr>
        <w:t xml:space="preserve"> considérés.</w:t>
      </w:r>
    </w:p>
    <w:p w14:paraId="15C61A0D" w14:textId="34050C12" w:rsidR="007101CE" w:rsidRPr="00624207" w:rsidRDefault="007101CE" w:rsidP="007101CE">
      <w:pPr>
        <w:pStyle w:val="SingleTxtG"/>
        <w:rPr>
          <w:lang w:val="fr-FR"/>
        </w:rPr>
      </w:pPr>
      <w:r w:rsidRPr="00624207">
        <w:rPr>
          <w:lang w:val="fr-FR"/>
        </w:rPr>
        <w:lastRenderedPageBreak/>
        <w:t>10.</w:t>
      </w:r>
      <w:r w:rsidRPr="00624207">
        <w:rPr>
          <w:lang w:val="fr-FR"/>
        </w:rPr>
        <w:tab/>
        <w:t xml:space="preserve">Comme </w:t>
      </w:r>
      <w:r>
        <w:rPr>
          <w:lang w:val="fr-FR"/>
        </w:rPr>
        <w:t>le prévoit</w:t>
      </w:r>
      <w:r w:rsidRPr="00624207">
        <w:rPr>
          <w:lang w:val="fr-FR"/>
        </w:rPr>
        <w:t xml:space="preserve"> le Règlement type, lorsque </w:t>
      </w:r>
      <w:r>
        <w:rPr>
          <w:lang w:val="fr-FR"/>
        </w:rPr>
        <w:t xml:space="preserve">la </w:t>
      </w:r>
      <w:r w:rsidRPr="00624207">
        <w:rPr>
          <w:lang w:val="fr-FR"/>
        </w:rPr>
        <w:t xml:space="preserve">corrosivité </w:t>
      </w:r>
      <w:r>
        <w:rPr>
          <w:lang w:val="fr-FR"/>
        </w:rPr>
        <w:t>ou</w:t>
      </w:r>
      <w:r w:rsidRPr="00624207">
        <w:rPr>
          <w:lang w:val="fr-FR"/>
        </w:rPr>
        <w:t xml:space="preserve"> </w:t>
      </w:r>
      <w:r>
        <w:rPr>
          <w:lang w:val="fr-FR"/>
        </w:rPr>
        <w:t xml:space="preserve">la </w:t>
      </w:r>
      <w:r w:rsidRPr="00624207">
        <w:rPr>
          <w:lang w:val="fr-FR"/>
        </w:rPr>
        <w:t>toxicité</w:t>
      </w:r>
      <w:r>
        <w:rPr>
          <w:lang w:val="fr-FR"/>
        </w:rPr>
        <w:t xml:space="preserve"> d’une matière pour l’homme est connue</w:t>
      </w:r>
      <w:r w:rsidRPr="00624207">
        <w:rPr>
          <w:lang w:val="fr-FR"/>
        </w:rPr>
        <w:t xml:space="preserve">, la classe de danger correspondante doit </w:t>
      </w:r>
      <w:r>
        <w:rPr>
          <w:lang w:val="fr-FR"/>
        </w:rPr>
        <w:t xml:space="preserve">lui </w:t>
      </w:r>
      <w:r w:rsidRPr="00624207">
        <w:rPr>
          <w:lang w:val="fr-FR"/>
        </w:rPr>
        <w:t>être a</w:t>
      </w:r>
      <w:r>
        <w:rPr>
          <w:lang w:val="fr-FR"/>
        </w:rPr>
        <w:t xml:space="preserve">ffectée </w:t>
      </w:r>
      <w:r w:rsidRPr="00624207">
        <w:rPr>
          <w:lang w:val="fr-FR"/>
        </w:rPr>
        <w:t xml:space="preserve">en conséquence. Il est </w:t>
      </w:r>
      <w:r>
        <w:rPr>
          <w:lang w:val="fr-FR"/>
        </w:rPr>
        <w:t xml:space="preserve">cependant </w:t>
      </w:r>
      <w:r w:rsidRPr="00624207">
        <w:rPr>
          <w:lang w:val="fr-FR"/>
        </w:rPr>
        <w:t xml:space="preserve">beaucoup plus </w:t>
      </w:r>
      <w:r>
        <w:rPr>
          <w:lang w:val="fr-FR"/>
        </w:rPr>
        <w:t>difficile</w:t>
      </w:r>
      <w:r w:rsidRPr="00624207">
        <w:rPr>
          <w:lang w:val="fr-FR"/>
        </w:rPr>
        <w:t xml:space="preserve"> d</w:t>
      </w:r>
      <w:r>
        <w:rPr>
          <w:lang w:val="fr-FR"/>
        </w:rPr>
        <w:t>’</w:t>
      </w:r>
      <w:r w:rsidRPr="00624207">
        <w:rPr>
          <w:lang w:val="fr-FR"/>
        </w:rPr>
        <w:t>affecter une matière à un groupe d</w:t>
      </w:r>
      <w:r>
        <w:rPr>
          <w:lang w:val="fr-FR"/>
        </w:rPr>
        <w:t>’</w:t>
      </w:r>
      <w:r w:rsidRPr="00624207">
        <w:rPr>
          <w:lang w:val="fr-FR"/>
        </w:rPr>
        <w:t xml:space="preserve">emballage </w:t>
      </w:r>
      <w:r>
        <w:rPr>
          <w:lang w:val="fr-FR"/>
        </w:rPr>
        <w:t>de cette manière</w:t>
      </w:r>
      <w:r w:rsidRPr="00624207">
        <w:rPr>
          <w:lang w:val="fr-FR"/>
        </w:rPr>
        <w:t>. L</w:t>
      </w:r>
      <w:r>
        <w:rPr>
          <w:lang w:val="fr-FR"/>
        </w:rPr>
        <w:t>’</w:t>
      </w:r>
      <w:r w:rsidRPr="00624207">
        <w:rPr>
          <w:lang w:val="fr-FR"/>
        </w:rPr>
        <w:t xml:space="preserve">absence de critères permettant </w:t>
      </w:r>
      <w:r>
        <w:rPr>
          <w:lang w:val="fr-FR"/>
        </w:rPr>
        <w:t xml:space="preserve">de </w:t>
      </w:r>
      <w:r w:rsidRPr="00624207">
        <w:rPr>
          <w:lang w:val="fr-FR"/>
        </w:rPr>
        <w:t>classe</w:t>
      </w:r>
      <w:r>
        <w:rPr>
          <w:lang w:val="fr-FR"/>
        </w:rPr>
        <w:t>r une matière en fonction de</w:t>
      </w:r>
      <w:r w:rsidRPr="00624207">
        <w:rPr>
          <w:lang w:val="fr-FR"/>
        </w:rPr>
        <w:t xml:space="preserve"> </w:t>
      </w:r>
      <w:r>
        <w:rPr>
          <w:lang w:val="fr-FR"/>
        </w:rPr>
        <w:t>s</w:t>
      </w:r>
      <w:r w:rsidRPr="00624207">
        <w:rPr>
          <w:lang w:val="fr-FR"/>
        </w:rPr>
        <w:t>es effets connus sur l</w:t>
      </w:r>
      <w:r>
        <w:rPr>
          <w:lang w:val="fr-FR"/>
        </w:rPr>
        <w:t>’</w:t>
      </w:r>
      <w:r w:rsidRPr="00624207">
        <w:rPr>
          <w:lang w:val="fr-FR"/>
        </w:rPr>
        <w:t>homme, la variabilité de la durée d</w:t>
      </w:r>
      <w:r>
        <w:rPr>
          <w:lang w:val="fr-FR"/>
        </w:rPr>
        <w:t>’</w:t>
      </w:r>
      <w:r w:rsidRPr="00624207">
        <w:rPr>
          <w:lang w:val="fr-FR"/>
        </w:rPr>
        <w:t>exposition</w:t>
      </w:r>
      <w:r>
        <w:rPr>
          <w:lang w:val="fr-FR"/>
        </w:rPr>
        <w:t>,</w:t>
      </w:r>
      <w:r w:rsidRPr="00624207">
        <w:rPr>
          <w:lang w:val="fr-FR"/>
        </w:rPr>
        <w:t xml:space="preserve"> </w:t>
      </w:r>
      <w:r w:rsidRPr="001C7C72">
        <w:rPr>
          <w:lang w:val="fr-FR"/>
        </w:rPr>
        <w:t xml:space="preserve">la diversité </w:t>
      </w:r>
      <w:r w:rsidRPr="00624207">
        <w:rPr>
          <w:lang w:val="fr-FR"/>
        </w:rPr>
        <w:t xml:space="preserve">des signalements </w:t>
      </w:r>
      <w:r>
        <w:rPr>
          <w:lang w:val="fr-FR"/>
        </w:rPr>
        <w:t>concernant l</w:t>
      </w:r>
      <w:r w:rsidRPr="00624207">
        <w:rPr>
          <w:lang w:val="fr-FR"/>
        </w:rPr>
        <w:t>es incidents, la diversité des circonstances, l</w:t>
      </w:r>
      <w:r>
        <w:rPr>
          <w:lang w:val="fr-FR"/>
        </w:rPr>
        <w:t>a non</w:t>
      </w:r>
      <w:r w:rsidR="00703A5A">
        <w:rPr>
          <w:lang w:val="fr-FR"/>
        </w:rPr>
        <w:noBreakHyphen/>
      </w:r>
      <w:r w:rsidRPr="00624207">
        <w:rPr>
          <w:lang w:val="fr-FR"/>
        </w:rPr>
        <w:t>reproductibilité</w:t>
      </w:r>
      <w:r>
        <w:rPr>
          <w:lang w:val="fr-FR"/>
        </w:rPr>
        <w:t xml:space="preserve"> des faits</w:t>
      </w:r>
      <w:r w:rsidRPr="00624207">
        <w:rPr>
          <w:lang w:val="fr-FR"/>
        </w:rPr>
        <w:t>, ainsi que l</w:t>
      </w:r>
      <w:r>
        <w:rPr>
          <w:lang w:val="fr-FR"/>
        </w:rPr>
        <w:t>’</w:t>
      </w:r>
      <w:r w:rsidRPr="00624207">
        <w:rPr>
          <w:lang w:val="fr-FR"/>
        </w:rPr>
        <w:t xml:space="preserve">absence de contrôle des paramètres </w:t>
      </w:r>
      <w:r>
        <w:rPr>
          <w:lang w:val="fr-FR"/>
        </w:rPr>
        <w:t>dans les cas où</w:t>
      </w:r>
      <w:r w:rsidRPr="00624207">
        <w:rPr>
          <w:lang w:val="fr-FR"/>
        </w:rPr>
        <w:t xml:space="preserve"> </w:t>
      </w:r>
      <w:r>
        <w:rPr>
          <w:lang w:val="fr-FR"/>
        </w:rPr>
        <w:t xml:space="preserve">il a eu des incidences pour </w:t>
      </w:r>
      <w:r w:rsidRPr="00624207">
        <w:rPr>
          <w:lang w:val="fr-FR"/>
        </w:rPr>
        <w:t>l</w:t>
      </w:r>
      <w:r>
        <w:rPr>
          <w:lang w:val="fr-FR"/>
        </w:rPr>
        <w:t>’</w:t>
      </w:r>
      <w:r w:rsidRPr="00624207">
        <w:rPr>
          <w:lang w:val="fr-FR"/>
        </w:rPr>
        <w:t xml:space="preserve">organisme humain sont autant de raisons expliquant </w:t>
      </w:r>
      <w:r>
        <w:rPr>
          <w:lang w:val="fr-FR"/>
        </w:rPr>
        <w:t>la difficulté d’un</w:t>
      </w:r>
      <w:r w:rsidRPr="00624207">
        <w:rPr>
          <w:lang w:val="fr-FR"/>
        </w:rPr>
        <w:t xml:space="preserve"> classement </w:t>
      </w:r>
      <w:r>
        <w:rPr>
          <w:lang w:val="fr-FR"/>
        </w:rPr>
        <w:t>exhaustif ne reposant que sur les</w:t>
      </w:r>
      <w:r w:rsidRPr="00624207">
        <w:rPr>
          <w:lang w:val="fr-FR"/>
        </w:rPr>
        <w:t xml:space="preserve"> effets connus sur l</w:t>
      </w:r>
      <w:r>
        <w:rPr>
          <w:lang w:val="fr-FR"/>
        </w:rPr>
        <w:t>’</w:t>
      </w:r>
      <w:r w:rsidRPr="00624207">
        <w:rPr>
          <w:lang w:val="fr-FR"/>
        </w:rPr>
        <w:t xml:space="preserve">homme. </w:t>
      </w:r>
      <w:r>
        <w:rPr>
          <w:lang w:val="fr-FR"/>
        </w:rPr>
        <w:t>Il convient alors d’utiliser d</w:t>
      </w:r>
      <w:r w:rsidRPr="00624207">
        <w:rPr>
          <w:lang w:val="fr-FR"/>
        </w:rPr>
        <w:t xml:space="preserve">es données </w:t>
      </w:r>
      <w:r>
        <w:rPr>
          <w:lang w:val="fr-FR"/>
        </w:rPr>
        <w:t xml:space="preserve">issues de l’expérimentation animale </w:t>
      </w:r>
      <w:r w:rsidRPr="00624207">
        <w:rPr>
          <w:lang w:val="fr-FR"/>
        </w:rPr>
        <w:t>cohérentes, fiables</w:t>
      </w:r>
      <w:r>
        <w:rPr>
          <w:lang w:val="fr-FR"/>
        </w:rPr>
        <w:t xml:space="preserve"> et</w:t>
      </w:r>
      <w:r w:rsidRPr="00624207">
        <w:rPr>
          <w:lang w:val="fr-FR"/>
        </w:rPr>
        <w:t xml:space="preserve"> applicables</w:t>
      </w:r>
      <w:r>
        <w:rPr>
          <w:lang w:val="fr-FR"/>
        </w:rPr>
        <w:t>, l</w:t>
      </w:r>
      <w:r w:rsidRPr="00352154">
        <w:rPr>
          <w:lang w:val="fr-FR"/>
        </w:rPr>
        <w:t>orsqu</w:t>
      </w:r>
      <w:r>
        <w:rPr>
          <w:lang w:val="fr-FR"/>
        </w:rPr>
        <w:t>’</w:t>
      </w:r>
      <w:r w:rsidRPr="00352154">
        <w:rPr>
          <w:lang w:val="fr-FR"/>
        </w:rPr>
        <w:t xml:space="preserve">elles sont disponibles, </w:t>
      </w:r>
      <w:r w:rsidRPr="00624207">
        <w:rPr>
          <w:lang w:val="fr-FR"/>
        </w:rPr>
        <w:t xml:space="preserve">pour affiner, sans les remplacer, les </w:t>
      </w:r>
      <w:r>
        <w:rPr>
          <w:lang w:val="fr-FR"/>
        </w:rPr>
        <w:t>informations</w:t>
      </w:r>
      <w:r w:rsidRPr="00624207">
        <w:rPr>
          <w:lang w:val="fr-FR"/>
        </w:rPr>
        <w:t xml:space="preserve"> sur les effets connus sur l</w:t>
      </w:r>
      <w:r>
        <w:rPr>
          <w:lang w:val="fr-FR"/>
        </w:rPr>
        <w:t>’</w:t>
      </w:r>
      <w:r w:rsidRPr="00624207">
        <w:rPr>
          <w:lang w:val="fr-FR"/>
        </w:rPr>
        <w:t>homme.</w:t>
      </w:r>
    </w:p>
    <w:p w14:paraId="6BE21A85" w14:textId="40ACD6EC" w:rsidR="007101CE" w:rsidRPr="00624207" w:rsidRDefault="007101CE" w:rsidP="007101CE">
      <w:pPr>
        <w:pStyle w:val="SingleTxtG"/>
        <w:rPr>
          <w:lang w:val="fr-FR"/>
        </w:rPr>
      </w:pPr>
      <w:r w:rsidRPr="00624207">
        <w:rPr>
          <w:lang w:val="fr-FR"/>
        </w:rPr>
        <w:t>11.</w:t>
      </w:r>
      <w:r w:rsidRPr="00624207">
        <w:rPr>
          <w:lang w:val="fr-FR"/>
        </w:rPr>
        <w:tab/>
      </w:r>
      <w:r>
        <w:rPr>
          <w:lang w:val="fr-FR"/>
        </w:rPr>
        <w:t xml:space="preserve">Un grand très nombre de données issues de l’expérimentation animale peuvent servir à </w:t>
      </w:r>
      <w:r w:rsidRPr="00624207">
        <w:rPr>
          <w:lang w:val="fr-FR"/>
        </w:rPr>
        <w:t>a</w:t>
      </w:r>
      <w:r>
        <w:rPr>
          <w:lang w:val="fr-FR"/>
        </w:rPr>
        <w:t xml:space="preserve">ffiner le </w:t>
      </w:r>
      <w:r w:rsidRPr="00624207">
        <w:rPr>
          <w:lang w:val="fr-FR"/>
        </w:rPr>
        <w:t>classement des solutions de TMAH</w:t>
      </w:r>
      <w:r>
        <w:rPr>
          <w:lang w:val="fr-FR"/>
        </w:rPr>
        <w:t>,</w:t>
      </w:r>
      <w:r w:rsidRPr="00624207">
        <w:rPr>
          <w:lang w:val="fr-FR"/>
        </w:rPr>
        <w:t xml:space="preserve"> et </w:t>
      </w:r>
      <w:r>
        <w:rPr>
          <w:lang w:val="fr-FR"/>
        </w:rPr>
        <w:t xml:space="preserve">elles ont </w:t>
      </w:r>
      <w:r w:rsidRPr="00624207">
        <w:rPr>
          <w:lang w:val="fr-FR"/>
        </w:rPr>
        <w:t>été prise</w:t>
      </w:r>
      <w:r>
        <w:rPr>
          <w:lang w:val="fr-FR"/>
        </w:rPr>
        <w:t>s</w:t>
      </w:r>
      <w:r w:rsidRPr="00624207">
        <w:rPr>
          <w:lang w:val="fr-FR"/>
        </w:rPr>
        <w:t xml:space="preserve"> en considération dans le cadre de </w:t>
      </w:r>
      <w:r>
        <w:rPr>
          <w:lang w:val="fr-FR"/>
        </w:rPr>
        <w:t>l’étude effectuée</w:t>
      </w:r>
      <w:r w:rsidRPr="00624207">
        <w:rPr>
          <w:lang w:val="fr-FR"/>
        </w:rPr>
        <w:t xml:space="preserve">. Il est important de noter que, bien que ces données aient été obtenues </w:t>
      </w:r>
      <w:r>
        <w:rPr>
          <w:lang w:val="fr-FR"/>
        </w:rPr>
        <w:t xml:space="preserve">dans le cadre </w:t>
      </w:r>
      <w:r w:rsidRPr="00624207">
        <w:rPr>
          <w:lang w:val="fr-FR"/>
        </w:rPr>
        <w:t>d</w:t>
      </w:r>
      <w:r>
        <w:rPr>
          <w:lang w:val="fr-FR"/>
        </w:rPr>
        <w:t>’</w:t>
      </w:r>
      <w:r w:rsidRPr="00624207">
        <w:rPr>
          <w:lang w:val="fr-FR"/>
        </w:rPr>
        <w:t xml:space="preserve">essais effectués sur des rats, </w:t>
      </w:r>
      <w:r>
        <w:rPr>
          <w:lang w:val="fr-FR"/>
        </w:rPr>
        <w:t>et non</w:t>
      </w:r>
      <w:r w:rsidRPr="00624207">
        <w:rPr>
          <w:lang w:val="fr-FR"/>
        </w:rPr>
        <w:t xml:space="preserve"> sur des lapins comme </w:t>
      </w:r>
      <w:r>
        <w:rPr>
          <w:lang w:val="fr-FR"/>
        </w:rPr>
        <w:t xml:space="preserve">le prévoit </w:t>
      </w:r>
      <w:r w:rsidRPr="00624207">
        <w:rPr>
          <w:lang w:val="fr-FR"/>
        </w:rPr>
        <w:t>le Règlement type, le rapport de l</w:t>
      </w:r>
      <w:r>
        <w:rPr>
          <w:lang w:val="fr-FR"/>
        </w:rPr>
        <w:t>’</w:t>
      </w:r>
      <w:r w:rsidRPr="00624207">
        <w:rPr>
          <w:lang w:val="fr-FR"/>
        </w:rPr>
        <w:t xml:space="preserve">IHSC explique </w:t>
      </w:r>
      <w:r>
        <w:rPr>
          <w:lang w:val="fr-FR"/>
        </w:rPr>
        <w:t xml:space="preserve">de manière </w:t>
      </w:r>
      <w:r w:rsidRPr="00624207">
        <w:rPr>
          <w:lang w:val="fr-FR"/>
        </w:rPr>
        <w:t>détail</w:t>
      </w:r>
      <w:r>
        <w:rPr>
          <w:lang w:val="fr-FR"/>
        </w:rPr>
        <w:t>lée</w:t>
      </w:r>
      <w:r w:rsidRPr="00624207">
        <w:rPr>
          <w:lang w:val="fr-FR"/>
        </w:rPr>
        <w:t xml:space="preserve"> </w:t>
      </w:r>
      <w:r w:rsidRPr="00703A5A">
        <w:rPr>
          <w:lang w:val="fr-FR"/>
        </w:rPr>
        <w:t>pourquoi elles sont privilégiées dans le cadre d’autres applications à visées réglementaires, et pourq</w:t>
      </w:r>
      <w:r w:rsidRPr="00624207">
        <w:rPr>
          <w:lang w:val="fr-FR"/>
        </w:rPr>
        <w:t xml:space="preserve">uoi elles sont utiles, valides, et peuvent </w:t>
      </w:r>
      <w:r>
        <w:rPr>
          <w:lang w:val="fr-FR"/>
        </w:rPr>
        <w:t>remplacer celles des études sur les</w:t>
      </w:r>
      <w:r w:rsidRPr="00624207">
        <w:rPr>
          <w:lang w:val="fr-FR"/>
        </w:rPr>
        <w:t xml:space="preserve"> lapins, même pour le classement </w:t>
      </w:r>
      <w:r>
        <w:rPr>
          <w:lang w:val="fr-FR"/>
        </w:rPr>
        <w:t xml:space="preserve">des matières </w:t>
      </w:r>
      <w:r w:rsidRPr="00624207">
        <w:rPr>
          <w:lang w:val="fr-FR"/>
        </w:rPr>
        <w:t xml:space="preserve">pour le transport, </w:t>
      </w:r>
      <w:r>
        <w:rPr>
          <w:lang w:val="fr-FR"/>
        </w:rPr>
        <w:t>sans risque</w:t>
      </w:r>
      <w:r w:rsidRPr="00624207">
        <w:rPr>
          <w:lang w:val="fr-FR"/>
        </w:rPr>
        <w:t xml:space="preserve"> de </w:t>
      </w:r>
      <w:r>
        <w:rPr>
          <w:lang w:val="fr-FR"/>
        </w:rPr>
        <w:t xml:space="preserve">conduire à une </w:t>
      </w:r>
      <w:r w:rsidRPr="00624207">
        <w:rPr>
          <w:lang w:val="fr-FR"/>
        </w:rPr>
        <w:t>sous-estim</w:t>
      </w:r>
      <w:r>
        <w:rPr>
          <w:lang w:val="fr-FR"/>
        </w:rPr>
        <w:t xml:space="preserve">ation de </w:t>
      </w:r>
      <w:r w:rsidRPr="00624207">
        <w:rPr>
          <w:lang w:val="fr-FR"/>
        </w:rPr>
        <w:t>l</w:t>
      </w:r>
      <w:r>
        <w:rPr>
          <w:lang w:val="fr-FR"/>
        </w:rPr>
        <w:t>’</w:t>
      </w:r>
      <w:r w:rsidRPr="00624207">
        <w:rPr>
          <w:lang w:val="fr-FR"/>
        </w:rPr>
        <w:t>absorption cutanée chez l</w:t>
      </w:r>
      <w:r>
        <w:rPr>
          <w:lang w:val="fr-FR"/>
        </w:rPr>
        <w:t>’</w:t>
      </w:r>
      <w:r w:rsidRPr="00624207">
        <w:rPr>
          <w:lang w:val="fr-FR"/>
        </w:rPr>
        <w:t>être humain (voir annexe 1). Le Règlement type semble même anticiper ce problème, et autoriser cette possibilité, si l</w:t>
      </w:r>
      <w:r>
        <w:rPr>
          <w:lang w:val="fr-FR"/>
        </w:rPr>
        <w:t>’</w:t>
      </w:r>
      <w:r w:rsidRPr="00624207">
        <w:rPr>
          <w:lang w:val="fr-FR"/>
        </w:rPr>
        <w:t xml:space="preserve">on considère le nota du 2.6.2.3.3, </w:t>
      </w:r>
      <w:r>
        <w:rPr>
          <w:lang w:val="fr-FR"/>
        </w:rPr>
        <w:t xml:space="preserve">qui </w:t>
      </w:r>
      <w:r w:rsidRPr="005278CF">
        <w:rPr>
          <w:lang w:val="fr-FR"/>
        </w:rPr>
        <w:t>prévoit</w:t>
      </w:r>
      <w:r>
        <w:rPr>
          <w:lang w:val="fr-FR"/>
        </w:rPr>
        <w:t xml:space="preserve">, lors de </w:t>
      </w:r>
      <w:r w:rsidRPr="00624207">
        <w:rPr>
          <w:lang w:val="fr-FR"/>
        </w:rPr>
        <w:t>l</w:t>
      </w:r>
      <w:r>
        <w:rPr>
          <w:lang w:val="fr-FR"/>
        </w:rPr>
        <w:t>’</w:t>
      </w:r>
      <w:r w:rsidRPr="00624207">
        <w:rPr>
          <w:lang w:val="fr-FR"/>
        </w:rPr>
        <w:t>examen des méthodes de classement d</w:t>
      </w:r>
      <w:r>
        <w:rPr>
          <w:lang w:val="fr-FR"/>
        </w:rPr>
        <w:t>’</w:t>
      </w:r>
      <w:r w:rsidRPr="00624207">
        <w:rPr>
          <w:lang w:val="fr-FR"/>
        </w:rPr>
        <w:t>un mélange toxique pour lequel on ne dispose pas de données</w:t>
      </w:r>
      <w:r>
        <w:rPr>
          <w:lang w:val="fr-FR"/>
        </w:rPr>
        <w:t xml:space="preserve">, </w:t>
      </w:r>
      <w:r w:rsidRPr="00624207">
        <w:rPr>
          <w:lang w:val="fr-FR"/>
        </w:rPr>
        <w:t xml:space="preserve">la possibilité de classer ce mélange sur la base des connaissances relatives à ses composants, à condition que ces informations soient </w:t>
      </w:r>
      <w:r w:rsidRPr="00624207">
        <w:rPr>
          <w:i/>
          <w:iCs/>
          <w:lang w:val="fr-FR"/>
        </w:rPr>
        <w:t xml:space="preserve">disponibles en ce qui concerne la même espèce </w:t>
      </w:r>
      <w:r w:rsidRPr="00624207">
        <w:rPr>
          <w:lang w:val="fr-FR"/>
        </w:rPr>
        <w:t>pour tous les composants » (italiques ajoutées).</w:t>
      </w:r>
    </w:p>
    <w:p w14:paraId="5C204A30" w14:textId="41C849C4" w:rsidR="007101CE" w:rsidRPr="00624207" w:rsidRDefault="007101CE" w:rsidP="00703A5A">
      <w:pPr>
        <w:pStyle w:val="HChG"/>
        <w:rPr>
          <w:lang w:val="fr-FR"/>
        </w:rPr>
      </w:pPr>
      <w:r w:rsidRPr="00624207">
        <w:rPr>
          <w:lang w:val="fr-FR"/>
        </w:rPr>
        <w:tab/>
        <w:t>IV.</w:t>
      </w:r>
      <w:r w:rsidRPr="00624207">
        <w:rPr>
          <w:lang w:val="fr-FR"/>
        </w:rPr>
        <w:tab/>
        <w:t>La solution à 8,75</w:t>
      </w:r>
      <w:r w:rsidR="00703A5A">
        <w:rPr>
          <w:lang w:val="fr-FR"/>
        </w:rPr>
        <w:t> </w:t>
      </w:r>
      <w:r w:rsidRPr="00624207">
        <w:rPr>
          <w:lang w:val="fr-FR"/>
        </w:rPr>
        <w:t>% n</w:t>
      </w:r>
      <w:r>
        <w:rPr>
          <w:lang w:val="fr-FR"/>
        </w:rPr>
        <w:t>’</w:t>
      </w:r>
      <w:r w:rsidRPr="00624207">
        <w:rPr>
          <w:lang w:val="fr-FR"/>
        </w:rPr>
        <w:t xml:space="preserve">est pas représentative </w:t>
      </w:r>
      <w:r w:rsidR="00703A5A">
        <w:rPr>
          <w:lang w:val="fr-FR"/>
        </w:rPr>
        <w:br/>
      </w:r>
      <w:r w:rsidRPr="00624207">
        <w:rPr>
          <w:lang w:val="fr-FR"/>
        </w:rPr>
        <w:t>des solutions aqueuses</w:t>
      </w:r>
    </w:p>
    <w:p w14:paraId="5DCB069A" w14:textId="7141C6BE" w:rsidR="007101CE" w:rsidRPr="00624207" w:rsidRDefault="007101CE" w:rsidP="007A6379">
      <w:pPr>
        <w:pStyle w:val="SingleTxtG"/>
        <w:rPr>
          <w:lang w:val="fr-FR"/>
        </w:rPr>
      </w:pPr>
      <w:r w:rsidRPr="00624207">
        <w:rPr>
          <w:lang w:val="fr-FR"/>
        </w:rPr>
        <w:t>12.</w:t>
      </w:r>
      <w:r w:rsidRPr="00624207">
        <w:rPr>
          <w:lang w:val="fr-FR"/>
        </w:rPr>
        <w:tab/>
        <w:t xml:space="preserve">Le Cefic et le DGAC </w:t>
      </w:r>
      <w:r>
        <w:rPr>
          <w:lang w:val="fr-FR"/>
        </w:rPr>
        <w:t xml:space="preserve">ne connaissent qu’un seul cas de </w:t>
      </w:r>
      <w:r w:rsidRPr="00624207">
        <w:rPr>
          <w:lang w:val="fr-FR"/>
        </w:rPr>
        <w:t>décès signalé résultant d</w:t>
      </w:r>
      <w:r>
        <w:rPr>
          <w:lang w:val="fr-FR"/>
        </w:rPr>
        <w:t>’</w:t>
      </w:r>
      <w:r w:rsidRPr="00624207">
        <w:rPr>
          <w:lang w:val="fr-FR"/>
        </w:rPr>
        <w:t>une exposition à une solution de TMAH en concentration inférieure à 25</w:t>
      </w:r>
      <w:r w:rsidR="007A6379">
        <w:rPr>
          <w:lang w:val="fr-FR"/>
        </w:rPr>
        <w:t> </w:t>
      </w:r>
      <w:r w:rsidRPr="00624207">
        <w:rPr>
          <w:lang w:val="fr-FR"/>
        </w:rPr>
        <w:t xml:space="preserve">%. </w:t>
      </w:r>
      <w:r>
        <w:rPr>
          <w:lang w:val="fr-FR"/>
        </w:rPr>
        <w:t>L</w:t>
      </w:r>
      <w:r w:rsidRPr="00624207">
        <w:rPr>
          <w:lang w:val="fr-FR"/>
        </w:rPr>
        <w:t xml:space="preserve">a </w:t>
      </w:r>
      <w:r>
        <w:rPr>
          <w:lang w:val="fr-FR"/>
        </w:rPr>
        <w:t>victime</w:t>
      </w:r>
      <w:r w:rsidRPr="00624207">
        <w:rPr>
          <w:lang w:val="fr-FR"/>
        </w:rPr>
        <w:t xml:space="preserve"> n</w:t>
      </w:r>
      <w:r>
        <w:rPr>
          <w:lang w:val="fr-FR"/>
        </w:rPr>
        <w:t>’</w:t>
      </w:r>
      <w:r w:rsidRPr="00624207">
        <w:rPr>
          <w:lang w:val="fr-FR"/>
        </w:rPr>
        <w:t>a pas été exposée à une simple solution aqueuse de TMAH, mais à un mélange contenant 8,75</w:t>
      </w:r>
      <w:r w:rsidR="007A6379">
        <w:rPr>
          <w:lang w:val="fr-FR"/>
        </w:rPr>
        <w:t> </w:t>
      </w:r>
      <w:r w:rsidRPr="00624207">
        <w:rPr>
          <w:lang w:val="fr-FR"/>
        </w:rPr>
        <w:t xml:space="preserve">% de TMAH </w:t>
      </w:r>
      <w:r>
        <w:rPr>
          <w:lang w:val="fr-FR"/>
        </w:rPr>
        <w:t>et</w:t>
      </w:r>
      <w:r w:rsidRPr="00624207">
        <w:rPr>
          <w:lang w:val="fr-FR"/>
        </w:rPr>
        <w:t xml:space="preserve"> plusieurs autres produits chimiques, dont 5</w:t>
      </w:r>
      <w:r w:rsidR="007A6379">
        <w:rPr>
          <w:lang w:val="fr-FR"/>
        </w:rPr>
        <w:t> </w:t>
      </w:r>
      <w:r w:rsidRPr="00624207">
        <w:rPr>
          <w:lang w:val="fr-FR"/>
        </w:rPr>
        <w:t>% de monoéthanolamine et 10</w:t>
      </w:r>
      <w:r w:rsidR="007A6379">
        <w:rPr>
          <w:lang w:val="fr-FR"/>
        </w:rPr>
        <w:t> </w:t>
      </w:r>
      <w:r w:rsidRPr="00624207">
        <w:rPr>
          <w:lang w:val="fr-FR"/>
        </w:rPr>
        <w:t>% d</w:t>
      </w:r>
      <w:r>
        <w:rPr>
          <w:lang w:val="fr-FR"/>
        </w:rPr>
        <w:t>’</w:t>
      </w:r>
      <w:r w:rsidRPr="00624207">
        <w:rPr>
          <w:lang w:val="fr-FR"/>
        </w:rPr>
        <w:t xml:space="preserve">alcool éthoxylé (un agent tensioactif non ionique). Cette préparation complexe mise au point </w:t>
      </w:r>
      <w:r w:rsidRPr="007A6379">
        <w:rPr>
          <w:lang w:val="fr-FR"/>
        </w:rPr>
        <w:t>pour le nettoyage</w:t>
      </w:r>
      <w:r w:rsidRPr="00624207">
        <w:rPr>
          <w:lang w:val="fr-FR"/>
        </w:rPr>
        <w:t xml:space="preserve"> de</w:t>
      </w:r>
      <w:r>
        <w:rPr>
          <w:lang w:val="fr-FR"/>
        </w:rPr>
        <w:t>s</w:t>
      </w:r>
      <w:r w:rsidRPr="00624207">
        <w:rPr>
          <w:lang w:val="fr-FR"/>
        </w:rPr>
        <w:t xml:space="preserve"> palettes n</w:t>
      </w:r>
      <w:r>
        <w:rPr>
          <w:lang w:val="fr-FR"/>
        </w:rPr>
        <w:t>’</w:t>
      </w:r>
      <w:r w:rsidRPr="00624207">
        <w:rPr>
          <w:lang w:val="fr-FR"/>
        </w:rPr>
        <w:t xml:space="preserve">est pas représentative des solutions aqueuses simples transportées </w:t>
      </w:r>
      <w:r>
        <w:rPr>
          <w:lang w:val="fr-FR"/>
        </w:rPr>
        <w:t xml:space="preserve">pour </w:t>
      </w:r>
      <w:r w:rsidRPr="00624207">
        <w:rPr>
          <w:lang w:val="fr-FR"/>
        </w:rPr>
        <w:t>l</w:t>
      </w:r>
      <w:r>
        <w:rPr>
          <w:lang w:val="fr-FR"/>
        </w:rPr>
        <w:t>’</w:t>
      </w:r>
      <w:r w:rsidRPr="00624207">
        <w:rPr>
          <w:lang w:val="fr-FR"/>
        </w:rPr>
        <w:t xml:space="preserve">industrie électronique. Cet accident industriel tragique </w:t>
      </w:r>
      <w:r>
        <w:rPr>
          <w:lang w:val="fr-FR"/>
        </w:rPr>
        <w:t>imputable</w:t>
      </w:r>
      <w:r w:rsidRPr="00624207">
        <w:rPr>
          <w:lang w:val="fr-FR"/>
        </w:rPr>
        <w:t xml:space="preserve"> à de mauvaises méthodes de travail aurait dû être évité, mais il ne doit pas servir de </w:t>
      </w:r>
      <w:r>
        <w:rPr>
          <w:lang w:val="fr-FR"/>
        </w:rPr>
        <w:t>prétexte</w:t>
      </w:r>
      <w:r w:rsidRPr="00624207">
        <w:rPr>
          <w:lang w:val="fr-FR"/>
        </w:rPr>
        <w:t xml:space="preserve"> à l</w:t>
      </w:r>
      <w:r>
        <w:rPr>
          <w:lang w:val="fr-FR"/>
        </w:rPr>
        <w:t>’</w:t>
      </w:r>
      <w:r w:rsidRPr="00624207">
        <w:rPr>
          <w:lang w:val="fr-FR"/>
        </w:rPr>
        <w:t>a</w:t>
      </w:r>
      <w:r>
        <w:rPr>
          <w:lang w:val="fr-FR"/>
        </w:rPr>
        <w:t>ffecta</w:t>
      </w:r>
      <w:r w:rsidRPr="00624207">
        <w:rPr>
          <w:lang w:val="fr-FR"/>
        </w:rPr>
        <w:t xml:space="preserve">tion </w:t>
      </w:r>
      <w:r w:rsidRPr="007D67CE">
        <w:rPr>
          <w:lang w:val="fr-FR"/>
        </w:rPr>
        <w:t xml:space="preserve">de solutions aqueuses </w:t>
      </w:r>
      <w:r>
        <w:rPr>
          <w:lang w:val="fr-FR"/>
        </w:rPr>
        <w:t xml:space="preserve">à certains </w:t>
      </w:r>
      <w:r w:rsidRPr="00624207">
        <w:rPr>
          <w:lang w:val="fr-FR"/>
        </w:rPr>
        <w:t>groupes d</w:t>
      </w:r>
      <w:r>
        <w:rPr>
          <w:lang w:val="fr-FR"/>
        </w:rPr>
        <w:t>’</w:t>
      </w:r>
      <w:r w:rsidRPr="00624207">
        <w:rPr>
          <w:lang w:val="fr-FR"/>
        </w:rPr>
        <w:t xml:space="preserve">emballage pour le transport, </w:t>
      </w:r>
      <w:r>
        <w:rPr>
          <w:lang w:val="fr-FR"/>
        </w:rPr>
        <w:t xml:space="preserve">car dans ce cas </w:t>
      </w:r>
      <w:r w:rsidRPr="00624207">
        <w:rPr>
          <w:lang w:val="fr-FR"/>
        </w:rPr>
        <w:t xml:space="preserve">le mélange </w:t>
      </w:r>
      <w:r>
        <w:rPr>
          <w:lang w:val="fr-FR"/>
        </w:rPr>
        <w:t xml:space="preserve">contenait </w:t>
      </w:r>
      <w:r w:rsidRPr="00624207">
        <w:rPr>
          <w:lang w:val="fr-FR"/>
        </w:rPr>
        <w:t>un agent anesthésique et une quantité d</w:t>
      </w:r>
      <w:r>
        <w:rPr>
          <w:lang w:val="fr-FR"/>
        </w:rPr>
        <w:t>’</w:t>
      </w:r>
      <w:r w:rsidRPr="00624207">
        <w:rPr>
          <w:lang w:val="fr-FR"/>
        </w:rPr>
        <w:t>agent tensioactif</w:t>
      </w:r>
      <w:r>
        <w:rPr>
          <w:lang w:val="fr-FR"/>
        </w:rPr>
        <w:t xml:space="preserve"> </w:t>
      </w:r>
      <w:r w:rsidRPr="00624207">
        <w:rPr>
          <w:lang w:val="fr-FR"/>
        </w:rPr>
        <w:t>importante. En ce qui concerne cet incident, Charles River</w:t>
      </w:r>
      <w:r w:rsidRPr="0093766B">
        <w:rPr>
          <w:lang w:val="fr-FR"/>
        </w:rPr>
        <w:t xml:space="preserve"> </w:t>
      </w:r>
      <w:r>
        <w:rPr>
          <w:lang w:val="fr-FR"/>
        </w:rPr>
        <w:t>estimait que</w:t>
      </w:r>
      <w:r w:rsidRPr="00624207">
        <w:rPr>
          <w:lang w:val="fr-FR"/>
        </w:rPr>
        <w:t> :</w:t>
      </w:r>
    </w:p>
    <w:p w14:paraId="50C922C1" w14:textId="3520EE04" w:rsidR="007101CE" w:rsidRPr="00624207" w:rsidRDefault="007101CE" w:rsidP="007A6379">
      <w:pPr>
        <w:pStyle w:val="SingleTxtG"/>
        <w:ind w:left="1701" w:firstLine="567"/>
        <w:rPr>
          <w:rFonts w:eastAsia="Times New Roman"/>
          <w:lang w:val="fr-FR"/>
        </w:rPr>
      </w:pPr>
      <w:r w:rsidRPr="007A6379">
        <w:rPr>
          <w:i/>
          <w:iCs/>
          <w:lang w:val="fr-FR"/>
        </w:rPr>
        <w:t>« Compte tenu des circonstances, de la durée d’exposition extrêmement longue pour le pourcentage de surface exposée et du fait que la victime d’une autre exposition accidentelle signalée, plus importante, ait survécu, le cas dans lequel on a trouvé une concentration de 8,75</w:t>
      </w:r>
      <w:r w:rsidR="007A6379">
        <w:rPr>
          <w:i/>
          <w:iCs/>
          <w:lang w:val="fr-FR"/>
        </w:rPr>
        <w:t> </w:t>
      </w:r>
      <w:r w:rsidRPr="007A6379">
        <w:rPr>
          <w:i/>
          <w:iCs/>
          <w:lang w:val="fr-FR"/>
        </w:rPr>
        <w:t>% de TMAH décrit dans Park et al. (2013) peut être considéré comme exceptionnel, et donc sa pertinence pour déterminer le pourcentage justifiant l’affectation au groupe d’emballage I (ONU) est discutable. (</w:t>
      </w:r>
      <w:proofErr w:type="gramStart"/>
      <w:r w:rsidRPr="007A6379">
        <w:rPr>
          <w:i/>
          <w:iCs/>
          <w:lang w:val="fr-FR"/>
        </w:rPr>
        <w:t>voir</w:t>
      </w:r>
      <w:proofErr w:type="gramEnd"/>
      <w:r w:rsidRPr="007A6379">
        <w:rPr>
          <w:i/>
          <w:iCs/>
          <w:lang w:val="fr-FR"/>
        </w:rPr>
        <w:t xml:space="preserve"> annexe 2) »</w:t>
      </w:r>
      <w:r w:rsidR="007A6379">
        <w:rPr>
          <w:lang w:val="fr-FR"/>
        </w:rPr>
        <w:t>.</w:t>
      </w:r>
    </w:p>
    <w:p w14:paraId="4F4713AA" w14:textId="3F352B42" w:rsidR="007101CE" w:rsidRPr="00624207" w:rsidRDefault="007101CE" w:rsidP="007E6643">
      <w:pPr>
        <w:pStyle w:val="SingleTxtG"/>
        <w:rPr>
          <w:sz w:val="18"/>
          <w:szCs w:val="18"/>
          <w:lang w:val="fr-FR"/>
        </w:rPr>
      </w:pPr>
      <w:r w:rsidRPr="00624207">
        <w:rPr>
          <w:lang w:val="fr-FR"/>
        </w:rPr>
        <w:t>13.</w:t>
      </w:r>
      <w:r w:rsidRPr="00624207">
        <w:rPr>
          <w:lang w:val="fr-FR"/>
        </w:rPr>
        <w:tab/>
        <w:t>Dans le document d</w:t>
      </w:r>
      <w:r>
        <w:rPr>
          <w:lang w:val="fr-FR"/>
        </w:rPr>
        <w:t>’</w:t>
      </w:r>
      <w:r w:rsidRPr="00624207">
        <w:rPr>
          <w:lang w:val="fr-FR"/>
        </w:rPr>
        <w:t xml:space="preserve">orientation intitulé </w:t>
      </w:r>
      <w:r>
        <w:rPr>
          <w:lang w:val="fr-FR"/>
        </w:rPr>
        <w:t>« </w:t>
      </w:r>
      <w:r w:rsidRPr="00624207">
        <w:rPr>
          <w:lang w:val="fr-FR"/>
        </w:rPr>
        <w:t>Guidance on dermal absorption</w:t>
      </w:r>
      <w:r>
        <w:rPr>
          <w:lang w:val="fr-FR"/>
        </w:rPr>
        <w:t> »</w:t>
      </w:r>
      <w:r w:rsidR="007A6379">
        <w:rPr>
          <w:rStyle w:val="FootnoteReference"/>
        </w:rPr>
        <w:footnoteReference w:id="4"/>
      </w:r>
      <w:r w:rsidRPr="00624207">
        <w:rPr>
          <w:lang w:val="fr-FR"/>
        </w:rPr>
        <w:t xml:space="preserve">, qui porte sur </w:t>
      </w:r>
      <w:r w:rsidRPr="007E6643">
        <w:t>les</w:t>
      </w:r>
      <w:r w:rsidRPr="00624207">
        <w:rPr>
          <w:lang w:val="fr-FR"/>
        </w:rPr>
        <w:t xml:space="preserve"> </w:t>
      </w:r>
      <w:r>
        <w:rPr>
          <w:lang w:val="fr-FR"/>
        </w:rPr>
        <w:t xml:space="preserve">principaux </w:t>
      </w:r>
      <w:r w:rsidRPr="00624207">
        <w:rPr>
          <w:lang w:val="fr-FR"/>
        </w:rPr>
        <w:t>aspects de la détermination des valeurs relatives à l</w:t>
      </w:r>
      <w:r>
        <w:rPr>
          <w:lang w:val="fr-FR"/>
        </w:rPr>
        <w:t>’</w:t>
      </w:r>
      <w:r w:rsidRPr="00624207">
        <w:rPr>
          <w:lang w:val="fr-FR"/>
        </w:rPr>
        <w:t>absorption cutanée à utiliser dans le cadre de l</w:t>
      </w:r>
      <w:r>
        <w:rPr>
          <w:lang w:val="fr-FR"/>
        </w:rPr>
        <w:t>’</w:t>
      </w:r>
      <w:r w:rsidRPr="00624207">
        <w:rPr>
          <w:lang w:val="fr-FR"/>
        </w:rPr>
        <w:t xml:space="preserve">évaluation des risques </w:t>
      </w:r>
      <w:r>
        <w:rPr>
          <w:lang w:val="fr-FR"/>
        </w:rPr>
        <w:t>assoc</w:t>
      </w:r>
      <w:r w:rsidRPr="00624207">
        <w:rPr>
          <w:lang w:val="fr-FR"/>
        </w:rPr>
        <w:t>iés aux matières actives dans les produits phytopharmaceutiques, l</w:t>
      </w:r>
      <w:r>
        <w:rPr>
          <w:lang w:val="fr-FR"/>
        </w:rPr>
        <w:t>’</w:t>
      </w:r>
      <w:r w:rsidRPr="00624207">
        <w:rPr>
          <w:lang w:val="fr-FR"/>
        </w:rPr>
        <w:t xml:space="preserve">Autorité européenne de sécurité des aliments mentionne les agents tensioactifs parmi les </w:t>
      </w:r>
      <w:r>
        <w:rPr>
          <w:lang w:val="fr-FR"/>
        </w:rPr>
        <w:t>« </w:t>
      </w:r>
      <w:r w:rsidRPr="00624207">
        <w:rPr>
          <w:lang w:val="fr-FR"/>
        </w:rPr>
        <w:t>autres facteurs ayant un effet sur l</w:t>
      </w:r>
      <w:r>
        <w:rPr>
          <w:lang w:val="fr-FR"/>
        </w:rPr>
        <w:t>’</w:t>
      </w:r>
      <w:r w:rsidRPr="00624207">
        <w:rPr>
          <w:lang w:val="fr-FR"/>
        </w:rPr>
        <w:t>absorption</w:t>
      </w:r>
      <w:r>
        <w:rPr>
          <w:lang w:val="fr-FR"/>
        </w:rPr>
        <w:t> »</w:t>
      </w:r>
      <w:r w:rsidRPr="00624207">
        <w:rPr>
          <w:lang w:val="fr-FR"/>
        </w:rPr>
        <w:t xml:space="preserve">. En fait, </w:t>
      </w:r>
      <w:r w:rsidRPr="00624207">
        <w:rPr>
          <w:lang w:val="fr-FR"/>
        </w:rPr>
        <w:lastRenderedPageBreak/>
        <w:t>lorsqu</w:t>
      </w:r>
      <w:r>
        <w:rPr>
          <w:lang w:val="fr-FR"/>
        </w:rPr>
        <w:t>’</w:t>
      </w:r>
      <w:r w:rsidRPr="00624207">
        <w:rPr>
          <w:lang w:val="fr-FR"/>
        </w:rPr>
        <w:t xml:space="preserve">on utilise les données </w:t>
      </w:r>
      <w:r>
        <w:rPr>
          <w:lang w:val="fr-FR"/>
        </w:rPr>
        <w:t>relatives à l’</w:t>
      </w:r>
      <w:r w:rsidRPr="00624207">
        <w:rPr>
          <w:lang w:val="fr-FR"/>
        </w:rPr>
        <w:t>absorption cutanée d</w:t>
      </w:r>
      <w:r>
        <w:rPr>
          <w:lang w:val="fr-FR"/>
        </w:rPr>
        <w:t>’</w:t>
      </w:r>
      <w:r w:rsidRPr="00624207">
        <w:rPr>
          <w:lang w:val="fr-FR"/>
        </w:rPr>
        <w:t xml:space="preserve">une matière active pour déterminer </w:t>
      </w:r>
      <w:r>
        <w:rPr>
          <w:lang w:val="fr-FR"/>
        </w:rPr>
        <w:t>le degré d’</w:t>
      </w:r>
      <w:r w:rsidRPr="00624207">
        <w:rPr>
          <w:lang w:val="fr-FR"/>
        </w:rPr>
        <w:t>absorption cutanée d</w:t>
      </w:r>
      <w:r>
        <w:rPr>
          <w:lang w:val="fr-FR"/>
        </w:rPr>
        <w:t>’</w:t>
      </w:r>
      <w:r w:rsidRPr="00624207">
        <w:rPr>
          <w:lang w:val="fr-FR"/>
        </w:rPr>
        <w:t>un produit qui la contient, la procédure prévoit que des données ou des justifications doivent être fournies si ce produit est à base d</w:t>
      </w:r>
      <w:r>
        <w:rPr>
          <w:lang w:val="fr-FR"/>
        </w:rPr>
        <w:t>’</w:t>
      </w:r>
      <w:r w:rsidRPr="00624207">
        <w:rPr>
          <w:lang w:val="fr-FR"/>
        </w:rPr>
        <w:t>eau et comprend des agents tensioactifs.</w:t>
      </w:r>
      <w:bookmarkStart w:id="0" w:name="_Hlk112699925"/>
    </w:p>
    <w:bookmarkEnd w:id="0"/>
    <w:p w14:paraId="74CA3A85" w14:textId="6FD21EAF" w:rsidR="007101CE" w:rsidRPr="00624207" w:rsidRDefault="007101CE" w:rsidP="007101CE">
      <w:pPr>
        <w:pStyle w:val="SingleTxtG"/>
        <w:rPr>
          <w:lang w:val="fr-FR"/>
        </w:rPr>
      </w:pPr>
      <w:r w:rsidRPr="00624207">
        <w:rPr>
          <w:lang w:val="fr-FR"/>
        </w:rPr>
        <w:t>14.</w:t>
      </w:r>
      <w:r w:rsidRPr="00624207">
        <w:rPr>
          <w:lang w:val="fr-FR"/>
        </w:rPr>
        <w:tab/>
        <w:t>Bien que le Système général harmonisé de classification et d</w:t>
      </w:r>
      <w:r>
        <w:rPr>
          <w:lang w:val="fr-FR"/>
        </w:rPr>
        <w:t>’</w:t>
      </w:r>
      <w:r w:rsidRPr="00624207">
        <w:rPr>
          <w:lang w:val="fr-FR"/>
        </w:rPr>
        <w:t xml:space="preserve">étiquetage des produits chimiques (SGH) repose sur une approche légèrement différente, selon le Règlement type, les </w:t>
      </w:r>
      <w:r w:rsidRPr="000F5B67">
        <w:rPr>
          <w:lang w:val="fr-FR"/>
        </w:rPr>
        <w:t xml:space="preserve">propriétés intrinsèques ne </w:t>
      </w:r>
      <w:r w:rsidRPr="00624207">
        <w:rPr>
          <w:lang w:val="fr-FR"/>
        </w:rPr>
        <w:t xml:space="preserve">constituent pas </w:t>
      </w:r>
      <w:r>
        <w:rPr>
          <w:lang w:val="fr-FR"/>
        </w:rPr>
        <w:t>ni le seul</w:t>
      </w:r>
      <w:r w:rsidRPr="00624207">
        <w:rPr>
          <w:lang w:val="fr-FR"/>
        </w:rPr>
        <w:t>, ni même l</w:t>
      </w:r>
      <w:r>
        <w:rPr>
          <w:lang w:val="fr-FR"/>
        </w:rPr>
        <w:t>e</w:t>
      </w:r>
      <w:r w:rsidRPr="00624207">
        <w:rPr>
          <w:lang w:val="fr-FR"/>
        </w:rPr>
        <w:t xml:space="preserve"> principal, </w:t>
      </w:r>
      <w:r>
        <w:rPr>
          <w:lang w:val="fr-FR"/>
        </w:rPr>
        <w:t>critère</w:t>
      </w:r>
      <w:r w:rsidRPr="00624207">
        <w:rPr>
          <w:lang w:val="fr-FR"/>
        </w:rPr>
        <w:t xml:space="preserve"> </w:t>
      </w:r>
      <w:r>
        <w:rPr>
          <w:lang w:val="fr-FR"/>
        </w:rPr>
        <w:t>pour le</w:t>
      </w:r>
      <w:r w:rsidRPr="00624207">
        <w:rPr>
          <w:lang w:val="fr-FR"/>
        </w:rPr>
        <w:t xml:space="preserve"> classement. </w:t>
      </w:r>
      <w:r>
        <w:rPr>
          <w:lang w:val="fr-FR"/>
        </w:rPr>
        <w:t>Ce qui compte, c’est</w:t>
      </w:r>
      <w:r w:rsidRPr="00624207">
        <w:rPr>
          <w:lang w:val="fr-FR"/>
        </w:rPr>
        <w:t xml:space="preserve"> l</w:t>
      </w:r>
      <w:r>
        <w:rPr>
          <w:lang w:val="fr-FR"/>
        </w:rPr>
        <w:t>’</w:t>
      </w:r>
      <w:r w:rsidRPr="00624207">
        <w:rPr>
          <w:lang w:val="fr-FR"/>
        </w:rPr>
        <w:t>effet d</w:t>
      </w:r>
      <w:r>
        <w:rPr>
          <w:lang w:val="fr-FR"/>
        </w:rPr>
        <w:t>’</w:t>
      </w:r>
      <w:r w:rsidRPr="00624207">
        <w:rPr>
          <w:lang w:val="fr-FR"/>
        </w:rPr>
        <w:t xml:space="preserve">une exposition à la matière (pure ou </w:t>
      </w:r>
      <w:r>
        <w:rPr>
          <w:lang w:val="fr-FR"/>
        </w:rPr>
        <w:t>en</w:t>
      </w:r>
      <w:r w:rsidRPr="00624207">
        <w:rPr>
          <w:lang w:val="fr-FR"/>
        </w:rPr>
        <w:t xml:space="preserve"> mélange) résultant d</w:t>
      </w:r>
      <w:r>
        <w:rPr>
          <w:lang w:val="fr-FR"/>
        </w:rPr>
        <w:t>’</w:t>
      </w:r>
      <w:r w:rsidRPr="00624207">
        <w:rPr>
          <w:lang w:val="fr-FR"/>
        </w:rPr>
        <w:t xml:space="preserve">un </w:t>
      </w:r>
      <w:r>
        <w:rPr>
          <w:lang w:val="fr-FR"/>
        </w:rPr>
        <w:t xml:space="preserve">écoulement </w:t>
      </w:r>
      <w:r w:rsidRPr="00624207">
        <w:rPr>
          <w:lang w:val="fr-FR"/>
        </w:rPr>
        <w:t>incontrôlé</w:t>
      </w:r>
      <w:r>
        <w:rPr>
          <w:lang w:val="fr-FR"/>
        </w:rPr>
        <w:t xml:space="preserve"> </w:t>
      </w:r>
      <w:r w:rsidRPr="00624207">
        <w:rPr>
          <w:lang w:val="fr-FR"/>
        </w:rPr>
        <w:t>et non planifié pendant le transport. (</w:t>
      </w:r>
      <w:r>
        <w:rPr>
          <w:lang w:val="fr-FR"/>
        </w:rPr>
        <w:t>C’est souvent le cas</w:t>
      </w:r>
      <w:r w:rsidRPr="00624207">
        <w:rPr>
          <w:lang w:val="fr-FR"/>
        </w:rPr>
        <w:t xml:space="preserve"> dans la deuxième partie</w:t>
      </w:r>
      <w:r w:rsidR="007E6643">
        <w:rPr>
          <w:lang w:val="fr-FR"/>
        </w:rPr>
        <w:t xml:space="preserve"> </w:t>
      </w:r>
      <w:r>
        <w:rPr>
          <w:lang w:val="fr-FR"/>
        </w:rPr>
        <w:t xml:space="preserve">du </w:t>
      </w:r>
      <w:r w:rsidRPr="00FD2009">
        <w:rPr>
          <w:lang w:val="fr-FR"/>
        </w:rPr>
        <w:t>Règlement type</w:t>
      </w:r>
      <w:r>
        <w:rPr>
          <w:lang w:val="fr-FR"/>
        </w:rPr>
        <w:t>,</w:t>
      </w:r>
      <w:r w:rsidRPr="00FD2009">
        <w:rPr>
          <w:lang w:val="fr-FR"/>
        </w:rPr>
        <w:t xml:space="preserve"> </w:t>
      </w:r>
      <w:r w:rsidRPr="00624207">
        <w:rPr>
          <w:lang w:val="fr-FR"/>
        </w:rPr>
        <w:t xml:space="preserve">où, par exemple, le classement des matières explosibles de la classe 1 </w:t>
      </w:r>
      <w:r>
        <w:rPr>
          <w:lang w:val="fr-FR"/>
        </w:rPr>
        <w:t xml:space="preserve">repose sur </w:t>
      </w:r>
      <w:r w:rsidRPr="00624207">
        <w:rPr>
          <w:lang w:val="fr-FR"/>
        </w:rPr>
        <w:t xml:space="preserve">une combinaison des caractéristiques de la matière explosible et du colis lui-même ; le classement des matières de la division 2.2 </w:t>
      </w:r>
      <w:r>
        <w:rPr>
          <w:lang w:val="fr-FR"/>
        </w:rPr>
        <w:t xml:space="preserve">dépend </w:t>
      </w:r>
      <w:r w:rsidRPr="00624207">
        <w:rPr>
          <w:lang w:val="fr-FR"/>
        </w:rPr>
        <w:t xml:space="preserve">souvent uniquement </w:t>
      </w:r>
      <w:r>
        <w:rPr>
          <w:lang w:val="fr-FR"/>
        </w:rPr>
        <w:t>de</w:t>
      </w:r>
      <w:r w:rsidRPr="00624207">
        <w:rPr>
          <w:lang w:val="fr-FR"/>
        </w:rPr>
        <w:t xml:space="preserve"> la pression exercée dans l</w:t>
      </w:r>
      <w:r>
        <w:rPr>
          <w:lang w:val="fr-FR"/>
        </w:rPr>
        <w:t>’</w:t>
      </w:r>
      <w:r w:rsidRPr="00624207">
        <w:rPr>
          <w:lang w:val="fr-FR"/>
        </w:rPr>
        <w:t>emballage, si bien que les caractéristiques du gaz lui-même ne sont pas toujours prises en considération aux fins du classement</w:t>
      </w:r>
      <w:r w:rsidR="007A6379">
        <w:rPr>
          <w:lang w:val="fr-FR"/>
        </w:rPr>
        <w:t> </w:t>
      </w:r>
      <w:r w:rsidRPr="00624207">
        <w:rPr>
          <w:lang w:val="fr-FR"/>
        </w:rPr>
        <w:t>; le classement des matières explosibles désensibilisées dans la division 4.1 repose sur le fait que le mélange contient une quantité d</w:t>
      </w:r>
      <w:r>
        <w:rPr>
          <w:lang w:val="fr-FR"/>
        </w:rPr>
        <w:t>’</w:t>
      </w:r>
      <w:r w:rsidRPr="00624207">
        <w:rPr>
          <w:lang w:val="fr-FR"/>
        </w:rPr>
        <w:t>eau, d</w:t>
      </w:r>
      <w:r>
        <w:rPr>
          <w:lang w:val="fr-FR"/>
        </w:rPr>
        <w:t>’</w:t>
      </w:r>
      <w:r w:rsidRPr="00624207">
        <w:rPr>
          <w:lang w:val="fr-FR"/>
        </w:rPr>
        <w:t>alcool ou de plastifiant</w:t>
      </w:r>
      <w:r>
        <w:rPr>
          <w:lang w:val="fr-FR"/>
        </w:rPr>
        <w:t xml:space="preserve"> </w:t>
      </w:r>
      <w:r w:rsidRPr="00FD2009">
        <w:rPr>
          <w:lang w:val="fr-FR"/>
        </w:rPr>
        <w:t xml:space="preserve">suffisante </w:t>
      </w:r>
      <w:r>
        <w:rPr>
          <w:lang w:val="fr-FR"/>
        </w:rPr>
        <w:t>p</w:t>
      </w:r>
      <w:r w:rsidRPr="00624207">
        <w:rPr>
          <w:lang w:val="fr-FR"/>
        </w:rPr>
        <w:t xml:space="preserve">our </w:t>
      </w:r>
      <w:r>
        <w:rPr>
          <w:lang w:val="fr-FR"/>
        </w:rPr>
        <w:t xml:space="preserve">en </w:t>
      </w:r>
      <w:r w:rsidRPr="00624207">
        <w:rPr>
          <w:lang w:val="fr-FR"/>
        </w:rPr>
        <w:t>supprimer les propriétés explosives ; le classement dans la division 6.1 fondé sur la toxicité aiguë en cas d</w:t>
      </w:r>
      <w:r>
        <w:rPr>
          <w:lang w:val="fr-FR"/>
        </w:rPr>
        <w:t>’</w:t>
      </w:r>
      <w:r w:rsidRPr="00624207">
        <w:rPr>
          <w:lang w:val="fr-FR"/>
        </w:rPr>
        <w:t>inhalation de poussières n</w:t>
      </w:r>
      <w:r>
        <w:rPr>
          <w:lang w:val="fr-FR"/>
        </w:rPr>
        <w:t>’</w:t>
      </w:r>
      <w:r w:rsidRPr="00624207">
        <w:rPr>
          <w:lang w:val="fr-FR"/>
        </w:rPr>
        <w:t>est pas pris en compte si la matière solide est composée d</w:t>
      </w:r>
      <w:r>
        <w:rPr>
          <w:lang w:val="fr-FR"/>
        </w:rPr>
        <w:t>’</w:t>
      </w:r>
      <w:r w:rsidRPr="00624207">
        <w:rPr>
          <w:lang w:val="fr-FR"/>
        </w:rPr>
        <w:t>un pourcentage suffisant de particules de poussière d</w:t>
      </w:r>
      <w:r>
        <w:rPr>
          <w:lang w:val="fr-FR"/>
        </w:rPr>
        <w:t>’</w:t>
      </w:r>
      <w:r w:rsidRPr="00624207">
        <w:rPr>
          <w:lang w:val="fr-FR"/>
        </w:rPr>
        <w:t>une taille supérieure à dix microns</w:t>
      </w:r>
      <w:r w:rsidR="007A6379">
        <w:rPr>
          <w:lang w:val="fr-FR"/>
        </w:rPr>
        <w:t>.</w:t>
      </w:r>
      <w:r w:rsidRPr="00624207">
        <w:rPr>
          <w:lang w:val="fr-FR"/>
        </w:rPr>
        <w:t>)</w:t>
      </w:r>
    </w:p>
    <w:p w14:paraId="0D33F163" w14:textId="68F07F39" w:rsidR="007101CE" w:rsidRPr="00624207" w:rsidRDefault="007101CE" w:rsidP="007101CE">
      <w:pPr>
        <w:pStyle w:val="SingleTxtG"/>
        <w:rPr>
          <w:lang w:val="fr-FR"/>
        </w:rPr>
      </w:pPr>
      <w:r w:rsidRPr="00624207">
        <w:rPr>
          <w:lang w:val="fr-FR"/>
        </w:rPr>
        <w:t>15.</w:t>
      </w:r>
      <w:r w:rsidRPr="00624207">
        <w:rPr>
          <w:lang w:val="fr-FR"/>
        </w:rPr>
        <w:tab/>
        <w:t>Le rapport de l</w:t>
      </w:r>
      <w:r>
        <w:rPr>
          <w:lang w:val="fr-FR"/>
        </w:rPr>
        <w:t>’</w:t>
      </w:r>
      <w:r w:rsidRPr="00624207">
        <w:rPr>
          <w:lang w:val="fr-FR"/>
        </w:rPr>
        <w:t>IHSC qui figure à l</w:t>
      </w:r>
      <w:r>
        <w:rPr>
          <w:lang w:val="fr-FR"/>
        </w:rPr>
        <w:t>’</w:t>
      </w:r>
      <w:r w:rsidRPr="00624207">
        <w:rPr>
          <w:lang w:val="fr-FR"/>
        </w:rPr>
        <w:t xml:space="preserve">annexe 1 fait référence à plusieurs articles </w:t>
      </w:r>
      <w:r>
        <w:rPr>
          <w:lang w:val="fr-FR"/>
        </w:rPr>
        <w:t xml:space="preserve">dans lesquels </w:t>
      </w:r>
      <w:r w:rsidRPr="00624207">
        <w:rPr>
          <w:lang w:val="fr-FR"/>
        </w:rPr>
        <w:t xml:space="preserve">on </w:t>
      </w:r>
      <w:r>
        <w:rPr>
          <w:lang w:val="fr-FR"/>
        </w:rPr>
        <w:t>montre</w:t>
      </w:r>
      <w:r w:rsidRPr="00624207">
        <w:rPr>
          <w:lang w:val="fr-FR"/>
        </w:rPr>
        <w:t xml:space="preserve"> comment les agents tensioactifs non ioniques, tels que l</w:t>
      </w:r>
      <w:r>
        <w:rPr>
          <w:lang w:val="fr-FR"/>
        </w:rPr>
        <w:t>’</w:t>
      </w:r>
      <w:r w:rsidRPr="00624207">
        <w:rPr>
          <w:lang w:val="fr-FR"/>
        </w:rPr>
        <w:t>alcool éthoxylé à 10</w:t>
      </w:r>
      <w:r w:rsidR="007A6379">
        <w:rPr>
          <w:lang w:val="fr-FR"/>
        </w:rPr>
        <w:t> </w:t>
      </w:r>
      <w:r w:rsidRPr="00624207">
        <w:rPr>
          <w:lang w:val="fr-FR"/>
        </w:rPr>
        <w:t>% (la concentration d</w:t>
      </w:r>
      <w:r>
        <w:rPr>
          <w:lang w:val="fr-FR"/>
        </w:rPr>
        <w:t>e l’</w:t>
      </w:r>
      <w:r w:rsidRPr="00624207">
        <w:rPr>
          <w:lang w:val="fr-FR"/>
        </w:rPr>
        <w:t>agent tensioactif était incroyablement élevée dans l</w:t>
      </w:r>
      <w:r>
        <w:rPr>
          <w:lang w:val="fr-FR"/>
        </w:rPr>
        <w:t>’</w:t>
      </w:r>
      <w:r w:rsidRPr="00624207">
        <w:rPr>
          <w:lang w:val="fr-FR"/>
        </w:rPr>
        <w:t xml:space="preserve">incident </w:t>
      </w:r>
      <w:r>
        <w:rPr>
          <w:lang w:val="fr-FR"/>
        </w:rPr>
        <w:t>survenu avec</w:t>
      </w:r>
      <w:r w:rsidRPr="00624207">
        <w:rPr>
          <w:lang w:val="fr-FR"/>
        </w:rPr>
        <w:t xml:space="preserve"> sur la solution à 8,75</w:t>
      </w:r>
      <w:r w:rsidR="007A6379">
        <w:rPr>
          <w:lang w:val="fr-FR"/>
        </w:rPr>
        <w:t> </w:t>
      </w:r>
      <w:r w:rsidRPr="00624207">
        <w:rPr>
          <w:lang w:val="fr-FR"/>
        </w:rPr>
        <w:t>%), peuvent être utilisés pour accroître l</w:t>
      </w:r>
      <w:r>
        <w:rPr>
          <w:lang w:val="fr-FR"/>
        </w:rPr>
        <w:t>’</w:t>
      </w:r>
      <w:r w:rsidRPr="00624207">
        <w:rPr>
          <w:lang w:val="fr-FR"/>
        </w:rPr>
        <w:t>absorption de médicaments par la peau. De plus, l</w:t>
      </w:r>
      <w:r>
        <w:rPr>
          <w:lang w:val="fr-FR"/>
        </w:rPr>
        <w:t>’</w:t>
      </w:r>
      <w:r w:rsidRPr="00624207">
        <w:rPr>
          <w:lang w:val="fr-FR"/>
        </w:rPr>
        <w:t>employé n</w:t>
      </w:r>
      <w:r>
        <w:rPr>
          <w:lang w:val="fr-FR"/>
        </w:rPr>
        <w:t>’</w:t>
      </w:r>
      <w:r w:rsidRPr="00624207">
        <w:rPr>
          <w:lang w:val="fr-FR"/>
        </w:rPr>
        <w:t xml:space="preserve">a pas réagi immédiatement après avoir renversé la solution sur ses vêtements, ses mains, ses bras et ses jambes. Un composant de la solution </w:t>
      </w:r>
      <w:r>
        <w:rPr>
          <w:lang w:val="fr-FR"/>
        </w:rPr>
        <w:t xml:space="preserve">contenant </w:t>
      </w:r>
      <w:r w:rsidRPr="00624207">
        <w:rPr>
          <w:lang w:val="fr-FR"/>
        </w:rPr>
        <w:t>8,75</w:t>
      </w:r>
      <w:r w:rsidR="007A6379">
        <w:rPr>
          <w:lang w:val="fr-FR"/>
        </w:rPr>
        <w:t> </w:t>
      </w:r>
      <w:r w:rsidRPr="00624207">
        <w:rPr>
          <w:lang w:val="fr-FR"/>
        </w:rPr>
        <w:t xml:space="preserve">% </w:t>
      </w:r>
      <w:r>
        <w:rPr>
          <w:lang w:val="fr-FR"/>
        </w:rPr>
        <w:t xml:space="preserve">de TMAH </w:t>
      </w:r>
      <w:r w:rsidRPr="00624207">
        <w:rPr>
          <w:lang w:val="fr-FR"/>
        </w:rPr>
        <w:t>a sans doute eu un effet anesthésiant</w:t>
      </w:r>
      <w:r>
        <w:rPr>
          <w:lang w:val="fr-FR"/>
        </w:rPr>
        <w:t>,</w:t>
      </w:r>
      <w:r w:rsidRPr="00624207">
        <w:rPr>
          <w:lang w:val="fr-FR"/>
        </w:rPr>
        <w:t xml:space="preserve"> </w:t>
      </w:r>
      <w:r>
        <w:rPr>
          <w:lang w:val="fr-FR"/>
        </w:rPr>
        <w:t>à cause duquel</w:t>
      </w:r>
      <w:r w:rsidRPr="00624207">
        <w:rPr>
          <w:lang w:val="fr-FR"/>
        </w:rPr>
        <w:t xml:space="preserve"> l</w:t>
      </w:r>
      <w:r>
        <w:rPr>
          <w:lang w:val="fr-FR"/>
        </w:rPr>
        <w:t>’</w:t>
      </w:r>
      <w:r w:rsidRPr="00624207">
        <w:rPr>
          <w:lang w:val="fr-FR"/>
        </w:rPr>
        <w:t xml:space="preserve">employé a tardé à </w:t>
      </w:r>
      <w:r w:rsidRPr="00FF048F">
        <w:rPr>
          <w:lang w:val="fr-FR"/>
        </w:rPr>
        <w:t>réagir</w:t>
      </w:r>
      <w:r w:rsidRPr="00624207">
        <w:rPr>
          <w:lang w:val="fr-FR"/>
        </w:rPr>
        <w:t xml:space="preserve">. </w:t>
      </w:r>
      <w:r>
        <w:rPr>
          <w:lang w:val="fr-FR"/>
        </w:rPr>
        <w:t>C</w:t>
      </w:r>
      <w:r w:rsidRPr="00624207">
        <w:rPr>
          <w:lang w:val="fr-FR"/>
        </w:rPr>
        <w:t xml:space="preserve">es </w:t>
      </w:r>
      <w:r>
        <w:rPr>
          <w:lang w:val="fr-FR"/>
        </w:rPr>
        <w:t xml:space="preserve">éléments </w:t>
      </w:r>
      <w:r w:rsidRPr="00624207">
        <w:rPr>
          <w:lang w:val="fr-FR"/>
        </w:rPr>
        <w:t xml:space="preserve">ont </w:t>
      </w:r>
      <w:r>
        <w:rPr>
          <w:lang w:val="fr-FR"/>
        </w:rPr>
        <w:t xml:space="preserve">dont amplifié </w:t>
      </w:r>
      <w:r w:rsidRPr="00624207">
        <w:rPr>
          <w:lang w:val="fr-FR"/>
        </w:rPr>
        <w:t xml:space="preserve">les effets </w:t>
      </w:r>
      <w:r>
        <w:rPr>
          <w:lang w:val="fr-FR"/>
        </w:rPr>
        <w:t>de l’exposition, ce pourquoi</w:t>
      </w:r>
      <w:r w:rsidRPr="00624207">
        <w:rPr>
          <w:lang w:val="fr-FR"/>
        </w:rPr>
        <w:t xml:space="preserve"> </w:t>
      </w:r>
      <w:r>
        <w:rPr>
          <w:lang w:val="fr-FR"/>
        </w:rPr>
        <w:t>l</w:t>
      </w:r>
      <w:r w:rsidRPr="00624207">
        <w:rPr>
          <w:lang w:val="fr-FR"/>
        </w:rPr>
        <w:t>e point de référence de 8,75</w:t>
      </w:r>
      <w:r w:rsidR="007A6379">
        <w:rPr>
          <w:lang w:val="fr-FR"/>
        </w:rPr>
        <w:t> </w:t>
      </w:r>
      <w:r w:rsidRPr="00624207">
        <w:rPr>
          <w:lang w:val="fr-FR"/>
        </w:rPr>
        <w:t>% ne doit pas être utilisé pour déterminer la limite de concentration appliquée au GE I pour toutes les solutions contenant du TMAH sans tenir compte des autres composants de la préparation.</w:t>
      </w:r>
    </w:p>
    <w:p w14:paraId="1CC01A31" w14:textId="77777777" w:rsidR="007101CE" w:rsidRPr="00624207" w:rsidRDefault="007101CE" w:rsidP="007A6379">
      <w:pPr>
        <w:pStyle w:val="HChG"/>
        <w:rPr>
          <w:lang w:val="fr-FR"/>
        </w:rPr>
      </w:pPr>
      <w:r w:rsidRPr="00624207">
        <w:rPr>
          <w:lang w:val="fr-FR"/>
        </w:rPr>
        <w:tab/>
        <w:t>V.</w:t>
      </w:r>
      <w:r w:rsidRPr="00624207">
        <w:rPr>
          <w:lang w:val="fr-FR"/>
        </w:rPr>
        <w:tab/>
        <w:t>Valeurs seuil pour les solutions aqueuses de TMAH</w:t>
      </w:r>
    </w:p>
    <w:p w14:paraId="10B97842" w14:textId="77777777" w:rsidR="007101CE" w:rsidRPr="00624207" w:rsidRDefault="007101CE" w:rsidP="007101CE">
      <w:pPr>
        <w:pStyle w:val="SingleTxtG"/>
        <w:rPr>
          <w:lang w:val="fr-FR"/>
        </w:rPr>
      </w:pPr>
      <w:r w:rsidRPr="00624207">
        <w:rPr>
          <w:lang w:val="fr-FR"/>
        </w:rPr>
        <w:t>16.</w:t>
      </w:r>
      <w:r w:rsidRPr="00624207">
        <w:rPr>
          <w:lang w:val="fr-FR"/>
        </w:rPr>
        <w:tab/>
        <w:t>Des données de toxicité issues d</w:t>
      </w:r>
      <w:r>
        <w:rPr>
          <w:lang w:val="fr-FR"/>
        </w:rPr>
        <w:t>’</w:t>
      </w:r>
      <w:r w:rsidRPr="00691110">
        <w:rPr>
          <w:lang w:val="fr-FR"/>
        </w:rPr>
        <w:t>essais fiables menés sur des animaux</w:t>
      </w:r>
      <w:r w:rsidRPr="00624207">
        <w:rPr>
          <w:i/>
          <w:iCs/>
          <w:lang w:val="fr-FR"/>
        </w:rPr>
        <w:t xml:space="preserve"> </w:t>
      </w:r>
      <w:r w:rsidRPr="00624207">
        <w:rPr>
          <w:lang w:val="fr-FR"/>
        </w:rPr>
        <w:t>sont disponibles pour les solutions aqueuses de TMAH et ont été examinées par des experts en toxicologie qui estiment qu</w:t>
      </w:r>
      <w:r>
        <w:rPr>
          <w:lang w:val="fr-FR"/>
        </w:rPr>
        <w:t>’</w:t>
      </w:r>
      <w:r w:rsidRPr="00624207">
        <w:rPr>
          <w:lang w:val="fr-FR"/>
        </w:rPr>
        <w:t xml:space="preserve">elles concordent avec </w:t>
      </w:r>
      <w:r>
        <w:rPr>
          <w:lang w:val="fr-FR"/>
        </w:rPr>
        <w:t>ce que l’on sait des effets</w:t>
      </w:r>
      <w:r w:rsidRPr="00624207">
        <w:rPr>
          <w:lang w:val="fr-FR"/>
        </w:rPr>
        <w:t xml:space="preserve"> sur l</w:t>
      </w:r>
      <w:r>
        <w:rPr>
          <w:lang w:val="fr-FR"/>
        </w:rPr>
        <w:t>’</w:t>
      </w:r>
      <w:r w:rsidRPr="00624207">
        <w:rPr>
          <w:lang w:val="fr-FR"/>
        </w:rPr>
        <w:t>homme pour les groupes d</w:t>
      </w:r>
      <w:r>
        <w:rPr>
          <w:lang w:val="fr-FR"/>
        </w:rPr>
        <w:t>’</w:t>
      </w:r>
      <w:r w:rsidRPr="00624207">
        <w:rPr>
          <w:lang w:val="fr-FR"/>
        </w:rPr>
        <w:t>emballage de la division 6.1.</w:t>
      </w:r>
    </w:p>
    <w:p w14:paraId="36474721" w14:textId="753B4335" w:rsidR="007101CE" w:rsidRPr="00624207" w:rsidRDefault="007101CE" w:rsidP="007101CE">
      <w:pPr>
        <w:pStyle w:val="SingleTxtG"/>
        <w:rPr>
          <w:lang w:val="fr-FR"/>
        </w:rPr>
      </w:pPr>
      <w:r w:rsidRPr="00624207">
        <w:rPr>
          <w:lang w:val="fr-FR"/>
        </w:rPr>
        <w:t>17.</w:t>
      </w:r>
      <w:r w:rsidRPr="00624207">
        <w:rPr>
          <w:lang w:val="fr-FR"/>
        </w:rPr>
        <w:tab/>
        <w:t xml:space="preserve">Pour les solutions aqueuses simples, les données indiquent que la limite inférieure de concentration pour le GE I est supérieure à 25 %. Cette conclusion se fonde sur les valeurs les plus </w:t>
      </w:r>
      <w:r w:rsidRPr="00691110">
        <w:rPr>
          <w:lang w:val="fr-FR"/>
        </w:rPr>
        <w:t>prudentes</w:t>
      </w:r>
      <w:r w:rsidRPr="00624207">
        <w:rPr>
          <w:lang w:val="fr-FR"/>
        </w:rPr>
        <w:t xml:space="preserve"> relatives à la DL</w:t>
      </w:r>
      <w:r w:rsidRPr="00624207">
        <w:rPr>
          <w:vertAlign w:val="subscript"/>
          <w:lang w:val="fr-FR"/>
        </w:rPr>
        <w:t xml:space="preserve">50 </w:t>
      </w:r>
      <w:r w:rsidRPr="00624207">
        <w:rPr>
          <w:lang w:val="fr-FR"/>
        </w:rPr>
        <w:t>chez les animaux. Les effets connus sur l</w:t>
      </w:r>
      <w:r>
        <w:rPr>
          <w:lang w:val="fr-FR"/>
        </w:rPr>
        <w:t>’</w:t>
      </w:r>
      <w:r w:rsidRPr="00624207">
        <w:rPr>
          <w:lang w:val="fr-FR"/>
        </w:rPr>
        <w:t>homme (voir le tableau 1 du document ST/SG/AC.10/C.3/2022/24) confirme</w:t>
      </w:r>
      <w:r>
        <w:rPr>
          <w:lang w:val="fr-FR"/>
        </w:rPr>
        <w:t>nt</w:t>
      </w:r>
      <w:r w:rsidRPr="00624207">
        <w:rPr>
          <w:lang w:val="fr-FR"/>
        </w:rPr>
        <w:t xml:space="preserve"> cette estimation (voir également l</w:t>
      </w:r>
      <w:r>
        <w:rPr>
          <w:lang w:val="fr-FR"/>
        </w:rPr>
        <w:t>’</w:t>
      </w:r>
      <w:r w:rsidRPr="00624207">
        <w:rPr>
          <w:lang w:val="fr-FR"/>
        </w:rPr>
        <w:t>annexe 1). La limite de concentration inférieure pour le GE II pour la toxicité cutanée (6.1) est de 6,25</w:t>
      </w:r>
      <w:r w:rsidR="007A6379">
        <w:rPr>
          <w:lang w:val="fr-FR"/>
        </w:rPr>
        <w:t> </w:t>
      </w:r>
      <w:r w:rsidRPr="00624207">
        <w:rPr>
          <w:lang w:val="fr-FR"/>
        </w:rPr>
        <w:t>%. Toutefois, comme cette concentration correspond toujours à un classement dans le GE II pour la corrosivité (8), la limite de 6,25 % n</w:t>
      </w:r>
      <w:r>
        <w:rPr>
          <w:lang w:val="fr-FR"/>
        </w:rPr>
        <w:t>’</w:t>
      </w:r>
      <w:r w:rsidRPr="00624207">
        <w:rPr>
          <w:lang w:val="fr-FR"/>
        </w:rPr>
        <w:t>est pas pertinente pour déterminer le classement pour le transport et n</w:t>
      </w:r>
      <w:r>
        <w:rPr>
          <w:lang w:val="fr-FR"/>
        </w:rPr>
        <w:t>’</w:t>
      </w:r>
      <w:r w:rsidRPr="00624207">
        <w:rPr>
          <w:lang w:val="fr-FR"/>
        </w:rPr>
        <w:t>est pas reprise dans la proposition ci-dessous. La plage de concentration pour le GE III pour la toxicité cutanée est comprise entre plus de 2,5</w:t>
      </w:r>
      <w:r w:rsidR="007A6379">
        <w:rPr>
          <w:lang w:val="fr-FR"/>
        </w:rPr>
        <w:t> </w:t>
      </w:r>
      <w:r w:rsidRPr="00624207">
        <w:rPr>
          <w:lang w:val="fr-FR"/>
        </w:rPr>
        <w:t>% et moins de 6,25</w:t>
      </w:r>
      <w:r w:rsidR="007A6379">
        <w:rPr>
          <w:lang w:val="fr-FR"/>
        </w:rPr>
        <w:t> </w:t>
      </w:r>
      <w:r w:rsidRPr="00624207">
        <w:rPr>
          <w:lang w:val="fr-FR"/>
        </w:rPr>
        <w:t>%. En résumé, les données se traduisent par les plages de concentration suivantes :</w:t>
      </w:r>
    </w:p>
    <w:p w14:paraId="67809DF2" w14:textId="545C5AD2" w:rsidR="007101CE" w:rsidRPr="00624207" w:rsidRDefault="007101CE" w:rsidP="007101CE">
      <w:pPr>
        <w:spacing w:line="240" w:lineRule="auto"/>
        <w:jc w:val="center"/>
        <w:rPr>
          <w:lang w:val="fr-FR"/>
        </w:rPr>
      </w:pPr>
      <w:r w:rsidRPr="00624207">
        <w:rPr>
          <w:lang w:val="fr-FR"/>
        </w:rPr>
        <w:t>&gt; 25</w:t>
      </w:r>
      <w:r w:rsidR="007A6379">
        <w:rPr>
          <w:lang w:val="fr-FR"/>
        </w:rPr>
        <w:t> </w:t>
      </w:r>
      <w:r w:rsidRPr="00624207">
        <w:rPr>
          <w:lang w:val="fr-FR"/>
        </w:rPr>
        <w:t>%</w:t>
      </w:r>
      <w:r>
        <w:rPr>
          <w:lang w:val="fr-FR"/>
        </w:rPr>
        <w:t xml:space="preserve"> : </w:t>
      </w:r>
      <w:r w:rsidRPr="00624207">
        <w:rPr>
          <w:lang w:val="fr-FR"/>
        </w:rPr>
        <w:t>GE I</w:t>
      </w:r>
    </w:p>
    <w:p w14:paraId="4C382867" w14:textId="59D874AB" w:rsidR="007101CE" w:rsidRPr="00624207" w:rsidRDefault="007101CE" w:rsidP="007101CE">
      <w:pPr>
        <w:spacing w:line="240" w:lineRule="auto"/>
        <w:jc w:val="center"/>
        <w:rPr>
          <w:lang w:val="fr-FR"/>
        </w:rPr>
      </w:pPr>
      <w:proofErr w:type="gramStart"/>
      <w:r>
        <w:rPr>
          <w:lang w:val="fr-FR"/>
        </w:rPr>
        <w:t>de</w:t>
      </w:r>
      <w:proofErr w:type="gramEnd"/>
      <w:r>
        <w:rPr>
          <w:lang w:val="fr-FR"/>
        </w:rPr>
        <w:t xml:space="preserve"> </w:t>
      </w:r>
      <w:r w:rsidRPr="00624207">
        <w:rPr>
          <w:lang w:val="fr-FR"/>
        </w:rPr>
        <w:t>6,25</w:t>
      </w:r>
      <w:r w:rsidR="007A6379">
        <w:rPr>
          <w:lang w:val="fr-FR"/>
        </w:rPr>
        <w:t> </w:t>
      </w:r>
      <w:r w:rsidRPr="00624207">
        <w:rPr>
          <w:lang w:val="fr-FR"/>
        </w:rPr>
        <w:t>% à 25</w:t>
      </w:r>
      <w:r w:rsidR="007A6379">
        <w:rPr>
          <w:lang w:val="fr-FR"/>
        </w:rPr>
        <w:t> </w:t>
      </w:r>
      <w:r w:rsidRPr="00624207">
        <w:rPr>
          <w:lang w:val="fr-FR"/>
        </w:rPr>
        <w:t>%</w:t>
      </w:r>
      <w:r>
        <w:rPr>
          <w:lang w:val="fr-FR"/>
        </w:rPr>
        <w:t> :</w:t>
      </w:r>
      <w:r w:rsidRPr="00624207">
        <w:rPr>
          <w:lang w:val="fr-FR"/>
        </w:rPr>
        <w:t xml:space="preserve"> GE II</w:t>
      </w:r>
    </w:p>
    <w:p w14:paraId="2172C8F1" w14:textId="3FAEFE33" w:rsidR="007101CE" w:rsidRPr="00624207" w:rsidRDefault="007101CE" w:rsidP="007A6379">
      <w:pPr>
        <w:spacing w:after="120" w:line="240" w:lineRule="auto"/>
        <w:jc w:val="center"/>
        <w:rPr>
          <w:lang w:val="fr-FR"/>
        </w:rPr>
      </w:pPr>
      <w:r w:rsidRPr="00624207">
        <w:rPr>
          <w:lang w:val="fr-FR"/>
        </w:rPr>
        <w:t>&gt; 2,5</w:t>
      </w:r>
      <w:r w:rsidR="007A6379">
        <w:rPr>
          <w:lang w:val="fr-FR"/>
        </w:rPr>
        <w:t> </w:t>
      </w:r>
      <w:r w:rsidRPr="00624207">
        <w:rPr>
          <w:lang w:val="fr-FR"/>
        </w:rPr>
        <w:t xml:space="preserve">% </w:t>
      </w:r>
      <w:r>
        <w:rPr>
          <w:lang w:val="fr-FR"/>
        </w:rPr>
        <w:t xml:space="preserve">et </w:t>
      </w:r>
      <w:r w:rsidRPr="00624207">
        <w:rPr>
          <w:lang w:val="fr-FR"/>
        </w:rPr>
        <w:t>&lt; 6,25</w:t>
      </w:r>
      <w:r w:rsidR="007A6379">
        <w:rPr>
          <w:lang w:val="fr-FR"/>
        </w:rPr>
        <w:t> </w:t>
      </w:r>
      <w:r w:rsidRPr="00624207">
        <w:rPr>
          <w:lang w:val="fr-FR"/>
        </w:rPr>
        <w:t>%</w:t>
      </w:r>
      <w:r>
        <w:rPr>
          <w:lang w:val="fr-FR"/>
        </w:rPr>
        <w:t> :</w:t>
      </w:r>
      <w:r w:rsidRPr="00624207">
        <w:rPr>
          <w:lang w:val="fr-FR"/>
        </w:rPr>
        <w:t xml:space="preserve"> GE III.</w:t>
      </w:r>
    </w:p>
    <w:p w14:paraId="4B939101" w14:textId="77777777" w:rsidR="007101CE" w:rsidRPr="00624207" w:rsidRDefault="007101CE" w:rsidP="007A6379">
      <w:pPr>
        <w:pStyle w:val="SingleTxtG"/>
        <w:rPr>
          <w:rFonts w:eastAsia="Times New Roman"/>
          <w:lang w:val="fr-FR"/>
        </w:rPr>
      </w:pPr>
      <w:r w:rsidRPr="00624207">
        <w:rPr>
          <w:lang w:val="fr-FR"/>
        </w:rPr>
        <w:t>18.</w:t>
      </w:r>
      <w:r w:rsidRPr="00624207">
        <w:rPr>
          <w:lang w:val="fr-FR"/>
        </w:rPr>
        <w:tab/>
        <w:t xml:space="preserve">En outre, sur la base de </w:t>
      </w:r>
      <w:r w:rsidRPr="00F466DA">
        <w:rPr>
          <w:lang w:val="fr-FR"/>
        </w:rPr>
        <w:t>l</w:t>
      </w:r>
      <w:r>
        <w:rPr>
          <w:lang w:val="fr-FR"/>
        </w:rPr>
        <w:t>’</w:t>
      </w:r>
      <w:r w:rsidRPr="00F466DA">
        <w:rPr>
          <w:lang w:val="fr-FR"/>
        </w:rPr>
        <w:t>ordre de prépondérance</w:t>
      </w:r>
      <w:r w:rsidRPr="00054F66">
        <w:rPr>
          <w:lang w:val="fr-FR"/>
        </w:rPr>
        <w:t xml:space="preserve"> donné d</w:t>
      </w:r>
      <w:r>
        <w:rPr>
          <w:lang w:val="fr-FR"/>
        </w:rPr>
        <w:t>an</w:t>
      </w:r>
      <w:r w:rsidRPr="00054F66">
        <w:rPr>
          <w:lang w:val="fr-FR"/>
        </w:rPr>
        <w:t>s les p</w:t>
      </w:r>
      <w:r w:rsidRPr="00624207">
        <w:rPr>
          <w:lang w:val="fr-FR"/>
        </w:rPr>
        <w:t>rincipes directeurs relatifs aux dangers, le Cefic et le DGAC estiment que, pour le GE II,</w:t>
      </w:r>
      <w:r w:rsidRPr="00F466DA">
        <w:rPr>
          <w:lang w:val="fr-FR"/>
        </w:rPr>
        <w:t xml:space="preserve"> le produit doit se voir attribuer un danger principal de la classe 8 et un danger subsidiaire de la division 6.1.</w:t>
      </w:r>
    </w:p>
    <w:p w14:paraId="772EA9D4" w14:textId="77777777" w:rsidR="007101CE" w:rsidRPr="00624207" w:rsidRDefault="007101CE" w:rsidP="007A6379">
      <w:pPr>
        <w:pStyle w:val="HChG"/>
        <w:rPr>
          <w:lang w:val="fr-FR"/>
        </w:rPr>
      </w:pPr>
      <w:r w:rsidRPr="00624207">
        <w:rPr>
          <w:lang w:val="fr-FR"/>
        </w:rPr>
        <w:lastRenderedPageBreak/>
        <w:tab/>
        <w:t>VI.</w:t>
      </w:r>
      <w:r w:rsidRPr="00624207">
        <w:rPr>
          <w:lang w:val="fr-FR"/>
        </w:rPr>
        <w:tab/>
        <w:t>Conclusion</w:t>
      </w:r>
    </w:p>
    <w:p w14:paraId="54361B62" w14:textId="46E16DFC" w:rsidR="007101CE" w:rsidRPr="00624207" w:rsidRDefault="007101CE" w:rsidP="007101CE">
      <w:pPr>
        <w:pStyle w:val="SingleTxtG"/>
        <w:rPr>
          <w:lang w:val="fr-FR"/>
        </w:rPr>
      </w:pPr>
      <w:r w:rsidRPr="00624207">
        <w:rPr>
          <w:lang w:val="fr-FR"/>
        </w:rPr>
        <w:t>19.</w:t>
      </w:r>
      <w:r w:rsidRPr="00624207">
        <w:rPr>
          <w:lang w:val="fr-FR"/>
        </w:rPr>
        <w:tab/>
        <w:t>L</w:t>
      </w:r>
      <w:r>
        <w:rPr>
          <w:lang w:val="fr-FR"/>
        </w:rPr>
        <w:t>’</w:t>
      </w:r>
      <w:r w:rsidRPr="00624207">
        <w:rPr>
          <w:lang w:val="fr-FR"/>
        </w:rPr>
        <w:t xml:space="preserve">approche </w:t>
      </w:r>
      <w:r w:rsidRPr="00054F66">
        <w:rPr>
          <w:lang w:val="fr-FR"/>
        </w:rPr>
        <w:t xml:space="preserve">initiale a conduit à considérer </w:t>
      </w:r>
      <w:r w:rsidRPr="007B1E0C">
        <w:rPr>
          <w:lang w:val="fr-FR"/>
        </w:rPr>
        <w:t xml:space="preserve">que le </w:t>
      </w:r>
      <w:r>
        <w:rPr>
          <w:lang w:val="fr-FR"/>
        </w:rPr>
        <w:t xml:space="preserve">cas du </w:t>
      </w:r>
      <w:r w:rsidRPr="007B1E0C">
        <w:rPr>
          <w:lang w:val="fr-FR"/>
        </w:rPr>
        <w:t>produit contenant 8,75</w:t>
      </w:r>
      <w:r w:rsidR="007A6379">
        <w:rPr>
          <w:lang w:val="fr-FR"/>
        </w:rPr>
        <w:t> </w:t>
      </w:r>
      <w:r w:rsidRPr="007B1E0C">
        <w:rPr>
          <w:lang w:val="fr-FR"/>
        </w:rPr>
        <w:t xml:space="preserve">% de TMAH en solution </w:t>
      </w:r>
      <w:r w:rsidRPr="00054F66">
        <w:rPr>
          <w:lang w:val="fr-FR"/>
        </w:rPr>
        <w:t>ne pouvait être pris en compte</w:t>
      </w:r>
      <w:r>
        <w:rPr>
          <w:lang w:val="fr-FR"/>
        </w:rPr>
        <w:t xml:space="preserve"> </w:t>
      </w:r>
      <w:r w:rsidRPr="00624207">
        <w:rPr>
          <w:lang w:val="fr-FR"/>
        </w:rPr>
        <w:t xml:space="preserve">pour le classement des solutions aqueuses de TMAH en concentrations </w:t>
      </w:r>
      <w:r w:rsidRPr="00FA0DEC">
        <w:rPr>
          <w:lang w:val="fr-FR"/>
        </w:rPr>
        <w:t xml:space="preserve">diverses </w:t>
      </w:r>
      <w:r w:rsidRPr="00624207">
        <w:rPr>
          <w:lang w:val="fr-FR"/>
        </w:rPr>
        <w:t xml:space="preserve">actuellement transportées en grandes quantités dans le monde entier en vue de la fabrication de composants électroniques. Le Cefic et le DGAC ont souligné que </w:t>
      </w:r>
      <w:r>
        <w:rPr>
          <w:lang w:val="fr-FR"/>
        </w:rPr>
        <w:t>ce produit</w:t>
      </w:r>
      <w:r w:rsidRPr="00624207">
        <w:rPr>
          <w:lang w:val="fr-FR"/>
        </w:rPr>
        <w:t xml:space="preserve"> contenait plusieurs autres </w:t>
      </w:r>
      <w:r>
        <w:rPr>
          <w:lang w:val="fr-FR"/>
        </w:rPr>
        <w:t>composants</w:t>
      </w:r>
      <w:r w:rsidRPr="00624207">
        <w:rPr>
          <w:lang w:val="fr-FR"/>
        </w:rPr>
        <w:t xml:space="preserve"> chimiques, notamment un agent tensioactif (</w:t>
      </w:r>
      <w:r>
        <w:rPr>
          <w:lang w:val="fr-FR"/>
        </w:rPr>
        <w:t>l’</w:t>
      </w:r>
      <w:r w:rsidRPr="00624207">
        <w:rPr>
          <w:lang w:val="fr-FR"/>
        </w:rPr>
        <w:t>alcool éthoxylé) à une concentration encore plus élevée que le TMAH. La présence de cet agent tensioactif, ainsi que d</w:t>
      </w:r>
      <w:r>
        <w:rPr>
          <w:lang w:val="fr-FR"/>
        </w:rPr>
        <w:t>’</w:t>
      </w:r>
      <w:r w:rsidRPr="00624207">
        <w:rPr>
          <w:lang w:val="fr-FR"/>
        </w:rPr>
        <w:t xml:space="preserve">autres produits chimiques, </w:t>
      </w:r>
      <w:proofErr w:type="gramStart"/>
      <w:r w:rsidRPr="00624207">
        <w:rPr>
          <w:lang w:val="fr-FR"/>
        </w:rPr>
        <w:t>a</w:t>
      </w:r>
      <w:r>
        <w:rPr>
          <w:lang w:val="fr-FR"/>
        </w:rPr>
        <w:t>vait</w:t>
      </w:r>
      <w:proofErr w:type="gramEnd"/>
      <w:r w:rsidRPr="00624207">
        <w:rPr>
          <w:lang w:val="fr-FR"/>
        </w:rPr>
        <w:t xml:space="preserve"> incontestablement une incidence sur les caractéristiques de danger </w:t>
      </w:r>
      <w:r w:rsidRPr="007B1E0C">
        <w:rPr>
          <w:lang w:val="fr-FR"/>
        </w:rPr>
        <w:t>du produit incriminé, qui n</w:t>
      </w:r>
      <w:r>
        <w:rPr>
          <w:lang w:val="fr-FR"/>
        </w:rPr>
        <w:t>’</w:t>
      </w:r>
      <w:r w:rsidRPr="007B1E0C">
        <w:rPr>
          <w:lang w:val="fr-FR"/>
        </w:rPr>
        <w:t xml:space="preserve">était donc pas assimilable à une simple </w:t>
      </w:r>
      <w:r w:rsidRPr="00624207">
        <w:rPr>
          <w:lang w:val="fr-FR"/>
        </w:rPr>
        <w:t>solution aqueuse.</w:t>
      </w:r>
    </w:p>
    <w:p w14:paraId="3AC551B3" w14:textId="3D20A79C" w:rsidR="007101CE" w:rsidRPr="00624207" w:rsidRDefault="007101CE" w:rsidP="007101CE">
      <w:pPr>
        <w:pStyle w:val="SingleTxtG"/>
        <w:rPr>
          <w:lang w:val="fr-FR"/>
        </w:rPr>
      </w:pPr>
      <w:r w:rsidRPr="00624207">
        <w:rPr>
          <w:lang w:val="fr-FR"/>
        </w:rPr>
        <w:t>20.</w:t>
      </w:r>
      <w:r w:rsidRPr="00624207">
        <w:rPr>
          <w:lang w:val="fr-FR"/>
        </w:rPr>
        <w:tab/>
        <w:t xml:space="preserve">Cependant, </w:t>
      </w:r>
      <w:r w:rsidRPr="004C767C">
        <w:rPr>
          <w:lang w:val="fr-FR"/>
        </w:rPr>
        <w:t xml:space="preserve">ce produit ayant été mis au point pour être </w:t>
      </w:r>
      <w:r>
        <w:rPr>
          <w:lang w:val="fr-FR"/>
        </w:rPr>
        <w:t>commercialisé</w:t>
      </w:r>
      <w:r w:rsidRPr="004C767C">
        <w:rPr>
          <w:lang w:val="fr-FR"/>
        </w:rPr>
        <w:t>, il serait probablement un jour ou l</w:t>
      </w:r>
      <w:r>
        <w:rPr>
          <w:lang w:val="fr-FR"/>
        </w:rPr>
        <w:t>’</w:t>
      </w:r>
      <w:r w:rsidRPr="004C767C">
        <w:rPr>
          <w:lang w:val="fr-FR"/>
        </w:rPr>
        <w:t>autre transporté</w:t>
      </w:r>
      <w:r w:rsidRPr="00624207">
        <w:rPr>
          <w:lang w:val="fr-FR"/>
        </w:rPr>
        <w:t xml:space="preserve">. </w:t>
      </w:r>
      <w:r w:rsidRPr="004C767C">
        <w:rPr>
          <w:lang w:val="fr-FR"/>
        </w:rPr>
        <w:t xml:space="preserve">Il était donc nécessaire de procéder aux </w:t>
      </w:r>
      <w:r>
        <w:rPr>
          <w:lang w:val="fr-FR"/>
        </w:rPr>
        <w:t>ajustements</w:t>
      </w:r>
      <w:r w:rsidRPr="004C767C">
        <w:rPr>
          <w:lang w:val="fr-FR"/>
        </w:rPr>
        <w:t xml:space="preserve"> nécessaires pour</w:t>
      </w:r>
      <w:r w:rsidRPr="004C767C" w:rsidDel="004C767C">
        <w:rPr>
          <w:lang w:val="fr-FR"/>
        </w:rPr>
        <w:t xml:space="preserve"> </w:t>
      </w:r>
      <w:r w:rsidRPr="00624207">
        <w:rPr>
          <w:lang w:val="fr-FR"/>
        </w:rPr>
        <w:t>son classement</w:t>
      </w:r>
      <w:r>
        <w:rPr>
          <w:lang w:val="fr-FR"/>
        </w:rPr>
        <w:t xml:space="preserve">. Cependant, </w:t>
      </w:r>
      <w:r w:rsidRPr="004C767C">
        <w:rPr>
          <w:lang w:val="fr-FR"/>
        </w:rPr>
        <w:t xml:space="preserve">on ne pouvait </w:t>
      </w:r>
      <w:r>
        <w:rPr>
          <w:lang w:val="fr-FR"/>
        </w:rPr>
        <w:t>ni le classer au moyen d</w:t>
      </w:r>
      <w:r w:rsidRPr="004C767C">
        <w:rPr>
          <w:lang w:val="fr-FR"/>
        </w:rPr>
        <w:t>es</w:t>
      </w:r>
      <w:r w:rsidRPr="00624207">
        <w:rPr>
          <w:lang w:val="fr-FR"/>
        </w:rPr>
        <w:t xml:space="preserve"> paramètres applicables aux solutions aqueuses existantes, </w:t>
      </w:r>
      <w:r w:rsidRPr="004C767C">
        <w:rPr>
          <w:lang w:val="fr-FR"/>
        </w:rPr>
        <w:t>ni l</w:t>
      </w:r>
      <w:r>
        <w:rPr>
          <w:lang w:val="fr-FR"/>
        </w:rPr>
        <w:t>’</w:t>
      </w:r>
      <w:r w:rsidRPr="004C767C">
        <w:rPr>
          <w:lang w:val="fr-FR"/>
        </w:rPr>
        <w:t xml:space="preserve">utiliser </w:t>
      </w:r>
      <w:r w:rsidRPr="00624207">
        <w:rPr>
          <w:lang w:val="fr-FR"/>
        </w:rPr>
        <w:t xml:space="preserve">de manière adéquate pour reclasser les solutions aqueuses. </w:t>
      </w:r>
      <w:r>
        <w:rPr>
          <w:lang w:val="fr-FR"/>
        </w:rPr>
        <w:t xml:space="preserve">Il devait, tout comme </w:t>
      </w:r>
      <w:r w:rsidRPr="00624207">
        <w:rPr>
          <w:lang w:val="fr-FR"/>
        </w:rPr>
        <w:t>les préparations analogues, faire l</w:t>
      </w:r>
      <w:r>
        <w:rPr>
          <w:lang w:val="fr-FR"/>
        </w:rPr>
        <w:t>’</w:t>
      </w:r>
      <w:r w:rsidRPr="00624207">
        <w:rPr>
          <w:lang w:val="fr-FR"/>
        </w:rPr>
        <w:t>objet d</w:t>
      </w:r>
      <w:r>
        <w:rPr>
          <w:lang w:val="fr-FR"/>
        </w:rPr>
        <w:t>’</w:t>
      </w:r>
      <w:r w:rsidRPr="00624207">
        <w:rPr>
          <w:lang w:val="fr-FR"/>
        </w:rPr>
        <w:t xml:space="preserve">un traitement distinct. Le Cefic et le DGAC </w:t>
      </w:r>
      <w:r>
        <w:rPr>
          <w:lang w:val="fr-FR"/>
        </w:rPr>
        <w:t>considéraient également</w:t>
      </w:r>
      <w:r w:rsidRPr="00624207">
        <w:rPr>
          <w:lang w:val="fr-FR"/>
        </w:rPr>
        <w:t xml:space="preserve"> qu</w:t>
      </w:r>
      <w:r>
        <w:rPr>
          <w:lang w:val="fr-FR"/>
        </w:rPr>
        <w:t>’</w:t>
      </w:r>
      <w:r w:rsidRPr="00624207">
        <w:rPr>
          <w:lang w:val="fr-FR"/>
        </w:rPr>
        <w:t>il était nécessaire d</w:t>
      </w:r>
      <w:r>
        <w:rPr>
          <w:lang w:val="fr-FR"/>
        </w:rPr>
        <w:t>’</w:t>
      </w:r>
      <w:r w:rsidRPr="00624207">
        <w:rPr>
          <w:lang w:val="fr-FR"/>
        </w:rPr>
        <w:t xml:space="preserve">adapter </w:t>
      </w:r>
      <w:r>
        <w:rPr>
          <w:lang w:val="fr-FR"/>
        </w:rPr>
        <w:t xml:space="preserve">les modalités </w:t>
      </w:r>
      <w:r w:rsidRPr="00874628">
        <w:rPr>
          <w:lang w:val="fr-FR"/>
        </w:rPr>
        <w:t>de classement des s</w:t>
      </w:r>
      <w:r w:rsidRPr="00624207">
        <w:rPr>
          <w:lang w:val="fr-FR"/>
        </w:rPr>
        <w:t xml:space="preserve">olutions existantes contenant une faible concentration de TMAH </w:t>
      </w:r>
      <w:r>
        <w:rPr>
          <w:lang w:val="fr-FR"/>
        </w:rPr>
        <w:t>et</w:t>
      </w:r>
      <w:r w:rsidRPr="00624207">
        <w:rPr>
          <w:lang w:val="fr-FR"/>
        </w:rPr>
        <w:t xml:space="preserve"> une concentration encore plus faible (généralement moins de 1</w:t>
      </w:r>
      <w:r w:rsidR="00B7223A">
        <w:rPr>
          <w:lang w:val="fr-FR"/>
        </w:rPr>
        <w:t> </w:t>
      </w:r>
      <w:r w:rsidRPr="00624207">
        <w:rPr>
          <w:lang w:val="fr-FR"/>
        </w:rPr>
        <w:t>%) d</w:t>
      </w:r>
      <w:r>
        <w:rPr>
          <w:lang w:val="fr-FR"/>
        </w:rPr>
        <w:t>’</w:t>
      </w:r>
      <w:r w:rsidRPr="00624207">
        <w:rPr>
          <w:lang w:val="fr-FR"/>
        </w:rPr>
        <w:t xml:space="preserve">autres produits chimiques (même si les solutions de ce type </w:t>
      </w:r>
      <w:r>
        <w:rPr>
          <w:lang w:val="fr-FR"/>
        </w:rPr>
        <w:t>étaient</w:t>
      </w:r>
      <w:r w:rsidRPr="00624207">
        <w:rPr>
          <w:lang w:val="fr-FR"/>
        </w:rPr>
        <w:t xml:space="preserve"> relativement peu nombreuses), ainsi que d</w:t>
      </w:r>
      <w:r>
        <w:rPr>
          <w:lang w:val="fr-FR"/>
        </w:rPr>
        <w:t>’</w:t>
      </w:r>
      <w:r w:rsidRPr="00624207">
        <w:rPr>
          <w:lang w:val="fr-FR"/>
        </w:rPr>
        <w:t xml:space="preserve">un nombre </w:t>
      </w:r>
      <w:r>
        <w:rPr>
          <w:lang w:val="fr-FR"/>
        </w:rPr>
        <w:t xml:space="preserve">potentiellement </w:t>
      </w:r>
      <w:r w:rsidRPr="00624207">
        <w:rPr>
          <w:lang w:val="fr-FR"/>
        </w:rPr>
        <w:t>illimité d</w:t>
      </w:r>
      <w:r>
        <w:rPr>
          <w:lang w:val="fr-FR"/>
        </w:rPr>
        <w:t>’</w:t>
      </w:r>
      <w:r w:rsidRPr="00624207">
        <w:rPr>
          <w:lang w:val="fr-FR"/>
        </w:rPr>
        <w:t xml:space="preserve">autres solutions, existantes ou futures, </w:t>
      </w:r>
      <w:r>
        <w:rPr>
          <w:lang w:val="fr-FR"/>
        </w:rPr>
        <w:t xml:space="preserve">à la formulation </w:t>
      </w:r>
      <w:r w:rsidRPr="00874628">
        <w:rPr>
          <w:lang w:val="fr-FR"/>
        </w:rPr>
        <w:t>inconnaissable</w:t>
      </w:r>
      <w:r w:rsidRPr="00624207">
        <w:rPr>
          <w:lang w:val="fr-FR"/>
        </w:rPr>
        <w:t>.</w:t>
      </w:r>
    </w:p>
    <w:p w14:paraId="3EDC045D" w14:textId="28CAD40E" w:rsidR="007101CE" w:rsidRPr="00624207" w:rsidRDefault="007101CE" w:rsidP="007101CE">
      <w:pPr>
        <w:pStyle w:val="SingleTxtG"/>
        <w:rPr>
          <w:lang w:val="fr-FR"/>
        </w:rPr>
      </w:pPr>
      <w:r w:rsidRPr="00624207">
        <w:rPr>
          <w:lang w:val="fr-FR"/>
        </w:rPr>
        <w:t>21.</w:t>
      </w:r>
      <w:r w:rsidRPr="00624207">
        <w:rPr>
          <w:lang w:val="fr-FR"/>
        </w:rPr>
        <w:tab/>
        <w:t>En résumé, le Cefic et le DGAC ont constaté qu</w:t>
      </w:r>
      <w:r>
        <w:rPr>
          <w:lang w:val="fr-FR"/>
        </w:rPr>
        <w:t>’</w:t>
      </w:r>
      <w:r w:rsidRPr="00624207">
        <w:rPr>
          <w:lang w:val="fr-FR"/>
        </w:rPr>
        <w:t>il n</w:t>
      </w:r>
      <w:r>
        <w:rPr>
          <w:lang w:val="fr-FR"/>
        </w:rPr>
        <w:t>’</w:t>
      </w:r>
      <w:r w:rsidRPr="00624207">
        <w:rPr>
          <w:lang w:val="fr-FR"/>
        </w:rPr>
        <w:t>était pas possible d</w:t>
      </w:r>
      <w:r>
        <w:rPr>
          <w:lang w:val="fr-FR"/>
        </w:rPr>
        <w:t>’</w:t>
      </w:r>
      <w:r w:rsidRPr="00624207">
        <w:rPr>
          <w:lang w:val="fr-FR"/>
        </w:rPr>
        <w:t xml:space="preserve">utiliser un </w:t>
      </w:r>
      <w:r w:rsidRPr="00C15C42">
        <w:rPr>
          <w:lang w:val="fr-FR"/>
        </w:rPr>
        <w:t xml:space="preserve">même </w:t>
      </w:r>
      <w:r>
        <w:rPr>
          <w:lang w:val="fr-FR"/>
        </w:rPr>
        <w:t>No</w:t>
      </w:r>
      <w:r w:rsidRPr="00C15C42">
        <w:rPr>
          <w:lang w:val="fr-FR"/>
        </w:rPr>
        <w:t xml:space="preserve"> ONU, avec ses </w:t>
      </w:r>
      <w:r w:rsidRPr="00624207">
        <w:rPr>
          <w:lang w:val="fr-FR"/>
        </w:rPr>
        <w:t xml:space="preserve">différentes combinaisons de dangers principaux et subsidiaires et </w:t>
      </w:r>
      <w:r>
        <w:rPr>
          <w:lang w:val="fr-FR"/>
        </w:rPr>
        <w:t xml:space="preserve">ses </w:t>
      </w:r>
      <w:r w:rsidRPr="00624207">
        <w:rPr>
          <w:lang w:val="fr-FR"/>
        </w:rPr>
        <w:t>différents groupes d</w:t>
      </w:r>
      <w:r>
        <w:rPr>
          <w:lang w:val="fr-FR"/>
        </w:rPr>
        <w:t>’</w:t>
      </w:r>
      <w:r w:rsidRPr="00624207">
        <w:rPr>
          <w:lang w:val="fr-FR"/>
        </w:rPr>
        <w:t>emballage,</w:t>
      </w:r>
      <w:r>
        <w:rPr>
          <w:lang w:val="fr-FR"/>
        </w:rPr>
        <w:t xml:space="preserve"> </w:t>
      </w:r>
      <w:r w:rsidRPr="00C15C42">
        <w:rPr>
          <w:lang w:val="fr-FR"/>
        </w:rPr>
        <w:t>d</w:t>
      </w:r>
      <w:r>
        <w:rPr>
          <w:lang w:val="fr-FR"/>
        </w:rPr>
        <w:t>’</w:t>
      </w:r>
      <w:r w:rsidRPr="00C15C42">
        <w:rPr>
          <w:lang w:val="fr-FR"/>
        </w:rPr>
        <w:t>un côté en l</w:t>
      </w:r>
      <w:r>
        <w:rPr>
          <w:lang w:val="fr-FR"/>
        </w:rPr>
        <w:t>’</w:t>
      </w:r>
      <w:r w:rsidRPr="00C15C42">
        <w:rPr>
          <w:lang w:val="fr-FR"/>
        </w:rPr>
        <w:t xml:space="preserve">appliquant systématiquement à diverses solutions aqueuses simples ou diluées, et </w:t>
      </w:r>
      <w:r>
        <w:rPr>
          <w:lang w:val="fr-FR"/>
        </w:rPr>
        <w:t>de l’autre</w:t>
      </w:r>
      <w:r w:rsidRPr="00C15C42">
        <w:rPr>
          <w:lang w:val="fr-FR"/>
        </w:rPr>
        <w:t xml:space="preserve"> pour classer de façon fiable des </w:t>
      </w:r>
      <w:r w:rsidRPr="00624207">
        <w:rPr>
          <w:lang w:val="fr-FR"/>
        </w:rPr>
        <w:t>préparations plus complexes contenant du TMAH.</w:t>
      </w:r>
    </w:p>
    <w:p w14:paraId="19A03071" w14:textId="77777777" w:rsidR="007101CE" w:rsidRPr="00624207" w:rsidRDefault="007101CE" w:rsidP="007101CE">
      <w:pPr>
        <w:pStyle w:val="SingleTxtG"/>
        <w:rPr>
          <w:lang w:val="fr-FR"/>
        </w:rPr>
      </w:pPr>
      <w:r w:rsidRPr="00624207">
        <w:rPr>
          <w:lang w:val="fr-FR"/>
        </w:rPr>
        <w:t>22.</w:t>
      </w:r>
      <w:r w:rsidRPr="00624207">
        <w:rPr>
          <w:lang w:val="fr-FR"/>
        </w:rPr>
        <w:tab/>
        <w:t>Par conséquent, le Cefic et le DGAC proposent d</w:t>
      </w:r>
      <w:r>
        <w:rPr>
          <w:lang w:val="fr-FR"/>
        </w:rPr>
        <w:t>’</w:t>
      </w:r>
      <w:r w:rsidRPr="00624207">
        <w:rPr>
          <w:lang w:val="fr-FR"/>
        </w:rPr>
        <w:t xml:space="preserve">apporter des améliorations au classement du </w:t>
      </w:r>
      <w:r w:rsidRPr="008269BE">
        <w:rPr>
          <w:lang w:val="fr-FR"/>
        </w:rPr>
        <w:t xml:space="preserve">TMAH </w:t>
      </w:r>
      <w:r w:rsidRPr="00624207">
        <w:rPr>
          <w:lang w:val="fr-FR"/>
        </w:rPr>
        <w:t>et des</w:t>
      </w:r>
      <w:r>
        <w:rPr>
          <w:lang w:val="fr-FR"/>
        </w:rPr>
        <w:t xml:space="preserve"> </w:t>
      </w:r>
      <w:r w:rsidRPr="00624207">
        <w:rPr>
          <w:lang w:val="fr-FR"/>
        </w:rPr>
        <w:t>solutions</w:t>
      </w:r>
      <w:r>
        <w:rPr>
          <w:lang w:val="fr-FR"/>
        </w:rPr>
        <w:t xml:space="preserve"> de cette matière</w:t>
      </w:r>
      <w:r w:rsidRPr="00624207">
        <w:rPr>
          <w:lang w:val="fr-FR"/>
        </w:rPr>
        <w:t>. La proposition présentée prend en considération les données relatives aux effets connus sur l</w:t>
      </w:r>
      <w:r>
        <w:rPr>
          <w:lang w:val="fr-FR"/>
        </w:rPr>
        <w:t>’</w:t>
      </w:r>
      <w:r w:rsidRPr="00624207">
        <w:rPr>
          <w:lang w:val="fr-FR"/>
        </w:rPr>
        <w:t>homme dans leur ensemble, mais elle tient compte des différences entre les solutions aqueuses simples d</w:t>
      </w:r>
      <w:r>
        <w:rPr>
          <w:lang w:val="fr-FR"/>
        </w:rPr>
        <w:t xml:space="preserve">e </w:t>
      </w:r>
      <w:r w:rsidRPr="008269BE">
        <w:rPr>
          <w:lang w:val="fr-FR"/>
        </w:rPr>
        <w:t xml:space="preserve">TMAH </w:t>
      </w:r>
      <w:r w:rsidRPr="00624207">
        <w:rPr>
          <w:lang w:val="fr-FR"/>
        </w:rPr>
        <w:t>et les préparations plus complexes. Elle repose sur une approche affinée, fondée sur les données issues de l</w:t>
      </w:r>
      <w:r>
        <w:rPr>
          <w:lang w:val="fr-FR"/>
        </w:rPr>
        <w:t>’</w:t>
      </w:r>
      <w:r w:rsidRPr="00624207">
        <w:rPr>
          <w:lang w:val="fr-FR"/>
        </w:rPr>
        <w:t xml:space="preserve">expérimentation animale </w:t>
      </w:r>
      <w:r>
        <w:rPr>
          <w:lang w:val="fr-FR"/>
        </w:rPr>
        <w:t>relatives aux</w:t>
      </w:r>
      <w:r w:rsidRPr="00624207">
        <w:rPr>
          <w:lang w:val="fr-FR"/>
        </w:rPr>
        <w:t xml:space="preserve"> valeurs seuil pour les solutions aqueuses </w:t>
      </w:r>
      <w:r>
        <w:rPr>
          <w:lang w:val="fr-FR"/>
        </w:rPr>
        <w:t xml:space="preserve">qui sont utilisées pour l’affectation au </w:t>
      </w:r>
      <w:r w:rsidRPr="00624207">
        <w:rPr>
          <w:lang w:val="fr-FR"/>
        </w:rPr>
        <w:t>groupe d</w:t>
      </w:r>
      <w:r>
        <w:rPr>
          <w:lang w:val="fr-FR"/>
        </w:rPr>
        <w:t>’</w:t>
      </w:r>
      <w:r w:rsidRPr="00624207">
        <w:rPr>
          <w:lang w:val="fr-FR"/>
        </w:rPr>
        <w:t xml:space="preserve">emballage, et elle </w:t>
      </w:r>
      <w:r>
        <w:rPr>
          <w:lang w:val="fr-FR"/>
        </w:rPr>
        <w:t>propose</w:t>
      </w:r>
      <w:r w:rsidRPr="00624207">
        <w:rPr>
          <w:lang w:val="fr-FR"/>
        </w:rPr>
        <w:t xml:space="preserve"> deux options pour le classement des préparations plus complexes. Bien que le Cefic et le DGAC soient plus favorables à l</w:t>
      </w:r>
      <w:r>
        <w:rPr>
          <w:lang w:val="fr-FR"/>
        </w:rPr>
        <w:t>’</w:t>
      </w:r>
      <w:r w:rsidRPr="00624207">
        <w:rPr>
          <w:lang w:val="fr-FR"/>
        </w:rPr>
        <w:t>option 1, ils font observer que l</w:t>
      </w:r>
      <w:r>
        <w:rPr>
          <w:lang w:val="fr-FR"/>
        </w:rPr>
        <w:t>’</w:t>
      </w:r>
      <w:r w:rsidRPr="00624207">
        <w:rPr>
          <w:lang w:val="fr-FR"/>
        </w:rPr>
        <w:t>option 2 correspond dans les grandes lignes à la proposition figurant dans le document ST/SG/AC.10/C.3/2022/24 en ce qui concerne les autres solutions que les solutions aqueuses simples.</w:t>
      </w:r>
    </w:p>
    <w:p w14:paraId="316F0B8F" w14:textId="1730DF01" w:rsidR="007101CE" w:rsidRPr="00624207" w:rsidRDefault="007101CE" w:rsidP="007101CE">
      <w:pPr>
        <w:pStyle w:val="SingleTxtG"/>
        <w:rPr>
          <w:lang w:val="fr-FR"/>
        </w:rPr>
      </w:pPr>
      <w:r w:rsidRPr="00624207">
        <w:rPr>
          <w:lang w:val="fr-FR"/>
        </w:rPr>
        <w:t>23.</w:t>
      </w:r>
      <w:r w:rsidRPr="00624207">
        <w:rPr>
          <w:lang w:val="fr-FR"/>
        </w:rPr>
        <w:tab/>
        <w:t>Dans l</w:t>
      </w:r>
      <w:r>
        <w:rPr>
          <w:lang w:val="fr-FR"/>
        </w:rPr>
        <w:t>’</w:t>
      </w:r>
      <w:r w:rsidRPr="00624207">
        <w:rPr>
          <w:lang w:val="fr-FR"/>
        </w:rPr>
        <w:t>option 1, des valeurs seuil s</w:t>
      </w:r>
      <w:r>
        <w:rPr>
          <w:lang w:val="fr-FR"/>
        </w:rPr>
        <w:t>’</w:t>
      </w:r>
      <w:r w:rsidRPr="00624207">
        <w:rPr>
          <w:lang w:val="fr-FR"/>
        </w:rPr>
        <w:t>appliquant exclusivement aux solutions aqueuses simples sont prescrites pour les trois groupes d</w:t>
      </w:r>
      <w:r>
        <w:rPr>
          <w:lang w:val="fr-FR"/>
        </w:rPr>
        <w:t>’</w:t>
      </w:r>
      <w:r w:rsidRPr="00624207">
        <w:rPr>
          <w:lang w:val="fr-FR"/>
        </w:rPr>
        <w:t xml:space="preserve">emballage. Les préparations plus complexes doivent être classées selon les principes généraux du Règlement type, </w:t>
      </w:r>
      <w:r>
        <w:rPr>
          <w:lang w:val="fr-FR"/>
        </w:rPr>
        <w:t xml:space="preserve">ce qui signifie </w:t>
      </w:r>
      <w:r w:rsidRPr="00624207">
        <w:rPr>
          <w:lang w:val="fr-FR"/>
        </w:rPr>
        <w:t>qu</w:t>
      </w:r>
      <w:r>
        <w:rPr>
          <w:lang w:val="fr-FR"/>
        </w:rPr>
        <w:t>’</w:t>
      </w:r>
      <w:r w:rsidRPr="00624207">
        <w:rPr>
          <w:lang w:val="fr-FR"/>
        </w:rPr>
        <w:t xml:space="preserve">il faut classer le produit sur la base des caractéristiques du mélange, puis lui affecter une désignation officielle de transport ou un </w:t>
      </w:r>
      <w:r>
        <w:rPr>
          <w:lang w:val="fr-FR"/>
        </w:rPr>
        <w:t>No</w:t>
      </w:r>
      <w:r w:rsidRPr="00624207">
        <w:rPr>
          <w:lang w:val="fr-FR"/>
        </w:rPr>
        <w:t xml:space="preserve"> ONU, générique ou non spécifié par ailleurs (</w:t>
      </w:r>
      <w:r w:rsidRPr="00D236E8">
        <w:rPr>
          <w:lang w:val="fr-FR"/>
        </w:rPr>
        <w:t>N.S.A.</w:t>
      </w:r>
      <w:r w:rsidRPr="00624207">
        <w:rPr>
          <w:lang w:val="fr-FR"/>
        </w:rPr>
        <w:t>), approprié. Dans cette option, proposée par les Pays-Bas dans le document ST/SG/AC.10/C.3/2022/24, on révise aussi la rubrique de la matière (</w:t>
      </w:r>
      <w:r>
        <w:rPr>
          <w:lang w:val="fr-FR"/>
        </w:rPr>
        <w:t>No ONU</w:t>
      </w:r>
      <w:r w:rsidRPr="00624207">
        <w:rPr>
          <w:lang w:val="fr-FR"/>
        </w:rPr>
        <w:t xml:space="preserve"> 3423) en lui a</w:t>
      </w:r>
      <w:r>
        <w:rPr>
          <w:lang w:val="fr-FR"/>
        </w:rPr>
        <w:t xml:space="preserve">ttribuant </w:t>
      </w:r>
      <w:r w:rsidRPr="00624207">
        <w:rPr>
          <w:lang w:val="fr-FR"/>
        </w:rPr>
        <w:t>une classe de danger principal</w:t>
      </w:r>
      <w:r w:rsidRPr="00B7223A">
        <w:rPr>
          <w:lang w:val="fr-FR"/>
        </w:rPr>
        <w:t xml:space="preserve"> </w:t>
      </w:r>
      <w:r w:rsidRPr="00624207">
        <w:rPr>
          <w:lang w:val="fr-FR"/>
        </w:rPr>
        <w:t>6.1, une classe de danger subsidiaire 8</w:t>
      </w:r>
      <w:r w:rsidRPr="00B7223A">
        <w:rPr>
          <w:lang w:val="fr-FR"/>
        </w:rPr>
        <w:t xml:space="preserve"> </w:t>
      </w:r>
      <w:r w:rsidRPr="00624207">
        <w:rPr>
          <w:lang w:val="fr-FR"/>
        </w:rPr>
        <w:t>et le groupe d</w:t>
      </w:r>
      <w:r>
        <w:rPr>
          <w:lang w:val="fr-FR"/>
        </w:rPr>
        <w:t>’</w:t>
      </w:r>
      <w:r w:rsidRPr="00624207">
        <w:rPr>
          <w:lang w:val="fr-FR"/>
        </w:rPr>
        <w:t>emballage I. Par ailleurs, on ajoute, comme l</w:t>
      </w:r>
      <w:r>
        <w:rPr>
          <w:lang w:val="fr-FR"/>
        </w:rPr>
        <w:t>’</w:t>
      </w:r>
      <w:r w:rsidRPr="00624207">
        <w:rPr>
          <w:lang w:val="fr-FR"/>
        </w:rPr>
        <w:t xml:space="preserve">ont proposé les Pays-Bas, une rubrique </w:t>
      </w:r>
      <w:r>
        <w:rPr>
          <w:lang w:val="fr-FR"/>
        </w:rPr>
        <w:t xml:space="preserve">de </w:t>
      </w:r>
      <w:r w:rsidRPr="00624207">
        <w:rPr>
          <w:lang w:val="fr-FR"/>
        </w:rPr>
        <w:t>GE</w:t>
      </w:r>
      <w:r w:rsidR="00B7223A">
        <w:rPr>
          <w:lang w:val="fr-FR"/>
        </w:rPr>
        <w:t> </w:t>
      </w:r>
      <w:r w:rsidRPr="00624207">
        <w:rPr>
          <w:lang w:val="fr-FR"/>
        </w:rPr>
        <w:t xml:space="preserve">I au </w:t>
      </w:r>
      <w:r>
        <w:rPr>
          <w:lang w:val="fr-FR"/>
        </w:rPr>
        <w:t>No</w:t>
      </w:r>
      <w:r w:rsidRPr="00624207">
        <w:rPr>
          <w:lang w:val="fr-FR"/>
        </w:rPr>
        <w:t xml:space="preserve"> ONU 1835 et on apporte diverses modifications aux rubriques </w:t>
      </w:r>
      <w:r>
        <w:rPr>
          <w:lang w:val="fr-FR"/>
        </w:rPr>
        <w:t xml:space="preserve">du </w:t>
      </w:r>
      <w:r w:rsidRPr="00624207">
        <w:rPr>
          <w:lang w:val="fr-FR"/>
        </w:rPr>
        <w:t>GE</w:t>
      </w:r>
      <w:r w:rsidR="00B7223A">
        <w:rPr>
          <w:lang w:val="fr-FR"/>
        </w:rPr>
        <w:t> </w:t>
      </w:r>
      <w:r w:rsidRPr="00624207">
        <w:rPr>
          <w:lang w:val="fr-FR"/>
        </w:rPr>
        <w:t xml:space="preserve">II et </w:t>
      </w:r>
      <w:r>
        <w:rPr>
          <w:lang w:val="fr-FR"/>
        </w:rPr>
        <w:t xml:space="preserve">du </w:t>
      </w:r>
      <w:r w:rsidRPr="00624207">
        <w:rPr>
          <w:lang w:val="fr-FR"/>
        </w:rPr>
        <w:t>GE</w:t>
      </w:r>
      <w:r w:rsidR="00B7223A">
        <w:rPr>
          <w:lang w:val="fr-FR"/>
        </w:rPr>
        <w:t> </w:t>
      </w:r>
      <w:r w:rsidRPr="00624207">
        <w:rPr>
          <w:lang w:val="fr-FR"/>
        </w:rPr>
        <w:t xml:space="preserve">III existantes du </w:t>
      </w:r>
      <w:r>
        <w:rPr>
          <w:lang w:val="fr-FR"/>
        </w:rPr>
        <w:t>No</w:t>
      </w:r>
      <w:r w:rsidRPr="00624207">
        <w:rPr>
          <w:lang w:val="fr-FR"/>
        </w:rPr>
        <w:t xml:space="preserve"> ONU 1835, notamment l</w:t>
      </w:r>
      <w:r>
        <w:rPr>
          <w:lang w:val="fr-FR"/>
        </w:rPr>
        <w:t>’</w:t>
      </w:r>
      <w:r w:rsidRPr="00624207">
        <w:rPr>
          <w:lang w:val="fr-FR"/>
        </w:rPr>
        <w:t>ajout d</w:t>
      </w:r>
      <w:r>
        <w:rPr>
          <w:lang w:val="fr-FR"/>
        </w:rPr>
        <w:t>’</w:t>
      </w:r>
      <w:r w:rsidRPr="00624207">
        <w:rPr>
          <w:lang w:val="fr-FR"/>
        </w:rPr>
        <w:t xml:space="preserve">une classe de danger principal 6.1 au GE II. On précise dans la deuxième colonne que le </w:t>
      </w:r>
      <w:r>
        <w:rPr>
          <w:lang w:val="fr-FR"/>
        </w:rPr>
        <w:t>No</w:t>
      </w:r>
      <w:r w:rsidRPr="00624207">
        <w:rPr>
          <w:lang w:val="fr-FR"/>
        </w:rPr>
        <w:t xml:space="preserve"> ONU 1835 comprend uniquement les solutions aqueuses, et on ajoute une nouvelle disposition spéciale XXX visant à préciser le sens de l</w:t>
      </w:r>
      <w:r>
        <w:rPr>
          <w:lang w:val="fr-FR"/>
        </w:rPr>
        <w:t>’</w:t>
      </w:r>
      <w:r w:rsidRPr="00624207">
        <w:rPr>
          <w:lang w:val="fr-FR"/>
        </w:rPr>
        <w:t>expression « solutions aqueuses ».</w:t>
      </w:r>
    </w:p>
    <w:p w14:paraId="0C1B42BF" w14:textId="77777777" w:rsidR="007101CE" w:rsidRPr="00624207" w:rsidRDefault="007101CE" w:rsidP="007101CE">
      <w:pPr>
        <w:pStyle w:val="SingleTxtG"/>
        <w:rPr>
          <w:lang w:val="fr-FR"/>
        </w:rPr>
      </w:pPr>
      <w:r w:rsidRPr="00624207">
        <w:rPr>
          <w:lang w:val="fr-FR"/>
        </w:rPr>
        <w:t>24.</w:t>
      </w:r>
      <w:r w:rsidRPr="00624207">
        <w:rPr>
          <w:lang w:val="fr-FR"/>
        </w:rPr>
        <w:tab/>
        <w:t>Dans l</w:t>
      </w:r>
      <w:r>
        <w:rPr>
          <w:lang w:val="fr-FR"/>
        </w:rPr>
        <w:t>’</w:t>
      </w:r>
      <w:r w:rsidRPr="00624207">
        <w:rPr>
          <w:lang w:val="fr-FR"/>
        </w:rPr>
        <w:t>option 2, on fait également la distinction entre les solutions aqueuses et d</w:t>
      </w:r>
      <w:r>
        <w:rPr>
          <w:lang w:val="fr-FR"/>
        </w:rPr>
        <w:t>’</w:t>
      </w:r>
      <w:r w:rsidRPr="00624207">
        <w:rPr>
          <w:lang w:val="fr-FR"/>
        </w:rPr>
        <w:t>autres types de mélange, les dispositions relatives aux solutions aqueuses sont les mêmes que dans l</w:t>
      </w:r>
      <w:r>
        <w:rPr>
          <w:lang w:val="fr-FR"/>
        </w:rPr>
        <w:t>’</w:t>
      </w:r>
      <w:r w:rsidRPr="00624207">
        <w:rPr>
          <w:lang w:val="fr-FR"/>
        </w:rPr>
        <w:t>option 1 et les dispositions relatives à la matière (</w:t>
      </w:r>
      <w:r>
        <w:rPr>
          <w:lang w:val="fr-FR"/>
        </w:rPr>
        <w:t>No ONU</w:t>
      </w:r>
      <w:r w:rsidRPr="00624207">
        <w:rPr>
          <w:lang w:val="fr-FR"/>
        </w:rPr>
        <w:t xml:space="preserve"> 3423) sont aussi les mêmes que dans l</w:t>
      </w:r>
      <w:r>
        <w:rPr>
          <w:lang w:val="fr-FR"/>
        </w:rPr>
        <w:t>’</w:t>
      </w:r>
      <w:r w:rsidRPr="00624207">
        <w:rPr>
          <w:lang w:val="fr-FR"/>
        </w:rPr>
        <w:t xml:space="preserve">option 1. Toutefois, un nouveau </w:t>
      </w:r>
      <w:r>
        <w:rPr>
          <w:lang w:val="fr-FR"/>
        </w:rPr>
        <w:t>No</w:t>
      </w:r>
      <w:r w:rsidRPr="00624207">
        <w:rPr>
          <w:lang w:val="fr-FR"/>
        </w:rPr>
        <w:t xml:space="preserve"> ONU est proposé pour les solutions </w:t>
      </w:r>
      <w:r w:rsidRPr="00624207">
        <w:rPr>
          <w:lang w:val="fr-FR"/>
        </w:rPr>
        <w:lastRenderedPageBreak/>
        <w:t xml:space="preserve">ou les mélanges qui ne sont pas seulement aqueux, et un classement </w:t>
      </w:r>
      <w:r>
        <w:rPr>
          <w:lang w:val="fr-FR"/>
        </w:rPr>
        <w:t xml:space="preserve">lui </w:t>
      </w:r>
      <w:r w:rsidRPr="00624207">
        <w:rPr>
          <w:lang w:val="fr-FR"/>
        </w:rPr>
        <w:t xml:space="preserve">est attribué en utilisant les valeurs seuil proposées par les Pays-Bas dans le document ST/SG/AC.10/C.3/2022/24. Une nouvelle disposition spéciale YYY est également ajoutée afin de préciser la différence entre le </w:t>
      </w:r>
      <w:r>
        <w:rPr>
          <w:lang w:val="fr-FR"/>
        </w:rPr>
        <w:t>No</w:t>
      </w:r>
      <w:r w:rsidRPr="00624207">
        <w:rPr>
          <w:lang w:val="fr-FR"/>
        </w:rPr>
        <w:t xml:space="preserve"> ONU 1835 et le </w:t>
      </w:r>
      <w:r>
        <w:rPr>
          <w:lang w:val="fr-FR"/>
        </w:rPr>
        <w:t>No</w:t>
      </w:r>
      <w:r w:rsidRPr="00624207">
        <w:rPr>
          <w:lang w:val="fr-FR"/>
        </w:rPr>
        <w:t xml:space="preserve"> ONU XXXX.</w:t>
      </w:r>
    </w:p>
    <w:p w14:paraId="0CDC4C0B" w14:textId="77777777" w:rsidR="007101CE" w:rsidRPr="00624207" w:rsidRDefault="007101CE" w:rsidP="007101CE">
      <w:pPr>
        <w:pStyle w:val="SingleTxtG"/>
        <w:rPr>
          <w:lang w:val="fr-FR"/>
        </w:rPr>
      </w:pPr>
      <w:r w:rsidRPr="00624207">
        <w:rPr>
          <w:lang w:val="fr-FR"/>
        </w:rPr>
        <w:t>25.</w:t>
      </w:r>
      <w:r w:rsidRPr="00624207">
        <w:rPr>
          <w:lang w:val="fr-FR"/>
        </w:rPr>
        <w:tab/>
        <w:t>Le Cefic et le DGAC estiment que, dans ces deux options, la disposition spéciale 279 est appropriée pour tous les groupes d</w:t>
      </w:r>
      <w:r>
        <w:rPr>
          <w:lang w:val="fr-FR"/>
        </w:rPr>
        <w:t>’</w:t>
      </w:r>
      <w:r w:rsidRPr="00624207">
        <w:rPr>
          <w:lang w:val="fr-FR"/>
        </w:rPr>
        <w:t>emballage de toutes les rubriques, et le Sous-Comité est invité à examiner si la disposition spéciale 223 est appliquée de manière appropriée.</w:t>
      </w:r>
    </w:p>
    <w:p w14:paraId="7A5DED60" w14:textId="77777777" w:rsidR="007101CE" w:rsidRPr="00624207" w:rsidRDefault="007101CE" w:rsidP="00B7223A">
      <w:pPr>
        <w:pStyle w:val="HChG"/>
        <w:rPr>
          <w:lang w:val="fr-FR"/>
        </w:rPr>
      </w:pPr>
      <w:r w:rsidRPr="00624207">
        <w:rPr>
          <w:lang w:val="fr-FR"/>
        </w:rPr>
        <w:tab/>
        <w:t>VII.</w:t>
      </w:r>
      <w:r w:rsidRPr="00624207">
        <w:rPr>
          <w:lang w:val="fr-FR"/>
        </w:rPr>
        <w:tab/>
        <w:t>Propositions</w:t>
      </w:r>
    </w:p>
    <w:p w14:paraId="0068829A" w14:textId="3F0B19B7" w:rsidR="007101CE" w:rsidRPr="00624207" w:rsidRDefault="007101CE" w:rsidP="007101CE">
      <w:pPr>
        <w:pStyle w:val="SingleTxtG"/>
        <w:rPr>
          <w:lang w:val="fr-FR"/>
        </w:rPr>
      </w:pPr>
      <w:r w:rsidRPr="00624207">
        <w:rPr>
          <w:lang w:val="fr-FR"/>
        </w:rPr>
        <w:t>26.</w:t>
      </w:r>
      <w:r w:rsidRPr="00624207">
        <w:rPr>
          <w:lang w:val="fr-FR"/>
        </w:rPr>
        <w:tab/>
        <w:t xml:space="preserve">Le Sous-Comité est invité à examiner </w:t>
      </w:r>
      <w:r>
        <w:rPr>
          <w:lang w:val="fr-FR"/>
        </w:rPr>
        <w:t>l’analyse qui précède</w:t>
      </w:r>
      <w:r w:rsidRPr="00624207">
        <w:rPr>
          <w:lang w:val="fr-FR"/>
        </w:rPr>
        <w:t>, les informations techniques plus détaillées présentées dans les annexes et la proposition ci-après.</w:t>
      </w:r>
    </w:p>
    <w:p w14:paraId="4466F1D6" w14:textId="77777777" w:rsidR="007101CE" w:rsidRPr="00624207" w:rsidRDefault="007101CE" w:rsidP="00B7223A">
      <w:pPr>
        <w:pStyle w:val="H1G"/>
        <w:rPr>
          <w:lang w:val="fr-FR"/>
        </w:rPr>
      </w:pPr>
      <w:r w:rsidRPr="00624207">
        <w:rPr>
          <w:lang w:val="fr-FR"/>
        </w:rPr>
        <w:tab/>
      </w:r>
      <w:r w:rsidRPr="00624207">
        <w:rPr>
          <w:lang w:val="fr-FR"/>
        </w:rPr>
        <w:tab/>
        <w:t>Option 1</w:t>
      </w:r>
    </w:p>
    <w:p w14:paraId="3C5878CF" w14:textId="792954D5" w:rsidR="007101CE" w:rsidRPr="00624207" w:rsidRDefault="007101CE" w:rsidP="002C5DD6">
      <w:pPr>
        <w:pStyle w:val="SingleTxtG"/>
        <w:keepNext/>
        <w:rPr>
          <w:lang w:val="fr-FR"/>
        </w:rPr>
      </w:pPr>
      <w:r w:rsidRPr="00624207">
        <w:rPr>
          <w:lang w:val="fr-FR"/>
        </w:rPr>
        <w:t>27.</w:t>
      </w:r>
      <w:r w:rsidRPr="00624207">
        <w:rPr>
          <w:lang w:val="fr-FR"/>
        </w:rPr>
        <w:tab/>
        <w:t>Dans le chapitre 3.3 du Règlement type, ajouter une nouvelle disposition spéciale XXX, libellée comme suit</w:t>
      </w:r>
      <w:r w:rsidR="002C5DD6">
        <w:rPr>
          <w:lang w:val="fr-FR"/>
        </w:rPr>
        <w:t> </w:t>
      </w:r>
      <w:r w:rsidRPr="00624207">
        <w:rPr>
          <w:lang w:val="fr-FR"/>
        </w:rPr>
        <w:t>:</w:t>
      </w:r>
    </w:p>
    <w:p w14:paraId="291F6BCD" w14:textId="2FEB066F" w:rsidR="007101CE" w:rsidRPr="00624207" w:rsidRDefault="007101CE" w:rsidP="007101CE">
      <w:pPr>
        <w:pStyle w:val="SingleTxtG"/>
        <w:tabs>
          <w:tab w:val="left" w:pos="2410"/>
        </w:tabs>
        <w:ind w:left="1701"/>
        <w:rPr>
          <w:lang w:val="fr-FR"/>
        </w:rPr>
      </w:pPr>
      <w:r w:rsidRPr="00624207">
        <w:rPr>
          <w:lang w:val="fr-FR"/>
        </w:rPr>
        <w:t>«</w:t>
      </w:r>
      <w:r w:rsidR="002C5DD6">
        <w:rPr>
          <w:lang w:val="fr-FR"/>
        </w:rPr>
        <w:t> </w:t>
      </w:r>
      <w:r w:rsidRPr="00624207">
        <w:rPr>
          <w:lang w:val="fr-FR"/>
        </w:rPr>
        <w:t>XXX</w:t>
      </w:r>
      <w:r w:rsidRPr="00624207">
        <w:rPr>
          <w:lang w:val="fr-FR"/>
        </w:rPr>
        <w:tab/>
      </w:r>
      <w:r w:rsidRPr="003A2D29">
        <w:rPr>
          <w:lang w:val="fr-FR"/>
        </w:rPr>
        <w:t xml:space="preserve">Cette rubrique </w:t>
      </w:r>
      <w:r w:rsidRPr="00243286">
        <w:rPr>
          <w:lang w:val="fr-FR"/>
        </w:rPr>
        <w:t>ne s</w:t>
      </w:r>
      <w:r>
        <w:rPr>
          <w:lang w:val="fr-FR"/>
        </w:rPr>
        <w:t>’</w:t>
      </w:r>
      <w:r w:rsidRPr="00243286">
        <w:rPr>
          <w:lang w:val="fr-FR"/>
        </w:rPr>
        <w:t>applique qu</w:t>
      </w:r>
      <w:r>
        <w:rPr>
          <w:lang w:val="fr-FR"/>
        </w:rPr>
        <w:t>’</w:t>
      </w:r>
      <w:r w:rsidRPr="00243286">
        <w:rPr>
          <w:lang w:val="fr-FR"/>
        </w:rPr>
        <w:t xml:space="preserve">aux </w:t>
      </w:r>
      <w:r w:rsidRPr="00624207">
        <w:rPr>
          <w:lang w:val="fr-FR"/>
        </w:rPr>
        <w:t>solutions aqueuses composées d</w:t>
      </w:r>
      <w:r>
        <w:rPr>
          <w:lang w:val="fr-FR"/>
        </w:rPr>
        <w:t>’</w:t>
      </w:r>
      <w:r w:rsidRPr="00624207">
        <w:rPr>
          <w:lang w:val="fr-FR"/>
        </w:rPr>
        <w:t>eau, d</w:t>
      </w:r>
      <w:r>
        <w:rPr>
          <w:lang w:val="fr-FR"/>
        </w:rPr>
        <w:t>’</w:t>
      </w:r>
      <w:r w:rsidRPr="00624207">
        <w:rPr>
          <w:lang w:val="fr-FR"/>
        </w:rPr>
        <w:t>hydroxyde de tétraméthylammonium (TMAH) et d</w:t>
      </w:r>
      <w:r>
        <w:rPr>
          <w:lang w:val="fr-FR"/>
        </w:rPr>
        <w:t>’</w:t>
      </w:r>
      <w:r w:rsidRPr="003A2D29">
        <w:rPr>
          <w:lang w:val="fr-FR"/>
        </w:rPr>
        <w:t>au plus 1</w:t>
      </w:r>
      <w:r w:rsidR="00B7223A">
        <w:rPr>
          <w:lang w:val="fr-FR"/>
        </w:rPr>
        <w:t> </w:t>
      </w:r>
      <w:r w:rsidRPr="003A2D29">
        <w:rPr>
          <w:lang w:val="fr-FR"/>
        </w:rPr>
        <w:t>%</w:t>
      </w:r>
      <w:r w:rsidRPr="00624207">
        <w:rPr>
          <w:i/>
          <w:iCs/>
          <w:lang w:val="fr-FR"/>
        </w:rPr>
        <w:t xml:space="preserve"> </w:t>
      </w:r>
      <w:r w:rsidRPr="00624207">
        <w:rPr>
          <w:lang w:val="fr-FR"/>
        </w:rPr>
        <w:t>d</w:t>
      </w:r>
      <w:r>
        <w:rPr>
          <w:lang w:val="fr-FR"/>
        </w:rPr>
        <w:t>’</w:t>
      </w:r>
      <w:r w:rsidRPr="00624207">
        <w:rPr>
          <w:lang w:val="fr-FR"/>
        </w:rPr>
        <w:t>autres composants. Les autres préparations contenant de l</w:t>
      </w:r>
      <w:r>
        <w:rPr>
          <w:lang w:val="fr-FR"/>
        </w:rPr>
        <w:t>’</w:t>
      </w:r>
      <w:r w:rsidRPr="00624207">
        <w:rPr>
          <w:lang w:val="fr-FR"/>
        </w:rPr>
        <w:t xml:space="preserve">hydroxyde de tétraméthylammonium doivent être affectées à une rubrique générique </w:t>
      </w:r>
      <w:r w:rsidRPr="00B7223A">
        <w:rPr>
          <w:lang w:val="fr-FR"/>
        </w:rPr>
        <w:t xml:space="preserve">ou </w:t>
      </w:r>
      <w:bookmarkStart w:id="1" w:name="_Hlk116382913"/>
      <w:r w:rsidRPr="00B7223A">
        <w:rPr>
          <w:lang w:val="fr-FR"/>
        </w:rPr>
        <w:t>N.S.A.</w:t>
      </w:r>
      <w:bookmarkEnd w:id="1"/>
      <w:r w:rsidRPr="00624207">
        <w:rPr>
          <w:lang w:val="fr-FR"/>
        </w:rPr>
        <w:t xml:space="preserve"> appropriée (par exemple, </w:t>
      </w:r>
      <w:r>
        <w:rPr>
          <w:lang w:val="fr-FR"/>
        </w:rPr>
        <w:t>No ONU</w:t>
      </w:r>
      <w:r w:rsidRPr="00624207">
        <w:rPr>
          <w:lang w:val="fr-FR"/>
        </w:rPr>
        <w:t xml:space="preserve"> 2389, Liquide inorganique toxique, corrosif, </w:t>
      </w:r>
      <w:r w:rsidRPr="00243286">
        <w:rPr>
          <w:lang w:val="fr-FR"/>
        </w:rPr>
        <w:t>N.S.A.</w:t>
      </w:r>
      <w:r w:rsidRPr="00624207">
        <w:rPr>
          <w:lang w:val="fr-FR"/>
        </w:rPr>
        <w:t>)</w:t>
      </w:r>
      <w:r>
        <w:rPr>
          <w:lang w:val="fr-FR"/>
        </w:rPr>
        <w:t>. »</w:t>
      </w:r>
      <w:r w:rsidR="002C5DD6">
        <w:rPr>
          <w:lang w:val="fr-FR"/>
        </w:rPr>
        <w:t>.</w:t>
      </w:r>
    </w:p>
    <w:p w14:paraId="35775FB4" w14:textId="4EEFF939" w:rsidR="007101CE" w:rsidRPr="00624207" w:rsidRDefault="007101CE" w:rsidP="007101CE">
      <w:pPr>
        <w:pStyle w:val="SingleTxtG"/>
        <w:tabs>
          <w:tab w:val="clear" w:pos="1701"/>
          <w:tab w:val="clear" w:pos="2268"/>
          <w:tab w:val="clear" w:pos="2835"/>
        </w:tabs>
        <w:rPr>
          <w:lang w:val="fr-FR"/>
        </w:rPr>
      </w:pPr>
      <w:r w:rsidRPr="00624207">
        <w:rPr>
          <w:lang w:val="fr-FR"/>
        </w:rPr>
        <w:t>28.</w:t>
      </w:r>
      <w:r w:rsidRPr="00624207">
        <w:rPr>
          <w:lang w:val="fr-FR"/>
        </w:rPr>
        <w:tab/>
        <w:t xml:space="preserve">Modifier les rubriques du </w:t>
      </w:r>
      <w:r>
        <w:rPr>
          <w:lang w:val="fr-FR"/>
        </w:rPr>
        <w:t>No</w:t>
      </w:r>
      <w:r w:rsidRPr="00624207">
        <w:rPr>
          <w:lang w:val="fr-FR"/>
        </w:rPr>
        <w:t xml:space="preserve"> ONU 1835 </w:t>
      </w:r>
      <w:r w:rsidRPr="008D21A0">
        <w:rPr>
          <w:lang w:val="fr-FR"/>
        </w:rPr>
        <w:t>comme suit (les modifications figurent en caractères soulignés pour les ajouts et biffés pour les suppressions)</w:t>
      </w:r>
      <w:r w:rsidR="002C5DD6">
        <w:rPr>
          <w:lang w:val="fr-FR"/>
        </w:rPr>
        <w:t> </w:t>
      </w:r>
      <w:r w:rsidRPr="008D21A0">
        <w:rPr>
          <w:lang w:val="fr-FR"/>
        </w:rPr>
        <w:t>:</w:t>
      </w:r>
    </w:p>
    <w:tbl>
      <w:tblPr>
        <w:tblStyle w:val="TableGrid7"/>
        <w:tblW w:w="9643" w:type="dxa"/>
        <w:tblLayout w:type="fixed"/>
        <w:tblLook w:val="04A0" w:firstRow="1" w:lastRow="0" w:firstColumn="1" w:lastColumn="0" w:noHBand="0" w:noVBand="1"/>
      </w:tblPr>
      <w:tblGrid>
        <w:gridCol w:w="496"/>
        <w:gridCol w:w="1942"/>
        <w:gridCol w:w="647"/>
        <w:gridCol w:w="593"/>
        <w:gridCol w:w="849"/>
        <w:gridCol w:w="840"/>
        <w:gridCol w:w="448"/>
        <w:gridCol w:w="374"/>
        <w:gridCol w:w="865"/>
        <w:gridCol w:w="880"/>
        <w:gridCol w:w="837"/>
        <w:gridCol w:w="872"/>
      </w:tblGrid>
      <w:tr w:rsidR="007101CE" w:rsidRPr="00131302" w14:paraId="2D25A09D" w14:textId="77777777" w:rsidTr="007B6FF1">
        <w:trPr>
          <w:tblHeader/>
        </w:trPr>
        <w:tc>
          <w:tcPr>
            <w:tcW w:w="496" w:type="dxa"/>
            <w:vMerge w:val="restart"/>
            <w:shd w:val="clear" w:color="auto" w:fill="auto"/>
            <w:vAlign w:val="bottom"/>
            <w:hideMark/>
          </w:tcPr>
          <w:p w14:paraId="3F9F5A20" w14:textId="77777777" w:rsidR="007101CE" w:rsidRPr="00624207" w:rsidRDefault="007101CE" w:rsidP="007B6FF1">
            <w:pPr>
              <w:suppressAutoHyphens w:val="0"/>
              <w:spacing w:before="60" w:after="60" w:line="240" w:lineRule="auto"/>
              <w:ind w:left="28" w:right="28"/>
              <w:jc w:val="center"/>
              <w:rPr>
                <w:i/>
                <w:sz w:val="15"/>
                <w:szCs w:val="15"/>
              </w:rPr>
            </w:pPr>
            <w:bookmarkStart w:id="2" w:name="_Hlk102972252"/>
            <w:r w:rsidRPr="00624207">
              <w:rPr>
                <w:i/>
                <w:sz w:val="15"/>
                <w:szCs w:val="15"/>
              </w:rPr>
              <w:t>No ONU</w:t>
            </w:r>
          </w:p>
        </w:tc>
        <w:tc>
          <w:tcPr>
            <w:tcW w:w="1942" w:type="dxa"/>
            <w:vMerge w:val="restart"/>
            <w:shd w:val="clear" w:color="auto" w:fill="auto"/>
            <w:vAlign w:val="bottom"/>
            <w:hideMark/>
          </w:tcPr>
          <w:p w14:paraId="5F516061" w14:textId="77777777" w:rsidR="007101CE" w:rsidRPr="00624207" w:rsidRDefault="007101CE" w:rsidP="007B6FF1">
            <w:pPr>
              <w:suppressAutoHyphens w:val="0"/>
              <w:spacing w:before="60" w:after="60" w:line="240" w:lineRule="auto"/>
              <w:ind w:left="57" w:right="57"/>
              <w:jc w:val="center"/>
              <w:rPr>
                <w:i/>
                <w:sz w:val="15"/>
                <w:szCs w:val="15"/>
              </w:rPr>
            </w:pPr>
            <w:r w:rsidRPr="00624207">
              <w:rPr>
                <w:i/>
                <w:sz w:val="15"/>
                <w:szCs w:val="15"/>
              </w:rPr>
              <w:t>Nom et description</w:t>
            </w:r>
          </w:p>
        </w:tc>
        <w:tc>
          <w:tcPr>
            <w:tcW w:w="647" w:type="dxa"/>
            <w:vMerge w:val="restart"/>
            <w:shd w:val="clear" w:color="auto" w:fill="auto"/>
            <w:vAlign w:val="bottom"/>
            <w:hideMark/>
          </w:tcPr>
          <w:p w14:paraId="4FEB5283" w14:textId="77777777" w:rsidR="007101CE" w:rsidRPr="00624207" w:rsidRDefault="007101CE" w:rsidP="007B6FF1">
            <w:pPr>
              <w:suppressAutoHyphens w:val="0"/>
              <w:spacing w:before="60" w:after="60" w:line="240" w:lineRule="auto"/>
              <w:ind w:left="57" w:right="57"/>
              <w:jc w:val="center"/>
              <w:rPr>
                <w:i/>
                <w:sz w:val="15"/>
                <w:szCs w:val="15"/>
              </w:rPr>
            </w:pPr>
            <w:r w:rsidRPr="00624207">
              <w:rPr>
                <w:i/>
                <w:sz w:val="15"/>
                <w:szCs w:val="15"/>
              </w:rPr>
              <w:t>Classe</w:t>
            </w:r>
            <w:r w:rsidRPr="00624207">
              <w:rPr>
                <w:i/>
                <w:sz w:val="15"/>
                <w:szCs w:val="15"/>
              </w:rPr>
              <w:br/>
              <w:t>ou division</w:t>
            </w:r>
          </w:p>
        </w:tc>
        <w:tc>
          <w:tcPr>
            <w:tcW w:w="593" w:type="dxa"/>
            <w:vMerge w:val="restart"/>
            <w:shd w:val="clear" w:color="auto" w:fill="auto"/>
            <w:vAlign w:val="bottom"/>
            <w:hideMark/>
          </w:tcPr>
          <w:p w14:paraId="11C94D4D" w14:textId="77777777" w:rsidR="007101CE" w:rsidRPr="00624207" w:rsidRDefault="007101CE" w:rsidP="007B6FF1">
            <w:pPr>
              <w:suppressAutoHyphens w:val="0"/>
              <w:spacing w:before="60" w:after="60" w:line="240" w:lineRule="auto"/>
              <w:ind w:left="57" w:right="57"/>
              <w:jc w:val="center"/>
              <w:rPr>
                <w:i/>
                <w:sz w:val="15"/>
                <w:szCs w:val="15"/>
              </w:rPr>
            </w:pPr>
            <w:r w:rsidRPr="00624207">
              <w:rPr>
                <w:i/>
                <w:sz w:val="15"/>
                <w:szCs w:val="15"/>
              </w:rPr>
              <w:t>Danger subsi-diaire</w:t>
            </w:r>
          </w:p>
        </w:tc>
        <w:tc>
          <w:tcPr>
            <w:tcW w:w="849" w:type="dxa"/>
            <w:vMerge w:val="restart"/>
            <w:shd w:val="clear" w:color="auto" w:fill="auto"/>
            <w:vAlign w:val="bottom"/>
            <w:hideMark/>
          </w:tcPr>
          <w:p w14:paraId="72A7310D" w14:textId="77777777" w:rsidR="007101CE" w:rsidRPr="00624207" w:rsidRDefault="007101CE" w:rsidP="007B6FF1">
            <w:pPr>
              <w:suppressAutoHyphens w:val="0"/>
              <w:spacing w:before="60" w:after="60" w:line="240" w:lineRule="auto"/>
              <w:ind w:left="28" w:right="28"/>
              <w:jc w:val="center"/>
              <w:rPr>
                <w:i/>
                <w:sz w:val="15"/>
                <w:szCs w:val="15"/>
              </w:rPr>
            </w:pPr>
            <w:r w:rsidRPr="00624207">
              <w:rPr>
                <w:i/>
                <w:sz w:val="15"/>
                <w:szCs w:val="15"/>
              </w:rPr>
              <w:t>Groupe d</w:t>
            </w:r>
            <w:r>
              <w:rPr>
                <w:i/>
                <w:sz w:val="15"/>
                <w:szCs w:val="15"/>
              </w:rPr>
              <w:t>’</w:t>
            </w:r>
            <w:r w:rsidRPr="00624207">
              <w:rPr>
                <w:i/>
                <w:sz w:val="15"/>
                <w:szCs w:val="15"/>
              </w:rPr>
              <w:t>emballage</w:t>
            </w:r>
          </w:p>
        </w:tc>
        <w:tc>
          <w:tcPr>
            <w:tcW w:w="840" w:type="dxa"/>
            <w:vMerge w:val="restart"/>
            <w:shd w:val="clear" w:color="auto" w:fill="auto"/>
            <w:vAlign w:val="bottom"/>
            <w:hideMark/>
          </w:tcPr>
          <w:p w14:paraId="1311B4C4" w14:textId="77777777" w:rsidR="007101CE" w:rsidRPr="00624207" w:rsidRDefault="007101CE" w:rsidP="007B6FF1">
            <w:pPr>
              <w:suppressAutoHyphens w:val="0"/>
              <w:spacing w:before="60" w:after="60" w:line="240" w:lineRule="auto"/>
              <w:ind w:left="28" w:right="28"/>
              <w:jc w:val="center"/>
              <w:rPr>
                <w:i/>
                <w:sz w:val="15"/>
                <w:szCs w:val="15"/>
              </w:rPr>
            </w:pPr>
            <w:r w:rsidRPr="00624207">
              <w:rPr>
                <w:i/>
                <w:sz w:val="15"/>
                <w:szCs w:val="15"/>
              </w:rPr>
              <w:t>Dispositions spéciales</w:t>
            </w:r>
          </w:p>
        </w:tc>
        <w:tc>
          <w:tcPr>
            <w:tcW w:w="822" w:type="dxa"/>
            <w:gridSpan w:val="2"/>
            <w:vMerge w:val="restart"/>
            <w:shd w:val="clear" w:color="auto" w:fill="auto"/>
            <w:vAlign w:val="bottom"/>
            <w:hideMark/>
          </w:tcPr>
          <w:p w14:paraId="29506C31" w14:textId="77777777" w:rsidR="007101CE" w:rsidRPr="00624207" w:rsidRDefault="007101CE" w:rsidP="007B6FF1">
            <w:pPr>
              <w:suppressAutoHyphens w:val="0"/>
              <w:spacing w:before="60" w:after="60" w:line="240" w:lineRule="auto"/>
              <w:ind w:left="57" w:right="57"/>
              <w:jc w:val="center"/>
              <w:rPr>
                <w:i/>
                <w:sz w:val="15"/>
                <w:szCs w:val="15"/>
              </w:rPr>
            </w:pPr>
            <w:r w:rsidRPr="00624207">
              <w:rPr>
                <w:i/>
                <w:sz w:val="15"/>
                <w:szCs w:val="15"/>
              </w:rPr>
              <w:t>Quantités limitées et exceptées</w:t>
            </w:r>
          </w:p>
        </w:tc>
        <w:tc>
          <w:tcPr>
            <w:tcW w:w="1745" w:type="dxa"/>
            <w:gridSpan w:val="2"/>
            <w:shd w:val="clear" w:color="auto" w:fill="auto"/>
            <w:vAlign w:val="bottom"/>
            <w:hideMark/>
          </w:tcPr>
          <w:p w14:paraId="0D5354FE" w14:textId="77777777" w:rsidR="007101CE" w:rsidRPr="00624207" w:rsidRDefault="007101CE" w:rsidP="007B6FF1">
            <w:pPr>
              <w:suppressAutoHyphens w:val="0"/>
              <w:spacing w:before="60" w:after="60" w:line="240" w:lineRule="auto"/>
              <w:ind w:left="28" w:right="28"/>
              <w:jc w:val="center"/>
              <w:rPr>
                <w:i/>
                <w:sz w:val="15"/>
                <w:szCs w:val="15"/>
              </w:rPr>
            </w:pPr>
            <w:r w:rsidRPr="00624207">
              <w:rPr>
                <w:i/>
                <w:sz w:val="15"/>
                <w:szCs w:val="15"/>
              </w:rPr>
              <w:t>Emballages et GRV</w:t>
            </w:r>
          </w:p>
        </w:tc>
        <w:tc>
          <w:tcPr>
            <w:tcW w:w="1709" w:type="dxa"/>
            <w:gridSpan w:val="2"/>
            <w:shd w:val="clear" w:color="auto" w:fill="auto"/>
            <w:vAlign w:val="bottom"/>
            <w:hideMark/>
          </w:tcPr>
          <w:p w14:paraId="50F048CC" w14:textId="77777777" w:rsidR="007101CE" w:rsidRPr="00624207" w:rsidRDefault="007101CE" w:rsidP="007B6FF1">
            <w:pPr>
              <w:suppressAutoHyphens w:val="0"/>
              <w:spacing w:before="60" w:after="60" w:line="240" w:lineRule="auto"/>
              <w:ind w:left="28" w:right="28"/>
              <w:jc w:val="center"/>
              <w:rPr>
                <w:i/>
                <w:sz w:val="15"/>
                <w:szCs w:val="15"/>
              </w:rPr>
            </w:pPr>
            <w:r w:rsidRPr="00624207">
              <w:rPr>
                <w:i/>
                <w:sz w:val="15"/>
                <w:szCs w:val="15"/>
              </w:rPr>
              <w:t xml:space="preserve">Citernes mobiles </w:t>
            </w:r>
            <w:r w:rsidRPr="00624207">
              <w:rPr>
                <w:i/>
                <w:sz w:val="15"/>
                <w:szCs w:val="15"/>
              </w:rPr>
              <w:br/>
              <w:t>et conteneurs pour vrac</w:t>
            </w:r>
          </w:p>
        </w:tc>
      </w:tr>
      <w:tr w:rsidR="007101CE" w:rsidRPr="00624207" w14:paraId="455A1DEA" w14:textId="77777777" w:rsidTr="007B6FF1">
        <w:trPr>
          <w:tblHeader/>
        </w:trPr>
        <w:tc>
          <w:tcPr>
            <w:tcW w:w="496" w:type="dxa"/>
            <w:vMerge/>
            <w:shd w:val="clear" w:color="auto" w:fill="auto"/>
            <w:vAlign w:val="bottom"/>
            <w:hideMark/>
          </w:tcPr>
          <w:p w14:paraId="178F6D19" w14:textId="77777777" w:rsidR="007101CE" w:rsidRPr="00624207" w:rsidRDefault="007101CE" w:rsidP="007B6FF1">
            <w:pPr>
              <w:suppressAutoHyphens w:val="0"/>
              <w:spacing w:before="60" w:after="60" w:line="240" w:lineRule="auto"/>
              <w:ind w:left="28" w:right="28"/>
              <w:rPr>
                <w:sz w:val="18"/>
              </w:rPr>
            </w:pPr>
          </w:p>
        </w:tc>
        <w:tc>
          <w:tcPr>
            <w:tcW w:w="1942" w:type="dxa"/>
            <w:vMerge/>
            <w:shd w:val="clear" w:color="auto" w:fill="auto"/>
            <w:vAlign w:val="bottom"/>
            <w:hideMark/>
          </w:tcPr>
          <w:p w14:paraId="74590530" w14:textId="77777777" w:rsidR="007101CE" w:rsidRPr="00624207" w:rsidRDefault="007101CE" w:rsidP="007B6FF1">
            <w:pPr>
              <w:suppressAutoHyphens w:val="0"/>
              <w:spacing w:before="60" w:after="60" w:line="240" w:lineRule="auto"/>
              <w:ind w:left="57" w:right="57"/>
              <w:jc w:val="right"/>
              <w:rPr>
                <w:sz w:val="18"/>
              </w:rPr>
            </w:pPr>
          </w:p>
        </w:tc>
        <w:tc>
          <w:tcPr>
            <w:tcW w:w="647" w:type="dxa"/>
            <w:vMerge/>
            <w:shd w:val="clear" w:color="auto" w:fill="auto"/>
            <w:vAlign w:val="bottom"/>
            <w:hideMark/>
          </w:tcPr>
          <w:p w14:paraId="1628E99E" w14:textId="77777777" w:rsidR="007101CE" w:rsidRPr="00624207" w:rsidRDefault="007101CE" w:rsidP="007B6FF1">
            <w:pPr>
              <w:suppressAutoHyphens w:val="0"/>
              <w:spacing w:before="60" w:after="60" w:line="240" w:lineRule="auto"/>
              <w:ind w:left="57" w:right="57"/>
              <w:jc w:val="right"/>
              <w:rPr>
                <w:sz w:val="18"/>
              </w:rPr>
            </w:pPr>
          </w:p>
        </w:tc>
        <w:tc>
          <w:tcPr>
            <w:tcW w:w="593" w:type="dxa"/>
            <w:vMerge/>
            <w:shd w:val="clear" w:color="auto" w:fill="auto"/>
            <w:vAlign w:val="bottom"/>
            <w:hideMark/>
          </w:tcPr>
          <w:p w14:paraId="3A970A85" w14:textId="77777777" w:rsidR="007101CE" w:rsidRPr="00624207" w:rsidRDefault="007101CE" w:rsidP="007B6FF1">
            <w:pPr>
              <w:suppressAutoHyphens w:val="0"/>
              <w:spacing w:before="60" w:after="60" w:line="240" w:lineRule="auto"/>
              <w:ind w:left="57" w:right="57"/>
              <w:jc w:val="right"/>
              <w:rPr>
                <w:sz w:val="18"/>
              </w:rPr>
            </w:pPr>
          </w:p>
        </w:tc>
        <w:tc>
          <w:tcPr>
            <w:tcW w:w="849" w:type="dxa"/>
            <w:vMerge/>
            <w:shd w:val="clear" w:color="auto" w:fill="auto"/>
            <w:vAlign w:val="bottom"/>
            <w:hideMark/>
          </w:tcPr>
          <w:p w14:paraId="4F7B6C07" w14:textId="77777777" w:rsidR="007101CE" w:rsidRPr="00624207" w:rsidRDefault="007101CE" w:rsidP="007B6FF1">
            <w:pPr>
              <w:suppressAutoHyphens w:val="0"/>
              <w:spacing w:before="60" w:after="60" w:line="240" w:lineRule="auto"/>
              <w:ind w:left="28" w:right="28"/>
              <w:jc w:val="right"/>
              <w:rPr>
                <w:sz w:val="18"/>
              </w:rPr>
            </w:pPr>
          </w:p>
        </w:tc>
        <w:tc>
          <w:tcPr>
            <w:tcW w:w="840" w:type="dxa"/>
            <w:vMerge/>
            <w:shd w:val="clear" w:color="auto" w:fill="auto"/>
            <w:vAlign w:val="bottom"/>
            <w:hideMark/>
          </w:tcPr>
          <w:p w14:paraId="4CEC2EF8" w14:textId="77777777" w:rsidR="007101CE" w:rsidRPr="00624207" w:rsidRDefault="007101CE" w:rsidP="007B6FF1">
            <w:pPr>
              <w:suppressAutoHyphens w:val="0"/>
              <w:spacing w:before="60" w:after="60" w:line="240" w:lineRule="auto"/>
              <w:ind w:left="28" w:right="28"/>
              <w:jc w:val="right"/>
              <w:rPr>
                <w:sz w:val="18"/>
              </w:rPr>
            </w:pPr>
          </w:p>
        </w:tc>
        <w:tc>
          <w:tcPr>
            <w:tcW w:w="822" w:type="dxa"/>
            <w:gridSpan w:val="2"/>
            <w:vMerge/>
            <w:shd w:val="clear" w:color="auto" w:fill="auto"/>
            <w:vAlign w:val="bottom"/>
            <w:hideMark/>
          </w:tcPr>
          <w:p w14:paraId="1BD2C58D" w14:textId="77777777" w:rsidR="007101CE" w:rsidRPr="00624207" w:rsidRDefault="007101CE" w:rsidP="007B6FF1">
            <w:pPr>
              <w:suppressAutoHyphens w:val="0"/>
              <w:spacing w:before="60" w:after="60" w:line="240" w:lineRule="auto"/>
              <w:ind w:left="57" w:right="57"/>
              <w:jc w:val="right"/>
              <w:rPr>
                <w:sz w:val="18"/>
              </w:rPr>
            </w:pPr>
          </w:p>
        </w:tc>
        <w:tc>
          <w:tcPr>
            <w:tcW w:w="865" w:type="dxa"/>
            <w:shd w:val="clear" w:color="auto" w:fill="auto"/>
            <w:vAlign w:val="bottom"/>
            <w:hideMark/>
          </w:tcPr>
          <w:p w14:paraId="7FF16372" w14:textId="77777777" w:rsidR="007101CE" w:rsidRPr="00624207" w:rsidRDefault="007101CE" w:rsidP="007B6FF1">
            <w:pPr>
              <w:suppressAutoHyphens w:val="0"/>
              <w:spacing w:before="60" w:after="60" w:line="240" w:lineRule="auto"/>
              <w:ind w:left="28" w:right="28"/>
              <w:jc w:val="center"/>
              <w:rPr>
                <w:i/>
                <w:iCs/>
                <w:spacing w:val="-1"/>
                <w:sz w:val="16"/>
                <w:szCs w:val="16"/>
              </w:rPr>
            </w:pPr>
            <w:r w:rsidRPr="00624207">
              <w:rPr>
                <w:i/>
                <w:iCs/>
                <w:spacing w:val="-1"/>
                <w:sz w:val="16"/>
                <w:szCs w:val="16"/>
              </w:rPr>
              <w:t>Instructions d</w:t>
            </w:r>
            <w:r>
              <w:rPr>
                <w:i/>
                <w:iCs/>
                <w:spacing w:val="-1"/>
                <w:sz w:val="16"/>
                <w:szCs w:val="16"/>
              </w:rPr>
              <w:t>’</w:t>
            </w:r>
            <w:r w:rsidRPr="00624207">
              <w:rPr>
                <w:i/>
                <w:iCs/>
                <w:spacing w:val="-1"/>
                <w:sz w:val="16"/>
                <w:szCs w:val="16"/>
              </w:rPr>
              <w:t>emballage</w:t>
            </w:r>
          </w:p>
        </w:tc>
        <w:tc>
          <w:tcPr>
            <w:tcW w:w="880" w:type="dxa"/>
            <w:shd w:val="clear" w:color="auto" w:fill="auto"/>
            <w:vAlign w:val="bottom"/>
            <w:hideMark/>
          </w:tcPr>
          <w:p w14:paraId="6A811994" w14:textId="77777777" w:rsidR="007101CE" w:rsidRPr="00624207" w:rsidRDefault="007101CE" w:rsidP="007B6FF1">
            <w:pPr>
              <w:suppressAutoHyphens w:val="0"/>
              <w:spacing w:before="60" w:after="60" w:line="240" w:lineRule="auto"/>
              <w:ind w:left="28" w:right="28"/>
              <w:jc w:val="center"/>
              <w:rPr>
                <w:i/>
                <w:iCs/>
                <w:sz w:val="16"/>
                <w:szCs w:val="16"/>
              </w:rPr>
            </w:pPr>
            <w:r w:rsidRPr="00624207">
              <w:rPr>
                <w:i/>
                <w:iCs/>
                <w:sz w:val="16"/>
                <w:szCs w:val="16"/>
              </w:rPr>
              <w:t>Dispositions spéciales d</w:t>
            </w:r>
            <w:r>
              <w:rPr>
                <w:i/>
                <w:iCs/>
                <w:sz w:val="16"/>
                <w:szCs w:val="16"/>
              </w:rPr>
              <w:t>’</w:t>
            </w:r>
            <w:r w:rsidRPr="00624207">
              <w:rPr>
                <w:i/>
                <w:iCs/>
                <w:sz w:val="16"/>
                <w:szCs w:val="16"/>
              </w:rPr>
              <w:t>emballage</w:t>
            </w:r>
          </w:p>
        </w:tc>
        <w:tc>
          <w:tcPr>
            <w:tcW w:w="837" w:type="dxa"/>
            <w:shd w:val="clear" w:color="auto" w:fill="auto"/>
            <w:vAlign w:val="bottom"/>
            <w:hideMark/>
          </w:tcPr>
          <w:p w14:paraId="75BF24B2" w14:textId="6738CF34" w:rsidR="007101CE" w:rsidRPr="00624207" w:rsidRDefault="007101CE" w:rsidP="007B6FF1">
            <w:pPr>
              <w:suppressAutoHyphens w:val="0"/>
              <w:spacing w:before="60" w:after="60" w:line="240" w:lineRule="auto"/>
              <w:ind w:left="28" w:right="28"/>
              <w:jc w:val="center"/>
              <w:rPr>
                <w:i/>
                <w:iCs/>
                <w:sz w:val="16"/>
                <w:szCs w:val="16"/>
              </w:rPr>
            </w:pPr>
            <w:r w:rsidRPr="00624207">
              <w:rPr>
                <w:i/>
                <w:iCs/>
                <w:sz w:val="16"/>
                <w:szCs w:val="16"/>
              </w:rPr>
              <w:t>Instructions</w:t>
            </w:r>
            <w:r w:rsidRPr="00624207">
              <w:rPr>
                <w:i/>
                <w:iCs/>
                <w:sz w:val="16"/>
                <w:szCs w:val="16"/>
              </w:rPr>
              <w:br/>
              <w:t>de transport</w:t>
            </w:r>
          </w:p>
        </w:tc>
        <w:tc>
          <w:tcPr>
            <w:tcW w:w="872" w:type="dxa"/>
            <w:shd w:val="clear" w:color="auto" w:fill="auto"/>
            <w:vAlign w:val="bottom"/>
            <w:hideMark/>
          </w:tcPr>
          <w:p w14:paraId="40EFAA03" w14:textId="77777777" w:rsidR="007101CE" w:rsidRPr="00624207" w:rsidRDefault="007101CE" w:rsidP="007B6FF1">
            <w:pPr>
              <w:suppressAutoHyphens w:val="0"/>
              <w:spacing w:before="60" w:after="60" w:line="240" w:lineRule="auto"/>
              <w:ind w:left="28" w:right="28"/>
              <w:jc w:val="center"/>
              <w:rPr>
                <w:i/>
                <w:iCs/>
                <w:sz w:val="16"/>
                <w:szCs w:val="16"/>
              </w:rPr>
            </w:pPr>
            <w:r w:rsidRPr="00624207">
              <w:rPr>
                <w:i/>
                <w:iCs/>
                <w:sz w:val="16"/>
                <w:szCs w:val="16"/>
              </w:rPr>
              <w:t>Dispositions spéciales</w:t>
            </w:r>
          </w:p>
        </w:tc>
      </w:tr>
      <w:tr w:rsidR="007101CE" w:rsidRPr="00624207" w14:paraId="63A0664B" w14:textId="77777777" w:rsidTr="007B6FF1">
        <w:tc>
          <w:tcPr>
            <w:tcW w:w="496" w:type="dxa"/>
            <w:shd w:val="clear" w:color="auto" w:fill="auto"/>
            <w:vAlign w:val="center"/>
          </w:tcPr>
          <w:p w14:paraId="2D3A7845" w14:textId="77777777" w:rsidR="007101CE" w:rsidRPr="00624207" w:rsidRDefault="007101CE" w:rsidP="007B6FF1">
            <w:pPr>
              <w:suppressAutoHyphens w:val="0"/>
              <w:spacing w:before="60" w:after="60" w:line="240" w:lineRule="auto"/>
              <w:ind w:left="28" w:right="28"/>
              <w:rPr>
                <w:sz w:val="17"/>
                <w:szCs w:val="17"/>
                <w:u w:val="single"/>
              </w:rPr>
            </w:pPr>
            <w:r w:rsidRPr="00624207">
              <w:rPr>
                <w:sz w:val="16"/>
                <w:szCs w:val="16"/>
              </w:rPr>
              <w:t>1)</w:t>
            </w:r>
          </w:p>
        </w:tc>
        <w:tc>
          <w:tcPr>
            <w:tcW w:w="1942" w:type="dxa"/>
            <w:shd w:val="clear" w:color="auto" w:fill="auto"/>
            <w:vAlign w:val="center"/>
          </w:tcPr>
          <w:p w14:paraId="3724B5E0" w14:textId="77777777" w:rsidR="007101CE" w:rsidRPr="00624207" w:rsidRDefault="007101CE" w:rsidP="007B6FF1">
            <w:pPr>
              <w:suppressAutoHyphens w:val="0"/>
              <w:spacing w:before="60" w:after="60" w:line="240" w:lineRule="auto"/>
              <w:ind w:left="57" w:right="57"/>
              <w:rPr>
                <w:sz w:val="17"/>
                <w:szCs w:val="17"/>
              </w:rPr>
            </w:pPr>
            <w:r w:rsidRPr="00624207">
              <w:rPr>
                <w:sz w:val="16"/>
                <w:szCs w:val="16"/>
              </w:rPr>
              <w:t>2)</w:t>
            </w:r>
          </w:p>
        </w:tc>
        <w:tc>
          <w:tcPr>
            <w:tcW w:w="647" w:type="dxa"/>
            <w:shd w:val="clear" w:color="auto" w:fill="auto"/>
            <w:vAlign w:val="center"/>
          </w:tcPr>
          <w:p w14:paraId="16621ECE" w14:textId="77777777" w:rsidR="007101CE" w:rsidRPr="00624207" w:rsidRDefault="007101CE" w:rsidP="007B6FF1">
            <w:pPr>
              <w:suppressAutoHyphens w:val="0"/>
              <w:spacing w:before="60" w:after="60" w:line="240" w:lineRule="auto"/>
              <w:ind w:left="57" w:right="57"/>
              <w:jc w:val="center"/>
              <w:rPr>
                <w:sz w:val="17"/>
                <w:szCs w:val="17"/>
                <w:u w:val="single"/>
              </w:rPr>
            </w:pPr>
            <w:r w:rsidRPr="00624207">
              <w:rPr>
                <w:sz w:val="16"/>
                <w:szCs w:val="16"/>
              </w:rPr>
              <w:t>3)</w:t>
            </w:r>
          </w:p>
        </w:tc>
        <w:tc>
          <w:tcPr>
            <w:tcW w:w="593" w:type="dxa"/>
            <w:shd w:val="clear" w:color="auto" w:fill="auto"/>
            <w:vAlign w:val="center"/>
          </w:tcPr>
          <w:p w14:paraId="4D4482CD" w14:textId="77777777" w:rsidR="007101CE" w:rsidRPr="00624207" w:rsidRDefault="007101CE" w:rsidP="007B6FF1">
            <w:pPr>
              <w:suppressAutoHyphens w:val="0"/>
              <w:spacing w:before="60" w:after="60" w:line="240" w:lineRule="auto"/>
              <w:ind w:left="57" w:right="57"/>
              <w:jc w:val="center"/>
              <w:rPr>
                <w:sz w:val="17"/>
                <w:szCs w:val="17"/>
                <w:u w:val="single"/>
              </w:rPr>
            </w:pPr>
            <w:r w:rsidRPr="00624207">
              <w:rPr>
                <w:sz w:val="16"/>
                <w:szCs w:val="16"/>
              </w:rPr>
              <w:t>4)</w:t>
            </w:r>
          </w:p>
        </w:tc>
        <w:tc>
          <w:tcPr>
            <w:tcW w:w="849" w:type="dxa"/>
            <w:shd w:val="clear" w:color="auto" w:fill="auto"/>
            <w:vAlign w:val="center"/>
          </w:tcPr>
          <w:p w14:paraId="585AD4A1" w14:textId="77777777" w:rsidR="007101CE" w:rsidRPr="00624207" w:rsidRDefault="007101CE" w:rsidP="007B6FF1">
            <w:pPr>
              <w:suppressAutoHyphens w:val="0"/>
              <w:spacing w:before="60" w:after="60" w:line="240" w:lineRule="auto"/>
              <w:ind w:left="28" w:right="28"/>
              <w:jc w:val="center"/>
              <w:rPr>
                <w:sz w:val="17"/>
                <w:szCs w:val="17"/>
                <w:u w:val="single"/>
              </w:rPr>
            </w:pPr>
            <w:r w:rsidRPr="00624207">
              <w:rPr>
                <w:sz w:val="16"/>
                <w:szCs w:val="16"/>
              </w:rPr>
              <w:t>5)</w:t>
            </w:r>
          </w:p>
        </w:tc>
        <w:tc>
          <w:tcPr>
            <w:tcW w:w="840" w:type="dxa"/>
            <w:shd w:val="clear" w:color="auto" w:fill="auto"/>
            <w:vAlign w:val="center"/>
          </w:tcPr>
          <w:p w14:paraId="2F9BFC61" w14:textId="77777777" w:rsidR="007101CE" w:rsidRPr="00624207" w:rsidRDefault="007101CE" w:rsidP="007B6FF1">
            <w:pPr>
              <w:suppressAutoHyphens w:val="0"/>
              <w:spacing w:before="60" w:after="60" w:line="240" w:lineRule="auto"/>
              <w:ind w:left="28" w:right="28"/>
              <w:jc w:val="center"/>
              <w:rPr>
                <w:sz w:val="17"/>
                <w:szCs w:val="17"/>
                <w:u w:val="single"/>
              </w:rPr>
            </w:pPr>
            <w:r w:rsidRPr="00624207">
              <w:rPr>
                <w:sz w:val="16"/>
                <w:szCs w:val="16"/>
              </w:rPr>
              <w:t>6)</w:t>
            </w:r>
          </w:p>
        </w:tc>
        <w:tc>
          <w:tcPr>
            <w:tcW w:w="448" w:type="dxa"/>
            <w:shd w:val="clear" w:color="auto" w:fill="auto"/>
            <w:vAlign w:val="center"/>
          </w:tcPr>
          <w:p w14:paraId="0E2DF18E" w14:textId="77777777" w:rsidR="007101CE" w:rsidRPr="00624207" w:rsidRDefault="007101CE" w:rsidP="007B6FF1">
            <w:pPr>
              <w:suppressAutoHyphens w:val="0"/>
              <w:spacing w:before="60" w:after="60" w:line="240" w:lineRule="auto"/>
              <w:ind w:left="57" w:right="57"/>
              <w:jc w:val="center"/>
              <w:rPr>
                <w:sz w:val="17"/>
                <w:szCs w:val="17"/>
                <w:u w:val="single"/>
              </w:rPr>
            </w:pPr>
            <w:r w:rsidRPr="00624207">
              <w:rPr>
                <w:sz w:val="16"/>
                <w:szCs w:val="16"/>
              </w:rPr>
              <w:t>7a)</w:t>
            </w:r>
          </w:p>
        </w:tc>
        <w:tc>
          <w:tcPr>
            <w:tcW w:w="374" w:type="dxa"/>
            <w:shd w:val="clear" w:color="auto" w:fill="auto"/>
            <w:vAlign w:val="center"/>
          </w:tcPr>
          <w:p w14:paraId="13987FAC" w14:textId="77777777" w:rsidR="007101CE" w:rsidRPr="00624207" w:rsidRDefault="007101CE" w:rsidP="007B6FF1">
            <w:pPr>
              <w:suppressAutoHyphens w:val="0"/>
              <w:spacing w:before="60" w:after="60" w:line="240" w:lineRule="auto"/>
              <w:ind w:left="57" w:right="57"/>
              <w:jc w:val="center"/>
              <w:rPr>
                <w:sz w:val="17"/>
                <w:szCs w:val="17"/>
                <w:u w:val="single"/>
              </w:rPr>
            </w:pPr>
            <w:r w:rsidRPr="00624207">
              <w:rPr>
                <w:sz w:val="16"/>
                <w:szCs w:val="16"/>
              </w:rPr>
              <w:t>7b)</w:t>
            </w:r>
          </w:p>
        </w:tc>
        <w:tc>
          <w:tcPr>
            <w:tcW w:w="865" w:type="dxa"/>
            <w:shd w:val="clear" w:color="auto" w:fill="auto"/>
            <w:vAlign w:val="center"/>
          </w:tcPr>
          <w:p w14:paraId="5C66ADF8" w14:textId="77777777" w:rsidR="007101CE" w:rsidRPr="00624207" w:rsidRDefault="007101CE" w:rsidP="007B6FF1">
            <w:pPr>
              <w:suppressAutoHyphens w:val="0"/>
              <w:spacing w:before="60" w:after="60" w:line="240" w:lineRule="auto"/>
              <w:ind w:left="28" w:right="28"/>
              <w:jc w:val="center"/>
              <w:rPr>
                <w:sz w:val="17"/>
                <w:szCs w:val="17"/>
                <w:u w:val="single"/>
              </w:rPr>
            </w:pPr>
            <w:r w:rsidRPr="00624207">
              <w:rPr>
                <w:sz w:val="16"/>
                <w:szCs w:val="16"/>
              </w:rPr>
              <w:t>8)</w:t>
            </w:r>
          </w:p>
        </w:tc>
        <w:tc>
          <w:tcPr>
            <w:tcW w:w="880" w:type="dxa"/>
            <w:shd w:val="clear" w:color="auto" w:fill="auto"/>
            <w:vAlign w:val="center"/>
          </w:tcPr>
          <w:p w14:paraId="6A2CDDAE" w14:textId="77777777" w:rsidR="007101CE" w:rsidRPr="00624207" w:rsidRDefault="007101CE" w:rsidP="007B6FF1">
            <w:pPr>
              <w:suppressAutoHyphens w:val="0"/>
              <w:spacing w:before="60" w:after="60" w:line="240" w:lineRule="auto"/>
              <w:ind w:left="28" w:right="28"/>
              <w:jc w:val="center"/>
              <w:rPr>
                <w:sz w:val="17"/>
                <w:szCs w:val="17"/>
                <w:u w:val="single"/>
              </w:rPr>
            </w:pPr>
            <w:r w:rsidRPr="00624207">
              <w:rPr>
                <w:sz w:val="16"/>
                <w:szCs w:val="16"/>
              </w:rPr>
              <w:t>9)</w:t>
            </w:r>
          </w:p>
        </w:tc>
        <w:tc>
          <w:tcPr>
            <w:tcW w:w="837" w:type="dxa"/>
            <w:shd w:val="clear" w:color="auto" w:fill="auto"/>
            <w:vAlign w:val="center"/>
          </w:tcPr>
          <w:p w14:paraId="56414D34" w14:textId="77777777" w:rsidR="007101CE" w:rsidRPr="00624207" w:rsidRDefault="007101CE" w:rsidP="007B6FF1">
            <w:pPr>
              <w:suppressAutoHyphens w:val="0"/>
              <w:spacing w:before="60" w:after="60" w:line="240" w:lineRule="auto"/>
              <w:ind w:left="28" w:right="28"/>
              <w:jc w:val="center"/>
              <w:rPr>
                <w:sz w:val="17"/>
                <w:szCs w:val="17"/>
                <w:u w:val="single"/>
              </w:rPr>
            </w:pPr>
            <w:r w:rsidRPr="00624207">
              <w:rPr>
                <w:sz w:val="16"/>
                <w:szCs w:val="16"/>
              </w:rPr>
              <w:t>10)</w:t>
            </w:r>
          </w:p>
        </w:tc>
        <w:tc>
          <w:tcPr>
            <w:tcW w:w="872" w:type="dxa"/>
            <w:shd w:val="clear" w:color="auto" w:fill="auto"/>
            <w:vAlign w:val="center"/>
          </w:tcPr>
          <w:p w14:paraId="223B9A6F" w14:textId="77777777" w:rsidR="007101CE" w:rsidRPr="00624207" w:rsidRDefault="007101CE" w:rsidP="007B6FF1">
            <w:pPr>
              <w:suppressAutoHyphens w:val="0"/>
              <w:spacing w:before="60" w:after="60" w:line="240" w:lineRule="auto"/>
              <w:ind w:left="28" w:right="28"/>
              <w:jc w:val="center"/>
              <w:rPr>
                <w:sz w:val="17"/>
                <w:szCs w:val="17"/>
                <w:u w:val="single"/>
              </w:rPr>
            </w:pPr>
            <w:r w:rsidRPr="00624207">
              <w:rPr>
                <w:sz w:val="16"/>
                <w:szCs w:val="16"/>
              </w:rPr>
              <w:t>11)</w:t>
            </w:r>
          </w:p>
        </w:tc>
      </w:tr>
      <w:tr w:rsidR="007101CE" w:rsidRPr="00624207" w14:paraId="10C755CD" w14:textId="77777777" w:rsidTr="007B6FF1">
        <w:tc>
          <w:tcPr>
            <w:tcW w:w="496" w:type="dxa"/>
            <w:shd w:val="clear" w:color="auto" w:fill="auto"/>
          </w:tcPr>
          <w:p w14:paraId="1B814083" w14:textId="77777777" w:rsidR="007101CE" w:rsidRPr="00624207" w:rsidRDefault="007101CE" w:rsidP="007B6FF1">
            <w:pPr>
              <w:suppressAutoHyphens w:val="0"/>
              <w:spacing w:before="60" w:after="60" w:line="240" w:lineRule="auto"/>
              <w:ind w:left="28" w:right="28"/>
              <w:rPr>
                <w:sz w:val="17"/>
                <w:szCs w:val="17"/>
                <w:u w:val="single"/>
              </w:rPr>
            </w:pPr>
            <w:r w:rsidRPr="00624207">
              <w:rPr>
                <w:sz w:val="17"/>
                <w:szCs w:val="17"/>
                <w:u w:val="single"/>
              </w:rPr>
              <w:t>1835</w:t>
            </w:r>
          </w:p>
        </w:tc>
        <w:tc>
          <w:tcPr>
            <w:tcW w:w="1942" w:type="dxa"/>
            <w:shd w:val="clear" w:color="auto" w:fill="auto"/>
            <w:vAlign w:val="bottom"/>
          </w:tcPr>
          <w:p w14:paraId="48949F55" w14:textId="77777777" w:rsidR="007101CE" w:rsidRPr="00624207" w:rsidRDefault="007101CE" w:rsidP="007B6FF1">
            <w:pPr>
              <w:suppressAutoHyphens w:val="0"/>
              <w:spacing w:before="60" w:after="60" w:line="240" w:lineRule="auto"/>
              <w:ind w:left="57" w:right="57"/>
              <w:rPr>
                <w:sz w:val="17"/>
                <w:szCs w:val="17"/>
                <w:u w:val="single"/>
              </w:rPr>
            </w:pPr>
            <w:r w:rsidRPr="00624207">
              <w:rPr>
                <w:sz w:val="17"/>
                <w:szCs w:val="17"/>
              </w:rPr>
              <w:t>HYDROXYDE DE TETRAMETHYLAMMONIUM EN SOLUTION</w:t>
            </w:r>
            <w:r w:rsidRPr="00624207">
              <w:rPr>
                <w:sz w:val="17"/>
                <w:szCs w:val="17"/>
                <w:u w:val="single"/>
              </w:rPr>
              <w:t xml:space="preserve"> AQUEUSE contenant plus de 25 % d</w:t>
            </w:r>
            <w:r>
              <w:rPr>
                <w:sz w:val="17"/>
                <w:szCs w:val="17"/>
                <w:u w:val="single"/>
              </w:rPr>
              <w:t>’</w:t>
            </w:r>
            <w:r w:rsidRPr="00624207">
              <w:rPr>
                <w:sz w:val="17"/>
                <w:szCs w:val="17"/>
                <w:u w:val="single"/>
              </w:rPr>
              <w:t>hydroxyde de tétraméthylammonium</w:t>
            </w:r>
          </w:p>
        </w:tc>
        <w:tc>
          <w:tcPr>
            <w:tcW w:w="647" w:type="dxa"/>
            <w:shd w:val="clear" w:color="auto" w:fill="auto"/>
          </w:tcPr>
          <w:p w14:paraId="08B14D22" w14:textId="77777777" w:rsidR="007101CE" w:rsidRPr="00624207" w:rsidRDefault="007101CE" w:rsidP="007B6FF1">
            <w:pPr>
              <w:suppressAutoHyphens w:val="0"/>
              <w:spacing w:before="60" w:after="60" w:line="240" w:lineRule="auto"/>
              <w:ind w:left="57" w:right="57"/>
              <w:jc w:val="center"/>
              <w:rPr>
                <w:sz w:val="17"/>
                <w:szCs w:val="17"/>
                <w:u w:val="single"/>
              </w:rPr>
            </w:pPr>
            <w:r w:rsidRPr="00624207">
              <w:rPr>
                <w:sz w:val="17"/>
                <w:szCs w:val="17"/>
                <w:u w:val="single"/>
              </w:rPr>
              <w:t>6.1</w:t>
            </w:r>
          </w:p>
        </w:tc>
        <w:tc>
          <w:tcPr>
            <w:tcW w:w="593" w:type="dxa"/>
            <w:shd w:val="clear" w:color="auto" w:fill="auto"/>
          </w:tcPr>
          <w:p w14:paraId="14E8CF3F" w14:textId="77777777" w:rsidR="007101CE" w:rsidRPr="00624207" w:rsidRDefault="007101CE" w:rsidP="007B6FF1">
            <w:pPr>
              <w:suppressAutoHyphens w:val="0"/>
              <w:spacing w:before="60" w:after="60" w:line="240" w:lineRule="auto"/>
              <w:ind w:left="57" w:right="57"/>
              <w:jc w:val="center"/>
              <w:rPr>
                <w:sz w:val="17"/>
                <w:szCs w:val="17"/>
                <w:u w:val="single"/>
              </w:rPr>
            </w:pPr>
            <w:r w:rsidRPr="00624207">
              <w:rPr>
                <w:sz w:val="17"/>
                <w:szCs w:val="17"/>
                <w:u w:val="single"/>
              </w:rPr>
              <w:t>8</w:t>
            </w:r>
          </w:p>
        </w:tc>
        <w:tc>
          <w:tcPr>
            <w:tcW w:w="849" w:type="dxa"/>
            <w:shd w:val="clear" w:color="auto" w:fill="auto"/>
          </w:tcPr>
          <w:p w14:paraId="426358B6" w14:textId="77777777" w:rsidR="007101CE" w:rsidRPr="00624207" w:rsidRDefault="007101CE" w:rsidP="007B6FF1">
            <w:pPr>
              <w:suppressAutoHyphens w:val="0"/>
              <w:spacing w:before="60" w:after="60" w:line="240" w:lineRule="auto"/>
              <w:ind w:left="28" w:right="28"/>
              <w:jc w:val="center"/>
              <w:rPr>
                <w:sz w:val="17"/>
                <w:szCs w:val="17"/>
                <w:u w:val="single"/>
              </w:rPr>
            </w:pPr>
            <w:r w:rsidRPr="00624207">
              <w:rPr>
                <w:sz w:val="17"/>
                <w:szCs w:val="17"/>
                <w:u w:val="single"/>
              </w:rPr>
              <w:t>I</w:t>
            </w:r>
          </w:p>
        </w:tc>
        <w:tc>
          <w:tcPr>
            <w:tcW w:w="840" w:type="dxa"/>
            <w:shd w:val="clear" w:color="auto" w:fill="auto"/>
          </w:tcPr>
          <w:p w14:paraId="784F1A20" w14:textId="77777777" w:rsidR="007101CE" w:rsidRPr="00624207" w:rsidRDefault="007101CE" w:rsidP="007B6FF1">
            <w:pPr>
              <w:suppressAutoHyphens w:val="0"/>
              <w:spacing w:before="60" w:after="60" w:line="240" w:lineRule="auto"/>
              <w:ind w:left="28" w:right="28"/>
              <w:jc w:val="center"/>
              <w:rPr>
                <w:sz w:val="17"/>
                <w:szCs w:val="17"/>
                <w:u w:val="single"/>
              </w:rPr>
            </w:pPr>
            <w:r w:rsidRPr="00624207">
              <w:rPr>
                <w:sz w:val="17"/>
                <w:szCs w:val="17"/>
                <w:u w:val="single"/>
              </w:rPr>
              <w:t>279</w:t>
            </w:r>
          </w:p>
          <w:p w14:paraId="0DAA3FEE" w14:textId="77777777" w:rsidR="007101CE" w:rsidRPr="00624207" w:rsidRDefault="007101CE" w:rsidP="007B6FF1">
            <w:pPr>
              <w:suppressAutoHyphens w:val="0"/>
              <w:spacing w:before="60" w:after="60" w:line="240" w:lineRule="auto"/>
              <w:ind w:left="28" w:right="28"/>
              <w:jc w:val="center"/>
              <w:rPr>
                <w:sz w:val="17"/>
                <w:szCs w:val="17"/>
                <w:u w:val="single"/>
              </w:rPr>
            </w:pPr>
            <w:r w:rsidRPr="00624207">
              <w:rPr>
                <w:sz w:val="17"/>
                <w:szCs w:val="17"/>
                <w:u w:val="single"/>
              </w:rPr>
              <w:t>XXX</w:t>
            </w:r>
          </w:p>
        </w:tc>
        <w:tc>
          <w:tcPr>
            <w:tcW w:w="448" w:type="dxa"/>
            <w:shd w:val="clear" w:color="auto" w:fill="auto"/>
          </w:tcPr>
          <w:p w14:paraId="57633C24" w14:textId="77777777" w:rsidR="007101CE" w:rsidRPr="00624207" w:rsidRDefault="007101CE" w:rsidP="007B6FF1">
            <w:pPr>
              <w:suppressAutoHyphens w:val="0"/>
              <w:spacing w:before="60" w:after="60" w:line="240" w:lineRule="auto"/>
              <w:ind w:left="57" w:right="57"/>
              <w:jc w:val="center"/>
              <w:rPr>
                <w:sz w:val="17"/>
                <w:szCs w:val="17"/>
                <w:u w:val="single"/>
              </w:rPr>
            </w:pPr>
            <w:r w:rsidRPr="00624207">
              <w:rPr>
                <w:sz w:val="17"/>
                <w:szCs w:val="17"/>
                <w:u w:val="single"/>
              </w:rPr>
              <w:t>0</w:t>
            </w:r>
          </w:p>
        </w:tc>
        <w:tc>
          <w:tcPr>
            <w:tcW w:w="374" w:type="dxa"/>
            <w:shd w:val="clear" w:color="auto" w:fill="auto"/>
          </w:tcPr>
          <w:p w14:paraId="15071124" w14:textId="77777777" w:rsidR="007101CE" w:rsidRPr="00624207" w:rsidRDefault="007101CE" w:rsidP="007B6FF1">
            <w:pPr>
              <w:suppressAutoHyphens w:val="0"/>
              <w:spacing w:before="60" w:after="60" w:line="240" w:lineRule="auto"/>
              <w:ind w:left="57" w:right="57"/>
              <w:jc w:val="center"/>
              <w:rPr>
                <w:sz w:val="17"/>
                <w:szCs w:val="17"/>
                <w:u w:val="single"/>
              </w:rPr>
            </w:pPr>
            <w:r w:rsidRPr="00624207">
              <w:rPr>
                <w:sz w:val="17"/>
                <w:szCs w:val="17"/>
                <w:u w:val="single"/>
              </w:rPr>
              <w:t>E5</w:t>
            </w:r>
          </w:p>
        </w:tc>
        <w:tc>
          <w:tcPr>
            <w:tcW w:w="865" w:type="dxa"/>
            <w:shd w:val="clear" w:color="auto" w:fill="auto"/>
          </w:tcPr>
          <w:p w14:paraId="4B29404F" w14:textId="77777777" w:rsidR="007101CE" w:rsidRPr="00624207" w:rsidRDefault="007101CE" w:rsidP="007B6FF1">
            <w:pPr>
              <w:suppressAutoHyphens w:val="0"/>
              <w:spacing w:before="60" w:after="60" w:line="240" w:lineRule="auto"/>
              <w:ind w:left="28" w:right="28"/>
              <w:jc w:val="center"/>
              <w:rPr>
                <w:sz w:val="17"/>
                <w:szCs w:val="17"/>
                <w:u w:val="single"/>
              </w:rPr>
            </w:pPr>
            <w:r w:rsidRPr="00624207">
              <w:rPr>
                <w:sz w:val="17"/>
                <w:szCs w:val="17"/>
                <w:u w:val="single"/>
              </w:rPr>
              <w:t>P001</w:t>
            </w:r>
          </w:p>
        </w:tc>
        <w:tc>
          <w:tcPr>
            <w:tcW w:w="880" w:type="dxa"/>
            <w:shd w:val="clear" w:color="auto" w:fill="auto"/>
          </w:tcPr>
          <w:p w14:paraId="0894F350" w14:textId="77777777" w:rsidR="007101CE" w:rsidRPr="00624207" w:rsidRDefault="007101CE" w:rsidP="007B6FF1">
            <w:pPr>
              <w:suppressAutoHyphens w:val="0"/>
              <w:spacing w:before="60" w:after="60" w:line="240" w:lineRule="auto"/>
              <w:ind w:left="28" w:right="28"/>
              <w:jc w:val="center"/>
              <w:rPr>
                <w:sz w:val="17"/>
                <w:szCs w:val="17"/>
                <w:u w:val="single"/>
              </w:rPr>
            </w:pPr>
          </w:p>
        </w:tc>
        <w:tc>
          <w:tcPr>
            <w:tcW w:w="837" w:type="dxa"/>
            <w:shd w:val="clear" w:color="auto" w:fill="auto"/>
          </w:tcPr>
          <w:p w14:paraId="55470B05" w14:textId="77777777" w:rsidR="007101CE" w:rsidRPr="00624207" w:rsidRDefault="007101CE" w:rsidP="007B6FF1">
            <w:pPr>
              <w:suppressAutoHyphens w:val="0"/>
              <w:spacing w:before="60" w:after="60" w:line="240" w:lineRule="auto"/>
              <w:ind w:left="28" w:right="28"/>
              <w:jc w:val="center"/>
              <w:rPr>
                <w:sz w:val="17"/>
                <w:szCs w:val="17"/>
                <w:u w:val="single"/>
              </w:rPr>
            </w:pPr>
            <w:r w:rsidRPr="00624207">
              <w:rPr>
                <w:sz w:val="17"/>
                <w:szCs w:val="17"/>
                <w:u w:val="single"/>
              </w:rPr>
              <w:t>T14</w:t>
            </w:r>
          </w:p>
        </w:tc>
        <w:tc>
          <w:tcPr>
            <w:tcW w:w="872" w:type="dxa"/>
            <w:shd w:val="clear" w:color="auto" w:fill="auto"/>
          </w:tcPr>
          <w:p w14:paraId="217E992F" w14:textId="77777777" w:rsidR="007101CE" w:rsidRPr="00624207" w:rsidRDefault="007101CE" w:rsidP="007B6FF1">
            <w:pPr>
              <w:suppressAutoHyphens w:val="0"/>
              <w:spacing w:before="60" w:after="60" w:line="240" w:lineRule="auto"/>
              <w:ind w:left="28" w:right="28"/>
              <w:jc w:val="center"/>
              <w:rPr>
                <w:sz w:val="17"/>
                <w:szCs w:val="17"/>
                <w:u w:val="single"/>
              </w:rPr>
            </w:pPr>
            <w:r w:rsidRPr="00624207">
              <w:rPr>
                <w:sz w:val="17"/>
                <w:szCs w:val="17"/>
                <w:u w:val="single"/>
              </w:rPr>
              <w:t>TP2</w:t>
            </w:r>
          </w:p>
        </w:tc>
      </w:tr>
      <w:tr w:rsidR="007101CE" w:rsidRPr="00624207" w14:paraId="17AAB2EE" w14:textId="77777777" w:rsidTr="007B6FF1">
        <w:tc>
          <w:tcPr>
            <w:tcW w:w="496" w:type="dxa"/>
            <w:shd w:val="clear" w:color="auto" w:fill="auto"/>
          </w:tcPr>
          <w:p w14:paraId="4A335604" w14:textId="77777777" w:rsidR="007101CE" w:rsidRPr="00624207" w:rsidRDefault="007101CE" w:rsidP="007B6FF1">
            <w:pPr>
              <w:suppressAutoHyphens w:val="0"/>
              <w:spacing w:before="60" w:after="60" w:line="240" w:lineRule="auto"/>
              <w:ind w:left="28" w:right="28"/>
              <w:rPr>
                <w:sz w:val="17"/>
                <w:szCs w:val="17"/>
              </w:rPr>
            </w:pPr>
            <w:r w:rsidRPr="00624207">
              <w:rPr>
                <w:sz w:val="17"/>
                <w:szCs w:val="17"/>
              </w:rPr>
              <w:t>1835</w:t>
            </w:r>
          </w:p>
        </w:tc>
        <w:tc>
          <w:tcPr>
            <w:tcW w:w="1942" w:type="dxa"/>
            <w:shd w:val="clear" w:color="auto" w:fill="auto"/>
            <w:vAlign w:val="bottom"/>
          </w:tcPr>
          <w:p w14:paraId="2E77A84D" w14:textId="77777777" w:rsidR="007101CE" w:rsidRPr="00624207" w:rsidRDefault="007101CE" w:rsidP="007B6FF1">
            <w:pPr>
              <w:suppressAutoHyphens w:val="0"/>
              <w:spacing w:before="60" w:after="60" w:line="240" w:lineRule="auto"/>
              <w:ind w:left="57" w:right="57"/>
              <w:rPr>
                <w:sz w:val="17"/>
                <w:szCs w:val="17"/>
              </w:rPr>
            </w:pPr>
            <w:r w:rsidRPr="00624207">
              <w:rPr>
                <w:sz w:val="17"/>
                <w:szCs w:val="17"/>
              </w:rPr>
              <w:t xml:space="preserve">HYDROXIDE DE TETRAMETHYLAMMONIUM EN SOLUTION </w:t>
            </w:r>
            <w:r w:rsidRPr="00624207">
              <w:rPr>
                <w:sz w:val="17"/>
                <w:szCs w:val="17"/>
                <w:u w:val="single"/>
              </w:rPr>
              <w:t>AQUEUSE contenant au moins 2,5 % et au plus 25 % d</w:t>
            </w:r>
            <w:r>
              <w:rPr>
                <w:sz w:val="17"/>
                <w:szCs w:val="17"/>
                <w:u w:val="single"/>
              </w:rPr>
              <w:t>’</w:t>
            </w:r>
            <w:r w:rsidRPr="00624207">
              <w:rPr>
                <w:sz w:val="17"/>
                <w:szCs w:val="17"/>
                <w:u w:val="single"/>
              </w:rPr>
              <w:t>hydroxyde de tétraméthylammonium</w:t>
            </w:r>
          </w:p>
        </w:tc>
        <w:tc>
          <w:tcPr>
            <w:tcW w:w="647" w:type="dxa"/>
            <w:shd w:val="clear" w:color="auto" w:fill="auto"/>
          </w:tcPr>
          <w:p w14:paraId="3F806B70" w14:textId="77777777" w:rsidR="007101CE" w:rsidRPr="00624207" w:rsidRDefault="007101CE" w:rsidP="007B6FF1">
            <w:pPr>
              <w:suppressAutoHyphens w:val="0"/>
              <w:spacing w:before="60" w:after="60" w:line="240" w:lineRule="auto"/>
              <w:ind w:left="57" w:right="57"/>
              <w:jc w:val="center"/>
              <w:rPr>
                <w:sz w:val="17"/>
                <w:szCs w:val="17"/>
              </w:rPr>
            </w:pPr>
            <w:r w:rsidRPr="00624207">
              <w:rPr>
                <w:sz w:val="17"/>
                <w:szCs w:val="17"/>
              </w:rPr>
              <w:t>8</w:t>
            </w:r>
          </w:p>
        </w:tc>
        <w:tc>
          <w:tcPr>
            <w:tcW w:w="593" w:type="dxa"/>
            <w:shd w:val="clear" w:color="auto" w:fill="auto"/>
          </w:tcPr>
          <w:p w14:paraId="3CA67CE2" w14:textId="77777777" w:rsidR="007101CE" w:rsidRPr="00624207" w:rsidRDefault="007101CE" w:rsidP="007B6FF1">
            <w:pPr>
              <w:suppressAutoHyphens w:val="0"/>
              <w:spacing w:before="60" w:after="60" w:line="240" w:lineRule="auto"/>
              <w:ind w:left="57" w:right="57"/>
              <w:jc w:val="center"/>
              <w:rPr>
                <w:sz w:val="17"/>
                <w:szCs w:val="17"/>
                <w:u w:val="single"/>
              </w:rPr>
            </w:pPr>
            <w:r w:rsidRPr="00624207">
              <w:rPr>
                <w:sz w:val="17"/>
                <w:szCs w:val="17"/>
                <w:u w:val="single"/>
              </w:rPr>
              <w:t>6.1</w:t>
            </w:r>
          </w:p>
        </w:tc>
        <w:tc>
          <w:tcPr>
            <w:tcW w:w="849" w:type="dxa"/>
            <w:shd w:val="clear" w:color="auto" w:fill="auto"/>
          </w:tcPr>
          <w:p w14:paraId="5A11B1BB" w14:textId="77777777" w:rsidR="007101CE" w:rsidRPr="00624207" w:rsidRDefault="007101CE" w:rsidP="007B6FF1">
            <w:pPr>
              <w:suppressAutoHyphens w:val="0"/>
              <w:spacing w:before="60" w:after="60" w:line="240" w:lineRule="auto"/>
              <w:ind w:left="28" w:right="28"/>
              <w:jc w:val="center"/>
              <w:rPr>
                <w:sz w:val="17"/>
                <w:szCs w:val="17"/>
              </w:rPr>
            </w:pPr>
            <w:r w:rsidRPr="00624207">
              <w:rPr>
                <w:sz w:val="17"/>
                <w:szCs w:val="17"/>
              </w:rPr>
              <w:t>II</w:t>
            </w:r>
          </w:p>
        </w:tc>
        <w:tc>
          <w:tcPr>
            <w:tcW w:w="840" w:type="dxa"/>
            <w:shd w:val="clear" w:color="auto" w:fill="auto"/>
          </w:tcPr>
          <w:p w14:paraId="73DC45A5" w14:textId="77777777" w:rsidR="007101CE" w:rsidRPr="00624207" w:rsidRDefault="007101CE" w:rsidP="007B6FF1">
            <w:pPr>
              <w:suppressAutoHyphens w:val="0"/>
              <w:spacing w:before="60" w:after="60" w:line="240" w:lineRule="auto"/>
              <w:ind w:left="28" w:right="28"/>
              <w:jc w:val="center"/>
              <w:rPr>
                <w:sz w:val="17"/>
                <w:szCs w:val="17"/>
                <w:u w:val="single"/>
              </w:rPr>
            </w:pPr>
            <w:r w:rsidRPr="00624207">
              <w:rPr>
                <w:sz w:val="17"/>
                <w:szCs w:val="17"/>
                <w:u w:val="single"/>
              </w:rPr>
              <w:t>279</w:t>
            </w:r>
          </w:p>
          <w:p w14:paraId="6468CEAA" w14:textId="77777777" w:rsidR="007101CE" w:rsidRPr="00624207" w:rsidRDefault="007101CE" w:rsidP="007B6FF1">
            <w:pPr>
              <w:suppressAutoHyphens w:val="0"/>
              <w:spacing w:before="60" w:after="60" w:line="240" w:lineRule="auto"/>
              <w:ind w:left="28" w:right="28"/>
              <w:jc w:val="center"/>
              <w:rPr>
                <w:sz w:val="17"/>
                <w:szCs w:val="17"/>
              </w:rPr>
            </w:pPr>
            <w:r w:rsidRPr="00624207">
              <w:rPr>
                <w:sz w:val="17"/>
                <w:szCs w:val="17"/>
                <w:u w:val="single"/>
              </w:rPr>
              <w:t>XXX</w:t>
            </w:r>
          </w:p>
        </w:tc>
        <w:tc>
          <w:tcPr>
            <w:tcW w:w="448" w:type="dxa"/>
            <w:shd w:val="clear" w:color="auto" w:fill="auto"/>
          </w:tcPr>
          <w:p w14:paraId="23CD3630" w14:textId="77777777" w:rsidR="007101CE" w:rsidRPr="00624207" w:rsidRDefault="007101CE" w:rsidP="007B6FF1">
            <w:pPr>
              <w:suppressAutoHyphens w:val="0"/>
              <w:spacing w:before="60" w:after="60" w:line="240" w:lineRule="auto"/>
              <w:ind w:left="57" w:right="57"/>
              <w:jc w:val="center"/>
              <w:rPr>
                <w:sz w:val="17"/>
                <w:szCs w:val="17"/>
              </w:rPr>
            </w:pPr>
            <w:r w:rsidRPr="00624207">
              <w:rPr>
                <w:sz w:val="17"/>
                <w:szCs w:val="17"/>
              </w:rPr>
              <w:t xml:space="preserve">1 L </w:t>
            </w:r>
          </w:p>
        </w:tc>
        <w:tc>
          <w:tcPr>
            <w:tcW w:w="374" w:type="dxa"/>
            <w:shd w:val="clear" w:color="auto" w:fill="auto"/>
          </w:tcPr>
          <w:p w14:paraId="12A48E88" w14:textId="77777777" w:rsidR="007101CE" w:rsidRPr="00624207" w:rsidRDefault="007101CE" w:rsidP="007B6FF1">
            <w:pPr>
              <w:suppressAutoHyphens w:val="0"/>
              <w:spacing w:before="60" w:after="60" w:line="240" w:lineRule="auto"/>
              <w:ind w:left="57" w:right="57"/>
              <w:jc w:val="center"/>
              <w:rPr>
                <w:sz w:val="17"/>
                <w:szCs w:val="17"/>
              </w:rPr>
            </w:pPr>
            <w:r w:rsidRPr="00624207">
              <w:rPr>
                <w:sz w:val="17"/>
                <w:szCs w:val="17"/>
              </w:rPr>
              <w:t xml:space="preserve">E2 </w:t>
            </w:r>
          </w:p>
        </w:tc>
        <w:tc>
          <w:tcPr>
            <w:tcW w:w="865" w:type="dxa"/>
            <w:shd w:val="clear" w:color="auto" w:fill="auto"/>
          </w:tcPr>
          <w:p w14:paraId="4DFCA8A2" w14:textId="77777777" w:rsidR="007101CE" w:rsidRPr="00624207" w:rsidRDefault="007101CE" w:rsidP="007B6FF1">
            <w:pPr>
              <w:suppressAutoHyphens w:val="0"/>
              <w:spacing w:before="60" w:after="60" w:line="240" w:lineRule="auto"/>
              <w:ind w:left="28" w:right="28"/>
              <w:jc w:val="center"/>
              <w:rPr>
                <w:sz w:val="17"/>
                <w:szCs w:val="17"/>
              </w:rPr>
            </w:pPr>
            <w:r w:rsidRPr="00624207">
              <w:rPr>
                <w:sz w:val="17"/>
                <w:szCs w:val="17"/>
              </w:rPr>
              <w:t>P001</w:t>
            </w:r>
          </w:p>
          <w:p w14:paraId="70DE35A7" w14:textId="77777777" w:rsidR="007101CE" w:rsidRPr="00624207" w:rsidRDefault="007101CE" w:rsidP="007B6FF1">
            <w:pPr>
              <w:suppressAutoHyphens w:val="0"/>
              <w:spacing w:before="60" w:after="60" w:line="240" w:lineRule="auto"/>
              <w:ind w:left="28" w:right="28"/>
              <w:jc w:val="center"/>
              <w:rPr>
                <w:sz w:val="17"/>
                <w:szCs w:val="17"/>
              </w:rPr>
            </w:pPr>
            <w:r w:rsidRPr="00624207">
              <w:rPr>
                <w:sz w:val="17"/>
                <w:szCs w:val="17"/>
              </w:rPr>
              <w:t>IBC02</w:t>
            </w:r>
          </w:p>
        </w:tc>
        <w:tc>
          <w:tcPr>
            <w:tcW w:w="880" w:type="dxa"/>
            <w:shd w:val="clear" w:color="auto" w:fill="auto"/>
          </w:tcPr>
          <w:p w14:paraId="17BD299A" w14:textId="77777777" w:rsidR="007101CE" w:rsidRPr="00624207" w:rsidRDefault="007101CE" w:rsidP="007B6FF1">
            <w:pPr>
              <w:suppressAutoHyphens w:val="0"/>
              <w:spacing w:before="60" w:after="60" w:line="240" w:lineRule="auto"/>
              <w:ind w:left="28" w:right="28"/>
              <w:jc w:val="center"/>
              <w:rPr>
                <w:sz w:val="17"/>
                <w:szCs w:val="17"/>
              </w:rPr>
            </w:pPr>
          </w:p>
        </w:tc>
        <w:tc>
          <w:tcPr>
            <w:tcW w:w="837" w:type="dxa"/>
            <w:shd w:val="clear" w:color="auto" w:fill="auto"/>
          </w:tcPr>
          <w:p w14:paraId="4EF1BC01" w14:textId="77777777" w:rsidR="007101CE" w:rsidRPr="00624207" w:rsidRDefault="007101CE" w:rsidP="007B6FF1">
            <w:pPr>
              <w:suppressAutoHyphens w:val="0"/>
              <w:spacing w:before="60" w:after="60" w:line="240" w:lineRule="auto"/>
              <w:ind w:left="28" w:right="28"/>
              <w:jc w:val="center"/>
              <w:rPr>
                <w:sz w:val="17"/>
                <w:szCs w:val="17"/>
              </w:rPr>
            </w:pPr>
            <w:r w:rsidRPr="00624207">
              <w:rPr>
                <w:sz w:val="17"/>
                <w:szCs w:val="17"/>
              </w:rPr>
              <w:t>T7</w:t>
            </w:r>
          </w:p>
        </w:tc>
        <w:tc>
          <w:tcPr>
            <w:tcW w:w="872" w:type="dxa"/>
            <w:shd w:val="clear" w:color="auto" w:fill="auto"/>
          </w:tcPr>
          <w:p w14:paraId="2AC66202" w14:textId="77777777" w:rsidR="007101CE" w:rsidRPr="00624207" w:rsidRDefault="007101CE" w:rsidP="007B6FF1">
            <w:pPr>
              <w:suppressAutoHyphens w:val="0"/>
              <w:spacing w:before="60" w:after="60" w:line="240" w:lineRule="auto"/>
              <w:ind w:left="28" w:right="28"/>
              <w:jc w:val="center"/>
              <w:rPr>
                <w:sz w:val="17"/>
                <w:szCs w:val="17"/>
              </w:rPr>
            </w:pPr>
            <w:r w:rsidRPr="00624207">
              <w:rPr>
                <w:sz w:val="17"/>
                <w:szCs w:val="17"/>
              </w:rPr>
              <w:t>TP2</w:t>
            </w:r>
          </w:p>
        </w:tc>
      </w:tr>
      <w:tr w:rsidR="007101CE" w:rsidRPr="00624207" w14:paraId="484D6AD9" w14:textId="77777777" w:rsidTr="007B6FF1">
        <w:tc>
          <w:tcPr>
            <w:tcW w:w="496" w:type="dxa"/>
            <w:shd w:val="clear" w:color="auto" w:fill="auto"/>
          </w:tcPr>
          <w:p w14:paraId="0A9F23E3" w14:textId="77777777" w:rsidR="007101CE" w:rsidRPr="00624207" w:rsidRDefault="007101CE" w:rsidP="007B6FF1">
            <w:pPr>
              <w:suppressAutoHyphens w:val="0"/>
              <w:spacing w:before="60" w:after="60" w:line="240" w:lineRule="auto"/>
              <w:ind w:left="28" w:right="28"/>
              <w:rPr>
                <w:sz w:val="17"/>
                <w:szCs w:val="17"/>
                <w:u w:val="single"/>
              </w:rPr>
            </w:pPr>
            <w:r w:rsidRPr="00624207">
              <w:rPr>
                <w:sz w:val="17"/>
                <w:szCs w:val="17"/>
              </w:rPr>
              <w:t>1835</w:t>
            </w:r>
          </w:p>
        </w:tc>
        <w:tc>
          <w:tcPr>
            <w:tcW w:w="1942" w:type="dxa"/>
            <w:shd w:val="clear" w:color="auto" w:fill="auto"/>
            <w:vAlign w:val="bottom"/>
          </w:tcPr>
          <w:p w14:paraId="163083A0" w14:textId="77777777" w:rsidR="007101CE" w:rsidRPr="00624207" w:rsidRDefault="007101CE" w:rsidP="007B6FF1">
            <w:pPr>
              <w:suppressAutoHyphens w:val="0"/>
              <w:spacing w:before="60" w:after="60" w:line="240" w:lineRule="auto"/>
              <w:ind w:left="57" w:right="57"/>
              <w:rPr>
                <w:sz w:val="17"/>
                <w:szCs w:val="17"/>
              </w:rPr>
            </w:pPr>
            <w:r w:rsidRPr="00624207">
              <w:rPr>
                <w:sz w:val="17"/>
                <w:szCs w:val="17"/>
              </w:rPr>
              <w:t xml:space="preserve">HYDROXYDE DE TETRAMETHYLAMMONIUM EN SOLUTION </w:t>
            </w:r>
            <w:r w:rsidRPr="00624207">
              <w:rPr>
                <w:sz w:val="17"/>
                <w:szCs w:val="17"/>
                <w:u w:val="single"/>
              </w:rPr>
              <w:t>AQUEUSE</w:t>
            </w:r>
            <w:r w:rsidRPr="00624207">
              <w:rPr>
                <w:sz w:val="17"/>
                <w:szCs w:val="17"/>
              </w:rPr>
              <w:t xml:space="preserve"> contenant moins de </w:t>
            </w:r>
            <w:r w:rsidRPr="00624207">
              <w:rPr>
                <w:sz w:val="17"/>
                <w:szCs w:val="17"/>
                <w:u w:val="single"/>
              </w:rPr>
              <w:t>2,5 % d</w:t>
            </w:r>
            <w:r>
              <w:rPr>
                <w:sz w:val="17"/>
                <w:szCs w:val="17"/>
                <w:u w:val="single"/>
              </w:rPr>
              <w:t>’</w:t>
            </w:r>
            <w:r w:rsidRPr="00624207">
              <w:rPr>
                <w:sz w:val="17"/>
                <w:szCs w:val="17"/>
                <w:u w:val="single"/>
              </w:rPr>
              <w:t>hydroxyde de tétraméthylammonium</w:t>
            </w:r>
          </w:p>
        </w:tc>
        <w:tc>
          <w:tcPr>
            <w:tcW w:w="647" w:type="dxa"/>
            <w:shd w:val="clear" w:color="auto" w:fill="auto"/>
          </w:tcPr>
          <w:p w14:paraId="5E364187" w14:textId="77777777" w:rsidR="007101CE" w:rsidRPr="00624207" w:rsidRDefault="007101CE" w:rsidP="007B6FF1">
            <w:pPr>
              <w:suppressAutoHyphens w:val="0"/>
              <w:spacing w:before="60" w:after="60" w:line="240" w:lineRule="auto"/>
              <w:ind w:left="57" w:right="57"/>
              <w:jc w:val="center"/>
              <w:rPr>
                <w:sz w:val="17"/>
                <w:szCs w:val="17"/>
                <w:u w:val="single"/>
              </w:rPr>
            </w:pPr>
            <w:r w:rsidRPr="00624207">
              <w:rPr>
                <w:sz w:val="17"/>
                <w:szCs w:val="17"/>
              </w:rPr>
              <w:t>8</w:t>
            </w:r>
          </w:p>
        </w:tc>
        <w:tc>
          <w:tcPr>
            <w:tcW w:w="593" w:type="dxa"/>
            <w:shd w:val="clear" w:color="auto" w:fill="auto"/>
          </w:tcPr>
          <w:p w14:paraId="627CBEEB" w14:textId="77777777" w:rsidR="007101CE" w:rsidRPr="00624207" w:rsidRDefault="007101CE" w:rsidP="007B6FF1">
            <w:pPr>
              <w:suppressAutoHyphens w:val="0"/>
              <w:spacing w:before="60" w:after="60" w:line="240" w:lineRule="auto"/>
              <w:ind w:left="57" w:right="57"/>
              <w:jc w:val="center"/>
              <w:rPr>
                <w:sz w:val="17"/>
                <w:szCs w:val="17"/>
                <w:u w:val="single"/>
              </w:rPr>
            </w:pPr>
          </w:p>
        </w:tc>
        <w:tc>
          <w:tcPr>
            <w:tcW w:w="849" w:type="dxa"/>
            <w:shd w:val="clear" w:color="auto" w:fill="auto"/>
          </w:tcPr>
          <w:p w14:paraId="66B52645" w14:textId="77777777" w:rsidR="007101CE" w:rsidRPr="00624207" w:rsidRDefault="007101CE" w:rsidP="007B6FF1">
            <w:pPr>
              <w:suppressAutoHyphens w:val="0"/>
              <w:spacing w:before="60" w:after="60" w:line="240" w:lineRule="auto"/>
              <w:ind w:left="28" w:right="28"/>
              <w:jc w:val="center"/>
              <w:rPr>
                <w:sz w:val="17"/>
                <w:szCs w:val="17"/>
                <w:u w:val="single"/>
              </w:rPr>
            </w:pPr>
            <w:r w:rsidRPr="00624207">
              <w:rPr>
                <w:sz w:val="17"/>
                <w:szCs w:val="17"/>
              </w:rPr>
              <w:t>III</w:t>
            </w:r>
          </w:p>
        </w:tc>
        <w:tc>
          <w:tcPr>
            <w:tcW w:w="840" w:type="dxa"/>
            <w:shd w:val="clear" w:color="auto" w:fill="auto"/>
          </w:tcPr>
          <w:p w14:paraId="4E8A0A4B" w14:textId="77777777" w:rsidR="007101CE" w:rsidRPr="00624207" w:rsidRDefault="007101CE" w:rsidP="007B6FF1">
            <w:pPr>
              <w:suppressAutoHyphens w:val="0"/>
              <w:spacing w:before="60" w:after="60" w:line="240" w:lineRule="auto"/>
              <w:ind w:left="28" w:right="28"/>
              <w:jc w:val="center"/>
              <w:rPr>
                <w:sz w:val="17"/>
                <w:szCs w:val="17"/>
                <w:u w:val="single"/>
              </w:rPr>
            </w:pPr>
            <w:r w:rsidRPr="00624207">
              <w:rPr>
                <w:sz w:val="17"/>
                <w:szCs w:val="17"/>
                <w:u w:val="single"/>
              </w:rPr>
              <w:t>279</w:t>
            </w:r>
          </w:p>
          <w:p w14:paraId="20B9C84C" w14:textId="77777777" w:rsidR="007101CE" w:rsidRPr="00624207" w:rsidRDefault="007101CE" w:rsidP="007B6FF1">
            <w:pPr>
              <w:suppressAutoHyphens w:val="0"/>
              <w:spacing w:before="60" w:after="60" w:line="240" w:lineRule="auto"/>
              <w:ind w:left="28" w:right="28"/>
              <w:jc w:val="center"/>
              <w:rPr>
                <w:sz w:val="17"/>
                <w:szCs w:val="17"/>
              </w:rPr>
            </w:pPr>
            <w:r w:rsidRPr="00624207">
              <w:rPr>
                <w:sz w:val="17"/>
                <w:szCs w:val="17"/>
              </w:rPr>
              <w:t>223</w:t>
            </w:r>
          </w:p>
          <w:p w14:paraId="1245D86A" w14:textId="77777777" w:rsidR="007101CE" w:rsidRPr="00624207" w:rsidRDefault="007101CE" w:rsidP="007B6FF1">
            <w:pPr>
              <w:suppressAutoHyphens w:val="0"/>
              <w:spacing w:before="60" w:after="60" w:line="240" w:lineRule="auto"/>
              <w:ind w:left="28" w:right="28"/>
              <w:jc w:val="center"/>
              <w:rPr>
                <w:sz w:val="17"/>
                <w:szCs w:val="17"/>
                <w:u w:val="single"/>
              </w:rPr>
            </w:pPr>
            <w:r w:rsidRPr="00624207">
              <w:rPr>
                <w:sz w:val="17"/>
                <w:szCs w:val="17"/>
                <w:u w:val="single"/>
              </w:rPr>
              <w:t>XXX</w:t>
            </w:r>
          </w:p>
        </w:tc>
        <w:tc>
          <w:tcPr>
            <w:tcW w:w="448" w:type="dxa"/>
            <w:shd w:val="clear" w:color="auto" w:fill="auto"/>
          </w:tcPr>
          <w:p w14:paraId="1C8C14F4" w14:textId="77777777" w:rsidR="007101CE" w:rsidRPr="00624207" w:rsidRDefault="007101CE" w:rsidP="007B6FF1">
            <w:pPr>
              <w:suppressAutoHyphens w:val="0"/>
              <w:spacing w:before="60" w:after="60" w:line="240" w:lineRule="auto"/>
              <w:ind w:left="57" w:right="57"/>
              <w:jc w:val="center"/>
              <w:rPr>
                <w:sz w:val="17"/>
                <w:szCs w:val="17"/>
                <w:u w:val="single"/>
              </w:rPr>
            </w:pPr>
            <w:r w:rsidRPr="00624207">
              <w:rPr>
                <w:sz w:val="17"/>
                <w:szCs w:val="17"/>
              </w:rPr>
              <w:t>5 L</w:t>
            </w:r>
          </w:p>
        </w:tc>
        <w:tc>
          <w:tcPr>
            <w:tcW w:w="374" w:type="dxa"/>
            <w:shd w:val="clear" w:color="auto" w:fill="auto"/>
          </w:tcPr>
          <w:p w14:paraId="450CA231" w14:textId="77777777" w:rsidR="007101CE" w:rsidRPr="00624207" w:rsidRDefault="007101CE" w:rsidP="007B6FF1">
            <w:pPr>
              <w:suppressAutoHyphens w:val="0"/>
              <w:spacing w:before="60" w:after="60" w:line="240" w:lineRule="auto"/>
              <w:ind w:left="57" w:right="57"/>
              <w:jc w:val="center"/>
              <w:rPr>
                <w:sz w:val="17"/>
                <w:szCs w:val="17"/>
                <w:u w:val="single"/>
              </w:rPr>
            </w:pPr>
            <w:r w:rsidRPr="00624207">
              <w:rPr>
                <w:sz w:val="17"/>
                <w:szCs w:val="17"/>
              </w:rPr>
              <w:t>E1</w:t>
            </w:r>
          </w:p>
        </w:tc>
        <w:tc>
          <w:tcPr>
            <w:tcW w:w="865" w:type="dxa"/>
            <w:shd w:val="clear" w:color="auto" w:fill="auto"/>
          </w:tcPr>
          <w:p w14:paraId="10B70B91" w14:textId="77777777" w:rsidR="007101CE" w:rsidRPr="00624207" w:rsidRDefault="007101CE" w:rsidP="007B6FF1">
            <w:pPr>
              <w:suppressAutoHyphens w:val="0"/>
              <w:spacing w:before="60" w:after="60" w:line="240" w:lineRule="auto"/>
              <w:ind w:left="28" w:right="28"/>
              <w:jc w:val="center"/>
              <w:rPr>
                <w:sz w:val="17"/>
                <w:szCs w:val="17"/>
              </w:rPr>
            </w:pPr>
            <w:r w:rsidRPr="00624207">
              <w:rPr>
                <w:sz w:val="17"/>
                <w:szCs w:val="17"/>
              </w:rPr>
              <w:t>P001</w:t>
            </w:r>
          </w:p>
          <w:p w14:paraId="59438461" w14:textId="77777777" w:rsidR="007101CE" w:rsidRPr="00624207" w:rsidRDefault="007101CE" w:rsidP="007B6FF1">
            <w:pPr>
              <w:suppressAutoHyphens w:val="0"/>
              <w:spacing w:before="60" w:after="60" w:line="240" w:lineRule="auto"/>
              <w:ind w:left="28" w:right="28"/>
              <w:jc w:val="center"/>
              <w:rPr>
                <w:sz w:val="17"/>
                <w:szCs w:val="17"/>
              </w:rPr>
            </w:pPr>
            <w:r w:rsidRPr="00624207">
              <w:rPr>
                <w:sz w:val="17"/>
                <w:szCs w:val="17"/>
              </w:rPr>
              <w:t>IBC03</w:t>
            </w:r>
          </w:p>
          <w:p w14:paraId="0E3A5AC1" w14:textId="77777777" w:rsidR="007101CE" w:rsidRPr="00624207" w:rsidRDefault="007101CE" w:rsidP="007B6FF1">
            <w:pPr>
              <w:suppressAutoHyphens w:val="0"/>
              <w:spacing w:before="60" w:after="60" w:line="240" w:lineRule="auto"/>
              <w:ind w:left="28" w:right="28"/>
              <w:jc w:val="center"/>
              <w:rPr>
                <w:sz w:val="17"/>
                <w:szCs w:val="17"/>
                <w:u w:val="single"/>
              </w:rPr>
            </w:pPr>
            <w:r w:rsidRPr="00624207">
              <w:rPr>
                <w:sz w:val="17"/>
                <w:szCs w:val="17"/>
              </w:rPr>
              <w:t>LP01</w:t>
            </w:r>
          </w:p>
        </w:tc>
        <w:tc>
          <w:tcPr>
            <w:tcW w:w="880" w:type="dxa"/>
            <w:shd w:val="clear" w:color="auto" w:fill="auto"/>
          </w:tcPr>
          <w:p w14:paraId="6FB84599" w14:textId="77777777" w:rsidR="007101CE" w:rsidRPr="00624207" w:rsidRDefault="007101CE" w:rsidP="007B6FF1">
            <w:pPr>
              <w:suppressAutoHyphens w:val="0"/>
              <w:spacing w:before="60" w:after="60" w:line="240" w:lineRule="auto"/>
              <w:ind w:left="28" w:right="28"/>
              <w:jc w:val="center"/>
              <w:rPr>
                <w:sz w:val="17"/>
                <w:szCs w:val="17"/>
                <w:u w:val="single"/>
              </w:rPr>
            </w:pPr>
          </w:p>
        </w:tc>
        <w:tc>
          <w:tcPr>
            <w:tcW w:w="837" w:type="dxa"/>
            <w:shd w:val="clear" w:color="auto" w:fill="auto"/>
          </w:tcPr>
          <w:p w14:paraId="0B52F439" w14:textId="77777777" w:rsidR="007101CE" w:rsidRPr="00624207" w:rsidRDefault="007101CE" w:rsidP="007B6FF1">
            <w:pPr>
              <w:suppressAutoHyphens w:val="0"/>
              <w:spacing w:before="60" w:after="60" w:line="240" w:lineRule="auto"/>
              <w:ind w:left="28" w:right="28"/>
              <w:jc w:val="center"/>
              <w:rPr>
                <w:sz w:val="17"/>
                <w:szCs w:val="17"/>
                <w:u w:val="single"/>
              </w:rPr>
            </w:pPr>
            <w:r w:rsidRPr="00624207">
              <w:rPr>
                <w:sz w:val="17"/>
                <w:szCs w:val="17"/>
              </w:rPr>
              <w:t>T7</w:t>
            </w:r>
          </w:p>
        </w:tc>
        <w:tc>
          <w:tcPr>
            <w:tcW w:w="872" w:type="dxa"/>
            <w:shd w:val="clear" w:color="auto" w:fill="auto"/>
          </w:tcPr>
          <w:p w14:paraId="086FE914" w14:textId="77777777" w:rsidR="007101CE" w:rsidRPr="00624207" w:rsidRDefault="007101CE" w:rsidP="007B6FF1">
            <w:pPr>
              <w:suppressAutoHyphens w:val="0"/>
              <w:spacing w:before="60" w:after="60" w:line="240" w:lineRule="auto"/>
              <w:ind w:left="28" w:right="28"/>
              <w:jc w:val="center"/>
              <w:rPr>
                <w:sz w:val="17"/>
                <w:szCs w:val="17"/>
                <w:u w:val="single"/>
              </w:rPr>
            </w:pPr>
            <w:r w:rsidRPr="00624207">
              <w:rPr>
                <w:sz w:val="17"/>
                <w:szCs w:val="17"/>
              </w:rPr>
              <w:t>TP2</w:t>
            </w:r>
          </w:p>
        </w:tc>
      </w:tr>
      <w:tr w:rsidR="007101CE" w:rsidRPr="00624207" w14:paraId="301BBD9B" w14:textId="77777777" w:rsidTr="007B6FF1">
        <w:tc>
          <w:tcPr>
            <w:tcW w:w="496" w:type="dxa"/>
            <w:shd w:val="clear" w:color="auto" w:fill="auto"/>
            <w:hideMark/>
          </w:tcPr>
          <w:p w14:paraId="5D08E4B7" w14:textId="77777777" w:rsidR="007101CE" w:rsidRPr="00624207" w:rsidRDefault="007101CE" w:rsidP="007B6FF1">
            <w:pPr>
              <w:suppressAutoHyphens w:val="0"/>
              <w:spacing w:before="60" w:after="60" w:line="240" w:lineRule="auto"/>
              <w:ind w:left="28" w:right="28"/>
              <w:rPr>
                <w:sz w:val="17"/>
                <w:szCs w:val="17"/>
              </w:rPr>
            </w:pPr>
            <w:r w:rsidRPr="00624207">
              <w:rPr>
                <w:sz w:val="17"/>
                <w:szCs w:val="17"/>
              </w:rPr>
              <w:t>3423</w:t>
            </w:r>
          </w:p>
        </w:tc>
        <w:tc>
          <w:tcPr>
            <w:tcW w:w="1942" w:type="dxa"/>
            <w:shd w:val="clear" w:color="auto" w:fill="auto"/>
            <w:vAlign w:val="bottom"/>
            <w:hideMark/>
          </w:tcPr>
          <w:p w14:paraId="393B312C" w14:textId="77777777" w:rsidR="007101CE" w:rsidRPr="00624207" w:rsidRDefault="007101CE" w:rsidP="007B6FF1">
            <w:pPr>
              <w:suppressAutoHyphens w:val="0"/>
              <w:spacing w:before="60" w:after="60" w:line="240" w:lineRule="auto"/>
              <w:ind w:left="57" w:right="57"/>
              <w:rPr>
                <w:sz w:val="17"/>
                <w:szCs w:val="17"/>
              </w:rPr>
            </w:pPr>
            <w:r w:rsidRPr="00624207">
              <w:rPr>
                <w:sz w:val="17"/>
                <w:szCs w:val="17"/>
              </w:rPr>
              <w:t>HYDROXYDE DE TÉTRAMÉTHYLAMMONIUM, SOLIDE</w:t>
            </w:r>
          </w:p>
        </w:tc>
        <w:tc>
          <w:tcPr>
            <w:tcW w:w="647" w:type="dxa"/>
            <w:shd w:val="clear" w:color="auto" w:fill="auto"/>
            <w:hideMark/>
          </w:tcPr>
          <w:p w14:paraId="2EDA4605" w14:textId="77777777" w:rsidR="007101CE" w:rsidRPr="00624207" w:rsidRDefault="007101CE" w:rsidP="007B6FF1">
            <w:pPr>
              <w:suppressAutoHyphens w:val="0"/>
              <w:spacing w:before="60" w:after="60" w:line="240" w:lineRule="auto"/>
              <w:ind w:left="57" w:right="57"/>
              <w:jc w:val="center"/>
              <w:rPr>
                <w:sz w:val="17"/>
                <w:szCs w:val="17"/>
                <w:u w:val="single"/>
              </w:rPr>
            </w:pPr>
            <w:r w:rsidRPr="00624207">
              <w:rPr>
                <w:sz w:val="17"/>
                <w:szCs w:val="17"/>
                <w:u w:val="single"/>
              </w:rPr>
              <w:t>6.1</w:t>
            </w:r>
            <w:r w:rsidRPr="00624207">
              <w:rPr>
                <w:strike/>
                <w:sz w:val="17"/>
                <w:szCs w:val="17"/>
              </w:rPr>
              <w:t>8</w:t>
            </w:r>
          </w:p>
        </w:tc>
        <w:tc>
          <w:tcPr>
            <w:tcW w:w="593" w:type="dxa"/>
            <w:shd w:val="clear" w:color="auto" w:fill="auto"/>
          </w:tcPr>
          <w:p w14:paraId="06BCE9EA" w14:textId="77777777" w:rsidR="007101CE" w:rsidRPr="00624207" w:rsidRDefault="007101CE" w:rsidP="007B6FF1">
            <w:pPr>
              <w:suppressAutoHyphens w:val="0"/>
              <w:spacing w:before="60" w:after="60" w:line="240" w:lineRule="auto"/>
              <w:ind w:left="57" w:right="57"/>
              <w:jc w:val="center"/>
              <w:rPr>
                <w:sz w:val="17"/>
                <w:szCs w:val="17"/>
                <w:u w:val="single"/>
              </w:rPr>
            </w:pPr>
            <w:r w:rsidRPr="00624207">
              <w:rPr>
                <w:sz w:val="17"/>
                <w:szCs w:val="17"/>
                <w:u w:val="single"/>
              </w:rPr>
              <w:t>8</w:t>
            </w:r>
          </w:p>
        </w:tc>
        <w:tc>
          <w:tcPr>
            <w:tcW w:w="849" w:type="dxa"/>
            <w:shd w:val="clear" w:color="auto" w:fill="auto"/>
            <w:hideMark/>
          </w:tcPr>
          <w:p w14:paraId="18665D0C" w14:textId="77777777" w:rsidR="007101CE" w:rsidRPr="00624207" w:rsidRDefault="007101CE" w:rsidP="007B6FF1">
            <w:pPr>
              <w:suppressAutoHyphens w:val="0"/>
              <w:spacing w:before="60" w:after="60" w:line="240" w:lineRule="auto"/>
              <w:ind w:left="28" w:right="28"/>
              <w:jc w:val="center"/>
              <w:rPr>
                <w:sz w:val="17"/>
                <w:szCs w:val="17"/>
              </w:rPr>
            </w:pPr>
            <w:r w:rsidRPr="00624207">
              <w:rPr>
                <w:sz w:val="17"/>
                <w:szCs w:val="17"/>
              </w:rPr>
              <w:t>I</w:t>
            </w:r>
            <w:r w:rsidRPr="00624207">
              <w:rPr>
                <w:strike/>
                <w:sz w:val="17"/>
                <w:szCs w:val="17"/>
              </w:rPr>
              <w:t>I</w:t>
            </w:r>
          </w:p>
        </w:tc>
        <w:tc>
          <w:tcPr>
            <w:tcW w:w="840" w:type="dxa"/>
            <w:shd w:val="clear" w:color="auto" w:fill="auto"/>
            <w:hideMark/>
          </w:tcPr>
          <w:p w14:paraId="2A0C6130" w14:textId="77777777" w:rsidR="007101CE" w:rsidRPr="00624207" w:rsidRDefault="007101CE" w:rsidP="007B6FF1">
            <w:pPr>
              <w:suppressAutoHyphens w:val="0"/>
              <w:spacing w:before="60" w:after="60" w:line="240" w:lineRule="auto"/>
              <w:ind w:left="28" w:right="28"/>
              <w:jc w:val="center"/>
              <w:rPr>
                <w:sz w:val="17"/>
                <w:szCs w:val="17"/>
                <w:u w:val="single"/>
              </w:rPr>
            </w:pPr>
            <w:r w:rsidRPr="00624207">
              <w:rPr>
                <w:sz w:val="17"/>
                <w:szCs w:val="17"/>
                <w:u w:val="single"/>
              </w:rPr>
              <w:t>279</w:t>
            </w:r>
          </w:p>
        </w:tc>
        <w:tc>
          <w:tcPr>
            <w:tcW w:w="448" w:type="dxa"/>
            <w:shd w:val="clear" w:color="auto" w:fill="auto"/>
            <w:hideMark/>
          </w:tcPr>
          <w:p w14:paraId="37F94162" w14:textId="77777777" w:rsidR="007101CE" w:rsidRPr="00624207" w:rsidRDefault="007101CE" w:rsidP="007B6FF1">
            <w:pPr>
              <w:suppressAutoHyphens w:val="0"/>
              <w:spacing w:before="60" w:after="60" w:line="240" w:lineRule="auto"/>
              <w:ind w:left="57" w:right="57"/>
              <w:jc w:val="center"/>
              <w:rPr>
                <w:sz w:val="17"/>
                <w:szCs w:val="17"/>
              </w:rPr>
            </w:pPr>
            <w:r w:rsidRPr="00624207">
              <w:rPr>
                <w:strike/>
                <w:sz w:val="17"/>
                <w:szCs w:val="17"/>
              </w:rPr>
              <w:t>1 kg</w:t>
            </w:r>
            <w:r w:rsidRPr="00624207">
              <w:rPr>
                <w:sz w:val="17"/>
                <w:szCs w:val="17"/>
              </w:rPr>
              <w:t xml:space="preserve"> </w:t>
            </w:r>
            <w:r w:rsidRPr="00624207">
              <w:rPr>
                <w:sz w:val="17"/>
                <w:szCs w:val="17"/>
                <w:u w:val="single"/>
              </w:rPr>
              <w:t>0</w:t>
            </w:r>
          </w:p>
        </w:tc>
        <w:tc>
          <w:tcPr>
            <w:tcW w:w="374" w:type="dxa"/>
            <w:shd w:val="clear" w:color="auto" w:fill="auto"/>
            <w:hideMark/>
          </w:tcPr>
          <w:p w14:paraId="704E295C" w14:textId="77777777" w:rsidR="007101CE" w:rsidRPr="00624207" w:rsidRDefault="007101CE" w:rsidP="007B6FF1">
            <w:pPr>
              <w:suppressAutoHyphens w:val="0"/>
              <w:spacing w:before="60" w:after="60" w:line="240" w:lineRule="auto"/>
              <w:ind w:left="57" w:right="57"/>
              <w:jc w:val="center"/>
              <w:rPr>
                <w:sz w:val="17"/>
                <w:szCs w:val="17"/>
              </w:rPr>
            </w:pPr>
            <w:r w:rsidRPr="00624207">
              <w:rPr>
                <w:strike/>
                <w:sz w:val="17"/>
                <w:szCs w:val="17"/>
              </w:rPr>
              <w:t>E2</w:t>
            </w:r>
            <w:r w:rsidRPr="00624207">
              <w:rPr>
                <w:sz w:val="17"/>
                <w:szCs w:val="17"/>
              </w:rPr>
              <w:t xml:space="preserve"> </w:t>
            </w:r>
            <w:r w:rsidRPr="00624207">
              <w:rPr>
                <w:sz w:val="17"/>
                <w:szCs w:val="17"/>
                <w:u w:val="single"/>
              </w:rPr>
              <w:t>E5</w:t>
            </w:r>
          </w:p>
        </w:tc>
        <w:tc>
          <w:tcPr>
            <w:tcW w:w="865" w:type="dxa"/>
            <w:shd w:val="clear" w:color="auto" w:fill="auto"/>
            <w:hideMark/>
          </w:tcPr>
          <w:p w14:paraId="0195A9AF" w14:textId="77777777" w:rsidR="007101CE" w:rsidRPr="00624207" w:rsidRDefault="007101CE" w:rsidP="007B6FF1">
            <w:pPr>
              <w:suppressAutoHyphens w:val="0"/>
              <w:spacing w:before="60" w:after="60" w:line="240" w:lineRule="auto"/>
              <w:ind w:left="28" w:right="28"/>
              <w:jc w:val="center"/>
              <w:rPr>
                <w:sz w:val="17"/>
                <w:szCs w:val="17"/>
              </w:rPr>
            </w:pPr>
            <w:r w:rsidRPr="00624207">
              <w:rPr>
                <w:sz w:val="17"/>
                <w:szCs w:val="17"/>
              </w:rPr>
              <w:t>P002</w:t>
            </w:r>
          </w:p>
          <w:p w14:paraId="659B4A68" w14:textId="77777777" w:rsidR="007101CE" w:rsidRPr="00624207" w:rsidRDefault="007101CE" w:rsidP="007B6FF1">
            <w:pPr>
              <w:suppressAutoHyphens w:val="0"/>
              <w:spacing w:before="60" w:after="60" w:line="240" w:lineRule="auto"/>
              <w:ind w:left="28" w:right="28"/>
              <w:jc w:val="center"/>
              <w:rPr>
                <w:strike/>
                <w:sz w:val="17"/>
                <w:szCs w:val="17"/>
              </w:rPr>
            </w:pPr>
            <w:r w:rsidRPr="00624207">
              <w:rPr>
                <w:strike/>
                <w:sz w:val="17"/>
                <w:szCs w:val="17"/>
              </w:rPr>
              <w:t>IBC08</w:t>
            </w:r>
          </w:p>
          <w:p w14:paraId="11825B97" w14:textId="77777777" w:rsidR="007101CE" w:rsidRPr="00624207" w:rsidRDefault="007101CE" w:rsidP="007B6FF1">
            <w:pPr>
              <w:suppressAutoHyphens w:val="0"/>
              <w:spacing w:before="60" w:after="60" w:line="240" w:lineRule="auto"/>
              <w:ind w:left="28" w:right="28"/>
              <w:jc w:val="center"/>
              <w:rPr>
                <w:sz w:val="17"/>
                <w:szCs w:val="17"/>
                <w:u w:val="single"/>
              </w:rPr>
            </w:pPr>
            <w:r w:rsidRPr="00624207">
              <w:rPr>
                <w:sz w:val="17"/>
                <w:szCs w:val="17"/>
                <w:u w:val="single"/>
              </w:rPr>
              <w:t>IBC99</w:t>
            </w:r>
          </w:p>
        </w:tc>
        <w:tc>
          <w:tcPr>
            <w:tcW w:w="880" w:type="dxa"/>
            <w:shd w:val="clear" w:color="auto" w:fill="auto"/>
            <w:hideMark/>
          </w:tcPr>
          <w:p w14:paraId="51006CB2" w14:textId="77777777" w:rsidR="007101CE" w:rsidRPr="00624207" w:rsidRDefault="007101CE" w:rsidP="007B6FF1">
            <w:pPr>
              <w:suppressAutoHyphens w:val="0"/>
              <w:spacing w:before="60" w:after="60" w:line="240" w:lineRule="auto"/>
              <w:ind w:left="28" w:right="28"/>
              <w:jc w:val="center"/>
              <w:rPr>
                <w:strike/>
                <w:sz w:val="17"/>
                <w:szCs w:val="17"/>
              </w:rPr>
            </w:pPr>
            <w:r w:rsidRPr="00624207">
              <w:rPr>
                <w:strike/>
                <w:sz w:val="17"/>
                <w:szCs w:val="17"/>
              </w:rPr>
              <w:t>B2, B4</w:t>
            </w:r>
          </w:p>
        </w:tc>
        <w:tc>
          <w:tcPr>
            <w:tcW w:w="837" w:type="dxa"/>
            <w:shd w:val="clear" w:color="auto" w:fill="auto"/>
            <w:hideMark/>
          </w:tcPr>
          <w:p w14:paraId="1856D563" w14:textId="77777777" w:rsidR="007101CE" w:rsidRPr="00624207" w:rsidRDefault="007101CE" w:rsidP="007B6FF1">
            <w:pPr>
              <w:suppressAutoHyphens w:val="0"/>
              <w:spacing w:before="60" w:after="60" w:line="240" w:lineRule="auto"/>
              <w:ind w:left="28" w:right="28"/>
              <w:jc w:val="center"/>
              <w:rPr>
                <w:sz w:val="17"/>
                <w:szCs w:val="17"/>
              </w:rPr>
            </w:pPr>
            <w:r w:rsidRPr="00624207">
              <w:rPr>
                <w:strike/>
                <w:sz w:val="17"/>
                <w:szCs w:val="17"/>
              </w:rPr>
              <w:t>T3</w:t>
            </w:r>
            <w:r w:rsidRPr="00624207">
              <w:rPr>
                <w:sz w:val="17"/>
                <w:szCs w:val="17"/>
              </w:rPr>
              <w:t xml:space="preserve"> </w:t>
            </w:r>
            <w:r w:rsidRPr="00624207">
              <w:rPr>
                <w:sz w:val="17"/>
                <w:szCs w:val="17"/>
                <w:u w:val="single"/>
              </w:rPr>
              <w:t>T6</w:t>
            </w:r>
          </w:p>
        </w:tc>
        <w:tc>
          <w:tcPr>
            <w:tcW w:w="872" w:type="dxa"/>
            <w:shd w:val="clear" w:color="auto" w:fill="auto"/>
            <w:hideMark/>
          </w:tcPr>
          <w:p w14:paraId="5644FFF2" w14:textId="77777777" w:rsidR="007101CE" w:rsidRPr="00624207" w:rsidRDefault="007101CE" w:rsidP="007B6FF1">
            <w:pPr>
              <w:suppressAutoHyphens w:val="0"/>
              <w:spacing w:before="60" w:after="60" w:line="240" w:lineRule="auto"/>
              <w:ind w:left="28" w:right="28"/>
              <w:jc w:val="center"/>
              <w:rPr>
                <w:sz w:val="17"/>
                <w:szCs w:val="17"/>
              </w:rPr>
            </w:pPr>
            <w:r w:rsidRPr="00624207">
              <w:rPr>
                <w:sz w:val="17"/>
                <w:szCs w:val="17"/>
              </w:rPr>
              <w:t>TP33</w:t>
            </w:r>
          </w:p>
        </w:tc>
      </w:tr>
    </w:tbl>
    <w:bookmarkEnd w:id="2"/>
    <w:p w14:paraId="45B3E92B" w14:textId="77777777" w:rsidR="00B7223A" w:rsidRPr="008D21A0" w:rsidRDefault="00B7223A" w:rsidP="00B7223A">
      <w:pPr>
        <w:pStyle w:val="H1G"/>
        <w:rPr>
          <w:lang w:val="fr-FR"/>
        </w:rPr>
      </w:pPr>
      <w:r w:rsidRPr="00624207">
        <w:rPr>
          <w:lang w:val="fr-FR"/>
        </w:rPr>
        <w:lastRenderedPageBreak/>
        <w:tab/>
      </w:r>
      <w:r w:rsidRPr="00624207">
        <w:rPr>
          <w:lang w:val="fr-FR"/>
        </w:rPr>
        <w:tab/>
      </w:r>
      <w:r w:rsidRPr="008D21A0">
        <w:rPr>
          <w:lang w:val="fr-FR"/>
        </w:rPr>
        <w:t>Option 2</w:t>
      </w:r>
    </w:p>
    <w:p w14:paraId="2204EA18" w14:textId="083EA60B" w:rsidR="00B7223A" w:rsidRPr="00624207" w:rsidRDefault="00B7223A" w:rsidP="00B7223A">
      <w:pPr>
        <w:pStyle w:val="SingleTxtG"/>
        <w:keepNext/>
        <w:tabs>
          <w:tab w:val="clear" w:pos="1701"/>
          <w:tab w:val="clear" w:pos="2268"/>
          <w:tab w:val="clear" w:pos="2835"/>
        </w:tabs>
        <w:rPr>
          <w:lang w:val="fr-FR"/>
        </w:rPr>
      </w:pPr>
      <w:r w:rsidRPr="00624207">
        <w:rPr>
          <w:lang w:val="fr-FR"/>
        </w:rPr>
        <w:t>29.</w:t>
      </w:r>
      <w:r w:rsidRPr="00624207">
        <w:rPr>
          <w:lang w:val="fr-FR"/>
        </w:rPr>
        <w:tab/>
        <w:t>Dans le chapitre 3.3 du Règlement type, ajouter une nouvelle disposition spéciale XXX, libellée comme suit</w:t>
      </w:r>
      <w:r>
        <w:rPr>
          <w:lang w:val="fr-FR"/>
        </w:rPr>
        <w:t> </w:t>
      </w:r>
      <w:r w:rsidRPr="00624207">
        <w:rPr>
          <w:lang w:val="fr-FR"/>
        </w:rPr>
        <w:t>:</w:t>
      </w:r>
    </w:p>
    <w:p w14:paraId="31955B88" w14:textId="1093B383" w:rsidR="00B7223A" w:rsidRPr="00624207" w:rsidRDefault="00B7223A" w:rsidP="00B7223A">
      <w:pPr>
        <w:pStyle w:val="SingleTxtG"/>
        <w:tabs>
          <w:tab w:val="left" w:pos="2410"/>
        </w:tabs>
        <w:ind w:left="1701"/>
        <w:rPr>
          <w:lang w:val="fr-FR"/>
        </w:rPr>
      </w:pPr>
      <w:r w:rsidRPr="00624207">
        <w:rPr>
          <w:lang w:val="fr-FR"/>
        </w:rPr>
        <w:t>«</w:t>
      </w:r>
      <w:r>
        <w:rPr>
          <w:lang w:val="fr-FR"/>
        </w:rPr>
        <w:t> </w:t>
      </w:r>
      <w:r w:rsidRPr="00624207">
        <w:rPr>
          <w:lang w:val="fr-FR"/>
        </w:rPr>
        <w:t>XXX</w:t>
      </w:r>
      <w:r w:rsidRPr="00624207">
        <w:rPr>
          <w:lang w:val="fr-FR"/>
        </w:rPr>
        <w:tab/>
        <w:t xml:space="preserve">Cette rubrique </w:t>
      </w:r>
      <w:r w:rsidRPr="00243286">
        <w:rPr>
          <w:lang w:val="fr-FR"/>
        </w:rPr>
        <w:t>ne s</w:t>
      </w:r>
      <w:r>
        <w:rPr>
          <w:lang w:val="fr-FR"/>
        </w:rPr>
        <w:t>’</w:t>
      </w:r>
      <w:r w:rsidRPr="00243286">
        <w:rPr>
          <w:lang w:val="fr-FR"/>
        </w:rPr>
        <w:t>applique qu</w:t>
      </w:r>
      <w:r>
        <w:rPr>
          <w:lang w:val="fr-FR"/>
        </w:rPr>
        <w:t>’</w:t>
      </w:r>
      <w:r w:rsidRPr="00624207">
        <w:rPr>
          <w:lang w:val="fr-FR"/>
        </w:rPr>
        <w:t>aux solutions aqueuses composées d</w:t>
      </w:r>
      <w:r>
        <w:rPr>
          <w:lang w:val="fr-FR"/>
        </w:rPr>
        <w:t>’</w:t>
      </w:r>
      <w:r w:rsidRPr="00624207">
        <w:rPr>
          <w:lang w:val="fr-FR"/>
        </w:rPr>
        <w:t>eau, d</w:t>
      </w:r>
      <w:r>
        <w:rPr>
          <w:lang w:val="fr-FR"/>
        </w:rPr>
        <w:t>’</w:t>
      </w:r>
      <w:r w:rsidRPr="00624207">
        <w:rPr>
          <w:lang w:val="fr-FR"/>
        </w:rPr>
        <w:t>hydroxyde de tétraméthylammonium (TMAH) et d</w:t>
      </w:r>
      <w:r>
        <w:rPr>
          <w:lang w:val="fr-FR"/>
        </w:rPr>
        <w:t>’</w:t>
      </w:r>
      <w:r w:rsidRPr="00624207">
        <w:rPr>
          <w:lang w:val="fr-FR"/>
        </w:rPr>
        <w:t>au plus 1</w:t>
      </w:r>
      <w:r>
        <w:rPr>
          <w:lang w:val="fr-FR"/>
        </w:rPr>
        <w:t> </w:t>
      </w:r>
      <w:r w:rsidRPr="00624207">
        <w:rPr>
          <w:lang w:val="fr-FR"/>
        </w:rPr>
        <w:t>% d</w:t>
      </w:r>
      <w:r>
        <w:rPr>
          <w:lang w:val="fr-FR"/>
        </w:rPr>
        <w:t>’</w:t>
      </w:r>
      <w:r w:rsidRPr="00624207">
        <w:rPr>
          <w:lang w:val="fr-FR"/>
        </w:rPr>
        <w:t>autres composants. Les autres préparations contenant de l</w:t>
      </w:r>
      <w:r>
        <w:rPr>
          <w:lang w:val="fr-FR"/>
        </w:rPr>
        <w:t>’</w:t>
      </w:r>
      <w:r w:rsidRPr="00624207">
        <w:rPr>
          <w:lang w:val="fr-FR"/>
        </w:rPr>
        <w:t xml:space="preserve">hydroxyde de tétraméthylammonium doivent être affectées à une rubrique générique ou </w:t>
      </w:r>
      <w:r w:rsidRPr="00243286">
        <w:rPr>
          <w:lang w:val="fr-FR"/>
        </w:rPr>
        <w:t>N.S.A.</w:t>
      </w:r>
      <w:r>
        <w:rPr>
          <w:lang w:val="fr-FR"/>
        </w:rPr>
        <w:t xml:space="preserve"> </w:t>
      </w:r>
      <w:r w:rsidRPr="00624207">
        <w:rPr>
          <w:lang w:val="fr-FR"/>
        </w:rPr>
        <w:t xml:space="preserve">appropriée (par exemple, </w:t>
      </w:r>
      <w:r>
        <w:rPr>
          <w:lang w:val="fr-FR"/>
        </w:rPr>
        <w:t>No ONU</w:t>
      </w:r>
      <w:r w:rsidRPr="00624207">
        <w:rPr>
          <w:lang w:val="fr-FR"/>
        </w:rPr>
        <w:t xml:space="preserve"> 2389, Liquide inorganique toxique, corrosif, </w:t>
      </w:r>
      <w:r w:rsidRPr="00243286">
        <w:rPr>
          <w:lang w:val="fr-FR"/>
        </w:rPr>
        <w:t>N.S.A.</w:t>
      </w:r>
      <w:r w:rsidRPr="00624207">
        <w:rPr>
          <w:lang w:val="fr-FR"/>
        </w:rPr>
        <w:t>).</w:t>
      </w:r>
      <w:r>
        <w:rPr>
          <w:lang w:val="fr-FR"/>
        </w:rPr>
        <w:t> ».</w:t>
      </w:r>
    </w:p>
    <w:p w14:paraId="49E54ED1" w14:textId="664B3AED" w:rsidR="00B7223A" w:rsidRPr="00624207" w:rsidRDefault="00B7223A" w:rsidP="00B7223A">
      <w:pPr>
        <w:pStyle w:val="SingleTxtG"/>
        <w:keepNext/>
        <w:rPr>
          <w:lang w:val="fr-FR"/>
        </w:rPr>
      </w:pPr>
      <w:r w:rsidRPr="00624207">
        <w:rPr>
          <w:lang w:val="fr-FR"/>
        </w:rPr>
        <w:t>30.</w:t>
      </w:r>
      <w:r w:rsidRPr="00624207">
        <w:rPr>
          <w:lang w:val="fr-FR"/>
        </w:rPr>
        <w:tab/>
        <w:t>Dans le chapitre 3.3 du Règlement type, ajouter une nouvelle disposition spéciale YYY, libellée comme suit</w:t>
      </w:r>
      <w:r>
        <w:rPr>
          <w:lang w:val="fr-FR"/>
        </w:rPr>
        <w:t> </w:t>
      </w:r>
      <w:r w:rsidRPr="00624207">
        <w:rPr>
          <w:lang w:val="fr-FR"/>
        </w:rPr>
        <w:t xml:space="preserve">: </w:t>
      </w:r>
    </w:p>
    <w:p w14:paraId="7D0D7CAB" w14:textId="569AED70" w:rsidR="00B7223A" w:rsidRPr="00624207" w:rsidRDefault="00B7223A" w:rsidP="00B7223A">
      <w:pPr>
        <w:pStyle w:val="SingleTxtG"/>
        <w:tabs>
          <w:tab w:val="left" w:pos="2410"/>
        </w:tabs>
        <w:ind w:left="1701"/>
        <w:rPr>
          <w:lang w:val="fr-FR"/>
        </w:rPr>
      </w:pPr>
      <w:r>
        <w:rPr>
          <w:lang w:val="fr-FR"/>
        </w:rPr>
        <w:t>« </w:t>
      </w:r>
      <w:r w:rsidRPr="00624207">
        <w:rPr>
          <w:lang w:val="fr-FR"/>
        </w:rPr>
        <w:t>YYY</w:t>
      </w:r>
      <w:r w:rsidRPr="00624207">
        <w:rPr>
          <w:lang w:val="fr-FR"/>
        </w:rPr>
        <w:tab/>
        <w:t xml:space="preserve">Cette rubrique </w:t>
      </w:r>
      <w:r>
        <w:rPr>
          <w:lang w:val="fr-FR"/>
        </w:rPr>
        <w:t>ne s’applique qu’</w:t>
      </w:r>
      <w:r w:rsidRPr="00624207">
        <w:rPr>
          <w:lang w:val="fr-FR"/>
        </w:rPr>
        <w:t>aux préparations, aqueuses ou non, contenant de l</w:t>
      </w:r>
      <w:r>
        <w:rPr>
          <w:lang w:val="fr-FR"/>
        </w:rPr>
        <w:t>’</w:t>
      </w:r>
      <w:r w:rsidRPr="00624207">
        <w:rPr>
          <w:lang w:val="fr-FR"/>
        </w:rPr>
        <w:t>hydroxyde de tétraméthylammonium et plus de 1</w:t>
      </w:r>
      <w:r>
        <w:rPr>
          <w:lang w:val="fr-FR"/>
        </w:rPr>
        <w:t> </w:t>
      </w:r>
      <w:r w:rsidRPr="00624207">
        <w:rPr>
          <w:lang w:val="fr-FR"/>
        </w:rPr>
        <w:t>% d</w:t>
      </w:r>
      <w:r>
        <w:rPr>
          <w:lang w:val="fr-FR"/>
        </w:rPr>
        <w:t>’</w:t>
      </w:r>
      <w:r w:rsidRPr="00624207">
        <w:rPr>
          <w:lang w:val="fr-FR"/>
        </w:rPr>
        <w:t>autres composants.</w:t>
      </w:r>
      <w:r>
        <w:rPr>
          <w:lang w:val="fr-FR"/>
        </w:rPr>
        <w:t> ».</w:t>
      </w:r>
    </w:p>
    <w:p w14:paraId="097496AC" w14:textId="62873692" w:rsidR="00B7223A" w:rsidRPr="00624207" w:rsidRDefault="00B7223A" w:rsidP="00B7223A">
      <w:pPr>
        <w:pStyle w:val="SingleTxtG"/>
        <w:rPr>
          <w:lang w:val="fr-FR"/>
        </w:rPr>
      </w:pPr>
      <w:r w:rsidRPr="00624207">
        <w:rPr>
          <w:lang w:val="fr-FR"/>
        </w:rPr>
        <w:t>31.</w:t>
      </w:r>
      <w:r w:rsidRPr="00624207">
        <w:rPr>
          <w:lang w:val="fr-FR"/>
        </w:rPr>
        <w:tab/>
        <w:t xml:space="preserve">Ajouter le nouveau </w:t>
      </w:r>
      <w:r>
        <w:rPr>
          <w:lang w:val="fr-FR"/>
        </w:rPr>
        <w:t>No</w:t>
      </w:r>
      <w:r w:rsidRPr="00624207">
        <w:rPr>
          <w:lang w:val="fr-FR"/>
        </w:rPr>
        <w:t xml:space="preserve"> ONU XXXX pour les préparations, aqueuses ou non, contenant de l</w:t>
      </w:r>
      <w:r>
        <w:rPr>
          <w:lang w:val="fr-FR"/>
        </w:rPr>
        <w:t>’</w:t>
      </w:r>
      <w:r w:rsidRPr="00624207">
        <w:rPr>
          <w:lang w:val="fr-FR"/>
        </w:rPr>
        <w:t>hydroxyde de tétraméthylammonium et plus de 1</w:t>
      </w:r>
      <w:r>
        <w:rPr>
          <w:lang w:val="fr-FR"/>
        </w:rPr>
        <w:t> </w:t>
      </w:r>
      <w:r w:rsidRPr="00624207">
        <w:rPr>
          <w:lang w:val="fr-FR"/>
        </w:rPr>
        <w:t>% d</w:t>
      </w:r>
      <w:r>
        <w:rPr>
          <w:lang w:val="fr-FR"/>
        </w:rPr>
        <w:t>’</w:t>
      </w:r>
      <w:r w:rsidRPr="00624207">
        <w:rPr>
          <w:lang w:val="fr-FR"/>
        </w:rPr>
        <w:t>autres composants.</w:t>
      </w:r>
    </w:p>
    <w:p w14:paraId="191E5662" w14:textId="205FFCB0" w:rsidR="00B7223A" w:rsidRPr="00624207" w:rsidRDefault="00B7223A" w:rsidP="00B7223A">
      <w:pPr>
        <w:pStyle w:val="SingleTxtG"/>
        <w:rPr>
          <w:lang w:val="fr-FR"/>
        </w:rPr>
      </w:pPr>
      <w:r w:rsidRPr="00624207">
        <w:rPr>
          <w:lang w:val="fr-FR"/>
        </w:rPr>
        <w:t>32.</w:t>
      </w:r>
      <w:r w:rsidRPr="00624207">
        <w:rPr>
          <w:lang w:val="fr-FR"/>
        </w:rPr>
        <w:tab/>
        <w:t xml:space="preserve">Modifier les rubriques des </w:t>
      </w:r>
      <w:r>
        <w:rPr>
          <w:lang w:val="fr-FR"/>
        </w:rPr>
        <w:t>No</w:t>
      </w:r>
      <w:r w:rsidRPr="00624207">
        <w:rPr>
          <w:lang w:val="fr-FR"/>
        </w:rPr>
        <w:t xml:space="preserve">s ONU 1835 et 3423 et ajouter des rubriques pour le </w:t>
      </w:r>
      <w:r>
        <w:rPr>
          <w:lang w:val="fr-FR"/>
        </w:rPr>
        <w:t>No </w:t>
      </w:r>
      <w:r w:rsidRPr="00624207">
        <w:rPr>
          <w:lang w:val="fr-FR"/>
        </w:rPr>
        <w:t>ONU XXXX, comme suit</w:t>
      </w:r>
      <w:r>
        <w:rPr>
          <w:lang w:val="fr-FR"/>
        </w:rPr>
        <w:t> </w:t>
      </w:r>
      <w:r w:rsidRPr="00624207">
        <w:rPr>
          <w:lang w:val="fr-FR"/>
        </w:rPr>
        <w:t>:</w:t>
      </w:r>
    </w:p>
    <w:tbl>
      <w:tblPr>
        <w:tblStyle w:val="TableGrid7"/>
        <w:tblW w:w="9643" w:type="dxa"/>
        <w:tblLayout w:type="fixed"/>
        <w:tblLook w:val="04A0" w:firstRow="1" w:lastRow="0" w:firstColumn="1" w:lastColumn="0" w:noHBand="0" w:noVBand="1"/>
      </w:tblPr>
      <w:tblGrid>
        <w:gridCol w:w="498"/>
        <w:gridCol w:w="1944"/>
        <w:gridCol w:w="647"/>
        <w:gridCol w:w="593"/>
        <w:gridCol w:w="849"/>
        <w:gridCol w:w="840"/>
        <w:gridCol w:w="428"/>
        <w:gridCol w:w="394"/>
        <w:gridCol w:w="864"/>
        <w:gridCol w:w="875"/>
        <w:gridCol w:w="838"/>
        <w:gridCol w:w="873"/>
      </w:tblGrid>
      <w:tr w:rsidR="00B7223A" w:rsidRPr="00FD2B04" w14:paraId="3374D422" w14:textId="77777777" w:rsidTr="007B6FF1">
        <w:trPr>
          <w:tblHeader/>
        </w:trPr>
        <w:tc>
          <w:tcPr>
            <w:tcW w:w="498" w:type="dxa"/>
            <w:vMerge w:val="restart"/>
            <w:shd w:val="clear" w:color="auto" w:fill="auto"/>
            <w:vAlign w:val="bottom"/>
            <w:hideMark/>
          </w:tcPr>
          <w:p w14:paraId="3BE4BA67" w14:textId="77777777" w:rsidR="00B7223A" w:rsidRPr="00624207" w:rsidRDefault="00B7223A" w:rsidP="007B6FF1">
            <w:pPr>
              <w:suppressAutoHyphens w:val="0"/>
              <w:spacing w:before="60" w:after="60" w:line="240" w:lineRule="auto"/>
              <w:ind w:left="28" w:right="28"/>
              <w:jc w:val="center"/>
              <w:rPr>
                <w:i/>
                <w:sz w:val="15"/>
                <w:szCs w:val="15"/>
              </w:rPr>
            </w:pPr>
            <w:r w:rsidRPr="00624207">
              <w:rPr>
                <w:i/>
                <w:sz w:val="15"/>
                <w:szCs w:val="15"/>
              </w:rPr>
              <w:t>No ONU</w:t>
            </w:r>
          </w:p>
        </w:tc>
        <w:tc>
          <w:tcPr>
            <w:tcW w:w="1944" w:type="dxa"/>
            <w:vMerge w:val="restart"/>
            <w:shd w:val="clear" w:color="auto" w:fill="auto"/>
            <w:vAlign w:val="bottom"/>
            <w:hideMark/>
          </w:tcPr>
          <w:p w14:paraId="50CFE23A" w14:textId="77777777" w:rsidR="00B7223A" w:rsidRPr="00624207" w:rsidRDefault="00B7223A" w:rsidP="007B6FF1">
            <w:pPr>
              <w:suppressAutoHyphens w:val="0"/>
              <w:spacing w:before="60" w:after="60" w:line="240" w:lineRule="auto"/>
              <w:ind w:left="57" w:right="57"/>
              <w:rPr>
                <w:i/>
                <w:sz w:val="15"/>
                <w:szCs w:val="15"/>
              </w:rPr>
            </w:pPr>
            <w:r w:rsidRPr="00624207">
              <w:rPr>
                <w:i/>
                <w:sz w:val="15"/>
                <w:szCs w:val="15"/>
              </w:rPr>
              <w:t>Nom et description</w:t>
            </w:r>
          </w:p>
        </w:tc>
        <w:tc>
          <w:tcPr>
            <w:tcW w:w="647" w:type="dxa"/>
            <w:vMerge w:val="restart"/>
            <w:shd w:val="clear" w:color="auto" w:fill="auto"/>
            <w:vAlign w:val="bottom"/>
            <w:hideMark/>
          </w:tcPr>
          <w:p w14:paraId="5226989F" w14:textId="77777777" w:rsidR="00B7223A" w:rsidRPr="00624207" w:rsidRDefault="00B7223A" w:rsidP="007B6FF1">
            <w:pPr>
              <w:suppressAutoHyphens w:val="0"/>
              <w:spacing w:before="60" w:after="60" w:line="240" w:lineRule="auto"/>
              <w:ind w:left="57" w:right="57"/>
              <w:jc w:val="center"/>
              <w:rPr>
                <w:i/>
                <w:sz w:val="15"/>
                <w:szCs w:val="15"/>
              </w:rPr>
            </w:pPr>
            <w:r w:rsidRPr="00624207">
              <w:rPr>
                <w:i/>
                <w:sz w:val="15"/>
                <w:szCs w:val="15"/>
              </w:rPr>
              <w:t>Classe</w:t>
            </w:r>
            <w:r w:rsidRPr="00624207">
              <w:rPr>
                <w:i/>
                <w:sz w:val="15"/>
                <w:szCs w:val="15"/>
              </w:rPr>
              <w:br/>
              <w:t>ou division</w:t>
            </w:r>
          </w:p>
        </w:tc>
        <w:tc>
          <w:tcPr>
            <w:tcW w:w="593" w:type="dxa"/>
            <w:vMerge w:val="restart"/>
            <w:shd w:val="clear" w:color="auto" w:fill="auto"/>
            <w:vAlign w:val="bottom"/>
            <w:hideMark/>
          </w:tcPr>
          <w:p w14:paraId="2DB9E587" w14:textId="77777777" w:rsidR="00B7223A" w:rsidRPr="00624207" w:rsidRDefault="00B7223A" w:rsidP="007B6FF1">
            <w:pPr>
              <w:suppressAutoHyphens w:val="0"/>
              <w:spacing w:before="60" w:after="60" w:line="240" w:lineRule="auto"/>
              <w:ind w:left="57" w:right="57"/>
              <w:jc w:val="center"/>
              <w:rPr>
                <w:i/>
                <w:sz w:val="15"/>
                <w:szCs w:val="15"/>
              </w:rPr>
            </w:pPr>
            <w:r w:rsidRPr="00624207">
              <w:rPr>
                <w:i/>
                <w:sz w:val="15"/>
                <w:szCs w:val="15"/>
              </w:rPr>
              <w:t>Danger subsi-diaire</w:t>
            </w:r>
          </w:p>
        </w:tc>
        <w:tc>
          <w:tcPr>
            <w:tcW w:w="849" w:type="dxa"/>
            <w:vMerge w:val="restart"/>
            <w:shd w:val="clear" w:color="auto" w:fill="auto"/>
            <w:vAlign w:val="bottom"/>
            <w:hideMark/>
          </w:tcPr>
          <w:p w14:paraId="4FA736BF" w14:textId="77777777" w:rsidR="00B7223A" w:rsidRPr="00624207" w:rsidRDefault="00B7223A" w:rsidP="007B6FF1">
            <w:pPr>
              <w:suppressAutoHyphens w:val="0"/>
              <w:spacing w:before="60" w:after="60" w:line="240" w:lineRule="auto"/>
              <w:ind w:left="28" w:right="28"/>
              <w:jc w:val="center"/>
              <w:rPr>
                <w:i/>
                <w:sz w:val="15"/>
                <w:szCs w:val="15"/>
              </w:rPr>
            </w:pPr>
            <w:r w:rsidRPr="00624207">
              <w:rPr>
                <w:i/>
                <w:sz w:val="15"/>
                <w:szCs w:val="15"/>
              </w:rPr>
              <w:t>Groupe d</w:t>
            </w:r>
            <w:r>
              <w:rPr>
                <w:i/>
                <w:sz w:val="15"/>
                <w:szCs w:val="15"/>
              </w:rPr>
              <w:t>’</w:t>
            </w:r>
            <w:r w:rsidRPr="00624207">
              <w:rPr>
                <w:i/>
                <w:sz w:val="15"/>
                <w:szCs w:val="15"/>
              </w:rPr>
              <w:t>emballage</w:t>
            </w:r>
          </w:p>
        </w:tc>
        <w:tc>
          <w:tcPr>
            <w:tcW w:w="840" w:type="dxa"/>
            <w:vMerge w:val="restart"/>
            <w:shd w:val="clear" w:color="auto" w:fill="auto"/>
            <w:vAlign w:val="bottom"/>
            <w:hideMark/>
          </w:tcPr>
          <w:p w14:paraId="5CEC1AE5" w14:textId="77777777" w:rsidR="00B7223A" w:rsidRPr="00624207" w:rsidRDefault="00B7223A" w:rsidP="007B6FF1">
            <w:pPr>
              <w:suppressAutoHyphens w:val="0"/>
              <w:spacing w:before="60" w:after="60" w:line="240" w:lineRule="auto"/>
              <w:ind w:left="28" w:right="28"/>
              <w:jc w:val="center"/>
              <w:rPr>
                <w:i/>
                <w:sz w:val="15"/>
                <w:szCs w:val="15"/>
              </w:rPr>
            </w:pPr>
            <w:r w:rsidRPr="00624207">
              <w:rPr>
                <w:i/>
                <w:sz w:val="15"/>
                <w:szCs w:val="15"/>
              </w:rPr>
              <w:t>Dispositions spéciales</w:t>
            </w:r>
          </w:p>
        </w:tc>
        <w:tc>
          <w:tcPr>
            <w:tcW w:w="822" w:type="dxa"/>
            <w:gridSpan w:val="2"/>
            <w:vMerge w:val="restart"/>
            <w:shd w:val="clear" w:color="auto" w:fill="auto"/>
            <w:vAlign w:val="bottom"/>
            <w:hideMark/>
          </w:tcPr>
          <w:p w14:paraId="68D0B767" w14:textId="77777777" w:rsidR="00B7223A" w:rsidRPr="00624207" w:rsidRDefault="00B7223A" w:rsidP="007B6FF1">
            <w:pPr>
              <w:suppressAutoHyphens w:val="0"/>
              <w:spacing w:before="60" w:after="60" w:line="240" w:lineRule="auto"/>
              <w:ind w:left="57" w:right="57"/>
              <w:jc w:val="center"/>
              <w:rPr>
                <w:i/>
                <w:sz w:val="15"/>
                <w:szCs w:val="15"/>
              </w:rPr>
            </w:pPr>
            <w:r w:rsidRPr="00624207">
              <w:rPr>
                <w:i/>
                <w:sz w:val="15"/>
                <w:szCs w:val="15"/>
              </w:rPr>
              <w:t>Quantités limitées et exceptées</w:t>
            </w:r>
          </w:p>
        </w:tc>
        <w:tc>
          <w:tcPr>
            <w:tcW w:w="1739" w:type="dxa"/>
            <w:gridSpan w:val="2"/>
            <w:shd w:val="clear" w:color="auto" w:fill="auto"/>
            <w:vAlign w:val="bottom"/>
            <w:hideMark/>
          </w:tcPr>
          <w:p w14:paraId="2A18E00F" w14:textId="77777777" w:rsidR="00B7223A" w:rsidRPr="00624207" w:rsidRDefault="00B7223A" w:rsidP="007B6FF1">
            <w:pPr>
              <w:suppressAutoHyphens w:val="0"/>
              <w:spacing w:before="60" w:after="60" w:line="240" w:lineRule="auto"/>
              <w:ind w:left="28" w:right="28"/>
              <w:jc w:val="center"/>
              <w:rPr>
                <w:i/>
                <w:sz w:val="15"/>
                <w:szCs w:val="15"/>
              </w:rPr>
            </w:pPr>
            <w:r w:rsidRPr="00624207">
              <w:rPr>
                <w:i/>
                <w:sz w:val="15"/>
                <w:szCs w:val="15"/>
              </w:rPr>
              <w:t>Emballages et GRV</w:t>
            </w:r>
          </w:p>
        </w:tc>
        <w:tc>
          <w:tcPr>
            <w:tcW w:w="1711" w:type="dxa"/>
            <w:gridSpan w:val="2"/>
            <w:shd w:val="clear" w:color="auto" w:fill="auto"/>
            <w:vAlign w:val="bottom"/>
            <w:hideMark/>
          </w:tcPr>
          <w:p w14:paraId="175859AC" w14:textId="77777777" w:rsidR="00B7223A" w:rsidRPr="00624207" w:rsidRDefault="00B7223A" w:rsidP="007B6FF1">
            <w:pPr>
              <w:suppressAutoHyphens w:val="0"/>
              <w:spacing w:before="60" w:after="60" w:line="240" w:lineRule="auto"/>
              <w:ind w:left="28" w:right="28"/>
              <w:jc w:val="center"/>
              <w:rPr>
                <w:i/>
                <w:sz w:val="15"/>
                <w:szCs w:val="15"/>
              </w:rPr>
            </w:pPr>
            <w:r w:rsidRPr="00624207">
              <w:rPr>
                <w:i/>
                <w:sz w:val="15"/>
                <w:szCs w:val="15"/>
              </w:rPr>
              <w:t xml:space="preserve">Citernes mobiles </w:t>
            </w:r>
            <w:r w:rsidRPr="00624207">
              <w:rPr>
                <w:i/>
                <w:sz w:val="15"/>
                <w:szCs w:val="15"/>
              </w:rPr>
              <w:br/>
              <w:t>et conteneurs pour vrac</w:t>
            </w:r>
          </w:p>
        </w:tc>
      </w:tr>
      <w:tr w:rsidR="00B7223A" w:rsidRPr="00624207" w14:paraId="2B4FF6D6" w14:textId="77777777" w:rsidTr="007B6FF1">
        <w:trPr>
          <w:tblHeader/>
        </w:trPr>
        <w:tc>
          <w:tcPr>
            <w:tcW w:w="498" w:type="dxa"/>
            <w:vMerge/>
            <w:shd w:val="clear" w:color="auto" w:fill="auto"/>
            <w:vAlign w:val="bottom"/>
            <w:hideMark/>
          </w:tcPr>
          <w:p w14:paraId="23FADC1E" w14:textId="77777777" w:rsidR="00B7223A" w:rsidRPr="00624207" w:rsidRDefault="00B7223A" w:rsidP="007B6FF1">
            <w:pPr>
              <w:suppressAutoHyphens w:val="0"/>
              <w:spacing w:before="60" w:after="60" w:line="240" w:lineRule="auto"/>
              <w:ind w:left="28" w:right="28"/>
              <w:rPr>
                <w:sz w:val="18"/>
              </w:rPr>
            </w:pPr>
          </w:p>
        </w:tc>
        <w:tc>
          <w:tcPr>
            <w:tcW w:w="1944" w:type="dxa"/>
            <w:vMerge/>
            <w:shd w:val="clear" w:color="auto" w:fill="auto"/>
            <w:vAlign w:val="bottom"/>
            <w:hideMark/>
          </w:tcPr>
          <w:p w14:paraId="69DB347A" w14:textId="77777777" w:rsidR="00B7223A" w:rsidRPr="00624207" w:rsidRDefault="00B7223A" w:rsidP="007B6FF1">
            <w:pPr>
              <w:suppressAutoHyphens w:val="0"/>
              <w:spacing w:before="60" w:after="60" w:line="240" w:lineRule="auto"/>
              <w:ind w:left="57" w:right="57"/>
              <w:rPr>
                <w:sz w:val="18"/>
              </w:rPr>
            </w:pPr>
          </w:p>
        </w:tc>
        <w:tc>
          <w:tcPr>
            <w:tcW w:w="647" w:type="dxa"/>
            <w:vMerge/>
            <w:shd w:val="clear" w:color="auto" w:fill="auto"/>
            <w:vAlign w:val="bottom"/>
            <w:hideMark/>
          </w:tcPr>
          <w:p w14:paraId="19791466" w14:textId="77777777" w:rsidR="00B7223A" w:rsidRPr="00624207" w:rsidRDefault="00B7223A" w:rsidP="007B6FF1">
            <w:pPr>
              <w:suppressAutoHyphens w:val="0"/>
              <w:spacing w:before="60" w:after="60" w:line="240" w:lineRule="auto"/>
              <w:ind w:left="57" w:right="57"/>
              <w:jc w:val="right"/>
              <w:rPr>
                <w:sz w:val="18"/>
              </w:rPr>
            </w:pPr>
          </w:p>
        </w:tc>
        <w:tc>
          <w:tcPr>
            <w:tcW w:w="593" w:type="dxa"/>
            <w:vMerge/>
            <w:shd w:val="clear" w:color="auto" w:fill="auto"/>
            <w:vAlign w:val="bottom"/>
            <w:hideMark/>
          </w:tcPr>
          <w:p w14:paraId="55104BFE" w14:textId="77777777" w:rsidR="00B7223A" w:rsidRPr="00624207" w:rsidRDefault="00B7223A" w:rsidP="007B6FF1">
            <w:pPr>
              <w:suppressAutoHyphens w:val="0"/>
              <w:spacing w:before="60" w:after="60" w:line="240" w:lineRule="auto"/>
              <w:ind w:left="57" w:right="57"/>
              <w:jc w:val="right"/>
              <w:rPr>
                <w:sz w:val="18"/>
              </w:rPr>
            </w:pPr>
          </w:p>
        </w:tc>
        <w:tc>
          <w:tcPr>
            <w:tcW w:w="849" w:type="dxa"/>
            <w:vMerge/>
            <w:shd w:val="clear" w:color="auto" w:fill="auto"/>
            <w:vAlign w:val="bottom"/>
            <w:hideMark/>
          </w:tcPr>
          <w:p w14:paraId="6D403F4A" w14:textId="77777777" w:rsidR="00B7223A" w:rsidRPr="00624207" w:rsidRDefault="00B7223A" w:rsidP="007B6FF1">
            <w:pPr>
              <w:suppressAutoHyphens w:val="0"/>
              <w:spacing w:before="60" w:after="60" w:line="240" w:lineRule="auto"/>
              <w:ind w:left="28" w:right="28"/>
              <w:jc w:val="right"/>
              <w:rPr>
                <w:sz w:val="18"/>
              </w:rPr>
            </w:pPr>
          </w:p>
        </w:tc>
        <w:tc>
          <w:tcPr>
            <w:tcW w:w="840" w:type="dxa"/>
            <w:vMerge/>
            <w:shd w:val="clear" w:color="auto" w:fill="auto"/>
            <w:vAlign w:val="bottom"/>
            <w:hideMark/>
          </w:tcPr>
          <w:p w14:paraId="54C8E8ED" w14:textId="77777777" w:rsidR="00B7223A" w:rsidRPr="00624207" w:rsidRDefault="00B7223A" w:rsidP="007B6FF1">
            <w:pPr>
              <w:suppressAutoHyphens w:val="0"/>
              <w:spacing w:before="60" w:after="60" w:line="240" w:lineRule="auto"/>
              <w:ind w:left="28" w:right="28"/>
              <w:jc w:val="right"/>
              <w:rPr>
                <w:sz w:val="18"/>
              </w:rPr>
            </w:pPr>
          </w:p>
        </w:tc>
        <w:tc>
          <w:tcPr>
            <w:tcW w:w="822" w:type="dxa"/>
            <w:gridSpan w:val="2"/>
            <w:vMerge/>
            <w:shd w:val="clear" w:color="auto" w:fill="auto"/>
            <w:vAlign w:val="bottom"/>
            <w:hideMark/>
          </w:tcPr>
          <w:p w14:paraId="3A9CAD6E" w14:textId="77777777" w:rsidR="00B7223A" w:rsidRPr="00624207" w:rsidRDefault="00B7223A" w:rsidP="007B6FF1">
            <w:pPr>
              <w:suppressAutoHyphens w:val="0"/>
              <w:spacing w:before="60" w:after="60" w:line="240" w:lineRule="auto"/>
              <w:ind w:left="57" w:right="57"/>
              <w:jc w:val="right"/>
              <w:rPr>
                <w:sz w:val="18"/>
              </w:rPr>
            </w:pPr>
          </w:p>
        </w:tc>
        <w:tc>
          <w:tcPr>
            <w:tcW w:w="864" w:type="dxa"/>
            <w:shd w:val="clear" w:color="auto" w:fill="auto"/>
            <w:vAlign w:val="bottom"/>
            <w:hideMark/>
          </w:tcPr>
          <w:p w14:paraId="27B62CEE" w14:textId="77777777" w:rsidR="00B7223A" w:rsidRPr="00624207" w:rsidRDefault="00B7223A" w:rsidP="007B6FF1">
            <w:pPr>
              <w:suppressAutoHyphens w:val="0"/>
              <w:spacing w:before="60" w:after="60" w:line="240" w:lineRule="auto"/>
              <w:ind w:left="28" w:right="28"/>
              <w:jc w:val="center"/>
              <w:rPr>
                <w:i/>
                <w:iCs/>
                <w:spacing w:val="-1"/>
                <w:sz w:val="16"/>
                <w:szCs w:val="16"/>
              </w:rPr>
            </w:pPr>
            <w:r w:rsidRPr="00624207">
              <w:rPr>
                <w:i/>
                <w:iCs/>
                <w:spacing w:val="-1"/>
                <w:sz w:val="16"/>
                <w:szCs w:val="16"/>
              </w:rPr>
              <w:t>Instructions d</w:t>
            </w:r>
            <w:r>
              <w:rPr>
                <w:i/>
                <w:iCs/>
                <w:spacing w:val="-1"/>
                <w:sz w:val="16"/>
                <w:szCs w:val="16"/>
              </w:rPr>
              <w:t>’</w:t>
            </w:r>
            <w:r w:rsidRPr="00624207">
              <w:rPr>
                <w:i/>
                <w:iCs/>
                <w:spacing w:val="-1"/>
                <w:sz w:val="16"/>
                <w:szCs w:val="16"/>
              </w:rPr>
              <w:t>emballage</w:t>
            </w:r>
          </w:p>
        </w:tc>
        <w:tc>
          <w:tcPr>
            <w:tcW w:w="875" w:type="dxa"/>
            <w:shd w:val="clear" w:color="auto" w:fill="auto"/>
            <w:vAlign w:val="bottom"/>
            <w:hideMark/>
          </w:tcPr>
          <w:p w14:paraId="12E66361" w14:textId="77777777" w:rsidR="00B7223A" w:rsidRPr="00624207" w:rsidRDefault="00B7223A" w:rsidP="007B6FF1">
            <w:pPr>
              <w:suppressAutoHyphens w:val="0"/>
              <w:spacing w:before="60" w:after="60" w:line="240" w:lineRule="auto"/>
              <w:ind w:left="28" w:right="28"/>
              <w:jc w:val="center"/>
              <w:rPr>
                <w:i/>
                <w:iCs/>
                <w:sz w:val="16"/>
                <w:szCs w:val="16"/>
              </w:rPr>
            </w:pPr>
            <w:r w:rsidRPr="00624207">
              <w:rPr>
                <w:i/>
                <w:iCs/>
                <w:sz w:val="16"/>
                <w:szCs w:val="16"/>
              </w:rPr>
              <w:t>Dispositions spéciales d</w:t>
            </w:r>
            <w:r>
              <w:rPr>
                <w:i/>
                <w:iCs/>
                <w:sz w:val="16"/>
                <w:szCs w:val="16"/>
              </w:rPr>
              <w:t>’</w:t>
            </w:r>
            <w:r w:rsidRPr="00624207">
              <w:rPr>
                <w:i/>
                <w:iCs/>
                <w:sz w:val="16"/>
                <w:szCs w:val="16"/>
              </w:rPr>
              <w:t>emballage</w:t>
            </w:r>
          </w:p>
        </w:tc>
        <w:tc>
          <w:tcPr>
            <w:tcW w:w="838" w:type="dxa"/>
            <w:shd w:val="clear" w:color="auto" w:fill="auto"/>
            <w:vAlign w:val="bottom"/>
            <w:hideMark/>
          </w:tcPr>
          <w:p w14:paraId="2B7F4D91" w14:textId="77777777" w:rsidR="00B7223A" w:rsidRPr="00624207" w:rsidRDefault="00B7223A" w:rsidP="007B6FF1">
            <w:pPr>
              <w:suppressAutoHyphens w:val="0"/>
              <w:spacing w:before="60" w:after="60" w:line="240" w:lineRule="auto"/>
              <w:ind w:left="28" w:right="28"/>
              <w:jc w:val="center"/>
              <w:rPr>
                <w:i/>
                <w:iCs/>
                <w:sz w:val="16"/>
                <w:szCs w:val="16"/>
              </w:rPr>
            </w:pPr>
            <w:r w:rsidRPr="00624207">
              <w:rPr>
                <w:i/>
                <w:iCs/>
                <w:sz w:val="16"/>
                <w:szCs w:val="16"/>
              </w:rPr>
              <w:t>Instructions</w:t>
            </w:r>
            <w:r w:rsidRPr="00624207">
              <w:rPr>
                <w:i/>
                <w:iCs/>
                <w:sz w:val="16"/>
                <w:szCs w:val="16"/>
              </w:rPr>
              <w:br/>
              <w:t xml:space="preserve"> de transport</w:t>
            </w:r>
          </w:p>
        </w:tc>
        <w:tc>
          <w:tcPr>
            <w:tcW w:w="873" w:type="dxa"/>
            <w:shd w:val="clear" w:color="auto" w:fill="auto"/>
            <w:vAlign w:val="bottom"/>
            <w:hideMark/>
          </w:tcPr>
          <w:p w14:paraId="4DCF7889" w14:textId="77777777" w:rsidR="00B7223A" w:rsidRPr="00624207" w:rsidRDefault="00B7223A" w:rsidP="007B6FF1">
            <w:pPr>
              <w:suppressAutoHyphens w:val="0"/>
              <w:spacing w:before="60" w:after="60" w:line="240" w:lineRule="auto"/>
              <w:ind w:left="28" w:right="28"/>
              <w:jc w:val="center"/>
              <w:rPr>
                <w:i/>
                <w:iCs/>
                <w:sz w:val="16"/>
                <w:szCs w:val="16"/>
              </w:rPr>
            </w:pPr>
            <w:r w:rsidRPr="00624207">
              <w:rPr>
                <w:i/>
                <w:iCs/>
                <w:sz w:val="16"/>
                <w:szCs w:val="16"/>
              </w:rPr>
              <w:t>Dispositions spéciales</w:t>
            </w:r>
          </w:p>
        </w:tc>
      </w:tr>
      <w:tr w:rsidR="00B7223A" w:rsidRPr="00624207" w14:paraId="060D881E" w14:textId="77777777" w:rsidTr="007B6FF1">
        <w:trPr>
          <w:tblHeader/>
        </w:trPr>
        <w:tc>
          <w:tcPr>
            <w:tcW w:w="498" w:type="dxa"/>
            <w:shd w:val="clear" w:color="auto" w:fill="auto"/>
            <w:vAlign w:val="center"/>
          </w:tcPr>
          <w:p w14:paraId="35BD4C21" w14:textId="77777777" w:rsidR="00B7223A" w:rsidRPr="00624207" w:rsidRDefault="00B7223A" w:rsidP="007B6FF1">
            <w:pPr>
              <w:suppressAutoHyphens w:val="0"/>
              <w:spacing w:before="60" w:after="60" w:line="240" w:lineRule="auto"/>
              <w:ind w:left="28" w:right="28"/>
              <w:rPr>
                <w:rFonts w:asciiTheme="majorBidi" w:hAnsiTheme="majorBidi"/>
                <w:sz w:val="17"/>
                <w:szCs w:val="17"/>
                <w:u w:val="single"/>
              </w:rPr>
            </w:pPr>
            <w:r w:rsidRPr="00624207">
              <w:rPr>
                <w:sz w:val="16"/>
                <w:szCs w:val="16"/>
              </w:rPr>
              <w:t>1)</w:t>
            </w:r>
          </w:p>
        </w:tc>
        <w:tc>
          <w:tcPr>
            <w:tcW w:w="1944" w:type="dxa"/>
            <w:shd w:val="clear" w:color="auto" w:fill="auto"/>
            <w:vAlign w:val="center"/>
          </w:tcPr>
          <w:p w14:paraId="3A1E6668" w14:textId="77777777" w:rsidR="00B7223A" w:rsidRPr="00624207" w:rsidRDefault="00B7223A" w:rsidP="007B6FF1">
            <w:pPr>
              <w:suppressAutoHyphens w:val="0"/>
              <w:spacing w:before="60" w:after="60" w:line="240" w:lineRule="auto"/>
              <w:ind w:left="57" w:right="57"/>
              <w:rPr>
                <w:rFonts w:ascii="TimesNewRoman" w:hAnsi="TimesNewRoman"/>
                <w:sz w:val="17"/>
                <w:szCs w:val="17"/>
                <w:u w:val="single"/>
              </w:rPr>
            </w:pPr>
            <w:r w:rsidRPr="00624207">
              <w:rPr>
                <w:sz w:val="16"/>
                <w:szCs w:val="16"/>
              </w:rPr>
              <w:t>2)</w:t>
            </w:r>
          </w:p>
        </w:tc>
        <w:tc>
          <w:tcPr>
            <w:tcW w:w="647" w:type="dxa"/>
            <w:shd w:val="clear" w:color="auto" w:fill="auto"/>
            <w:vAlign w:val="center"/>
          </w:tcPr>
          <w:p w14:paraId="3B4B6425" w14:textId="77777777" w:rsidR="00B7223A" w:rsidRPr="00624207" w:rsidRDefault="00B7223A" w:rsidP="007B6FF1">
            <w:pPr>
              <w:suppressAutoHyphens w:val="0"/>
              <w:spacing w:before="60" w:after="60" w:line="240" w:lineRule="auto"/>
              <w:ind w:left="57" w:right="57"/>
              <w:jc w:val="center"/>
              <w:rPr>
                <w:rFonts w:asciiTheme="majorBidi" w:hAnsiTheme="majorBidi"/>
                <w:sz w:val="17"/>
                <w:szCs w:val="17"/>
                <w:u w:val="single"/>
              </w:rPr>
            </w:pPr>
            <w:r w:rsidRPr="00624207">
              <w:rPr>
                <w:sz w:val="16"/>
                <w:szCs w:val="16"/>
              </w:rPr>
              <w:t>3)</w:t>
            </w:r>
          </w:p>
        </w:tc>
        <w:tc>
          <w:tcPr>
            <w:tcW w:w="593" w:type="dxa"/>
            <w:shd w:val="clear" w:color="auto" w:fill="auto"/>
            <w:vAlign w:val="center"/>
          </w:tcPr>
          <w:p w14:paraId="564DBA67" w14:textId="77777777" w:rsidR="00B7223A" w:rsidRPr="00624207" w:rsidRDefault="00B7223A" w:rsidP="007B6FF1">
            <w:pPr>
              <w:suppressAutoHyphens w:val="0"/>
              <w:spacing w:before="60" w:after="60" w:line="240" w:lineRule="auto"/>
              <w:ind w:left="57" w:right="57"/>
              <w:jc w:val="center"/>
              <w:rPr>
                <w:rFonts w:asciiTheme="majorBidi" w:hAnsiTheme="majorBidi"/>
                <w:sz w:val="17"/>
                <w:szCs w:val="17"/>
                <w:u w:val="single"/>
              </w:rPr>
            </w:pPr>
            <w:r w:rsidRPr="00624207">
              <w:rPr>
                <w:sz w:val="16"/>
                <w:szCs w:val="16"/>
              </w:rPr>
              <w:t>4)</w:t>
            </w:r>
          </w:p>
        </w:tc>
        <w:tc>
          <w:tcPr>
            <w:tcW w:w="849" w:type="dxa"/>
            <w:shd w:val="clear" w:color="auto" w:fill="auto"/>
            <w:vAlign w:val="center"/>
          </w:tcPr>
          <w:p w14:paraId="7EF4EEE2" w14:textId="77777777" w:rsidR="00B7223A" w:rsidRPr="00624207" w:rsidRDefault="00B7223A" w:rsidP="007B6FF1">
            <w:pPr>
              <w:suppressAutoHyphens w:val="0"/>
              <w:spacing w:before="60" w:after="60" w:line="240" w:lineRule="auto"/>
              <w:ind w:left="28" w:right="28"/>
              <w:jc w:val="center"/>
              <w:rPr>
                <w:rFonts w:asciiTheme="majorBidi" w:hAnsiTheme="majorBidi"/>
                <w:sz w:val="17"/>
                <w:szCs w:val="17"/>
                <w:u w:val="single"/>
              </w:rPr>
            </w:pPr>
            <w:r w:rsidRPr="00624207">
              <w:rPr>
                <w:sz w:val="16"/>
                <w:szCs w:val="16"/>
              </w:rPr>
              <w:t>5)</w:t>
            </w:r>
          </w:p>
        </w:tc>
        <w:tc>
          <w:tcPr>
            <w:tcW w:w="840" w:type="dxa"/>
            <w:shd w:val="clear" w:color="auto" w:fill="auto"/>
            <w:vAlign w:val="center"/>
          </w:tcPr>
          <w:p w14:paraId="157D62C5" w14:textId="77777777" w:rsidR="00B7223A" w:rsidRPr="00624207" w:rsidRDefault="00B7223A" w:rsidP="007B6FF1">
            <w:pPr>
              <w:suppressAutoHyphens w:val="0"/>
              <w:spacing w:before="60" w:after="60" w:line="240" w:lineRule="auto"/>
              <w:ind w:left="28" w:right="28"/>
              <w:jc w:val="center"/>
              <w:rPr>
                <w:rFonts w:asciiTheme="majorBidi" w:hAnsiTheme="majorBidi"/>
                <w:sz w:val="17"/>
                <w:szCs w:val="17"/>
                <w:u w:val="single"/>
              </w:rPr>
            </w:pPr>
            <w:r w:rsidRPr="00624207">
              <w:rPr>
                <w:sz w:val="16"/>
                <w:szCs w:val="16"/>
              </w:rPr>
              <w:t>6)</w:t>
            </w:r>
          </w:p>
        </w:tc>
        <w:tc>
          <w:tcPr>
            <w:tcW w:w="428" w:type="dxa"/>
            <w:shd w:val="clear" w:color="auto" w:fill="auto"/>
            <w:vAlign w:val="center"/>
          </w:tcPr>
          <w:p w14:paraId="0642CD0D" w14:textId="77777777" w:rsidR="00B7223A" w:rsidRPr="00624207" w:rsidRDefault="00B7223A" w:rsidP="007B6FF1">
            <w:pPr>
              <w:suppressAutoHyphens w:val="0"/>
              <w:spacing w:before="60" w:after="60" w:line="240" w:lineRule="auto"/>
              <w:ind w:left="57" w:right="57"/>
              <w:jc w:val="center"/>
              <w:rPr>
                <w:rFonts w:asciiTheme="majorBidi" w:hAnsiTheme="majorBidi"/>
                <w:sz w:val="17"/>
                <w:szCs w:val="17"/>
                <w:u w:val="single"/>
              </w:rPr>
            </w:pPr>
            <w:r w:rsidRPr="00624207">
              <w:rPr>
                <w:sz w:val="16"/>
                <w:szCs w:val="16"/>
              </w:rPr>
              <w:t>7a)</w:t>
            </w:r>
          </w:p>
        </w:tc>
        <w:tc>
          <w:tcPr>
            <w:tcW w:w="394" w:type="dxa"/>
            <w:shd w:val="clear" w:color="auto" w:fill="auto"/>
            <w:vAlign w:val="center"/>
          </w:tcPr>
          <w:p w14:paraId="4BC12903" w14:textId="77777777" w:rsidR="00B7223A" w:rsidRPr="00624207" w:rsidRDefault="00B7223A" w:rsidP="007B6FF1">
            <w:pPr>
              <w:suppressAutoHyphens w:val="0"/>
              <w:spacing w:before="60" w:after="60" w:line="240" w:lineRule="auto"/>
              <w:ind w:left="57" w:right="57"/>
              <w:jc w:val="center"/>
              <w:rPr>
                <w:rFonts w:asciiTheme="majorBidi" w:hAnsiTheme="majorBidi"/>
                <w:sz w:val="17"/>
                <w:szCs w:val="17"/>
                <w:u w:val="single"/>
              </w:rPr>
            </w:pPr>
            <w:r w:rsidRPr="00624207">
              <w:rPr>
                <w:sz w:val="16"/>
                <w:szCs w:val="16"/>
              </w:rPr>
              <w:t>7b)</w:t>
            </w:r>
          </w:p>
        </w:tc>
        <w:tc>
          <w:tcPr>
            <w:tcW w:w="864" w:type="dxa"/>
            <w:shd w:val="clear" w:color="auto" w:fill="auto"/>
            <w:vAlign w:val="center"/>
          </w:tcPr>
          <w:p w14:paraId="4C4F4842" w14:textId="77777777" w:rsidR="00B7223A" w:rsidRPr="00624207" w:rsidRDefault="00B7223A" w:rsidP="007B6FF1">
            <w:pPr>
              <w:suppressAutoHyphens w:val="0"/>
              <w:spacing w:before="60" w:after="60" w:line="240" w:lineRule="auto"/>
              <w:ind w:left="28" w:right="28"/>
              <w:jc w:val="center"/>
              <w:rPr>
                <w:rFonts w:asciiTheme="majorBidi" w:hAnsiTheme="majorBidi"/>
                <w:sz w:val="17"/>
                <w:szCs w:val="17"/>
                <w:u w:val="single"/>
              </w:rPr>
            </w:pPr>
            <w:r w:rsidRPr="00624207">
              <w:rPr>
                <w:sz w:val="16"/>
                <w:szCs w:val="16"/>
              </w:rPr>
              <w:t>8)</w:t>
            </w:r>
          </w:p>
        </w:tc>
        <w:tc>
          <w:tcPr>
            <w:tcW w:w="875" w:type="dxa"/>
            <w:shd w:val="clear" w:color="auto" w:fill="auto"/>
            <w:vAlign w:val="center"/>
          </w:tcPr>
          <w:p w14:paraId="1893E299" w14:textId="77777777" w:rsidR="00B7223A" w:rsidRPr="00624207" w:rsidRDefault="00B7223A" w:rsidP="007B6FF1">
            <w:pPr>
              <w:suppressAutoHyphens w:val="0"/>
              <w:spacing w:before="60" w:after="60" w:line="240" w:lineRule="auto"/>
              <w:ind w:left="28" w:right="28"/>
              <w:jc w:val="center"/>
              <w:rPr>
                <w:i/>
                <w:iCs/>
                <w:sz w:val="17"/>
                <w:szCs w:val="17"/>
              </w:rPr>
            </w:pPr>
            <w:r w:rsidRPr="00624207">
              <w:rPr>
                <w:sz w:val="16"/>
                <w:szCs w:val="16"/>
              </w:rPr>
              <w:t>9)</w:t>
            </w:r>
          </w:p>
        </w:tc>
        <w:tc>
          <w:tcPr>
            <w:tcW w:w="838" w:type="dxa"/>
            <w:shd w:val="clear" w:color="auto" w:fill="auto"/>
            <w:vAlign w:val="center"/>
          </w:tcPr>
          <w:p w14:paraId="7C68BA28" w14:textId="77777777" w:rsidR="00B7223A" w:rsidRPr="00624207" w:rsidRDefault="00B7223A" w:rsidP="007B6FF1">
            <w:pPr>
              <w:suppressAutoHyphens w:val="0"/>
              <w:spacing w:before="60" w:after="60" w:line="240" w:lineRule="auto"/>
              <w:ind w:left="28" w:right="28"/>
              <w:jc w:val="center"/>
              <w:rPr>
                <w:rFonts w:asciiTheme="majorBidi" w:hAnsiTheme="majorBidi"/>
                <w:sz w:val="17"/>
                <w:szCs w:val="17"/>
                <w:u w:val="single"/>
              </w:rPr>
            </w:pPr>
            <w:r w:rsidRPr="00624207">
              <w:rPr>
                <w:sz w:val="16"/>
                <w:szCs w:val="16"/>
              </w:rPr>
              <w:t>10)</w:t>
            </w:r>
          </w:p>
        </w:tc>
        <w:tc>
          <w:tcPr>
            <w:tcW w:w="873" w:type="dxa"/>
            <w:shd w:val="clear" w:color="auto" w:fill="auto"/>
            <w:vAlign w:val="center"/>
          </w:tcPr>
          <w:p w14:paraId="58BA81AC" w14:textId="77777777" w:rsidR="00B7223A" w:rsidRPr="00624207" w:rsidRDefault="00B7223A" w:rsidP="007B6FF1">
            <w:pPr>
              <w:suppressAutoHyphens w:val="0"/>
              <w:spacing w:before="60" w:after="60" w:line="240" w:lineRule="auto"/>
              <w:ind w:left="28" w:right="28"/>
              <w:jc w:val="center"/>
              <w:rPr>
                <w:rFonts w:asciiTheme="majorBidi" w:hAnsiTheme="majorBidi"/>
                <w:sz w:val="17"/>
                <w:szCs w:val="17"/>
                <w:u w:val="single"/>
              </w:rPr>
            </w:pPr>
            <w:r w:rsidRPr="00624207">
              <w:rPr>
                <w:sz w:val="16"/>
                <w:szCs w:val="16"/>
              </w:rPr>
              <w:t>11)</w:t>
            </w:r>
          </w:p>
        </w:tc>
      </w:tr>
      <w:tr w:rsidR="00B7223A" w:rsidRPr="00624207" w14:paraId="2361B02E" w14:textId="77777777" w:rsidTr="007B6FF1">
        <w:trPr>
          <w:tblHeader/>
        </w:trPr>
        <w:tc>
          <w:tcPr>
            <w:tcW w:w="498" w:type="dxa"/>
            <w:shd w:val="clear" w:color="auto" w:fill="auto"/>
          </w:tcPr>
          <w:p w14:paraId="502B9833" w14:textId="77777777" w:rsidR="00B7223A" w:rsidRPr="00624207" w:rsidRDefault="00B7223A" w:rsidP="007B6FF1">
            <w:pPr>
              <w:suppressAutoHyphens w:val="0"/>
              <w:spacing w:before="60" w:after="60" w:line="240" w:lineRule="auto"/>
              <w:ind w:left="28" w:right="28"/>
              <w:rPr>
                <w:sz w:val="17"/>
                <w:szCs w:val="17"/>
              </w:rPr>
            </w:pPr>
            <w:r w:rsidRPr="00624207">
              <w:rPr>
                <w:rFonts w:asciiTheme="majorBidi" w:hAnsiTheme="majorBidi"/>
                <w:sz w:val="17"/>
                <w:szCs w:val="17"/>
                <w:u w:val="single"/>
              </w:rPr>
              <w:t>1835</w:t>
            </w:r>
          </w:p>
        </w:tc>
        <w:tc>
          <w:tcPr>
            <w:tcW w:w="1944" w:type="dxa"/>
            <w:shd w:val="clear" w:color="auto" w:fill="auto"/>
            <w:vAlign w:val="bottom"/>
          </w:tcPr>
          <w:p w14:paraId="337ACA4C" w14:textId="77777777" w:rsidR="00B7223A" w:rsidRPr="00624207" w:rsidRDefault="00B7223A" w:rsidP="007B6FF1">
            <w:pPr>
              <w:suppressAutoHyphens w:val="0"/>
              <w:spacing w:before="60" w:after="60" w:line="240" w:lineRule="auto"/>
              <w:ind w:left="57" w:right="57"/>
              <w:rPr>
                <w:sz w:val="17"/>
                <w:szCs w:val="17"/>
              </w:rPr>
            </w:pPr>
            <w:r w:rsidRPr="00624207">
              <w:rPr>
                <w:sz w:val="17"/>
                <w:szCs w:val="17"/>
              </w:rPr>
              <w:t xml:space="preserve">HYDROXYDE DE TETRAMETHYLAMMONIUM EN SOLUTION </w:t>
            </w:r>
            <w:r w:rsidRPr="00624207">
              <w:rPr>
                <w:sz w:val="17"/>
                <w:szCs w:val="17"/>
                <w:u w:val="single"/>
              </w:rPr>
              <w:t>AQUEUSE contenant plus de 25 % d</w:t>
            </w:r>
            <w:r>
              <w:rPr>
                <w:sz w:val="17"/>
                <w:szCs w:val="17"/>
                <w:u w:val="single"/>
              </w:rPr>
              <w:t>’</w:t>
            </w:r>
            <w:r w:rsidRPr="00624207">
              <w:rPr>
                <w:sz w:val="17"/>
                <w:szCs w:val="17"/>
                <w:u w:val="single"/>
              </w:rPr>
              <w:t>hydroxyde de tétraméthylammonium</w:t>
            </w:r>
          </w:p>
        </w:tc>
        <w:tc>
          <w:tcPr>
            <w:tcW w:w="647" w:type="dxa"/>
            <w:shd w:val="clear" w:color="auto" w:fill="auto"/>
          </w:tcPr>
          <w:p w14:paraId="08AFA36C" w14:textId="77777777" w:rsidR="00B7223A" w:rsidRPr="00624207" w:rsidRDefault="00B7223A" w:rsidP="007B6FF1">
            <w:pPr>
              <w:suppressAutoHyphens w:val="0"/>
              <w:spacing w:before="60" w:after="60" w:line="240" w:lineRule="auto"/>
              <w:ind w:left="57" w:right="57"/>
              <w:jc w:val="center"/>
              <w:rPr>
                <w:sz w:val="17"/>
                <w:szCs w:val="17"/>
              </w:rPr>
            </w:pPr>
            <w:r w:rsidRPr="00624207">
              <w:rPr>
                <w:rFonts w:asciiTheme="majorBidi" w:hAnsiTheme="majorBidi"/>
                <w:sz w:val="17"/>
                <w:szCs w:val="17"/>
                <w:u w:val="single"/>
              </w:rPr>
              <w:t>6.1</w:t>
            </w:r>
          </w:p>
        </w:tc>
        <w:tc>
          <w:tcPr>
            <w:tcW w:w="593" w:type="dxa"/>
            <w:shd w:val="clear" w:color="auto" w:fill="auto"/>
          </w:tcPr>
          <w:p w14:paraId="551D2998" w14:textId="77777777" w:rsidR="00B7223A" w:rsidRPr="00624207" w:rsidRDefault="00B7223A" w:rsidP="007B6FF1">
            <w:pPr>
              <w:suppressAutoHyphens w:val="0"/>
              <w:spacing w:before="60" w:after="60" w:line="240" w:lineRule="auto"/>
              <w:ind w:left="57" w:right="57"/>
              <w:jc w:val="center"/>
              <w:rPr>
                <w:sz w:val="17"/>
                <w:szCs w:val="17"/>
              </w:rPr>
            </w:pPr>
            <w:r w:rsidRPr="00624207">
              <w:rPr>
                <w:rFonts w:asciiTheme="majorBidi" w:hAnsiTheme="majorBidi"/>
                <w:sz w:val="17"/>
                <w:szCs w:val="17"/>
                <w:u w:val="single"/>
              </w:rPr>
              <w:t>8</w:t>
            </w:r>
          </w:p>
        </w:tc>
        <w:tc>
          <w:tcPr>
            <w:tcW w:w="849" w:type="dxa"/>
            <w:shd w:val="clear" w:color="auto" w:fill="auto"/>
          </w:tcPr>
          <w:p w14:paraId="5AD1915F" w14:textId="77777777" w:rsidR="00B7223A" w:rsidRPr="00624207" w:rsidRDefault="00B7223A" w:rsidP="007B6FF1">
            <w:pPr>
              <w:suppressAutoHyphens w:val="0"/>
              <w:spacing w:before="60" w:after="60" w:line="240" w:lineRule="auto"/>
              <w:ind w:left="28" w:right="28"/>
              <w:jc w:val="center"/>
              <w:rPr>
                <w:sz w:val="17"/>
                <w:szCs w:val="17"/>
              </w:rPr>
            </w:pPr>
            <w:r w:rsidRPr="00624207">
              <w:rPr>
                <w:rFonts w:asciiTheme="majorBidi" w:hAnsiTheme="majorBidi"/>
                <w:sz w:val="17"/>
                <w:szCs w:val="17"/>
                <w:u w:val="single"/>
              </w:rPr>
              <w:t>I</w:t>
            </w:r>
          </w:p>
        </w:tc>
        <w:tc>
          <w:tcPr>
            <w:tcW w:w="840" w:type="dxa"/>
            <w:shd w:val="clear" w:color="auto" w:fill="auto"/>
          </w:tcPr>
          <w:p w14:paraId="34C2CB98" w14:textId="77777777" w:rsidR="00B7223A" w:rsidRPr="00624207" w:rsidRDefault="00B7223A" w:rsidP="007B6FF1">
            <w:pPr>
              <w:suppressAutoHyphens w:val="0"/>
              <w:spacing w:before="60" w:after="60" w:line="240" w:lineRule="auto"/>
              <w:ind w:left="28" w:right="28"/>
              <w:jc w:val="center"/>
              <w:rPr>
                <w:rFonts w:asciiTheme="majorBidi" w:hAnsiTheme="majorBidi"/>
                <w:sz w:val="17"/>
                <w:szCs w:val="17"/>
                <w:u w:val="single"/>
              </w:rPr>
            </w:pPr>
            <w:r w:rsidRPr="00624207">
              <w:rPr>
                <w:rFonts w:asciiTheme="majorBidi" w:hAnsiTheme="majorBidi"/>
                <w:sz w:val="17"/>
                <w:szCs w:val="17"/>
                <w:u w:val="single"/>
              </w:rPr>
              <w:t>279</w:t>
            </w:r>
          </w:p>
          <w:p w14:paraId="30095725" w14:textId="77777777" w:rsidR="00B7223A" w:rsidRPr="00624207" w:rsidRDefault="00B7223A" w:rsidP="007B6FF1">
            <w:pPr>
              <w:suppressAutoHyphens w:val="0"/>
              <w:spacing w:before="60" w:after="60" w:line="240" w:lineRule="auto"/>
              <w:ind w:left="28" w:right="28"/>
              <w:jc w:val="center"/>
              <w:rPr>
                <w:sz w:val="17"/>
                <w:szCs w:val="17"/>
              </w:rPr>
            </w:pPr>
            <w:r w:rsidRPr="00624207">
              <w:rPr>
                <w:sz w:val="17"/>
                <w:szCs w:val="17"/>
                <w:u w:val="single"/>
              </w:rPr>
              <w:t>XXX</w:t>
            </w:r>
          </w:p>
        </w:tc>
        <w:tc>
          <w:tcPr>
            <w:tcW w:w="428" w:type="dxa"/>
            <w:shd w:val="clear" w:color="auto" w:fill="auto"/>
          </w:tcPr>
          <w:p w14:paraId="7160E082" w14:textId="77777777" w:rsidR="00B7223A" w:rsidRPr="00624207" w:rsidRDefault="00B7223A" w:rsidP="007B6FF1">
            <w:pPr>
              <w:suppressAutoHyphens w:val="0"/>
              <w:spacing w:before="60" w:after="60" w:line="240" w:lineRule="auto"/>
              <w:ind w:left="57" w:right="57"/>
              <w:jc w:val="center"/>
              <w:rPr>
                <w:sz w:val="17"/>
                <w:szCs w:val="17"/>
              </w:rPr>
            </w:pPr>
            <w:r w:rsidRPr="00624207">
              <w:rPr>
                <w:rFonts w:asciiTheme="majorBidi" w:hAnsiTheme="majorBidi"/>
                <w:sz w:val="17"/>
                <w:szCs w:val="17"/>
                <w:u w:val="single"/>
              </w:rPr>
              <w:t>0</w:t>
            </w:r>
          </w:p>
        </w:tc>
        <w:tc>
          <w:tcPr>
            <w:tcW w:w="394" w:type="dxa"/>
            <w:shd w:val="clear" w:color="auto" w:fill="auto"/>
          </w:tcPr>
          <w:p w14:paraId="2C91D2AA" w14:textId="77777777" w:rsidR="00B7223A" w:rsidRPr="00624207" w:rsidRDefault="00B7223A" w:rsidP="007B6FF1">
            <w:pPr>
              <w:suppressAutoHyphens w:val="0"/>
              <w:spacing w:before="60" w:after="60" w:line="240" w:lineRule="auto"/>
              <w:ind w:left="57" w:right="57"/>
              <w:jc w:val="center"/>
              <w:rPr>
                <w:sz w:val="17"/>
                <w:szCs w:val="17"/>
              </w:rPr>
            </w:pPr>
            <w:r w:rsidRPr="00624207">
              <w:rPr>
                <w:rFonts w:asciiTheme="majorBidi" w:hAnsiTheme="majorBidi"/>
                <w:sz w:val="17"/>
                <w:szCs w:val="17"/>
                <w:u w:val="single"/>
              </w:rPr>
              <w:t>E5</w:t>
            </w:r>
          </w:p>
        </w:tc>
        <w:tc>
          <w:tcPr>
            <w:tcW w:w="864" w:type="dxa"/>
            <w:shd w:val="clear" w:color="auto" w:fill="auto"/>
          </w:tcPr>
          <w:p w14:paraId="714B8BE9" w14:textId="77777777" w:rsidR="00B7223A" w:rsidRPr="00624207" w:rsidRDefault="00B7223A" w:rsidP="007B6FF1">
            <w:pPr>
              <w:suppressAutoHyphens w:val="0"/>
              <w:spacing w:before="60" w:after="60" w:line="240" w:lineRule="auto"/>
              <w:ind w:left="28" w:right="28"/>
              <w:jc w:val="center"/>
              <w:rPr>
                <w:i/>
                <w:iCs/>
                <w:spacing w:val="-1"/>
                <w:sz w:val="17"/>
                <w:szCs w:val="17"/>
              </w:rPr>
            </w:pPr>
            <w:r w:rsidRPr="00624207">
              <w:rPr>
                <w:rFonts w:asciiTheme="majorBidi" w:hAnsiTheme="majorBidi"/>
                <w:sz w:val="17"/>
                <w:szCs w:val="17"/>
                <w:u w:val="single"/>
              </w:rPr>
              <w:t>P001</w:t>
            </w:r>
          </w:p>
        </w:tc>
        <w:tc>
          <w:tcPr>
            <w:tcW w:w="875" w:type="dxa"/>
            <w:shd w:val="clear" w:color="auto" w:fill="auto"/>
          </w:tcPr>
          <w:p w14:paraId="7A4366C6" w14:textId="77777777" w:rsidR="00B7223A" w:rsidRPr="00624207" w:rsidRDefault="00B7223A" w:rsidP="007B6FF1">
            <w:pPr>
              <w:suppressAutoHyphens w:val="0"/>
              <w:spacing w:before="60" w:after="60" w:line="240" w:lineRule="auto"/>
              <w:ind w:left="28" w:right="28"/>
              <w:jc w:val="center"/>
              <w:rPr>
                <w:i/>
                <w:iCs/>
                <w:sz w:val="17"/>
                <w:szCs w:val="17"/>
              </w:rPr>
            </w:pPr>
          </w:p>
        </w:tc>
        <w:tc>
          <w:tcPr>
            <w:tcW w:w="838" w:type="dxa"/>
            <w:shd w:val="clear" w:color="auto" w:fill="auto"/>
          </w:tcPr>
          <w:p w14:paraId="06CAA0F6" w14:textId="77777777" w:rsidR="00B7223A" w:rsidRPr="00624207" w:rsidRDefault="00B7223A" w:rsidP="007B6FF1">
            <w:pPr>
              <w:suppressAutoHyphens w:val="0"/>
              <w:spacing w:before="60" w:after="60" w:line="240" w:lineRule="auto"/>
              <w:ind w:left="28" w:right="28"/>
              <w:jc w:val="center"/>
              <w:rPr>
                <w:i/>
                <w:iCs/>
                <w:sz w:val="17"/>
                <w:szCs w:val="17"/>
              </w:rPr>
            </w:pPr>
            <w:r w:rsidRPr="00624207">
              <w:rPr>
                <w:rFonts w:asciiTheme="majorBidi" w:hAnsiTheme="majorBidi"/>
                <w:sz w:val="17"/>
                <w:szCs w:val="17"/>
                <w:u w:val="single"/>
              </w:rPr>
              <w:t>T14</w:t>
            </w:r>
          </w:p>
        </w:tc>
        <w:tc>
          <w:tcPr>
            <w:tcW w:w="873" w:type="dxa"/>
            <w:shd w:val="clear" w:color="auto" w:fill="auto"/>
          </w:tcPr>
          <w:p w14:paraId="268DA78E" w14:textId="77777777" w:rsidR="00B7223A" w:rsidRPr="00624207" w:rsidRDefault="00B7223A" w:rsidP="007B6FF1">
            <w:pPr>
              <w:suppressAutoHyphens w:val="0"/>
              <w:spacing w:before="60" w:after="60" w:line="240" w:lineRule="auto"/>
              <w:ind w:left="28" w:right="28"/>
              <w:jc w:val="center"/>
              <w:rPr>
                <w:i/>
                <w:iCs/>
                <w:sz w:val="17"/>
                <w:szCs w:val="17"/>
              </w:rPr>
            </w:pPr>
            <w:r w:rsidRPr="00624207">
              <w:rPr>
                <w:rFonts w:asciiTheme="majorBidi" w:hAnsiTheme="majorBidi"/>
                <w:sz w:val="17"/>
                <w:szCs w:val="17"/>
                <w:u w:val="single"/>
              </w:rPr>
              <w:t>TP2</w:t>
            </w:r>
          </w:p>
        </w:tc>
      </w:tr>
      <w:tr w:rsidR="00B7223A" w:rsidRPr="00624207" w14:paraId="13DF5B54" w14:textId="77777777" w:rsidTr="007B6FF1">
        <w:trPr>
          <w:tblHeader/>
        </w:trPr>
        <w:tc>
          <w:tcPr>
            <w:tcW w:w="498" w:type="dxa"/>
            <w:shd w:val="clear" w:color="auto" w:fill="auto"/>
          </w:tcPr>
          <w:p w14:paraId="75B09406" w14:textId="77777777" w:rsidR="00B7223A" w:rsidRPr="00624207" w:rsidRDefault="00B7223A" w:rsidP="007B6FF1">
            <w:pPr>
              <w:suppressAutoHyphens w:val="0"/>
              <w:spacing w:before="60" w:after="60" w:line="240" w:lineRule="auto"/>
              <w:ind w:left="28" w:right="28"/>
              <w:rPr>
                <w:sz w:val="17"/>
                <w:szCs w:val="17"/>
              </w:rPr>
            </w:pPr>
            <w:r w:rsidRPr="00624207">
              <w:rPr>
                <w:rFonts w:asciiTheme="majorBidi" w:hAnsiTheme="majorBidi"/>
                <w:sz w:val="17"/>
                <w:szCs w:val="17"/>
              </w:rPr>
              <w:t>1835</w:t>
            </w:r>
          </w:p>
        </w:tc>
        <w:tc>
          <w:tcPr>
            <w:tcW w:w="1944" w:type="dxa"/>
            <w:shd w:val="clear" w:color="auto" w:fill="auto"/>
          </w:tcPr>
          <w:p w14:paraId="122B96AE" w14:textId="77777777" w:rsidR="00B7223A" w:rsidRPr="00624207" w:rsidRDefault="00B7223A" w:rsidP="007B6FF1">
            <w:pPr>
              <w:suppressAutoHyphens w:val="0"/>
              <w:spacing w:before="60" w:after="60" w:line="240" w:lineRule="auto"/>
              <w:ind w:left="57" w:right="57"/>
              <w:rPr>
                <w:sz w:val="17"/>
                <w:szCs w:val="17"/>
              </w:rPr>
            </w:pPr>
            <w:r w:rsidRPr="00624207">
              <w:rPr>
                <w:sz w:val="17"/>
                <w:szCs w:val="17"/>
              </w:rPr>
              <w:t xml:space="preserve">HYDROXIDE DE TETRAMETHYLAMMONIUM EN SOLUTION </w:t>
            </w:r>
            <w:r w:rsidRPr="00624207">
              <w:rPr>
                <w:sz w:val="17"/>
                <w:szCs w:val="17"/>
                <w:u w:val="single"/>
              </w:rPr>
              <w:t>AQUEUSE contenant au moins 2,5 % et au plus 25 % d</w:t>
            </w:r>
            <w:r>
              <w:rPr>
                <w:sz w:val="17"/>
                <w:szCs w:val="17"/>
                <w:u w:val="single"/>
              </w:rPr>
              <w:t>’</w:t>
            </w:r>
            <w:r w:rsidRPr="00624207">
              <w:rPr>
                <w:sz w:val="17"/>
                <w:szCs w:val="17"/>
                <w:u w:val="single"/>
              </w:rPr>
              <w:t>hydroxyde de tétraméthylammonium</w:t>
            </w:r>
          </w:p>
        </w:tc>
        <w:tc>
          <w:tcPr>
            <w:tcW w:w="647" w:type="dxa"/>
            <w:shd w:val="clear" w:color="auto" w:fill="auto"/>
          </w:tcPr>
          <w:p w14:paraId="2D40454A" w14:textId="77777777" w:rsidR="00B7223A" w:rsidRPr="00624207" w:rsidRDefault="00B7223A" w:rsidP="007B6FF1">
            <w:pPr>
              <w:suppressAutoHyphens w:val="0"/>
              <w:spacing w:before="60" w:after="60" w:line="240" w:lineRule="auto"/>
              <w:ind w:left="57" w:right="57"/>
              <w:jc w:val="center"/>
              <w:rPr>
                <w:sz w:val="17"/>
                <w:szCs w:val="17"/>
              </w:rPr>
            </w:pPr>
            <w:r w:rsidRPr="00624207">
              <w:rPr>
                <w:rFonts w:asciiTheme="majorBidi" w:hAnsiTheme="majorBidi"/>
                <w:sz w:val="17"/>
                <w:szCs w:val="17"/>
              </w:rPr>
              <w:t>8</w:t>
            </w:r>
          </w:p>
        </w:tc>
        <w:tc>
          <w:tcPr>
            <w:tcW w:w="593" w:type="dxa"/>
            <w:shd w:val="clear" w:color="auto" w:fill="auto"/>
          </w:tcPr>
          <w:p w14:paraId="15AEE494" w14:textId="77777777" w:rsidR="00B7223A" w:rsidRPr="00624207" w:rsidRDefault="00B7223A" w:rsidP="007B6FF1">
            <w:pPr>
              <w:suppressAutoHyphens w:val="0"/>
              <w:spacing w:before="60" w:after="60" w:line="240" w:lineRule="auto"/>
              <w:ind w:left="57" w:right="57"/>
              <w:jc w:val="center"/>
              <w:rPr>
                <w:sz w:val="17"/>
                <w:szCs w:val="17"/>
              </w:rPr>
            </w:pPr>
            <w:r w:rsidRPr="00624207">
              <w:rPr>
                <w:sz w:val="17"/>
                <w:szCs w:val="17"/>
                <w:u w:val="single"/>
              </w:rPr>
              <w:t>6.1</w:t>
            </w:r>
          </w:p>
        </w:tc>
        <w:tc>
          <w:tcPr>
            <w:tcW w:w="849" w:type="dxa"/>
            <w:shd w:val="clear" w:color="auto" w:fill="auto"/>
          </w:tcPr>
          <w:p w14:paraId="7183BA2F" w14:textId="77777777" w:rsidR="00B7223A" w:rsidRPr="00624207" w:rsidRDefault="00B7223A" w:rsidP="007B6FF1">
            <w:pPr>
              <w:suppressAutoHyphens w:val="0"/>
              <w:spacing w:before="60" w:after="60" w:line="240" w:lineRule="auto"/>
              <w:ind w:left="28" w:right="28"/>
              <w:jc w:val="center"/>
              <w:rPr>
                <w:sz w:val="17"/>
                <w:szCs w:val="17"/>
              </w:rPr>
            </w:pPr>
            <w:r w:rsidRPr="00624207">
              <w:rPr>
                <w:rFonts w:asciiTheme="majorBidi" w:hAnsiTheme="majorBidi"/>
                <w:sz w:val="17"/>
                <w:szCs w:val="17"/>
              </w:rPr>
              <w:t>II</w:t>
            </w:r>
          </w:p>
        </w:tc>
        <w:tc>
          <w:tcPr>
            <w:tcW w:w="840" w:type="dxa"/>
            <w:shd w:val="clear" w:color="auto" w:fill="auto"/>
          </w:tcPr>
          <w:p w14:paraId="658A94A8" w14:textId="77777777" w:rsidR="00B7223A" w:rsidRPr="00624207" w:rsidRDefault="00B7223A" w:rsidP="007B6FF1">
            <w:pPr>
              <w:suppressAutoHyphens w:val="0"/>
              <w:spacing w:before="60" w:after="60" w:line="240" w:lineRule="auto"/>
              <w:ind w:left="28" w:right="28"/>
              <w:jc w:val="center"/>
              <w:rPr>
                <w:rFonts w:asciiTheme="majorBidi" w:hAnsiTheme="majorBidi"/>
                <w:sz w:val="17"/>
                <w:szCs w:val="17"/>
                <w:u w:val="single"/>
              </w:rPr>
            </w:pPr>
            <w:r w:rsidRPr="00624207">
              <w:rPr>
                <w:rFonts w:asciiTheme="majorBidi" w:hAnsiTheme="majorBidi"/>
                <w:sz w:val="17"/>
                <w:szCs w:val="17"/>
                <w:u w:val="single"/>
              </w:rPr>
              <w:t>279</w:t>
            </w:r>
          </w:p>
          <w:p w14:paraId="1075ED57" w14:textId="77777777" w:rsidR="00B7223A" w:rsidRPr="00624207" w:rsidRDefault="00B7223A" w:rsidP="007B6FF1">
            <w:pPr>
              <w:suppressAutoHyphens w:val="0"/>
              <w:spacing w:before="60" w:after="60" w:line="240" w:lineRule="auto"/>
              <w:ind w:left="28" w:right="28"/>
              <w:jc w:val="center"/>
              <w:rPr>
                <w:sz w:val="17"/>
                <w:szCs w:val="17"/>
              </w:rPr>
            </w:pPr>
            <w:r w:rsidRPr="00624207">
              <w:rPr>
                <w:sz w:val="17"/>
                <w:szCs w:val="17"/>
                <w:u w:val="single"/>
              </w:rPr>
              <w:t>XXX</w:t>
            </w:r>
          </w:p>
        </w:tc>
        <w:tc>
          <w:tcPr>
            <w:tcW w:w="428" w:type="dxa"/>
            <w:shd w:val="clear" w:color="auto" w:fill="auto"/>
          </w:tcPr>
          <w:p w14:paraId="171EE332" w14:textId="77777777" w:rsidR="00B7223A" w:rsidRPr="00624207" w:rsidRDefault="00B7223A" w:rsidP="007B6FF1">
            <w:pPr>
              <w:suppressAutoHyphens w:val="0"/>
              <w:spacing w:before="60" w:after="60" w:line="240" w:lineRule="auto"/>
              <w:ind w:left="57" w:right="57"/>
              <w:jc w:val="center"/>
              <w:rPr>
                <w:sz w:val="17"/>
                <w:szCs w:val="17"/>
              </w:rPr>
            </w:pPr>
            <w:r w:rsidRPr="00624207">
              <w:rPr>
                <w:rFonts w:asciiTheme="majorBidi" w:hAnsiTheme="majorBidi"/>
                <w:sz w:val="17"/>
                <w:szCs w:val="17"/>
              </w:rPr>
              <w:t xml:space="preserve">1 L </w:t>
            </w:r>
          </w:p>
        </w:tc>
        <w:tc>
          <w:tcPr>
            <w:tcW w:w="394" w:type="dxa"/>
            <w:shd w:val="clear" w:color="auto" w:fill="auto"/>
          </w:tcPr>
          <w:p w14:paraId="16FEBEAC" w14:textId="77777777" w:rsidR="00B7223A" w:rsidRPr="00624207" w:rsidRDefault="00B7223A" w:rsidP="007B6FF1">
            <w:pPr>
              <w:suppressAutoHyphens w:val="0"/>
              <w:spacing w:before="60" w:after="60" w:line="240" w:lineRule="auto"/>
              <w:ind w:left="57" w:right="57"/>
              <w:jc w:val="center"/>
              <w:rPr>
                <w:sz w:val="17"/>
                <w:szCs w:val="17"/>
              </w:rPr>
            </w:pPr>
            <w:r w:rsidRPr="00624207">
              <w:rPr>
                <w:rFonts w:asciiTheme="majorBidi" w:hAnsiTheme="majorBidi"/>
                <w:sz w:val="17"/>
                <w:szCs w:val="17"/>
              </w:rPr>
              <w:t xml:space="preserve">E2 </w:t>
            </w:r>
          </w:p>
        </w:tc>
        <w:tc>
          <w:tcPr>
            <w:tcW w:w="864" w:type="dxa"/>
            <w:shd w:val="clear" w:color="auto" w:fill="auto"/>
          </w:tcPr>
          <w:p w14:paraId="45E5873A" w14:textId="77777777" w:rsidR="00B7223A" w:rsidRPr="00624207" w:rsidRDefault="00B7223A" w:rsidP="007B6FF1">
            <w:pPr>
              <w:kinsoku/>
              <w:overflowPunct/>
              <w:autoSpaceDE/>
              <w:autoSpaceDN/>
              <w:adjustRightInd/>
              <w:snapToGrid/>
              <w:spacing w:before="60" w:after="60" w:line="240" w:lineRule="auto"/>
              <w:ind w:left="57" w:right="57"/>
              <w:jc w:val="center"/>
              <w:rPr>
                <w:i/>
                <w:iCs/>
                <w:spacing w:val="-1"/>
                <w:sz w:val="17"/>
                <w:szCs w:val="17"/>
              </w:rPr>
            </w:pPr>
            <w:r w:rsidRPr="00624207">
              <w:rPr>
                <w:rFonts w:asciiTheme="majorBidi" w:hAnsiTheme="majorBidi"/>
                <w:sz w:val="17"/>
                <w:szCs w:val="17"/>
              </w:rPr>
              <w:t>P001</w:t>
            </w:r>
            <w:r w:rsidRPr="00624207">
              <w:rPr>
                <w:rFonts w:asciiTheme="majorBidi" w:hAnsiTheme="majorBidi"/>
                <w:sz w:val="17"/>
                <w:szCs w:val="17"/>
              </w:rPr>
              <w:br/>
              <w:t>IBC02</w:t>
            </w:r>
          </w:p>
        </w:tc>
        <w:tc>
          <w:tcPr>
            <w:tcW w:w="875" w:type="dxa"/>
            <w:shd w:val="clear" w:color="auto" w:fill="auto"/>
          </w:tcPr>
          <w:p w14:paraId="1181A57F" w14:textId="77777777" w:rsidR="00B7223A" w:rsidRPr="00624207" w:rsidRDefault="00B7223A" w:rsidP="007B6FF1">
            <w:pPr>
              <w:suppressAutoHyphens w:val="0"/>
              <w:spacing w:before="60" w:after="60" w:line="240" w:lineRule="auto"/>
              <w:ind w:left="28" w:right="28"/>
              <w:jc w:val="center"/>
              <w:rPr>
                <w:i/>
                <w:iCs/>
                <w:sz w:val="17"/>
                <w:szCs w:val="17"/>
              </w:rPr>
            </w:pPr>
          </w:p>
        </w:tc>
        <w:tc>
          <w:tcPr>
            <w:tcW w:w="838" w:type="dxa"/>
            <w:shd w:val="clear" w:color="auto" w:fill="auto"/>
          </w:tcPr>
          <w:p w14:paraId="35B6C26B" w14:textId="77777777" w:rsidR="00B7223A" w:rsidRPr="00624207" w:rsidRDefault="00B7223A" w:rsidP="007B6FF1">
            <w:pPr>
              <w:suppressAutoHyphens w:val="0"/>
              <w:spacing w:before="60" w:after="60" w:line="240" w:lineRule="auto"/>
              <w:ind w:left="28" w:right="28"/>
              <w:jc w:val="center"/>
              <w:rPr>
                <w:i/>
                <w:iCs/>
                <w:sz w:val="17"/>
                <w:szCs w:val="17"/>
              </w:rPr>
            </w:pPr>
            <w:r w:rsidRPr="00624207">
              <w:rPr>
                <w:rFonts w:asciiTheme="majorBidi" w:hAnsiTheme="majorBidi"/>
                <w:sz w:val="17"/>
                <w:szCs w:val="17"/>
              </w:rPr>
              <w:t>T7</w:t>
            </w:r>
          </w:p>
        </w:tc>
        <w:tc>
          <w:tcPr>
            <w:tcW w:w="873" w:type="dxa"/>
            <w:shd w:val="clear" w:color="auto" w:fill="auto"/>
          </w:tcPr>
          <w:p w14:paraId="3F4D4F13" w14:textId="77777777" w:rsidR="00B7223A" w:rsidRPr="00624207" w:rsidRDefault="00B7223A" w:rsidP="007B6FF1">
            <w:pPr>
              <w:suppressAutoHyphens w:val="0"/>
              <w:spacing w:before="60" w:after="60" w:line="240" w:lineRule="auto"/>
              <w:ind w:left="28" w:right="28"/>
              <w:jc w:val="center"/>
              <w:rPr>
                <w:i/>
                <w:iCs/>
                <w:sz w:val="17"/>
                <w:szCs w:val="17"/>
              </w:rPr>
            </w:pPr>
            <w:r w:rsidRPr="00624207">
              <w:rPr>
                <w:rFonts w:asciiTheme="majorBidi" w:hAnsiTheme="majorBidi"/>
                <w:sz w:val="17"/>
                <w:szCs w:val="17"/>
              </w:rPr>
              <w:t>TP2</w:t>
            </w:r>
          </w:p>
        </w:tc>
      </w:tr>
      <w:tr w:rsidR="00B7223A" w:rsidRPr="00624207" w14:paraId="17BA8755" w14:textId="77777777" w:rsidTr="007B6FF1">
        <w:trPr>
          <w:tblHeader/>
        </w:trPr>
        <w:tc>
          <w:tcPr>
            <w:tcW w:w="498" w:type="dxa"/>
            <w:shd w:val="clear" w:color="auto" w:fill="auto"/>
          </w:tcPr>
          <w:p w14:paraId="7ABF6DAB" w14:textId="77777777" w:rsidR="00B7223A" w:rsidRPr="00624207" w:rsidRDefault="00B7223A" w:rsidP="007B6FF1">
            <w:pPr>
              <w:suppressAutoHyphens w:val="0"/>
              <w:spacing w:before="60" w:after="60" w:line="240" w:lineRule="auto"/>
              <w:ind w:left="28" w:right="28"/>
              <w:rPr>
                <w:sz w:val="17"/>
                <w:szCs w:val="17"/>
              </w:rPr>
            </w:pPr>
            <w:r w:rsidRPr="00624207">
              <w:rPr>
                <w:rFonts w:asciiTheme="majorBidi" w:hAnsiTheme="majorBidi"/>
                <w:sz w:val="17"/>
                <w:szCs w:val="17"/>
              </w:rPr>
              <w:t>1835</w:t>
            </w:r>
          </w:p>
        </w:tc>
        <w:tc>
          <w:tcPr>
            <w:tcW w:w="1944" w:type="dxa"/>
            <w:shd w:val="clear" w:color="auto" w:fill="auto"/>
          </w:tcPr>
          <w:p w14:paraId="1CDF3641" w14:textId="77777777" w:rsidR="00B7223A" w:rsidRPr="00624207" w:rsidRDefault="00B7223A" w:rsidP="007B6FF1">
            <w:pPr>
              <w:suppressAutoHyphens w:val="0"/>
              <w:spacing w:before="60" w:after="60" w:line="240" w:lineRule="auto"/>
              <w:ind w:left="57" w:right="57"/>
              <w:rPr>
                <w:sz w:val="17"/>
                <w:szCs w:val="17"/>
              </w:rPr>
            </w:pPr>
            <w:r w:rsidRPr="00624207">
              <w:rPr>
                <w:sz w:val="17"/>
                <w:szCs w:val="17"/>
              </w:rPr>
              <w:t xml:space="preserve">HYDROXYDE DE TETRAMETHYLAMMONIUM EN SOLUTION </w:t>
            </w:r>
            <w:r w:rsidRPr="00624207">
              <w:rPr>
                <w:sz w:val="17"/>
                <w:szCs w:val="17"/>
                <w:u w:val="single"/>
              </w:rPr>
              <w:t>AQUEUSE contenant moins de 2,5 % d</w:t>
            </w:r>
            <w:r>
              <w:rPr>
                <w:sz w:val="17"/>
                <w:szCs w:val="17"/>
                <w:u w:val="single"/>
              </w:rPr>
              <w:t>’</w:t>
            </w:r>
            <w:r w:rsidRPr="00624207">
              <w:rPr>
                <w:sz w:val="17"/>
                <w:szCs w:val="17"/>
                <w:u w:val="single"/>
              </w:rPr>
              <w:t>hydroxyde de tétraméthylammonium</w:t>
            </w:r>
          </w:p>
        </w:tc>
        <w:tc>
          <w:tcPr>
            <w:tcW w:w="647" w:type="dxa"/>
            <w:shd w:val="clear" w:color="auto" w:fill="auto"/>
          </w:tcPr>
          <w:p w14:paraId="3A311C47" w14:textId="77777777" w:rsidR="00B7223A" w:rsidRPr="00624207" w:rsidRDefault="00B7223A" w:rsidP="007B6FF1">
            <w:pPr>
              <w:suppressAutoHyphens w:val="0"/>
              <w:spacing w:before="60" w:after="60" w:line="240" w:lineRule="auto"/>
              <w:ind w:left="57" w:right="57"/>
              <w:jc w:val="center"/>
              <w:rPr>
                <w:sz w:val="17"/>
                <w:szCs w:val="17"/>
              </w:rPr>
            </w:pPr>
            <w:r w:rsidRPr="00624207">
              <w:rPr>
                <w:rFonts w:asciiTheme="majorBidi" w:hAnsiTheme="majorBidi"/>
                <w:sz w:val="17"/>
                <w:szCs w:val="17"/>
              </w:rPr>
              <w:t>8</w:t>
            </w:r>
          </w:p>
        </w:tc>
        <w:tc>
          <w:tcPr>
            <w:tcW w:w="593" w:type="dxa"/>
            <w:shd w:val="clear" w:color="auto" w:fill="auto"/>
          </w:tcPr>
          <w:p w14:paraId="0916A045" w14:textId="77777777" w:rsidR="00B7223A" w:rsidRPr="00624207" w:rsidRDefault="00B7223A" w:rsidP="007B6FF1">
            <w:pPr>
              <w:suppressAutoHyphens w:val="0"/>
              <w:spacing w:before="60" w:after="60" w:line="240" w:lineRule="auto"/>
              <w:ind w:left="57" w:right="57"/>
              <w:jc w:val="center"/>
              <w:rPr>
                <w:sz w:val="17"/>
                <w:szCs w:val="17"/>
              </w:rPr>
            </w:pPr>
          </w:p>
        </w:tc>
        <w:tc>
          <w:tcPr>
            <w:tcW w:w="849" w:type="dxa"/>
            <w:shd w:val="clear" w:color="auto" w:fill="auto"/>
          </w:tcPr>
          <w:p w14:paraId="440F2DB0" w14:textId="77777777" w:rsidR="00B7223A" w:rsidRPr="00624207" w:rsidRDefault="00B7223A" w:rsidP="007B6FF1">
            <w:pPr>
              <w:suppressAutoHyphens w:val="0"/>
              <w:spacing w:before="60" w:after="60" w:line="240" w:lineRule="auto"/>
              <w:ind w:left="28" w:right="28"/>
              <w:jc w:val="center"/>
              <w:rPr>
                <w:sz w:val="17"/>
                <w:szCs w:val="17"/>
              </w:rPr>
            </w:pPr>
            <w:r w:rsidRPr="00624207">
              <w:rPr>
                <w:rFonts w:asciiTheme="majorBidi" w:hAnsiTheme="majorBidi"/>
                <w:sz w:val="17"/>
                <w:szCs w:val="17"/>
              </w:rPr>
              <w:t>III</w:t>
            </w:r>
          </w:p>
        </w:tc>
        <w:tc>
          <w:tcPr>
            <w:tcW w:w="840" w:type="dxa"/>
            <w:shd w:val="clear" w:color="auto" w:fill="auto"/>
          </w:tcPr>
          <w:p w14:paraId="1558A2BD" w14:textId="77777777" w:rsidR="00B7223A" w:rsidRPr="00624207" w:rsidRDefault="00B7223A" w:rsidP="007B6FF1">
            <w:pPr>
              <w:suppressAutoHyphens w:val="0"/>
              <w:spacing w:before="60" w:after="60" w:line="240" w:lineRule="auto"/>
              <w:ind w:left="28" w:right="28"/>
              <w:jc w:val="center"/>
              <w:rPr>
                <w:sz w:val="17"/>
                <w:szCs w:val="17"/>
                <w:u w:val="single"/>
              </w:rPr>
            </w:pPr>
            <w:r w:rsidRPr="00624207">
              <w:rPr>
                <w:sz w:val="17"/>
                <w:szCs w:val="17"/>
                <w:u w:val="single"/>
              </w:rPr>
              <w:t>279</w:t>
            </w:r>
          </w:p>
          <w:p w14:paraId="0467F26C" w14:textId="77777777" w:rsidR="00B7223A" w:rsidRPr="00624207" w:rsidRDefault="00B7223A" w:rsidP="007B6FF1">
            <w:pPr>
              <w:suppressAutoHyphens w:val="0"/>
              <w:spacing w:before="60" w:after="60" w:line="240" w:lineRule="auto"/>
              <w:ind w:left="28" w:right="28"/>
              <w:jc w:val="center"/>
              <w:rPr>
                <w:sz w:val="17"/>
                <w:szCs w:val="17"/>
              </w:rPr>
            </w:pPr>
            <w:r w:rsidRPr="00624207">
              <w:rPr>
                <w:sz w:val="17"/>
                <w:szCs w:val="17"/>
              </w:rPr>
              <w:t>223</w:t>
            </w:r>
          </w:p>
          <w:p w14:paraId="22CBD0D5" w14:textId="77777777" w:rsidR="00B7223A" w:rsidRPr="00624207" w:rsidRDefault="00B7223A" w:rsidP="007B6FF1">
            <w:pPr>
              <w:suppressAutoHyphens w:val="0"/>
              <w:spacing w:before="60" w:after="60" w:line="240" w:lineRule="auto"/>
              <w:ind w:left="28" w:right="28"/>
              <w:jc w:val="center"/>
              <w:rPr>
                <w:sz w:val="17"/>
                <w:szCs w:val="17"/>
                <w:u w:val="single"/>
              </w:rPr>
            </w:pPr>
            <w:r w:rsidRPr="00624207">
              <w:rPr>
                <w:sz w:val="17"/>
                <w:szCs w:val="17"/>
                <w:u w:val="single"/>
              </w:rPr>
              <w:t>XXX</w:t>
            </w:r>
          </w:p>
        </w:tc>
        <w:tc>
          <w:tcPr>
            <w:tcW w:w="428" w:type="dxa"/>
            <w:shd w:val="clear" w:color="auto" w:fill="auto"/>
          </w:tcPr>
          <w:p w14:paraId="00174CAE" w14:textId="77777777" w:rsidR="00B7223A" w:rsidRPr="00624207" w:rsidRDefault="00B7223A" w:rsidP="007B6FF1">
            <w:pPr>
              <w:suppressAutoHyphens w:val="0"/>
              <w:spacing w:before="60" w:after="60" w:line="240" w:lineRule="auto"/>
              <w:ind w:left="57" w:right="57"/>
              <w:jc w:val="center"/>
              <w:rPr>
                <w:sz w:val="17"/>
                <w:szCs w:val="17"/>
              </w:rPr>
            </w:pPr>
            <w:r w:rsidRPr="00624207">
              <w:rPr>
                <w:rFonts w:asciiTheme="majorBidi" w:hAnsiTheme="majorBidi"/>
                <w:sz w:val="17"/>
                <w:szCs w:val="17"/>
              </w:rPr>
              <w:t>5 L</w:t>
            </w:r>
          </w:p>
        </w:tc>
        <w:tc>
          <w:tcPr>
            <w:tcW w:w="394" w:type="dxa"/>
            <w:shd w:val="clear" w:color="auto" w:fill="auto"/>
          </w:tcPr>
          <w:p w14:paraId="18E565C3" w14:textId="77777777" w:rsidR="00B7223A" w:rsidRPr="00624207" w:rsidRDefault="00B7223A" w:rsidP="007B6FF1">
            <w:pPr>
              <w:suppressAutoHyphens w:val="0"/>
              <w:spacing w:before="60" w:after="60" w:line="240" w:lineRule="auto"/>
              <w:ind w:left="57" w:right="57"/>
              <w:jc w:val="center"/>
              <w:rPr>
                <w:sz w:val="17"/>
                <w:szCs w:val="17"/>
              </w:rPr>
            </w:pPr>
            <w:r w:rsidRPr="00624207">
              <w:rPr>
                <w:rFonts w:asciiTheme="majorBidi" w:hAnsiTheme="majorBidi"/>
                <w:sz w:val="17"/>
                <w:szCs w:val="17"/>
              </w:rPr>
              <w:t>E1</w:t>
            </w:r>
          </w:p>
        </w:tc>
        <w:tc>
          <w:tcPr>
            <w:tcW w:w="864" w:type="dxa"/>
            <w:shd w:val="clear" w:color="auto" w:fill="auto"/>
          </w:tcPr>
          <w:p w14:paraId="337DA64F" w14:textId="77777777" w:rsidR="00B7223A" w:rsidRPr="00624207" w:rsidRDefault="00B7223A" w:rsidP="007B6FF1">
            <w:pPr>
              <w:kinsoku/>
              <w:overflowPunct/>
              <w:autoSpaceDE/>
              <w:autoSpaceDN/>
              <w:adjustRightInd/>
              <w:snapToGrid/>
              <w:spacing w:before="60" w:after="60" w:line="240" w:lineRule="auto"/>
              <w:ind w:left="57" w:right="57"/>
              <w:jc w:val="center"/>
              <w:rPr>
                <w:i/>
                <w:iCs/>
                <w:spacing w:val="-1"/>
                <w:sz w:val="17"/>
                <w:szCs w:val="17"/>
              </w:rPr>
            </w:pPr>
            <w:r w:rsidRPr="00624207">
              <w:rPr>
                <w:rFonts w:asciiTheme="majorBidi" w:hAnsiTheme="majorBidi"/>
                <w:sz w:val="17"/>
                <w:szCs w:val="17"/>
              </w:rPr>
              <w:t>P001</w:t>
            </w:r>
            <w:r w:rsidRPr="00624207">
              <w:rPr>
                <w:rFonts w:asciiTheme="majorBidi" w:hAnsiTheme="majorBidi"/>
                <w:sz w:val="17"/>
                <w:szCs w:val="17"/>
              </w:rPr>
              <w:br/>
              <w:t>IBC03</w:t>
            </w:r>
            <w:r w:rsidRPr="00624207">
              <w:rPr>
                <w:rFonts w:asciiTheme="majorBidi" w:hAnsiTheme="majorBidi"/>
                <w:sz w:val="17"/>
                <w:szCs w:val="17"/>
              </w:rPr>
              <w:br/>
              <w:t>LP01</w:t>
            </w:r>
          </w:p>
        </w:tc>
        <w:tc>
          <w:tcPr>
            <w:tcW w:w="875" w:type="dxa"/>
            <w:shd w:val="clear" w:color="auto" w:fill="auto"/>
          </w:tcPr>
          <w:p w14:paraId="7661FC3B" w14:textId="77777777" w:rsidR="00B7223A" w:rsidRPr="00624207" w:rsidRDefault="00B7223A" w:rsidP="007B6FF1">
            <w:pPr>
              <w:suppressAutoHyphens w:val="0"/>
              <w:spacing w:before="60" w:after="60" w:line="240" w:lineRule="auto"/>
              <w:ind w:left="28" w:right="28"/>
              <w:jc w:val="center"/>
              <w:rPr>
                <w:i/>
                <w:iCs/>
                <w:sz w:val="17"/>
                <w:szCs w:val="17"/>
              </w:rPr>
            </w:pPr>
          </w:p>
        </w:tc>
        <w:tc>
          <w:tcPr>
            <w:tcW w:w="838" w:type="dxa"/>
            <w:shd w:val="clear" w:color="auto" w:fill="auto"/>
          </w:tcPr>
          <w:p w14:paraId="281661C4" w14:textId="77777777" w:rsidR="00B7223A" w:rsidRPr="00624207" w:rsidRDefault="00B7223A" w:rsidP="007B6FF1">
            <w:pPr>
              <w:suppressAutoHyphens w:val="0"/>
              <w:spacing w:before="60" w:after="60" w:line="240" w:lineRule="auto"/>
              <w:ind w:left="28" w:right="28"/>
              <w:jc w:val="center"/>
              <w:rPr>
                <w:i/>
                <w:iCs/>
                <w:sz w:val="17"/>
                <w:szCs w:val="17"/>
              </w:rPr>
            </w:pPr>
            <w:r w:rsidRPr="00624207">
              <w:rPr>
                <w:rFonts w:asciiTheme="majorBidi" w:hAnsiTheme="majorBidi"/>
                <w:sz w:val="17"/>
                <w:szCs w:val="17"/>
              </w:rPr>
              <w:t>T7</w:t>
            </w:r>
          </w:p>
        </w:tc>
        <w:tc>
          <w:tcPr>
            <w:tcW w:w="873" w:type="dxa"/>
            <w:shd w:val="clear" w:color="auto" w:fill="auto"/>
          </w:tcPr>
          <w:p w14:paraId="7DB15944" w14:textId="77777777" w:rsidR="00B7223A" w:rsidRPr="00624207" w:rsidRDefault="00B7223A" w:rsidP="007B6FF1">
            <w:pPr>
              <w:suppressAutoHyphens w:val="0"/>
              <w:spacing w:before="60" w:after="60" w:line="240" w:lineRule="auto"/>
              <w:ind w:left="28" w:right="28"/>
              <w:jc w:val="center"/>
              <w:rPr>
                <w:i/>
                <w:iCs/>
                <w:sz w:val="17"/>
                <w:szCs w:val="17"/>
              </w:rPr>
            </w:pPr>
            <w:r w:rsidRPr="00624207">
              <w:rPr>
                <w:rFonts w:asciiTheme="majorBidi" w:hAnsiTheme="majorBidi"/>
                <w:sz w:val="17"/>
                <w:szCs w:val="17"/>
              </w:rPr>
              <w:t>TP2</w:t>
            </w:r>
          </w:p>
        </w:tc>
      </w:tr>
    </w:tbl>
    <w:p w14:paraId="1B83301A" w14:textId="77777777" w:rsidR="00B3230C" w:rsidRDefault="00B3230C" w:rsidP="00AC3823"/>
    <w:p w14:paraId="0A5C41F5" w14:textId="77777777" w:rsidR="00B3230C" w:rsidRDefault="00B3230C">
      <w:pPr>
        <w:suppressAutoHyphens w:val="0"/>
        <w:kinsoku/>
        <w:overflowPunct/>
        <w:autoSpaceDE/>
        <w:autoSpaceDN/>
        <w:adjustRightInd/>
        <w:snapToGrid/>
        <w:spacing w:after="200" w:line="276" w:lineRule="auto"/>
      </w:pPr>
      <w:r>
        <w:br w:type="page"/>
      </w:r>
    </w:p>
    <w:p w14:paraId="196BC07B" w14:textId="47FCFE5D" w:rsidR="00B3230C" w:rsidRPr="00930966" w:rsidRDefault="00B3230C" w:rsidP="00B7223A">
      <w:pPr>
        <w:pStyle w:val="HChG"/>
        <w:tabs>
          <w:tab w:val="left" w:pos="6804"/>
        </w:tabs>
        <w:rPr>
          <w:b w:val="0"/>
          <w:bCs/>
          <w:lang w:val="en-US"/>
        </w:rPr>
      </w:pPr>
      <w:r>
        <w:rPr>
          <w:lang w:val="en-US"/>
        </w:rPr>
        <w:lastRenderedPageBreak/>
        <w:t>Annexe I</w:t>
      </w:r>
      <w:r>
        <w:rPr>
          <w:lang w:val="en-US"/>
        </w:rPr>
        <w:tab/>
      </w:r>
      <w:r>
        <w:rPr>
          <w:lang w:val="en-US"/>
        </w:rPr>
        <w:tab/>
      </w:r>
      <w:r w:rsidRPr="007E6643">
        <w:rPr>
          <w:b w:val="0"/>
          <w:bCs/>
          <w:sz w:val="20"/>
          <w:lang w:val="en-US"/>
        </w:rPr>
        <w:t>[</w:t>
      </w:r>
      <w:r w:rsidRPr="007E6643">
        <w:rPr>
          <w:b w:val="0"/>
          <w:bCs/>
          <w:i/>
          <w:iCs/>
          <w:sz w:val="20"/>
          <w:lang w:val="en-US"/>
        </w:rPr>
        <w:t>Anglais seulement</w:t>
      </w:r>
      <w:r w:rsidRPr="007E6643">
        <w:rPr>
          <w:b w:val="0"/>
          <w:bCs/>
          <w:sz w:val="20"/>
          <w:lang w:val="en-US"/>
        </w:rPr>
        <w:t>]</w:t>
      </w:r>
    </w:p>
    <w:p w14:paraId="55C3F63D" w14:textId="77777777" w:rsidR="00B3230C" w:rsidRPr="00B3230C" w:rsidRDefault="00B3230C" w:rsidP="00B3230C">
      <w:pPr>
        <w:rPr>
          <w:lang w:val="en-US"/>
        </w:rPr>
      </w:pPr>
    </w:p>
    <w:p w14:paraId="59CA6DE8" w14:textId="77777777" w:rsidR="00B3230C" w:rsidRPr="00B3230C" w:rsidRDefault="00B3230C" w:rsidP="00B3230C">
      <w:pPr>
        <w:rPr>
          <w:lang w:val="en-US"/>
        </w:rPr>
      </w:pPr>
    </w:p>
    <w:p w14:paraId="45E73EC3" w14:textId="77777777" w:rsidR="00B3230C" w:rsidRPr="00B3230C" w:rsidRDefault="00B3230C" w:rsidP="00B3230C">
      <w:pPr>
        <w:rPr>
          <w:lang w:val="en-US"/>
        </w:rPr>
      </w:pPr>
    </w:p>
    <w:p w14:paraId="535FA4BE" w14:textId="77777777" w:rsidR="00B3230C" w:rsidRPr="00B3230C" w:rsidRDefault="00B3230C" w:rsidP="00B3230C">
      <w:pPr>
        <w:rPr>
          <w:lang w:val="en-US"/>
        </w:rPr>
      </w:pPr>
    </w:p>
    <w:p w14:paraId="173FE810" w14:textId="77777777" w:rsidR="00B3230C" w:rsidRPr="00B3230C" w:rsidRDefault="00B3230C" w:rsidP="00B3230C">
      <w:pPr>
        <w:rPr>
          <w:lang w:val="en-US"/>
        </w:rPr>
      </w:pPr>
    </w:p>
    <w:p w14:paraId="09B67BE4" w14:textId="77777777" w:rsidR="00B3230C" w:rsidRPr="00B3230C" w:rsidRDefault="00B3230C" w:rsidP="00B3230C">
      <w:pPr>
        <w:rPr>
          <w:lang w:val="en-US"/>
        </w:rPr>
      </w:pPr>
    </w:p>
    <w:p w14:paraId="38BB97A5" w14:textId="77777777" w:rsidR="00B3230C" w:rsidRPr="00B3230C" w:rsidRDefault="00B3230C" w:rsidP="00B3230C">
      <w:pPr>
        <w:rPr>
          <w:lang w:val="en-US"/>
        </w:rPr>
      </w:pPr>
    </w:p>
    <w:p w14:paraId="0FB5692A" w14:textId="77777777" w:rsidR="00B3230C" w:rsidRPr="00B3230C" w:rsidRDefault="00B3230C" w:rsidP="00B3230C">
      <w:pPr>
        <w:rPr>
          <w:lang w:val="en-US"/>
        </w:rPr>
      </w:pPr>
    </w:p>
    <w:p w14:paraId="3D902A07" w14:textId="77777777" w:rsidR="00B3230C" w:rsidRPr="00B3230C" w:rsidRDefault="00B3230C" w:rsidP="00B3230C">
      <w:pPr>
        <w:rPr>
          <w:lang w:val="en-US"/>
        </w:rPr>
      </w:pPr>
    </w:p>
    <w:p w14:paraId="5EA92A1B" w14:textId="77777777" w:rsidR="00B3230C" w:rsidRPr="00B3230C" w:rsidRDefault="00B3230C" w:rsidP="00B3230C">
      <w:pPr>
        <w:rPr>
          <w:lang w:val="en-US"/>
        </w:rPr>
      </w:pPr>
    </w:p>
    <w:p w14:paraId="1AC1264D" w14:textId="77777777" w:rsidR="00B3230C" w:rsidRPr="00B3230C" w:rsidRDefault="00B3230C" w:rsidP="00B3230C">
      <w:pPr>
        <w:rPr>
          <w:lang w:val="en-US"/>
        </w:rPr>
      </w:pPr>
    </w:p>
    <w:p w14:paraId="7EE71F4D" w14:textId="77777777" w:rsidR="00B3230C" w:rsidRPr="00B3230C" w:rsidRDefault="00B3230C" w:rsidP="00B3230C">
      <w:pPr>
        <w:rPr>
          <w:lang w:val="en-US"/>
        </w:rPr>
      </w:pPr>
    </w:p>
    <w:p w14:paraId="03A8CA2F" w14:textId="77777777" w:rsidR="00B3230C" w:rsidRPr="00B3230C" w:rsidRDefault="00B3230C" w:rsidP="00B3230C">
      <w:pPr>
        <w:rPr>
          <w:lang w:val="en-US"/>
        </w:rPr>
      </w:pPr>
    </w:p>
    <w:p w14:paraId="7D610E44" w14:textId="77777777" w:rsidR="00B3230C" w:rsidRPr="00B3230C" w:rsidRDefault="00B3230C" w:rsidP="00B3230C">
      <w:pPr>
        <w:rPr>
          <w:lang w:val="en-US"/>
        </w:rPr>
      </w:pPr>
    </w:p>
    <w:p w14:paraId="0F6D3274" w14:textId="77777777" w:rsidR="00B3230C" w:rsidRPr="00B3230C" w:rsidRDefault="00B3230C" w:rsidP="00B3230C">
      <w:pPr>
        <w:rPr>
          <w:lang w:val="en-US"/>
        </w:rPr>
      </w:pPr>
    </w:p>
    <w:p w14:paraId="6B354768" w14:textId="77777777" w:rsidR="00B3230C" w:rsidRPr="00B3230C" w:rsidRDefault="00B3230C" w:rsidP="00B3230C">
      <w:pPr>
        <w:rPr>
          <w:lang w:val="en-US"/>
        </w:rPr>
      </w:pPr>
    </w:p>
    <w:p w14:paraId="7601549E" w14:textId="77777777" w:rsidR="00B3230C" w:rsidRPr="00B3230C" w:rsidRDefault="00B3230C" w:rsidP="00B3230C">
      <w:pPr>
        <w:rPr>
          <w:lang w:val="en-US"/>
        </w:rPr>
      </w:pPr>
    </w:p>
    <w:p w14:paraId="2C182AB5" w14:textId="77777777" w:rsidR="00B3230C" w:rsidRPr="00B3230C" w:rsidRDefault="00B3230C" w:rsidP="00B3230C">
      <w:pPr>
        <w:rPr>
          <w:lang w:val="en-US"/>
        </w:rPr>
      </w:pPr>
    </w:p>
    <w:p w14:paraId="362B3E97" w14:textId="77777777" w:rsidR="00B3230C" w:rsidRPr="00B3230C" w:rsidRDefault="00B3230C" w:rsidP="00B3230C">
      <w:pPr>
        <w:rPr>
          <w:lang w:val="en-US"/>
        </w:rPr>
      </w:pPr>
    </w:p>
    <w:p w14:paraId="340D02B8" w14:textId="77777777" w:rsidR="00B3230C" w:rsidRPr="00B3230C" w:rsidRDefault="00B3230C" w:rsidP="00B3230C">
      <w:pPr>
        <w:rPr>
          <w:lang w:val="en-US"/>
        </w:rPr>
      </w:pPr>
    </w:p>
    <w:p w14:paraId="722E1AD7" w14:textId="77777777" w:rsidR="00B3230C" w:rsidRPr="00B3230C" w:rsidRDefault="00B3230C" w:rsidP="00B3230C">
      <w:pPr>
        <w:jc w:val="center"/>
        <w:rPr>
          <w:b/>
          <w:bCs/>
          <w:sz w:val="28"/>
          <w:szCs w:val="28"/>
          <w:lang w:val="en-US"/>
        </w:rPr>
      </w:pPr>
      <w:r w:rsidRPr="00B3230C">
        <w:rPr>
          <w:b/>
          <w:bCs/>
          <w:sz w:val="28"/>
          <w:szCs w:val="28"/>
          <w:lang w:val="en-US"/>
        </w:rPr>
        <w:t>REPORT ON PACKING GROUP ASSIGNMENT</w:t>
      </w:r>
    </w:p>
    <w:p w14:paraId="6DC8ADAD" w14:textId="77777777" w:rsidR="00B3230C" w:rsidRPr="00B3230C" w:rsidRDefault="00B3230C" w:rsidP="00B3230C">
      <w:pPr>
        <w:jc w:val="center"/>
        <w:rPr>
          <w:b/>
          <w:bCs/>
          <w:sz w:val="28"/>
          <w:szCs w:val="28"/>
          <w:lang w:val="en-US"/>
        </w:rPr>
      </w:pPr>
      <w:r w:rsidRPr="00B3230C">
        <w:rPr>
          <w:b/>
          <w:bCs/>
          <w:sz w:val="28"/>
          <w:szCs w:val="28"/>
          <w:lang w:val="en-US"/>
        </w:rPr>
        <w:t>UNDER UN TDG FOR TETRAMETHYLAMMONIUM HYDROXIDE</w:t>
      </w:r>
    </w:p>
    <w:p w14:paraId="46BBC48D" w14:textId="77777777" w:rsidR="00B3230C" w:rsidRPr="00B3230C" w:rsidRDefault="00B3230C" w:rsidP="00B3230C">
      <w:pPr>
        <w:rPr>
          <w:lang w:val="en-US"/>
        </w:rPr>
      </w:pPr>
    </w:p>
    <w:p w14:paraId="2C70350F" w14:textId="77777777" w:rsidR="00B3230C" w:rsidRPr="00B3230C" w:rsidRDefault="00B3230C" w:rsidP="00B3230C">
      <w:pPr>
        <w:rPr>
          <w:lang w:val="en-US"/>
        </w:rPr>
      </w:pPr>
    </w:p>
    <w:p w14:paraId="67B04023" w14:textId="77777777" w:rsidR="00B3230C" w:rsidRPr="00B3230C" w:rsidRDefault="00B3230C" w:rsidP="00B3230C">
      <w:pPr>
        <w:rPr>
          <w:lang w:val="en-US"/>
        </w:rPr>
      </w:pPr>
    </w:p>
    <w:p w14:paraId="6F9967B0" w14:textId="77777777" w:rsidR="00B3230C" w:rsidRPr="00B3230C" w:rsidRDefault="00B3230C" w:rsidP="00B3230C">
      <w:pPr>
        <w:rPr>
          <w:lang w:val="en-US"/>
        </w:rPr>
      </w:pPr>
    </w:p>
    <w:p w14:paraId="6B2BB722" w14:textId="77777777" w:rsidR="00B3230C" w:rsidRPr="00B3230C" w:rsidRDefault="00B3230C" w:rsidP="00B3230C">
      <w:pPr>
        <w:rPr>
          <w:lang w:val="en-US"/>
        </w:rPr>
      </w:pPr>
    </w:p>
    <w:p w14:paraId="071D7849" w14:textId="77777777" w:rsidR="00B3230C" w:rsidRPr="00B3230C" w:rsidRDefault="00B3230C" w:rsidP="00B3230C">
      <w:pPr>
        <w:rPr>
          <w:lang w:val="en-US"/>
        </w:rPr>
      </w:pPr>
    </w:p>
    <w:p w14:paraId="109C2F69" w14:textId="77777777" w:rsidR="00B3230C" w:rsidRPr="00B3230C" w:rsidRDefault="00B3230C" w:rsidP="00B3230C">
      <w:pPr>
        <w:rPr>
          <w:lang w:val="en-US"/>
        </w:rPr>
      </w:pPr>
    </w:p>
    <w:p w14:paraId="52D38D09" w14:textId="77777777" w:rsidR="00B3230C" w:rsidRPr="00B3230C" w:rsidRDefault="00B3230C" w:rsidP="00B3230C">
      <w:pPr>
        <w:rPr>
          <w:lang w:val="en-US"/>
        </w:rPr>
      </w:pPr>
    </w:p>
    <w:p w14:paraId="18D66D76" w14:textId="77777777" w:rsidR="00B3230C" w:rsidRPr="00B3230C" w:rsidRDefault="00B3230C" w:rsidP="00B3230C">
      <w:pPr>
        <w:rPr>
          <w:lang w:val="en-US"/>
        </w:rPr>
      </w:pPr>
    </w:p>
    <w:p w14:paraId="7531FD83" w14:textId="77777777" w:rsidR="00B3230C" w:rsidRPr="00B3230C" w:rsidRDefault="00B3230C" w:rsidP="00B3230C">
      <w:pPr>
        <w:rPr>
          <w:lang w:val="en-US"/>
        </w:rPr>
      </w:pPr>
    </w:p>
    <w:p w14:paraId="19D78CE5" w14:textId="77777777" w:rsidR="00B3230C" w:rsidRPr="00B3230C" w:rsidRDefault="00B3230C" w:rsidP="00B3230C">
      <w:pPr>
        <w:rPr>
          <w:lang w:val="en-US"/>
        </w:rPr>
      </w:pPr>
    </w:p>
    <w:p w14:paraId="7D44DBDE" w14:textId="77777777" w:rsidR="00B3230C" w:rsidRPr="00B3230C" w:rsidRDefault="00B3230C" w:rsidP="00B3230C">
      <w:pPr>
        <w:rPr>
          <w:lang w:val="en-US"/>
        </w:rPr>
      </w:pPr>
    </w:p>
    <w:p w14:paraId="55B3DA12" w14:textId="77777777" w:rsidR="00B3230C" w:rsidRPr="00B3230C" w:rsidRDefault="00B3230C" w:rsidP="00B3230C">
      <w:pPr>
        <w:rPr>
          <w:lang w:val="en-US"/>
        </w:rPr>
      </w:pPr>
    </w:p>
    <w:p w14:paraId="6FC1B948" w14:textId="77777777" w:rsidR="00B3230C" w:rsidRPr="00B3230C" w:rsidRDefault="00B3230C" w:rsidP="00B3230C">
      <w:pPr>
        <w:rPr>
          <w:lang w:val="en-US"/>
        </w:rPr>
      </w:pPr>
    </w:p>
    <w:p w14:paraId="75EDE9B4" w14:textId="77777777" w:rsidR="00B3230C" w:rsidRPr="00B3230C" w:rsidRDefault="00B3230C" w:rsidP="00B3230C">
      <w:pPr>
        <w:rPr>
          <w:lang w:val="en-US"/>
        </w:rPr>
      </w:pPr>
    </w:p>
    <w:p w14:paraId="432B839E" w14:textId="77777777" w:rsidR="00B3230C" w:rsidRPr="00B3230C" w:rsidRDefault="00B3230C" w:rsidP="00B3230C">
      <w:pPr>
        <w:rPr>
          <w:lang w:val="en-US"/>
        </w:rPr>
      </w:pPr>
    </w:p>
    <w:p w14:paraId="77652D85" w14:textId="77777777" w:rsidR="00B3230C" w:rsidRPr="00B3230C" w:rsidRDefault="00B3230C" w:rsidP="00B3230C">
      <w:pPr>
        <w:rPr>
          <w:lang w:val="en-US"/>
        </w:rPr>
      </w:pPr>
    </w:p>
    <w:p w14:paraId="7F904172" w14:textId="77777777" w:rsidR="00B3230C" w:rsidRPr="00B3230C" w:rsidRDefault="00B3230C" w:rsidP="00B3230C">
      <w:pPr>
        <w:rPr>
          <w:lang w:val="en-US"/>
        </w:rPr>
      </w:pPr>
    </w:p>
    <w:p w14:paraId="5C2BB59D" w14:textId="77777777" w:rsidR="00B3230C" w:rsidRPr="00B3230C" w:rsidRDefault="00B3230C" w:rsidP="00B3230C">
      <w:pPr>
        <w:rPr>
          <w:lang w:val="en-US"/>
        </w:rPr>
      </w:pPr>
    </w:p>
    <w:p w14:paraId="13E323FA" w14:textId="77777777" w:rsidR="00B3230C" w:rsidRPr="00B3230C" w:rsidRDefault="00B3230C" w:rsidP="00B3230C">
      <w:pPr>
        <w:rPr>
          <w:lang w:val="en-US"/>
        </w:rPr>
      </w:pPr>
    </w:p>
    <w:p w14:paraId="0BE7DC6E" w14:textId="77777777" w:rsidR="00B3230C" w:rsidRPr="00B3230C" w:rsidRDefault="00B3230C" w:rsidP="00B3230C">
      <w:pPr>
        <w:spacing w:line="240" w:lineRule="auto"/>
        <w:rPr>
          <w:lang w:val="en-US"/>
        </w:rPr>
      </w:pPr>
      <w:r w:rsidRPr="00B3230C">
        <w:rPr>
          <w:lang w:val="en-US"/>
        </w:rPr>
        <w:t>Prepared by:</w:t>
      </w:r>
    </w:p>
    <w:p w14:paraId="59001AB0" w14:textId="77777777" w:rsidR="00B3230C" w:rsidRPr="00B3230C" w:rsidRDefault="00B3230C" w:rsidP="00B3230C">
      <w:pPr>
        <w:spacing w:line="240" w:lineRule="auto"/>
        <w:rPr>
          <w:lang w:val="en-US"/>
        </w:rPr>
      </w:pPr>
      <w:r w:rsidRPr="00B3230C">
        <w:rPr>
          <w:lang w:val="en-US"/>
        </w:rPr>
        <w:t>IHSC, LLC</w:t>
      </w:r>
    </w:p>
    <w:p w14:paraId="740CAAA6" w14:textId="77777777" w:rsidR="00B3230C" w:rsidRPr="00B3230C" w:rsidRDefault="00B3230C" w:rsidP="00B3230C">
      <w:pPr>
        <w:spacing w:line="240" w:lineRule="auto"/>
        <w:rPr>
          <w:lang w:val="en-US"/>
        </w:rPr>
      </w:pPr>
      <w:r w:rsidRPr="00B3230C">
        <w:rPr>
          <w:lang w:val="en-US"/>
        </w:rPr>
        <w:t xml:space="preserve">Milford, CT </w:t>
      </w:r>
    </w:p>
    <w:p w14:paraId="24FBA4E8" w14:textId="77777777" w:rsidR="00B3230C" w:rsidRPr="00B3230C" w:rsidRDefault="00B3230C" w:rsidP="00B3230C">
      <w:pPr>
        <w:spacing w:line="240" w:lineRule="auto"/>
        <w:rPr>
          <w:lang w:val="en-US"/>
        </w:rPr>
      </w:pPr>
      <w:r w:rsidRPr="00B3230C">
        <w:rPr>
          <w:lang w:val="en-US"/>
        </w:rPr>
        <w:t>August 21, 2022</w:t>
      </w:r>
    </w:p>
    <w:p w14:paraId="64F222D5" w14:textId="77777777" w:rsidR="00B3230C" w:rsidRPr="00B3230C" w:rsidRDefault="00B3230C" w:rsidP="00B3230C">
      <w:pPr>
        <w:rPr>
          <w:lang w:val="en-US"/>
        </w:rPr>
      </w:pPr>
    </w:p>
    <w:p w14:paraId="382F3B51" w14:textId="77777777" w:rsidR="00B3230C" w:rsidRPr="00B3230C" w:rsidRDefault="00B3230C" w:rsidP="00B3230C">
      <w:pPr>
        <w:rPr>
          <w:lang w:val="en-US"/>
        </w:rPr>
      </w:pPr>
    </w:p>
    <w:p w14:paraId="07036886" w14:textId="77777777" w:rsidR="00B3230C" w:rsidRPr="00B3230C" w:rsidRDefault="00B3230C" w:rsidP="00B3230C">
      <w:pPr>
        <w:rPr>
          <w:lang w:val="en-US"/>
        </w:rPr>
      </w:pPr>
    </w:p>
    <w:p w14:paraId="28CD84D8" w14:textId="77777777" w:rsidR="00B3230C" w:rsidRPr="00B3230C" w:rsidRDefault="00B3230C" w:rsidP="00B3230C">
      <w:pPr>
        <w:suppressAutoHyphens w:val="0"/>
        <w:kinsoku/>
        <w:overflowPunct/>
        <w:autoSpaceDE/>
        <w:autoSpaceDN/>
        <w:adjustRightInd/>
        <w:snapToGrid/>
        <w:spacing w:after="200" w:line="276" w:lineRule="auto"/>
        <w:rPr>
          <w:b/>
          <w:bCs/>
          <w:lang w:val="en-US"/>
        </w:rPr>
      </w:pPr>
      <w:r w:rsidRPr="00B3230C">
        <w:rPr>
          <w:b/>
          <w:bCs/>
          <w:lang w:val="en-US"/>
        </w:rPr>
        <w:br w:type="page"/>
      </w:r>
    </w:p>
    <w:p w14:paraId="6F6E13BB" w14:textId="77777777" w:rsidR="00B3230C" w:rsidRPr="00B3230C" w:rsidRDefault="00B3230C" w:rsidP="00B3230C">
      <w:pPr>
        <w:rPr>
          <w:lang w:val="en-US"/>
        </w:rPr>
      </w:pPr>
      <w:r w:rsidRPr="00B3230C">
        <w:rPr>
          <w:lang w:val="en-US"/>
        </w:rPr>
        <w:lastRenderedPageBreak/>
        <w:t>As requested, I have reviewed the available toxicity data for tetramethylammonium hydroxide (TMAH) (CAS 75-59-2) to determine the appropriate transport packing groups for the substance and mixtures (aqueous solutions) based on dermal toxicity under the UN Model Regulations on the Transport of Dangerous Goods.</w:t>
      </w:r>
    </w:p>
    <w:p w14:paraId="6CF7CECA" w14:textId="77777777" w:rsidR="00B3230C" w:rsidRPr="00B3230C" w:rsidRDefault="00B3230C" w:rsidP="00B3230C">
      <w:pPr>
        <w:rPr>
          <w:lang w:val="en-US"/>
        </w:rPr>
      </w:pPr>
    </w:p>
    <w:p w14:paraId="79C4FDE9" w14:textId="08AEB57F" w:rsidR="00B3230C" w:rsidRPr="00B3230C" w:rsidRDefault="00B3230C" w:rsidP="00B3230C">
      <w:pPr>
        <w:rPr>
          <w:lang w:val="en-US"/>
        </w:rPr>
      </w:pPr>
      <w:r w:rsidRPr="00B3230C">
        <w:rPr>
          <w:lang w:val="en-US"/>
        </w:rPr>
        <w:t>Division 6.1 covers toxic substances. Substances of Division 6.1 are assigned to three packing groups based on their degree of hazard. The UN Model regulations tell us that we need to take human experience into account but that in the absence of human experience, the assignment is based on animal data. The criteria for Class 6.1 dermal toxicity packing group assignment based on animal test data is shown below.</w:t>
      </w:r>
      <w:r w:rsidR="00CA4E50">
        <w:rPr>
          <w:lang w:val="en-US"/>
        </w:rPr>
        <w:t xml:space="preserve"> </w:t>
      </w:r>
    </w:p>
    <w:p w14:paraId="154DCE74" w14:textId="77777777" w:rsidR="00B3230C" w:rsidRPr="00B3230C" w:rsidRDefault="00B3230C" w:rsidP="00B3230C">
      <w:pPr>
        <w:rPr>
          <w:lang w:val="en-US"/>
        </w:rPr>
      </w:pPr>
    </w:p>
    <w:tbl>
      <w:tblPr>
        <w:tblStyle w:val="TableGrid"/>
        <w:tblW w:w="0" w:type="auto"/>
        <w:tblInd w:w="2628" w:type="dxa"/>
        <w:tblLook w:val="04A0" w:firstRow="1" w:lastRow="0" w:firstColumn="1" w:lastColumn="0" w:noHBand="0" w:noVBand="1"/>
      </w:tblPr>
      <w:tblGrid>
        <w:gridCol w:w="2160"/>
        <w:gridCol w:w="2880"/>
      </w:tblGrid>
      <w:tr w:rsidR="00B3230C" w:rsidRPr="00B3230C" w14:paraId="56DEC221" w14:textId="77777777" w:rsidTr="007B6FF1">
        <w:tc>
          <w:tcPr>
            <w:tcW w:w="2160" w:type="dxa"/>
          </w:tcPr>
          <w:p w14:paraId="64F606E3" w14:textId="77777777" w:rsidR="00B3230C" w:rsidRDefault="00B3230C" w:rsidP="007B6FF1">
            <w:pPr>
              <w:jc w:val="center"/>
            </w:pPr>
            <w:r>
              <w:t>Packing Group</w:t>
            </w:r>
          </w:p>
        </w:tc>
        <w:tc>
          <w:tcPr>
            <w:tcW w:w="2880" w:type="dxa"/>
          </w:tcPr>
          <w:p w14:paraId="4D732EFF" w14:textId="77777777" w:rsidR="00B3230C" w:rsidRPr="00B3230C" w:rsidRDefault="00B3230C" w:rsidP="007B6FF1">
            <w:pPr>
              <w:rPr>
                <w:lang w:val="en-US"/>
              </w:rPr>
            </w:pPr>
            <w:r w:rsidRPr="00B3230C">
              <w:rPr>
                <w:lang w:val="en-US"/>
              </w:rPr>
              <w:t>Dermal toxicity LD50 (mg/kg)</w:t>
            </w:r>
          </w:p>
        </w:tc>
      </w:tr>
      <w:tr w:rsidR="00B3230C" w14:paraId="22DA403A" w14:textId="77777777" w:rsidTr="007B6FF1">
        <w:tc>
          <w:tcPr>
            <w:tcW w:w="2160" w:type="dxa"/>
          </w:tcPr>
          <w:p w14:paraId="3ACA4F7E" w14:textId="77777777" w:rsidR="00B3230C" w:rsidRDefault="00B3230C" w:rsidP="007B6FF1">
            <w:pPr>
              <w:jc w:val="center"/>
            </w:pPr>
            <w:r>
              <w:t>I</w:t>
            </w:r>
          </w:p>
        </w:tc>
        <w:tc>
          <w:tcPr>
            <w:tcW w:w="2880" w:type="dxa"/>
          </w:tcPr>
          <w:p w14:paraId="7E587700" w14:textId="77777777" w:rsidR="00B3230C" w:rsidRDefault="00B3230C" w:rsidP="007B6FF1">
            <w:pPr>
              <w:jc w:val="center"/>
            </w:pPr>
            <w:r>
              <w:t>&lt;=50</w:t>
            </w:r>
          </w:p>
        </w:tc>
      </w:tr>
      <w:tr w:rsidR="00B3230C" w14:paraId="7812D4FB" w14:textId="77777777" w:rsidTr="007B6FF1">
        <w:tc>
          <w:tcPr>
            <w:tcW w:w="2160" w:type="dxa"/>
          </w:tcPr>
          <w:p w14:paraId="29DEA30D" w14:textId="77777777" w:rsidR="00B3230C" w:rsidRDefault="00B3230C" w:rsidP="007B6FF1">
            <w:pPr>
              <w:jc w:val="center"/>
            </w:pPr>
            <w:r>
              <w:t>II</w:t>
            </w:r>
          </w:p>
        </w:tc>
        <w:tc>
          <w:tcPr>
            <w:tcW w:w="2880" w:type="dxa"/>
          </w:tcPr>
          <w:p w14:paraId="5D21E31E" w14:textId="77777777" w:rsidR="00B3230C" w:rsidRDefault="00B3230C" w:rsidP="007B6FF1">
            <w:pPr>
              <w:jc w:val="center"/>
            </w:pPr>
            <w:r>
              <w:t>&gt;50 and &lt;=200</w:t>
            </w:r>
          </w:p>
        </w:tc>
      </w:tr>
      <w:tr w:rsidR="00B3230C" w14:paraId="5C7BE07C" w14:textId="77777777" w:rsidTr="007B6FF1">
        <w:tc>
          <w:tcPr>
            <w:tcW w:w="2160" w:type="dxa"/>
          </w:tcPr>
          <w:p w14:paraId="05818E48" w14:textId="77777777" w:rsidR="00B3230C" w:rsidRDefault="00B3230C" w:rsidP="007B6FF1">
            <w:pPr>
              <w:jc w:val="center"/>
            </w:pPr>
            <w:r>
              <w:t>III</w:t>
            </w:r>
          </w:p>
        </w:tc>
        <w:tc>
          <w:tcPr>
            <w:tcW w:w="2880" w:type="dxa"/>
          </w:tcPr>
          <w:p w14:paraId="563C259D" w14:textId="77777777" w:rsidR="00B3230C" w:rsidRDefault="00B3230C" w:rsidP="007B6FF1">
            <w:pPr>
              <w:jc w:val="center"/>
            </w:pPr>
            <w:r>
              <w:t>&gt;200 and &lt;=1000</w:t>
            </w:r>
          </w:p>
        </w:tc>
      </w:tr>
    </w:tbl>
    <w:p w14:paraId="175FD6D5" w14:textId="77777777" w:rsidR="00B3230C" w:rsidRDefault="00B3230C" w:rsidP="00B3230C"/>
    <w:p w14:paraId="52C15E6D" w14:textId="77777777" w:rsidR="00B3230C" w:rsidRPr="00B3230C" w:rsidRDefault="00B3230C" w:rsidP="00B3230C">
      <w:pPr>
        <w:rPr>
          <w:lang w:val="en-US"/>
        </w:rPr>
      </w:pPr>
      <w:r w:rsidRPr="00B3230C">
        <w:rPr>
          <w:lang w:val="en-US"/>
        </w:rPr>
        <w:t xml:space="preserve">This packing group assignment corresponds with the GHS dermal toxicities of categories 1, 2 and 3. </w:t>
      </w:r>
    </w:p>
    <w:p w14:paraId="5F506C83" w14:textId="77777777" w:rsidR="00B3230C" w:rsidRPr="00B3230C" w:rsidRDefault="00B3230C" w:rsidP="00B3230C">
      <w:pPr>
        <w:rPr>
          <w:lang w:val="en-US"/>
        </w:rPr>
      </w:pPr>
    </w:p>
    <w:tbl>
      <w:tblPr>
        <w:tblStyle w:val="TableGrid"/>
        <w:tblW w:w="0" w:type="auto"/>
        <w:tblInd w:w="2628" w:type="dxa"/>
        <w:tblLook w:val="04A0" w:firstRow="1" w:lastRow="0" w:firstColumn="1" w:lastColumn="0" w:noHBand="0" w:noVBand="1"/>
      </w:tblPr>
      <w:tblGrid>
        <w:gridCol w:w="2160"/>
        <w:gridCol w:w="2880"/>
      </w:tblGrid>
      <w:tr w:rsidR="00B3230C" w:rsidRPr="00B3230C" w14:paraId="189EE53E" w14:textId="77777777" w:rsidTr="007B6FF1">
        <w:tc>
          <w:tcPr>
            <w:tcW w:w="2160" w:type="dxa"/>
          </w:tcPr>
          <w:p w14:paraId="2B5FD387" w14:textId="77777777" w:rsidR="00B3230C" w:rsidRDefault="00B3230C" w:rsidP="007B6FF1">
            <w:pPr>
              <w:jc w:val="center"/>
            </w:pPr>
            <w:r>
              <w:t>GHS Category</w:t>
            </w:r>
          </w:p>
        </w:tc>
        <w:tc>
          <w:tcPr>
            <w:tcW w:w="2880" w:type="dxa"/>
          </w:tcPr>
          <w:p w14:paraId="1642B823" w14:textId="77777777" w:rsidR="00B3230C" w:rsidRPr="00B3230C" w:rsidRDefault="00B3230C" w:rsidP="007B6FF1">
            <w:pPr>
              <w:rPr>
                <w:lang w:val="en-US"/>
              </w:rPr>
            </w:pPr>
            <w:r w:rsidRPr="00B3230C">
              <w:rPr>
                <w:lang w:val="en-US"/>
              </w:rPr>
              <w:t>Dermal toxicity LD50 (mg/kg)</w:t>
            </w:r>
          </w:p>
        </w:tc>
      </w:tr>
      <w:tr w:rsidR="00B3230C" w14:paraId="783D8FC1" w14:textId="77777777" w:rsidTr="007B6FF1">
        <w:tc>
          <w:tcPr>
            <w:tcW w:w="2160" w:type="dxa"/>
          </w:tcPr>
          <w:p w14:paraId="22CD3CCA" w14:textId="77777777" w:rsidR="00B3230C" w:rsidRDefault="00B3230C" w:rsidP="007B6FF1">
            <w:pPr>
              <w:jc w:val="center"/>
            </w:pPr>
            <w:r>
              <w:t>1</w:t>
            </w:r>
          </w:p>
        </w:tc>
        <w:tc>
          <w:tcPr>
            <w:tcW w:w="2880" w:type="dxa"/>
          </w:tcPr>
          <w:p w14:paraId="36A1CCE0" w14:textId="77777777" w:rsidR="00B3230C" w:rsidRDefault="00B3230C" w:rsidP="007B6FF1">
            <w:pPr>
              <w:jc w:val="center"/>
            </w:pPr>
            <w:r>
              <w:t>&lt;=50</w:t>
            </w:r>
          </w:p>
        </w:tc>
      </w:tr>
      <w:tr w:rsidR="00B3230C" w14:paraId="3F548EDD" w14:textId="77777777" w:rsidTr="007B6FF1">
        <w:tc>
          <w:tcPr>
            <w:tcW w:w="2160" w:type="dxa"/>
          </w:tcPr>
          <w:p w14:paraId="6CC0CBE8" w14:textId="77777777" w:rsidR="00B3230C" w:rsidRDefault="00B3230C" w:rsidP="007B6FF1">
            <w:pPr>
              <w:jc w:val="center"/>
            </w:pPr>
            <w:r>
              <w:t>2</w:t>
            </w:r>
          </w:p>
        </w:tc>
        <w:tc>
          <w:tcPr>
            <w:tcW w:w="2880" w:type="dxa"/>
          </w:tcPr>
          <w:p w14:paraId="3B5B7998" w14:textId="77777777" w:rsidR="00B3230C" w:rsidRDefault="00B3230C" w:rsidP="007B6FF1">
            <w:pPr>
              <w:jc w:val="center"/>
            </w:pPr>
            <w:r>
              <w:t>&gt;50 and &lt;=200</w:t>
            </w:r>
          </w:p>
        </w:tc>
      </w:tr>
      <w:tr w:rsidR="00B3230C" w14:paraId="4DCECE6D" w14:textId="77777777" w:rsidTr="007B6FF1">
        <w:tc>
          <w:tcPr>
            <w:tcW w:w="2160" w:type="dxa"/>
          </w:tcPr>
          <w:p w14:paraId="29F99B8A" w14:textId="77777777" w:rsidR="00B3230C" w:rsidRDefault="00B3230C" w:rsidP="007B6FF1">
            <w:pPr>
              <w:jc w:val="center"/>
            </w:pPr>
            <w:r>
              <w:t>3</w:t>
            </w:r>
          </w:p>
        </w:tc>
        <w:tc>
          <w:tcPr>
            <w:tcW w:w="2880" w:type="dxa"/>
          </w:tcPr>
          <w:p w14:paraId="67D0BC25" w14:textId="77777777" w:rsidR="00B3230C" w:rsidRDefault="00B3230C" w:rsidP="007B6FF1">
            <w:pPr>
              <w:jc w:val="center"/>
            </w:pPr>
            <w:r>
              <w:t>&gt;200 and &lt;=1000</w:t>
            </w:r>
          </w:p>
        </w:tc>
      </w:tr>
    </w:tbl>
    <w:p w14:paraId="11D21686" w14:textId="77777777" w:rsidR="00B3230C" w:rsidRDefault="00B3230C" w:rsidP="00B3230C"/>
    <w:p w14:paraId="43B6CDE0" w14:textId="77777777" w:rsidR="00B3230C" w:rsidRPr="00B3230C" w:rsidRDefault="00B3230C" w:rsidP="00B3230C">
      <w:pPr>
        <w:rPr>
          <w:lang w:val="en-US"/>
        </w:rPr>
      </w:pPr>
      <w:r w:rsidRPr="00B3230C">
        <w:rPr>
          <w:lang w:val="en-US"/>
        </w:rPr>
        <w:t xml:space="preserve">The main source of data on the acute dermal toxicity of TMAH is the EU REACH Registration for the substance. These data are summarized below. </w:t>
      </w:r>
    </w:p>
    <w:p w14:paraId="5704D0E2" w14:textId="77777777" w:rsidR="00B3230C" w:rsidRPr="00B3230C" w:rsidRDefault="00B3230C" w:rsidP="00B3230C">
      <w:pPr>
        <w:rPr>
          <w:lang w:val="en-US"/>
        </w:rPr>
      </w:pPr>
    </w:p>
    <w:p w14:paraId="6ECE4504" w14:textId="017586A3" w:rsidR="00B3230C" w:rsidRPr="00B3230C" w:rsidRDefault="00B3230C" w:rsidP="00B3230C">
      <w:pPr>
        <w:rPr>
          <w:lang w:val="en-US"/>
        </w:rPr>
      </w:pPr>
      <w:r w:rsidRPr="00B3230C">
        <w:rPr>
          <w:lang w:val="en-US"/>
        </w:rPr>
        <w:t>The National Library of Medicine’s Hazardous Substance Data Bank (HSDB) reports 2 values from a 2011 article in Toxicology and Industrial Health. The article describes a dermal rat study but there is no reference to a standardized study methodology. The doses applied to the rats were not provided. The OECD method specifies that the chemical be applied to the dorsal/flank area of the rat after the fur is closely clipped the day prior to the test. The method states that care must be taken to avoid abrading the skin to avoid affecting the permeability of the skin. In the article it was stated that the hair was shaved with an electric razor, which could abrade the skin. In the OECH method, the test chemical is applied as uniformly as possible to the prepared area covering at least 10% of the total body surface (estimated to be approximately 25 cm2). In the article it is stated that glass rings with an internal diameter of 3.1 cm, 3.5 cm external diameter and 2.5 cm height were glued to the back of the rat. The test solutions were then applied to this small area (9.7 cm2).</w:t>
      </w:r>
      <w:r w:rsidR="00CA4E50">
        <w:rPr>
          <w:lang w:val="en-US"/>
        </w:rPr>
        <w:t xml:space="preserve"> </w:t>
      </w:r>
      <w:r w:rsidRPr="00B3230C">
        <w:rPr>
          <w:lang w:val="en-US"/>
        </w:rPr>
        <w:t>The exposure time was 4 hours while the OECD method requires 24 hours, and the area is covered so the animal cannot ingest the chemical.</w:t>
      </w:r>
      <w:r w:rsidR="00CA4E50">
        <w:rPr>
          <w:lang w:val="en-US"/>
        </w:rPr>
        <w:t xml:space="preserve"> </w:t>
      </w:r>
      <w:r w:rsidRPr="00B3230C">
        <w:rPr>
          <w:lang w:val="en-US"/>
        </w:rPr>
        <w:t>In the article some of the rats were dosed with atropine after 5 minutes. It is not clear whether this was a separate test or part of the protocol. It is unknown what effect this might have had on the results.</w:t>
      </w:r>
      <w:r w:rsidR="00CA4E50">
        <w:rPr>
          <w:lang w:val="en-US"/>
        </w:rPr>
        <w:t xml:space="preserve"> </w:t>
      </w:r>
      <w:r w:rsidRPr="00B3230C">
        <w:rPr>
          <w:lang w:val="en-US"/>
        </w:rPr>
        <w:t>Given these uncertainties, I have not used these results in my evaluation as they cannot be considered reliable and are not comparable to the standard study results.</w:t>
      </w:r>
    </w:p>
    <w:p w14:paraId="7A3A9F43" w14:textId="77777777" w:rsidR="00B3230C" w:rsidRPr="00B3230C" w:rsidRDefault="00B3230C" w:rsidP="00B3230C">
      <w:pPr>
        <w:rPr>
          <w:lang w:val="en-US"/>
        </w:rPr>
      </w:pPr>
    </w:p>
    <w:p w14:paraId="35FCD470" w14:textId="5FD1545E" w:rsidR="00B3230C" w:rsidRPr="00B3230C" w:rsidRDefault="00B3230C" w:rsidP="00B3230C">
      <w:pPr>
        <w:rPr>
          <w:lang w:val="en-US"/>
        </w:rPr>
      </w:pPr>
      <w:r w:rsidRPr="00B3230C">
        <w:rPr>
          <w:lang w:val="en-US"/>
        </w:rPr>
        <w:t>All reported dermal studies were conducted in rats as specified by OECD Guideline 405 (Acute Dermal Toxicity) following Good Laboratory Practice (GLP). The duration of exposure for each was 24 hours. Each of the dermal studies reported in the REACH Registration were given a reliability rating of 1 (reliable without restriction). There were no dermal studies with pure TMAH. All 4 studies used aqueous solutions of TMAH, either 2.5% or 25%. From these results, the authors of 3 studies determined an equivalent LD50 for the pure substance (100% TMAH).</w:t>
      </w:r>
      <w:r w:rsidR="00CA4E50">
        <w:rPr>
          <w:lang w:val="en-US"/>
        </w:rPr>
        <w:t xml:space="preserve"> </w:t>
      </w:r>
      <w:r w:rsidRPr="00B3230C">
        <w:rPr>
          <w:lang w:val="en-US"/>
        </w:rPr>
        <w:t xml:space="preserve">The registrants concluded that the dermal toxicity classification for the substance TMAH is Category 1. </w:t>
      </w:r>
    </w:p>
    <w:p w14:paraId="3F6E9358" w14:textId="77777777" w:rsidR="00B3230C" w:rsidRPr="00B3230C" w:rsidRDefault="00B3230C" w:rsidP="00B3230C">
      <w:pPr>
        <w:rPr>
          <w:lang w:val="en-US"/>
        </w:rPr>
      </w:pPr>
    </w:p>
    <w:p w14:paraId="10177BD3" w14:textId="77777777" w:rsidR="00B3230C" w:rsidRPr="00B3230C" w:rsidRDefault="00B3230C" w:rsidP="00B3230C">
      <w:pPr>
        <w:jc w:val="center"/>
        <w:rPr>
          <w:lang w:val="en-US"/>
        </w:rPr>
      </w:pPr>
      <w:r w:rsidRPr="00B3230C">
        <w:rPr>
          <w:lang w:val="en-US"/>
        </w:rPr>
        <w:t>REACH Registration Reported Dermal Toxicity Data Summary</w:t>
      </w:r>
    </w:p>
    <w:tbl>
      <w:tblPr>
        <w:tblStyle w:val="TableGrid"/>
        <w:tblW w:w="9450" w:type="dxa"/>
        <w:tblInd w:w="198" w:type="dxa"/>
        <w:tblLook w:val="04A0" w:firstRow="1" w:lastRow="0" w:firstColumn="1" w:lastColumn="0" w:noHBand="0" w:noVBand="1"/>
      </w:tblPr>
      <w:tblGrid>
        <w:gridCol w:w="1170"/>
        <w:gridCol w:w="900"/>
        <w:gridCol w:w="2250"/>
        <w:gridCol w:w="1530"/>
        <w:gridCol w:w="3600"/>
      </w:tblGrid>
      <w:tr w:rsidR="00B3230C" w14:paraId="063A932B" w14:textId="77777777" w:rsidTr="007B6FF1">
        <w:tc>
          <w:tcPr>
            <w:tcW w:w="1170" w:type="dxa"/>
          </w:tcPr>
          <w:p w14:paraId="6FF613DC" w14:textId="77777777" w:rsidR="00B3230C" w:rsidRDefault="00B3230C" w:rsidP="007B6FF1">
            <w:pPr>
              <w:jc w:val="center"/>
            </w:pPr>
            <w:proofErr w:type="spellStart"/>
            <w:r>
              <w:t>Study</w:t>
            </w:r>
            <w:proofErr w:type="spellEnd"/>
            <w:r>
              <w:t xml:space="preserve"> </w:t>
            </w:r>
            <w:proofErr w:type="spellStart"/>
            <w:r>
              <w:t>Number</w:t>
            </w:r>
            <w:proofErr w:type="spellEnd"/>
          </w:p>
        </w:tc>
        <w:tc>
          <w:tcPr>
            <w:tcW w:w="900" w:type="dxa"/>
          </w:tcPr>
          <w:p w14:paraId="4E64C054" w14:textId="77777777" w:rsidR="00B3230C" w:rsidRDefault="00B3230C" w:rsidP="007B6FF1">
            <w:proofErr w:type="spellStart"/>
            <w:r>
              <w:t>Species</w:t>
            </w:r>
            <w:proofErr w:type="spellEnd"/>
          </w:p>
        </w:tc>
        <w:tc>
          <w:tcPr>
            <w:tcW w:w="2250" w:type="dxa"/>
          </w:tcPr>
          <w:p w14:paraId="0A333574" w14:textId="77777777" w:rsidR="00B3230C" w:rsidRDefault="00B3230C" w:rsidP="007B6FF1">
            <w:r>
              <w:t xml:space="preserve">Test </w:t>
            </w:r>
            <w:proofErr w:type="spellStart"/>
            <w:r>
              <w:t>Material</w:t>
            </w:r>
            <w:proofErr w:type="spellEnd"/>
          </w:p>
        </w:tc>
        <w:tc>
          <w:tcPr>
            <w:tcW w:w="1530" w:type="dxa"/>
          </w:tcPr>
          <w:p w14:paraId="69965BEF" w14:textId="77777777" w:rsidR="00B3230C" w:rsidRDefault="00B3230C" w:rsidP="007B6FF1">
            <w:proofErr w:type="spellStart"/>
            <w:r>
              <w:t>Dermal</w:t>
            </w:r>
            <w:proofErr w:type="spellEnd"/>
            <w:r>
              <w:t xml:space="preserve"> LD50 mg/kg</w:t>
            </w:r>
          </w:p>
        </w:tc>
        <w:tc>
          <w:tcPr>
            <w:tcW w:w="3600" w:type="dxa"/>
          </w:tcPr>
          <w:p w14:paraId="4851D3E3" w14:textId="77777777" w:rsidR="00B3230C" w:rsidRDefault="00B3230C" w:rsidP="007B6FF1">
            <w:r>
              <w:t>Discussion</w:t>
            </w:r>
          </w:p>
        </w:tc>
      </w:tr>
      <w:tr w:rsidR="00B3230C" w:rsidRPr="00B3230C" w14:paraId="339853F7" w14:textId="77777777" w:rsidTr="007B6FF1">
        <w:tc>
          <w:tcPr>
            <w:tcW w:w="1170" w:type="dxa"/>
          </w:tcPr>
          <w:p w14:paraId="102C9B16" w14:textId="77777777" w:rsidR="00B3230C" w:rsidRDefault="00B3230C" w:rsidP="007B6FF1">
            <w:pPr>
              <w:jc w:val="center"/>
            </w:pPr>
            <w:r>
              <w:t>1</w:t>
            </w:r>
          </w:p>
        </w:tc>
        <w:tc>
          <w:tcPr>
            <w:tcW w:w="900" w:type="dxa"/>
          </w:tcPr>
          <w:p w14:paraId="1A4652E4" w14:textId="77777777" w:rsidR="00B3230C" w:rsidRDefault="00B3230C" w:rsidP="007B6FF1">
            <w:r>
              <w:t>Rat</w:t>
            </w:r>
          </w:p>
        </w:tc>
        <w:tc>
          <w:tcPr>
            <w:tcW w:w="2250" w:type="dxa"/>
          </w:tcPr>
          <w:p w14:paraId="16E6BBA3" w14:textId="77777777" w:rsidR="00B3230C" w:rsidRDefault="00B3230C" w:rsidP="007B6FF1">
            <w:r>
              <w:t xml:space="preserve">2.5% </w:t>
            </w:r>
            <w:proofErr w:type="spellStart"/>
            <w:r>
              <w:t>Aqueous</w:t>
            </w:r>
            <w:proofErr w:type="spellEnd"/>
            <w:r>
              <w:t xml:space="preserve"> Solution</w:t>
            </w:r>
          </w:p>
          <w:p w14:paraId="2CB928A5" w14:textId="77777777" w:rsidR="00B3230C" w:rsidRDefault="00B3230C" w:rsidP="007B6FF1">
            <w:r>
              <w:t>Equivalent 100%</w:t>
            </w:r>
          </w:p>
        </w:tc>
        <w:tc>
          <w:tcPr>
            <w:tcW w:w="1530" w:type="dxa"/>
          </w:tcPr>
          <w:p w14:paraId="5658FFE8" w14:textId="77777777" w:rsidR="00B3230C" w:rsidRDefault="00B3230C" w:rsidP="007B6FF1">
            <w:r>
              <w:t xml:space="preserve">&gt;1000- &lt;2000 </w:t>
            </w:r>
          </w:p>
          <w:p w14:paraId="2F5E4970" w14:textId="77777777" w:rsidR="00B3230C" w:rsidRDefault="00B3230C" w:rsidP="007B6FF1"/>
          <w:p w14:paraId="4F342594" w14:textId="77777777" w:rsidR="00B3230C" w:rsidRDefault="00B3230C" w:rsidP="007B6FF1">
            <w:r>
              <w:t>&gt;25-&lt;50</w:t>
            </w:r>
          </w:p>
        </w:tc>
        <w:tc>
          <w:tcPr>
            <w:tcW w:w="3600" w:type="dxa"/>
          </w:tcPr>
          <w:p w14:paraId="1E927B14" w14:textId="77777777" w:rsidR="00B3230C" w:rsidRPr="00B3230C" w:rsidRDefault="00B3230C" w:rsidP="007B6FF1">
            <w:pPr>
              <w:rPr>
                <w:lang w:val="en-US"/>
              </w:rPr>
            </w:pPr>
            <w:r w:rsidRPr="00B3230C">
              <w:rPr>
                <w:lang w:val="en-US"/>
              </w:rPr>
              <w:t>Doses-200, 1000 and 2000 mg/kg</w:t>
            </w:r>
          </w:p>
          <w:p w14:paraId="74887FB6" w14:textId="77777777" w:rsidR="00B3230C" w:rsidRPr="00B3230C" w:rsidRDefault="00B3230C" w:rsidP="007B6FF1">
            <w:pPr>
              <w:rPr>
                <w:lang w:val="en-US"/>
              </w:rPr>
            </w:pPr>
            <w:r w:rsidRPr="00B3230C">
              <w:rPr>
                <w:lang w:val="en-US"/>
              </w:rPr>
              <w:t>3 rats at 200 and 2000 mg/kg; 10 rats at 1000 mg/kg; all animals died at 2000 mg/kg; no mortality at 200 and 1000 mg/kg</w:t>
            </w:r>
          </w:p>
        </w:tc>
      </w:tr>
      <w:tr w:rsidR="00B3230C" w:rsidRPr="00B3230C" w14:paraId="127C2F85" w14:textId="77777777" w:rsidTr="007B6FF1">
        <w:tc>
          <w:tcPr>
            <w:tcW w:w="1170" w:type="dxa"/>
          </w:tcPr>
          <w:p w14:paraId="75DA0577" w14:textId="77777777" w:rsidR="00B3230C" w:rsidRDefault="00B3230C" w:rsidP="007B6FF1">
            <w:pPr>
              <w:jc w:val="center"/>
            </w:pPr>
            <w:r>
              <w:t>2</w:t>
            </w:r>
          </w:p>
        </w:tc>
        <w:tc>
          <w:tcPr>
            <w:tcW w:w="900" w:type="dxa"/>
          </w:tcPr>
          <w:p w14:paraId="4810A529" w14:textId="77777777" w:rsidR="00B3230C" w:rsidRDefault="00B3230C" w:rsidP="007B6FF1">
            <w:r>
              <w:t>Rat</w:t>
            </w:r>
          </w:p>
        </w:tc>
        <w:tc>
          <w:tcPr>
            <w:tcW w:w="2250" w:type="dxa"/>
          </w:tcPr>
          <w:p w14:paraId="419CE458" w14:textId="77777777" w:rsidR="00B3230C" w:rsidRDefault="00B3230C" w:rsidP="007B6FF1">
            <w:r>
              <w:t xml:space="preserve">25% </w:t>
            </w:r>
            <w:proofErr w:type="spellStart"/>
            <w:r>
              <w:t>Aqueous</w:t>
            </w:r>
            <w:proofErr w:type="spellEnd"/>
            <w:r>
              <w:t xml:space="preserve"> Solution</w:t>
            </w:r>
          </w:p>
          <w:p w14:paraId="3AF0E4A0" w14:textId="77777777" w:rsidR="00B3230C" w:rsidRDefault="00B3230C" w:rsidP="007B6FF1">
            <w:r>
              <w:t>Equivalent 100%</w:t>
            </w:r>
          </w:p>
        </w:tc>
        <w:tc>
          <w:tcPr>
            <w:tcW w:w="1530" w:type="dxa"/>
          </w:tcPr>
          <w:p w14:paraId="467FB41A" w14:textId="77777777" w:rsidR="00B3230C" w:rsidRDefault="00B3230C" w:rsidP="007B6FF1">
            <w:r>
              <w:t>&gt;50-200</w:t>
            </w:r>
          </w:p>
          <w:p w14:paraId="2C2D2B74" w14:textId="77777777" w:rsidR="00B3230C" w:rsidRDefault="00B3230C" w:rsidP="007B6FF1">
            <w:r>
              <w:t>&gt;12.5 - &lt;50</w:t>
            </w:r>
          </w:p>
        </w:tc>
        <w:tc>
          <w:tcPr>
            <w:tcW w:w="3600" w:type="dxa"/>
          </w:tcPr>
          <w:p w14:paraId="5BE8CB18" w14:textId="77777777" w:rsidR="00B3230C" w:rsidRPr="00B3230C" w:rsidRDefault="00B3230C" w:rsidP="007B6FF1">
            <w:pPr>
              <w:rPr>
                <w:lang w:val="en-US"/>
              </w:rPr>
            </w:pPr>
            <w:r w:rsidRPr="00B3230C">
              <w:rPr>
                <w:lang w:val="en-US"/>
              </w:rPr>
              <w:t>Doses – 50, 200, 1000 and 2000 mg/kg</w:t>
            </w:r>
          </w:p>
          <w:p w14:paraId="0CC43C47" w14:textId="77777777" w:rsidR="00B3230C" w:rsidRPr="00B3230C" w:rsidRDefault="00B3230C" w:rsidP="007B6FF1">
            <w:pPr>
              <w:rPr>
                <w:lang w:val="en-US"/>
              </w:rPr>
            </w:pPr>
            <w:r w:rsidRPr="00B3230C">
              <w:rPr>
                <w:lang w:val="en-US"/>
              </w:rPr>
              <w:t>10 rats at 50 and 200 mg/kg; 3 rats at 1000 and 2000 mg/kg</w:t>
            </w:r>
          </w:p>
          <w:p w14:paraId="5F491A20" w14:textId="77777777" w:rsidR="00B3230C" w:rsidRPr="00B3230C" w:rsidRDefault="00B3230C" w:rsidP="007B6FF1">
            <w:pPr>
              <w:rPr>
                <w:lang w:val="en-US"/>
              </w:rPr>
            </w:pPr>
            <w:r w:rsidRPr="00B3230C">
              <w:rPr>
                <w:lang w:val="en-US"/>
              </w:rPr>
              <w:lastRenderedPageBreak/>
              <w:t>All animals died at 1000 and 2000 mg/kg; at 200 mg/kg 8 of 10 animals died; no mortality at 50 mg/kg</w:t>
            </w:r>
          </w:p>
        </w:tc>
      </w:tr>
      <w:tr w:rsidR="00B3230C" w:rsidRPr="00B3230C" w14:paraId="62D97A9D" w14:textId="77777777" w:rsidTr="007B6FF1">
        <w:tc>
          <w:tcPr>
            <w:tcW w:w="1170" w:type="dxa"/>
          </w:tcPr>
          <w:p w14:paraId="4137B864" w14:textId="77777777" w:rsidR="00B3230C" w:rsidRDefault="00B3230C" w:rsidP="007B6FF1">
            <w:pPr>
              <w:jc w:val="center"/>
            </w:pPr>
            <w:r>
              <w:lastRenderedPageBreak/>
              <w:t>3</w:t>
            </w:r>
          </w:p>
        </w:tc>
        <w:tc>
          <w:tcPr>
            <w:tcW w:w="900" w:type="dxa"/>
          </w:tcPr>
          <w:p w14:paraId="11A99B37" w14:textId="77777777" w:rsidR="00B3230C" w:rsidRDefault="00B3230C" w:rsidP="007B6FF1">
            <w:r>
              <w:t>Rat</w:t>
            </w:r>
          </w:p>
        </w:tc>
        <w:tc>
          <w:tcPr>
            <w:tcW w:w="2250" w:type="dxa"/>
          </w:tcPr>
          <w:p w14:paraId="32B43A03" w14:textId="77777777" w:rsidR="00B3230C" w:rsidRDefault="00B3230C" w:rsidP="007B6FF1">
            <w:r>
              <w:t xml:space="preserve">25% </w:t>
            </w:r>
            <w:proofErr w:type="spellStart"/>
            <w:r>
              <w:t>Aqueous</w:t>
            </w:r>
            <w:proofErr w:type="spellEnd"/>
            <w:r>
              <w:t xml:space="preserve"> Solution</w:t>
            </w:r>
          </w:p>
          <w:p w14:paraId="4722654C" w14:textId="77777777" w:rsidR="00B3230C" w:rsidRDefault="00B3230C" w:rsidP="007B6FF1">
            <w:r>
              <w:t>Equivalent 100%</w:t>
            </w:r>
          </w:p>
        </w:tc>
        <w:tc>
          <w:tcPr>
            <w:tcW w:w="1530" w:type="dxa"/>
          </w:tcPr>
          <w:p w14:paraId="0D94F725" w14:textId="77777777" w:rsidR="00B3230C" w:rsidRDefault="00B3230C" w:rsidP="007B6FF1">
            <w:r>
              <w:t>449.1</w:t>
            </w:r>
          </w:p>
          <w:p w14:paraId="26D9F473" w14:textId="77777777" w:rsidR="00B3230C" w:rsidRDefault="00B3230C" w:rsidP="007B6FF1">
            <w:r>
              <w:t>112</w:t>
            </w:r>
          </w:p>
        </w:tc>
        <w:tc>
          <w:tcPr>
            <w:tcW w:w="3600" w:type="dxa"/>
          </w:tcPr>
          <w:p w14:paraId="1283A77D" w14:textId="77777777" w:rsidR="00B3230C" w:rsidRPr="00B3230C" w:rsidRDefault="00B3230C" w:rsidP="007B6FF1">
            <w:pPr>
              <w:rPr>
                <w:lang w:val="en-US"/>
              </w:rPr>
            </w:pPr>
            <w:r w:rsidRPr="00B3230C">
              <w:rPr>
                <w:lang w:val="en-US"/>
              </w:rPr>
              <w:t>Doses – 200, 400 and 500 mg/kg</w:t>
            </w:r>
          </w:p>
          <w:p w14:paraId="5FBD135E" w14:textId="65EFD164" w:rsidR="00B3230C" w:rsidRPr="00B3230C" w:rsidRDefault="00B3230C" w:rsidP="007B6FF1">
            <w:pPr>
              <w:rPr>
                <w:lang w:val="en-US"/>
              </w:rPr>
            </w:pPr>
            <w:r w:rsidRPr="00B3230C">
              <w:rPr>
                <w:lang w:val="en-US"/>
              </w:rPr>
              <w:t>5 rats at 200 and 500 mg/kg and 10</w:t>
            </w:r>
            <w:r w:rsidR="00CA4E50">
              <w:rPr>
                <w:lang w:val="en-US"/>
              </w:rPr>
              <w:t xml:space="preserve"> </w:t>
            </w:r>
            <w:r w:rsidRPr="00B3230C">
              <w:rPr>
                <w:lang w:val="en-US"/>
              </w:rPr>
              <w:t>rats at 400 mg/kg</w:t>
            </w:r>
          </w:p>
          <w:p w14:paraId="739CD663" w14:textId="77777777" w:rsidR="00B3230C" w:rsidRPr="00B3230C" w:rsidRDefault="00B3230C" w:rsidP="007B6FF1">
            <w:pPr>
              <w:rPr>
                <w:lang w:val="en-US"/>
              </w:rPr>
            </w:pPr>
            <w:r w:rsidRPr="00B3230C">
              <w:rPr>
                <w:lang w:val="en-US"/>
              </w:rPr>
              <w:t>3 of 5 animals died at 500 mg/kg; 2 of 10 animals dies at 400 mg/kg; no mortality at 200 mg/kg</w:t>
            </w:r>
          </w:p>
        </w:tc>
      </w:tr>
      <w:tr w:rsidR="00B3230C" w:rsidRPr="00B3230C" w14:paraId="24A65539" w14:textId="77777777" w:rsidTr="007B6FF1">
        <w:tc>
          <w:tcPr>
            <w:tcW w:w="1170" w:type="dxa"/>
          </w:tcPr>
          <w:p w14:paraId="4C41D38B" w14:textId="77777777" w:rsidR="00B3230C" w:rsidRDefault="00B3230C" w:rsidP="007B6FF1">
            <w:pPr>
              <w:jc w:val="center"/>
            </w:pPr>
            <w:r>
              <w:t>4</w:t>
            </w:r>
          </w:p>
        </w:tc>
        <w:tc>
          <w:tcPr>
            <w:tcW w:w="900" w:type="dxa"/>
          </w:tcPr>
          <w:p w14:paraId="145D54AA" w14:textId="77777777" w:rsidR="00B3230C" w:rsidRDefault="00B3230C" w:rsidP="007B6FF1">
            <w:r>
              <w:t>Rat</w:t>
            </w:r>
          </w:p>
        </w:tc>
        <w:tc>
          <w:tcPr>
            <w:tcW w:w="2250" w:type="dxa"/>
          </w:tcPr>
          <w:p w14:paraId="5B85B714" w14:textId="77777777" w:rsidR="00B3230C" w:rsidRDefault="00B3230C" w:rsidP="007B6FF1">
            <w:r>
              <w:t xml:space="preserve">25% </w:t>
            </w:r>
            <w:proofErr w:type="spellStart"/>
            <w:r>
              <w:t>Aqueous</w:t>
            </w:r>
            <w:proofErr w:type="spellEnd"/>
            <w:r>
              <w:t xml:space="preserve"> Solution</w:t>
            </w:r>
          </w:p>
          <w:p w14:paraId="33CD5262" w14:textId="77777777" w:rsidR="00B3230C" w:rsidRDefault="00B3230C" w:rsidP="007B6FF1">
            <w:r>
              <w:t>Equivalent 100%</w:t>
            </w:r>
          </w:p>
        </w:tc>
        <w:tc>
          <w:tcPr>
            <w:tcW w:w="1530" w:type="dxa"/>
          </w:tcPr>
          <w:p w14:paraId="66DE4474" w14:textId="77777777" w:rsidR="00B3230C" w:rsidRDefault="00B3230C" w:rsidP="007B6FF1">
            <w:r>
              <w:t>&gt;200-&lt;1000</w:t>
            </w:r>
          </w:p>
          <w:p w14:paraId="77F50196" w14:textId="77777777" w:rsidR="00B3230C" w:rsidRDefault="00B3230C" w:rsidP="007B6FF1">
            <w:r>
              <w:t>&gt;50 - &lt;250</w:t>
            </w:r>
          </w:p>
        </w:tc>
        <w:tc>
          <w:tcPr>
            <w:tcW w:w="3600" w:type="dxa"/>
          </w:tcPr>
          <w:p w14:paraId="0D4AC378" w14:textId="77777777" w:rsidR="00B3230C" w:rsidRPr="00B3230C" w:rsidRDefault="00B3230C" w:rsidP="007B6FF1">
            <w:pPr>
              <w:rPr>
                <w:lang w:val="en-US"/>
              </w:rPr>
            </w:pPr>
            <w:r w:rsidRPr="00B3230C">
              <w:rPr>
                <w:lang w:val="en-US"/>
              </w:rPr>
              <w:t>Doses – 200, 1000 and 2000 mg/kg</w:t>
            </w:r>
          </w:p>
          <w:p w14:paraId="08397C55" w14:textId="77777777" w:rsidR="00B3230C" w:rsidRPr="00B3230C" w:rsidRDefault="00B3230C" w:rsidP="007B6FF1">
            <w:pPr>
              <w:rPr>
                <w:lang w:val="en-US"/>
              </w:rPr>
            </w:pPr>
            <w:r w:rsidRPr="00B3230C">
              <w:rPr>
                <w:lang w:val="en-US"/>
              </w:rPr>
              <w:t>10 rats at 200 mg/kg, 3 rats at 1000 and 2000 mg/kg</w:t>
            </w:r>
          </w:p>
          <w:p w14:paraId="20638307" w14:textId="77777777" w:rsidR="00B3230C" w:rsidRPr="00B3230C" w:rsidRDefault="00B3230C" w:rsidP="007B6FF1">
            <w:pPr>
              <w:rPr>
                <w:lang w:val="en-US"/>
              </w:rPr>
            </w:pPr>
            <w:r w:rsidRPr="00B3230C">
              <w:rPr>
                <w:lang w:val="en-US"/>
              </w:rPr>
              <w:t>All animals died at 1000 and 2000 mg/</w:t>
            </w:r>
            <w:proofErr w:type="gramStart"/>
            <w:r w:rsidRPr="00B3230C">
              <w:rPr>
                <w:lang w:val="en-US"/>
              </w:rPr>
              <w:t>kg;</w:t>
            </w:r>
            <w:proofErr w:type="gramEnd"/>
            <w:r w:rsidRPr="00B3230C">
              <w:rPr>
                <w:lang w:val="en-US"/>
              </w:rPr>
              <w:t xml:space="preserve"> no mortality at 200 mg/kg</w:t>
            </w:r>
          </w:p>
        </w:tc>
      </w:tr>
    </w:tbl>
    <w:p w14:paraId="1C202F98" w14:textId="77777777" w:rsidR="00B3230C" w:rsidRPr="00B3230C" w:rsidRDefault="00B3230C" w:rsidP="00B3230C">
      <w:pPr>
        <w:rPr>
          <w:lang w:val="en-US"/>
        </w:rPr>
      </w:pPr>
    </w:p>
    <w:p w14:paraId="19CEA36D" w14:textId="77777777" w:rsidR="00B3230C" w:rsidRPr="00B3230C" w:rsidRDefault="00B3230C" w:rsidP="00B3230C">
      <w:pPr>
        <w:rPr>
          <w:lang w:val="en-US"/>
        </w:rPr>
      </w:pPr>
      <w:bookmarkStart w:id="3" w:name="_Hlk111033509"/>
      <w:r w:rsidRPr="00B3230C">
        <w:rPr>
          <w:lang w:val="en-US"/>
        </w:rPr>
        <w:t xml:space="preserve">It is recognized that the transport regulations specify dermal toxicity testing in rabbits rather than rats. However, many experts have concluded that the dermal toxicity values for these two species are comparable and since 2017 OECD 402 has specified that the adult rats are the preferred species to be used for dermal toxicity testing. Prior to 2017, rats, rabbits and guinea pigs were listed as options. </w:t>
      </w:r>
    </w:p>
    <w:p w14:paraId="276051D5" w14:textId="77777777" w:rsidR="00B3230C" w:rsidRPr="00B3230C" w:rsidRDefault="00B3230C" w:rsidP="00B3230C">
      <w:pPr>
        <w:rPr>
          <w:lang w:val="en-US"/>
        </w:rPr>
      </w:pPr>
    </w:p>
    <w:p w14:paraId="35302BED" w14:textId="65E5A9ED" w:rsidR="00B3230C" w:rsidRPr="00B3230C" w:rsidRDefault="00B3230C" w:rsidP="00B3230C">
      <w:pPr>
        <w:rPr>
          <w:lang w:val="en-US"/>
        </w:rPr>
      </w:pPr>
      <w:r w:rsidRPr="00B3230C">
        <w:rPr>
          <w:lang w:val="en-US"/>
        </w:rPr>
        <w:t>The GHS specifies both rats and rabbits as the preferred species for dermal toxicity testing with no adjustment of the criteria. In the case where both rat and rabbit data are available and the data disagrees the GHS advises;</w:t>
      </w:r>
      <w:r w:rsidR="00CA4E50">
        <w:rPr>
          <w:lang w:val="en-US"/>
        </w:rPr>
        <w:t xml:space="preserve"> </w:t>
      </w:r>
      <w:r w:rsidRPr="00B3230C">
        <w:rPr>
          <w:lang w:val="en-US"/>
        </w:rPr>
        <w:t>“When experimental data for acute toxicity are available in several animal species, scientific judgement should be used in selecting the most appropriate LD50 value from among valid, well-performed tests.” This recognizes that all useful animal data should be used for classification, assigning both the hazard class and category (equivalent to the packing group).</w:t>
      </w:r>
      <w:r w:rsidR="00CA4E50">
        <w:rPr>
          <w:lang w:val="en-US"/>
        </w:rPr>
        <w:t xml:space="preserve"> </w:t>
      </w:r>
    </w:p>
    <w:p w14:paraId="1411EAE2" w14:textId="77777777" w:rsidR="00B3230C" w:rsidRPr="00B3230C" w:rsidRDefault="00B3230C" w:rsidP="00B3230C">
      <w:pPr>
        <w:rPr>
          <w:lang w:val="en-US"/>
        </w:rPr>
      </w:pPr>
    </w:p>
    <w:p w14:paraId="0E6C9408" w14:textId="77777777" w:rsidR="00B3230C" w:rsidRPr="00B3230C" w:rsidRDefault="00B3230C" w:rsidP="00B3230C">
      <w:pPr>
        <w:rPr>
          <w:lang w:val="en-US"/>
        </w:rPr>
      </w:pPr>
      <w:r w:rsidRPr="00B3230C">
        <w:rPr>
          <w:lang w:val="en-US"/>
        </w:rPr>
        <w:t xml:space="preserve"> In a 2004 article by C. Auletta titled “Current in vivo Assays for Cutaneous Toxicity: Local and Systemic Toxicity Testing” published in the journal </w:t>
      </w:r>
      <w:r w:rsidRPr="00B3230C">
        <w:rPr>
          <w:i/>
          <w:iCs/>
          <w:lang w:val="en-US"/>
        </w:rPr>
        <w:t>Basic &amp; Clinical Pharmacology &amp; Toxicology</w:t>
      </w:r>
      <w:r w:rsidRPr="00B3230C">
        <w:rPr>
          <w:lang w:val="en-US"/>
        </w:rPr>
        <w:t xml:space="preserve"> the author states: </w:t>
      </w:r>
    </w:p>
    <w:p w14:paraId="7677A5A9" w14:textId="77777777" w:rsidR="00B3230C" w:rsidRPr="00B3230C" w:rsidRDefault="00B3230C" w:rsidP="00B3230C">
      <w:pPr>
        <w:ind w:left="720"/>
        <w:rPr>
          <w:color w:val="292526"/>
          <w:lang w:val="en-US"/>
        </w:rPr>
      </w:pPr>
      <w:r w:rsidRPr="00B3230C">
        <w:rPr>
          <w:lang w:val="en-US"/>
        </w:rPr>
        <w:t>“</w:t>
      </w:r>
      <w:r w:rsidRPr="00B3230C">
        <w:rPr>
          <w:color w:val="292526"/>
          <w:lang w:val="en-US"/>
        </w:rPr>
        <w:t xml:space="preserve">The albino rabbit has historically been the model of choice for local toxicity (irritation) and for acute and </w:t>
      </w:r>
      <w:proofErr w:type="spellStart"/>
      <w:r w:rsidRPr="00B3230C">
        <w:rPr>
          <w:color w:val="292526"/>
          <w:lang w:val="en-US"/>
        </w:rPr>
        <w:t>subchronic</w:t>
      </w:r>
      <w:proofErr w:type="spellEnd"/>
      <w:r w:rsidRPr="00B3230C">
        <w:rPr>
          <w:color w:val="292526"/>
          <w:lang w:val="en-US"/>
        </w:rPr>
        <w:t xml:space="preserve"> systemic toxicity evaluations. The choice of this model was based on factors such as size and ease of handling and the high permeability of its skin. However, because of the rabbit’s enhanced sensitivity to dermal insult, it is generally considered to be over-predictive and the relevance to humans of irritation seen in rabbits has been questioned (National Academy of Sciences 1977). Many current regulations specify the albino rat as preferable to the rabbit, although the rabbit is still the standard for local toxicity (irritation) evaluations. The guinea pig is generally listed in testing guidelines as an acceptable species, but it is rarely used in toxicity evaluations.” </w:t>
      </w:r>
    </w:p>
    <w:p w14:paraId="671B2B6B" w14:textId="77777777" w:rsidR="00B3230C" w:rsidRPr="00B3230C" w:rsidRDefault="00B3230C" w:rsidP="00B3230C">
      <w:pPr>
        <w:ind w:left="720"/>
        <w:rPr>
          <w:lang w:val="en-US"/>
        </w:rPr>
      </w:pPr>
    </w:p>
    <w:p w14:paraId="185D9EC9" w14:textId="77777777" w:rsidR="00B3230C" w:rsidRPr="00B3230C" w:rsidRDefault="00B3230C" w:rsidP="00B3230C">
      <w:pPr>
        <w:rPr>
          <w:lang w:val="en-US"/>
        </w:rPr>
      </w:pPr>
      <w:r w:rsidRPr="00B3230C">
        <w:rPr>
          <w:lang w:val="en-US"/>
        </w:rPr>
        <w:t>In the OECD Guidance Notes on Dermal Absorption (Draft Second Edition) from October 2019, it is stated “However, the rat is the preferred species for in vivo studies because of consistency and the fact that more extensive and complete data can be collected in this species (</w:t>
      </w:r>
      <w:proofErr w:type="gramStart"/>
      <w:r w:rsidRPr="00B3230C">
        <w:rPr>
          <w:lang w:val="en-US"/>
        </w:rPr>
        <w:t>e.g.</w:t>
      </w:r>
      <w:proofErr w:type="gramEnd"/>
      <w:r w:rsidRPr="00B3230C">
        <w:rPr>
          <w:lang w:val="en-US"/>
        </w:rPr>
        <w:t xml:space="preserve"> excreta and carcass).” It further states “As rat (or rabbit) skin is more permeable than human skin, an appropriately conducted in vitro or in vivo study is unlikely to underestimate dermal absorption in humans.” </w:t>
      </w:r>
    </w:p>
    <w:p w14:paraId="5AA1429C" w14:textId="77777777" w:rsidR="00B3230C" w:rsidRPr="00B3230C" w:rsidRDefault="00B3230C" w:rsidP="00B3230C">
      <w:pPr>
        <w:rPr>
          <w:lang w:val="en-US"/>
        </w:rPr>
      </w:pPr>
    </w:p>
    <w:p w14:paraId="77854059" w14:textId="77777777" w:rsidR="00B3230C" w:rsidRPr="00B3230C" w:rsidRDefault="00B3230C" w:rsidP="00B3230C">
      <w:pPr>
        <w:rPr>
          <w:lang w:val="en-US"/>
        </w:rPr>
      </w:pPr>
      <w:proofErr w:type="gramStart"/>
      <w:r w:rsidRPr="00B3230C">
        <w:rPr>
          <w:lang w:val="en-US"/>
        </w:rPr>
        <w:t>Based on the fact that</w:t>
      </w:r>
      <w:proofErr w:type="gramEnd"/>
      <w:r w:rsidRPr="00B3230C">
        <w:rPr>
          <w:lang w:val="en-US"/>
        </w:rPr>
        <w:t xml:space="preserve"> the current OECD method for dermal toxicity specifies the rat as the preferred species and many other regulatory systems require these tests for registration and other regulatory purposes, almost all new testing is being conducted with rats. Both GHS and transport classifications are being based on these data. To conduct an additional test in rabbits solely for transport classification would result in unnecessary animal testing. </w:t>
      </w:r>
    </w:p>
    <w:p w14:paraId="4E0282D4" w14:textId="77777777" w:rsidR="00B3230C" w:rsidRPr="00B3230C" w:rsidRDefault="00B3230C" w:rsidP="00B3230C">
      <w:pPr>
        <w:rPr>
          <w:lang w:val="en-US"/>
        </w:rPr>
      </w:pPr>
      <w:r w:rsidRPr="00B3230C">
        <w:rPr>
          <w:lang w:val="en-US"/>
        </w:rPr>
        <w:t xml:space="preserve">In this case, as we have no valid rabbit test data, it is appropriate to use the rat data that was generated using accepted international standards and good laboratory practice to assign transport packing groups. </w:t>
      </w:r>
    </w:p>
    <w:bookmarkEnd w:id="3"/>
    <w:p w14:paraId="5161D974" w14:textId="77777777" w:rsidR="00B3230C" w:rsidRPr="00B3230C" w:rsidRDefault="00B3230C" w:rsidP="00B3230C">
      <w:pPr>
        <w:spacing w:line="240" w:lineRule="auto"/>
        <w:rPr>
          <w:rFonts w:cstheme="minorHAnsi"/>
          <w:lang w:val="en-US"/>
        </w:rPr>
      </w:pPr>
    </w:p>
    <w:p w14:paraId="31E01A32" w14:textId="77777777" w:rsidR="00B3230C" w:rsidRPr="00B3230C" w:rsidRDefault="00B3230C" w:rsidP="00B3230C">
      <w:pPr>
        <w:rPr>
          <w:lang w:val="en-US"/>
        </w:rPr>
      </w:pPr>
      <w:r w:rsidRPr="00B3230C">
        <w:rPr>
          <w:lang w:val="en-US"/>
        </w:rPr>
        <w:t xml:space="preserve">Under the GHS, some countries have reviewed TMAH and have assigned hazard classifications for TMAH as a substance. In some </w:t>
      </w:r>
      <w:proofErr w:type="gramStart"/>
      <w:r w:rsidRPr="00B3230C">
        <w:rPr>
          <w:lang w:val="en-US"/>
        </w:rPr>
        <w:t>cases</w:t>
      </w:r>
      <w:proofErr w:type="gramEnd"/>
      <w:r w:rsidRPr="00B3230C">
        <w:rPr>
          <w:lang w:val="en-US"/>
        </w:rPr>
        <w:t xml:space="preserve"> these classifications are mandatory and in others advisory. The following are Competent Authority Assigned Dermal Toxicity Classifications for TMAH. </w:t>
      </w:r>
    </w:p>
    <w:p w14:paraId="7D59CEF2" w14:textId="77777777" w:rsidR="00B3230C" w:rsidRPr="00B3230C" w:rsidRDefault="00B3230C" w:rsidP="00B3230C">
      <w:pPr>
        <w:jc w:val="center"/>
        <w:rPr>
          <w:lang w:val="en-US"/>
        </w:rPr>
      </w:pPr>
      <w:r w:rsidRPr="00B3230C">
        <w:rPr>
          <w:lang w:val="en-US"/>
        </w:rPr>
        <w:t>Japan – Category 2 (recommended)</w:t>
      </w:r>
    </w:p>
    <w:p w14:paraId="7965117F" w14:textId="77777777" w:rsidR="00B3230C" w:rsidRPr="00B3230C" w:rsidRDefault="00B3230C" w:rsidP="00B3230C">
      <w:pPr>
        <w:jc w:val="center"/>
        <w:rPr>
          <w:lang w:val="en-US"/>
        </w:rPr>
      </w:pPr>
      <w:r w:rsidRPr="00B3230C">
        <w:rPr>
          <w:lang w:val="en-US"/>
        </w:rPr>
        <w:t>Australia – Category 3 (recommended)</w:t>
      </w:r>
    </w:p>
    <w:p w14:paraId="355D3172" w14:textId="77777777" w:rsidR="00B3230C" w:rsidRPr="00B3230C" w:rsidRDefault="00B3230C" w:rsidP="00B3230C">
      <w:pPr>
        <w:jc w:val="center"/>
        <w:rPr>
          <w:lang w:val="en-US"/>
        </w:rPr>
      </w:pPr>
      <w:r w:rsidRPr="00B3230C">
        <w:rPr>
          <w:lang w:val="en-US"/>
        </w:rPr>
        <w:t>New Zealand – No dermal classification</w:t>
      </w:r>
    </w:p>
    <w:p w14:paraId="533EA314" w14:textId="77777777" w:rsidR="00B3230C" w:rsidRPr="00B3230C" w:rsidRDefault="00B3230C" w:rsidP="00B3230C">
      <w:pPr>
        <w:jc w:val="center"/>
        <w:rPr>
          <w:lang w:val="en-US"/>
        </w:rPr>
      </w:pPr>
      <w:r w:rsidRPr="00B3230C">
        <w:rPr>
          <w:lang w:val="en-US"/>
        </w:rPr>
        <w:t>Korea – Category 1 (mandatory)</w:t>
      </w:r>
    </w:p>
    <w:p w14:paraId="250306BE" w14:textId="77777777" w:rsidR="00B3230C" w:rsidRPr="00B3230C" w:rsidRDefault="00B3230C" w:rsidP="00B3230C">
      <w:pPr>
        <w:suppressAutoHyphens w:val="0"/>
        <w:kinsoku/>
        <w:overflowPunct/>
        <w:autoSpaceDE/>
        <w:autoSpaceDN/>
        <w:adjustRightInd/>
        <w:snapToGrid/>
        <w:spacing w:after="200" w:line="276" w:lineRule="auto"/>
        <w:rPr>
          <w:lang w:val="en-US"/>
        </w:rPr>
      </w:pPr>
      <w:r w:rsidRPr="00B3230C">
        <w:rPr>
          <w:lang w:val="en-US"/>
        </w:rPr>
        <w:br w:type="page"/>
      </w:r>
    </w:p>
    <w:p w14:paraId="00265DA6" w14:textId="77777777" w:rsidR="00B3230C" w:rsidRPr="00B3230C" w:rsidRDefault="00B3230C" w:rsidP="00B3230C">
      <w:pPr>
        <w:rPr>
          <w:lang w:val="en-US"/>
        </w:rPr>
      </w:pPr>
      <w:r w:rsidRPr="00B3230C">
        <w:rPr>
          <w:lang w:val="en-US"/>
        </w:rPr>
        <w:lastRenderedPageBreak/>
        <w:t xml:space="preserve">Australia has developed a Human Health Tier II assessment for TMAH and its pentahydrate. This was published June 28, 2019, and is available </w:t>
      </w:r>
      <w:hyperlink r:id="rId8" w:history="1">
        <w:r w:rsidRPr="00B3230C">
          <w:rPr>
            <w:rStyle w:val="Hyperlink"/>
            <w:lang w:val="en-US"/>
          </w:rPr>
          <w:t>here</w:t>
        </w:r>
      </w:hyperlink>
      <w:r w:rsidRPr="00B3230C">
        <w:rPr>
          <w:lang w:val="en-US"/>
        </w:rPr>
        <w:t xml:space="preserve">. The data reported are the same as cited above from the REACH Registration. This assessment concluded a GHS classification of Acute Toxicity Oral and Dermal Category 3, relying on the 112 mg/kg data point. </w:t>
      </w:r>
    </w:p>
    <w:p w14:paraId="5AE36CBD" w14:textId="77777777" w:rsidR="00B3230C" w:rsidRPr="00B3230C" w:rsidRDefault="00B3230C" w:rsidP="00B3230C">
      <w:pPr>
        <w:rPr>
          <w:lang w:val="en-US"/>
        </w:rPr>
      </w:pPr>
    </w:p>
    <w:p w14:paraId="61CF7AC8" w14:textId="77777777" w:rsidR="00B3230C" w:rsidRPr="00B3230C" w:rsidRDefault="00B3230C" w:rsidP="00B3230C">
      <w:pPr>
        <w:rPr>
          <w:lang w:val="en-US"/>
        </w:rPr>
      </w:pPr>
      <w:r w:rsidRPr="00B3230C">
        <w:rPr>
          <w:lang w:val="en-US"/>
        </w:rPr>
        <w:t xml:space="preserve">The findings in laboratory animals are consistent with the human experience with TMAH and the toxic effects are similar. In these dermal studies TMAH was absorbed through the skin to cause acutely lethal effects when the doses were high enough. These studies were all conducted following internationally accepted standardized methods using good laboratory practice. Based on both human experience and the animal data presented above, it is appropriate to conclude that TMAH should be assigned during transport to Division 6.1 (in addition to any other hazards). Since 2 of the 4 studies indicate a dermal toxicity of &lt;50 mg/kg, it would seem appropriate to assign 100% TMAH to packing group I based on dermal toxicity. </w:t>
      </w:r>
    </w:p>
    <w:p w14:paraId="6FA63700" w14:textId="77777777" w:rsidR="00B3230C" w:rsidRPr="00B3230C" w:rsidRDefault="00B3230C" w:rsidP="00B3230C">
      <w:pPr>
        <w:rPr>
          <w:lang w:val="en-US"/>
        </w:rPr>
      </w:pPr>
    </w:p>
    <w:p w14:paraId="5698EDDD" w14:textId="77777777" w:rsidR="00B3230C" w:rsidRPr="00B3230C" w:rsidRDefault="00B3230C" w:rsidP="00B3230C">
      <w:pPr>
        <w:rPr>
          <w:b/>
          <w:bCs/>
          <w:lang w:val="en-US"/>
        </w:rPr>
      </w:pPr>
      <w:r w:rsidRPr="00B3230C">
        <w:rPr>
          <w:b/>
          <w:bCs/>
          <w:lang w:val="en-US"/>
        </w:rPr>
        <w:t>Human Experience</w:t>
      </w:r>
    </w:p>
    <w:p w14:paraId="43EA22A8" w14:textId="77777777" w:rsidR="00B3230C" w:rsidRPr="00B3230C" w:rsidRDefault="00B3230C" w:rsidP="00B3230C">
      <w:pPr>
        <w:spacing w:line="240" w:lineRule="auto"/>
        <w:rPr>
          <w:rFonts w:cstheme="minorHAnsi"/>
          <w:lang w:val="en-US"/>
        </w:rPr>
      </w:pPr>
      <w:r w:rsidRPr="00B3230C">
        <w:rPr>
          <w:lang w:val="en-US"/>
        </w:rPr>
        <w:t xml:space="preserve">There have been </w:t>
      </w:r>
      <w:proofErr w:type="gramStart"/>
      <w:r w:rsidRPr="00B3230C">
        <w:rPr>
          <w:lang w:val="en-US"/>
        </w:rPr>
        <w:t>a number of</w:t>
      </w:r>
      <w:proofErr w:type="gramEnd"/>
      <w:r w:rsidRPr="00B3230C">
        <w:rPr>
          <w:lang w:val="en-US"/>
        </w:rPr>
        <w:t xml:space="preserve"> reported cases of worker exposure to TMAH where toxic effects were observed. These reports support the conclusion that TMAH should be classified for acute toxicity in addition to corrosivity for transport. These cases were summarized in the report by Charles River Laboratories titled: “</w:t>
      </w:r>
      <w:r w:rsidRPr="00B3230C">
        <w:rPr>
          <w:rFonts w:cstheme="minorHAnsi"/>
          <w:lang w:val="en-US"/>
        </w:rPr>
        <w:t xml:space="preserve">Expert Statement on the co-exposure of TMAH and Ethoxylated Alcohols and its toxicological relevance” In the summary, it is observed that there has been only one case of death resulting where the exposures were to concentrations below 25%. In that case, the individual was exposed to a mixture containing several additional chemicals including 5% </w:t>
      </w:r>
      <w:proofErr w:type="spellStart"/>
      <w:r w:rsidRPr="00B3230C">
        <w:rPr>
          <w:rFonts w:cstheme="minorHAnsi"/>
          <w:lang w:val="en-US"/>
        </w:rPr>
        <w:t>monoethanolamine</w:t>
      </w:r>
      <w:proofErr w:type="spellEnd"/>
      <w:r w:rsidRPr="00B3230C">
        <w:rPr>
          <w:rFonts w:cstheme="minorHAnsi"/>
          <w:lang w:val="en-US"/>
        </w:rPr>
        <w:t xml:space="preserve"> and 10% ethoxylated alcohol (a non-ionic surfactant). The concentration of TMAH in the mixture was 8.75%. This exposure was not to a simple aqueous solution of TMAH. </w:t>
      </w:r>
    </w:p>
    <w:p w14:paraId="08406C0A" w14:textId="77777777" w:rsidR="00B3230C" w:rsidRPr="00B3230C" w:rsidRDefault="00B3230C" w:rsidP="00B3230C">
      <w:pPr>
        <w:spacing w:line="240" w:lineRule="auto"/>
        <w:rPr>
          <w:rFonts w:cstheme="minorHAnsi"/>
          <w:lang w:val="en-US"/>
        </w:rPr>
      </w:pPr>
    </w:p>
    <w:p w14:paraId="2A7D696A" w14:textId="77777777" w:rsidR="00B3230C" w:rsidRPr="00B3230C" w:rsidRDefault="00B3230C" w:rsidP="00B3230C">
      <w:pPr>
        <w:spacing w:line="240" w:lineRule="auto"/>
        <w:rPr>
          <w:rFonts w:cstheme="minorHAnsi"/>
          <w:lang w:val="en-US"/>
        </w:rPr>
      </w:pPr>
      <w:r w:rsidRPr="00B3230C">
        <w:rPr>
          <w:rFonts w:cstheme="minorHAnsi"/>
          <w:lang w:val="en-US"/>
        </w:rPr>
        <w:t xml:space="preserve">This exposure was not a transportation accident. The exposure occurred when an employee was conducting a demonstration of a pellet cleaning formulation. The worker had created a temporary enclosure for the cleaning solution by placing pallets to form a well in the center for the cleaning bath. While standing in the well, he opened the bung of the drum. The liquid quickly poured out wetting his Skin and work clothing on his legs, </w:t>
      </w:r>
      <w:proofErr w:type="gramStart"/>
      <w:r w:rsidRPr="00B3230C">
        <w:rPr>
          <w:rFonts w:cstheme="minorHAnsi"/>
          <w:lang w:val="en-US"/>
        </w:rPr>
        <w:t>hands</w:t>
      </w:r>
      <w:proofErr w:type="gramEnd"/>
      <w:r w:rsidRPr="00B3230C">
        <w:rPr>
          <w:rFonts w:cstheme="minorHAnsi"/>
          <w:lang w:val="en-US"/>
        </w:rPr>
        <w:t xml:space="preserve"> and arms. He was not wearing any impervious protective clothing – only safety shoes, cotton gloves and normal work clothing. He continued to fill the bath with the cleaner and water for about 10 minutes while wearing the wet clothing. He went to a washroom to rinse his clothes after approximately 18 minutes but returned 2-3 minutes later stating that he could not rinse his clothing there. He was directed to a shower room a few minutes later. The worker was found unconscious in front of the shower room door an hour later. He was undressed but was not wet so had apparently not actually showered. The authors of the article on this accident did not discuss the label or SDS for this cleaner but since the product contained 8.75% TMAH, it should have been classified minimally as corrosive and appropriate protective clothing and equipment including impervious gloves, clothing, </w:t>
      </w:r>
      <w:proofErr w:type="gramStart"/>
      <w:r w:rsidRPr="00B3230C">
        <w:rPr>
          <w:rFonts w:cstheme="minorHAnsi"/>
          <w:lang w:val="en-US"/>
        </w:rPr>
        <w:t>boots</w:t>
      </w:r>
      <w:proofErr w:type="gramEnd"/>
      <w:r w:rsidRPr="00B3230C">
        <w:rPr>
          <w:rFonts w:cstheme="minorHAnsi"/>
          <w:lang w:val="en-US"/>
        </w:rPr>
        <w:t xml:space="preserve"> and eye/face protection should have been used. A safety shower and eye </w:t>
      </w:r>
      <w:proofErr w:type="gramStart"/>
      <w:r w:rsidRPr="00B3230C">
        <w:rPr>
          <w:rFonts w:cstheme="minorHAnsi"/>
          <w:lang w:val="en-US"/>
        </w:rPr>
        <w:t>was</w:t>
      </w:r>
      <w:proofErr w:type="gramEnd"/>
      <w:r w:rsidRPr="00B3230C">
        <w:rPr>
          <w:rFonts w:cstheme="minorHAnsi"/>
          <w:lang w:val="en-US"/>
        </w:rPr>
        <w:t xml:space="preserve"> should have been in the immediate area where corrosive chemicals are handled. This was a tragic industrial accident resulting from extremely poor work practices that could easily have been prevented. </w:t>
      </w:r>
    </w:p>
    <w:p w14:paraId="2841E0AD" w14:textId="77777777" w:rsidR="00B3230C" w:rsidRPr="00B3230C" w:rsidRDefault="00B3230C" w:rsidP="00B3230C">
      <w:pPr>
        <w:spacing w:line="240" w:lineRule="auto"/>
        <w:rPr>
          <w:rFonts w:cstheme="minorHAnsi"/>
          <w:lang w:val="en-US"/>
        </w:rPr>
      </w:pPr>
    </w:p>
    <w:p w14:paraId="0255062C" w14:textId="77777777" w:rsidR="00B3230C" w:rsidRPr="00B3230C" w:rsidRDefault="00B3230C" w:rsidP="00B3230C">
      <w:pPr>
        <w:spacing w:line="240" w:lineRule="auto"/>
        <w:rPr>
          <w:rFonts w:cstheme="minorHAnsi"/>
          <w:lang w:val="en-US"/>
        </w:rPr>
      </w:pPr>
      <w:r w:rsidRPr="00B3230C">
        <w:rPr>
          <w:rFonts w:cstheme="minorHAnsi"/>
          <w:lang w:val="en-US"/>
        </w:rPr>
        <w:t xml:space="preserve">It is well known that surfactants enhance skin absorption of chemicals. Surfactants are currently used as penetration enhancers in dermal drug delivery systems. In the articles “Role of Surfactants as Penetration Enhancer in Transdermal Drug Delivery Systems” by A. Pandey et al. published in the Journal of Molecular Pharmaceutics &amp; Organic Processes” in 2014 and “Status of surfactants as penetration enhancers in transdermal drug delivery” by I. </w:t>
      </w:r>
      <w:proofErr w:type="spellStart"/>
      <w:r w:rsidRPr="00B3230C">
        <w:rPr>
          <w:rFonts w:cstheme="minorHAnsi"/>
          <w:lang w:val="en-US"/>
        </w:rPr>
        <w:t>Som</w:t>
      </w:r>
      <w:proofErr w:type="spellEnd"/>
      <w:r w:rsidRPr="00B3230C">
        <w:rPr>
          <w:rFonts w:cstheme="minorHAnsi"/>
          <w:lang w:val="en-US"/>
        </w:rPr>
        <w:t xml:space="preserve"> et al. published in the Journal of Pharmacy and </w:t>
      </w:r>
      <w:proofErr w:type="spellStart"/>
      <w:r w:rsidRPr="00B3230C">
        <w:rPr>
          <w:rFonts w:cstheme="minorHAnsi"/>
          <w:lang w:val="en-US"/>
        </w:rPr>
        <w:t>Bioallied</w:t>
      </w:r>
      <w:proofErr w:type="spellEnd"/>
      <w:r w:rsidRPr="00B3230C">
        <w:rPr>
          <w:rFonts w:cstheme="minorHAnsi"/>
          <w:lang w:val="en-US"/>
        </w:rPr>
        <w:t xml:space="preserve"> Sciences in 2012, the authors observe that surfactants are used to increase the transfer of drugs through the skin. Both articles discuss the use of nonionic surfactants such as ethoxylated alcohols in these applications. The presence of this surfactant in this mixture could have acted to enhance the absorption of TMAH resulting is a more serious poisoning than would have occurred with a simple aqueous solution. </w:t>
      </w:r>
    </w:p>
    <w:p w14:paraId="12DA77BD" w14:textId="77777777" w:rsidR="00B3230C" w:rsidRPr="00B3230C" w:rsidRDefault="00B3230C" w:rsidP="00B3230C">
      <w:pPr>
        <w:spacing w:line="240" w:lineRule="auto"/>
        <w:rPr>
          <w:rFonts w:cstheme="minorHAnsi"/>
          <w:lang w:val="en-US"/>
        </w:rPr>
      </w:pPr>
    </w:p>
    <w:p w14:paraId="62305884" w14:textId="77777777" w:rsidR="00B3230C" w:rsidRPr="00B3230C" w:rsidRDefault="00B3230C" w:rsidP="00B3230C">
      <w:pPr>
        <w:spacing w:line="240" w:lineRule="auto"/>
        <w:rPr>
          <w:rFonts w:cstheme="minorHAnsi"/>
          <w:lang w:val="en-US"/>
        </w:rPr>
      </w:pPr>
      <w:r w:rsidRPr="00B3230C">
        <w:rPr>
          <w:rFonts w:cstheme="minorHAnsi"/>
          <w:lang w:val="en-US"/>
        </w:rPr>
        <w:t>This case supports the conclusion that TMAH presents a dermal toxicity hazard but should not be used to assign a degree of hazard to aqueous TMAH solutions because of the confounding factors.</w:t>
      </w:r>
    </w:p>
    <w:p w14:paraId="73C09C0A" w14:textId="77777777" w:rsidR="00B3230C" w:rsidRPr="00B3230C" w:rsidRDefault="00B3230C" w:rsidP="00B3230C">
      <w:pPr>
        <w:rPr>
          <w:lang w:val="en-US"/>
        </w:rPr>
      </w:pPr>
    </w:p>
    <w:p w14:paraId="3F2F0E8A" w14:textId="77777777" w:rsidR="00B3230C" w:rsidRPr="00B3230C" w:rsidRDefault="00B3230C" w:rsidP="00B3230C">
      <w:pPr>
        <w:rPr>
          <w:b/>
          <w:bCs/>
          <w:lang w:val="en-US"/>
        </w:rPr>
      </w:pPr>
      <w:r w:rsidRPr="00B3230C">
        <w:rPr>
          <w:b/>
          <w:bCs/>
          <w:lang w:val="en-US"/>
        </w:rPr>
        <w:t>Mixture Classification</w:t>
      </w:r>
    </w:p>
    <w:p w14:paraId="0B4D94FC" w14:textId="77777777" w:rsidR="00B3230C" w:rsidRPr="00B3230C" w:rsidRDefault="00B3230C" w:rsidP="00B3230C">
      <w:pPr>
        <w:rPr>
          <w:lang w:val="en-US"/>
        </w:rPr>
      </w:pPr>
      <w:r w:rsidRPr="00B3230C">
        <w:rPr>
          <w:lang w:val="en-US"/>
        </w:rPr>
        <w:t>While incidental human exposure can certainly provide valuable information regarding potential hazards of chemicals, these unfortunate incidents cannot accurately inform us on assignment of packing groups. The information from these incidents is not detailed or well reported enough to provide the dose data needed to assign packing groups under the agreed criteria. While we cannot ignore human experience, where good quality animal test data are available, we should rely on those data for assignment of the appropriate packing group.</w:t>
      </w:r>
    </w:p>
    <w:p w14:paraId="3A593AA6" w14:textId="77777777" w:rsidR="00B3230C" w:rsidRPr="00B3230C" w:rsidRDefault="00B3230C" w:rsidP="00B3230C">
      <w:pPr>
        <w:rPr>
          <w:lang w:val="en-US"/>
        </w:rPr>
      </w:pPr>
    </w:p>
    <w:p w14:paraId="0C2BC780" w14:textId="77777777" w:rsidR="00B3230C" w:rsidRPr="00B3230C" w:rsidRDefault="00B3230C" w:rsidP="00B3230C">
      <w:pPr>
        <w:rPr>
          <w:lang w:val="en-US"/>
        </w:rPr>
      </w:pPr>
      <w:r w:rsidRPr="00B3230C">
        <w:rPr>
          <w:lang w:val="en-US"/>
        </w:rPr>
        <w:t>Under the UN TDG Regulations, the toxicity of mixtures is determined following the procedures at 2.6.2.3 to classify and assign the packing group.</w:t>
      </w:r>
    </w:p>
    <w:p w14:paraId="06914123" w14:textId="77777777" w:rsidR="00B3230C" w:rsidRDefault="00B3230C" w:rsidP="00B3230C">
      <w:r>
        <w:rPr>
          <w:noProof/>
        </w:rPr>
        <w:lastRenderedPageBreak/>
        <w:drawing>
          <wp:inline distT="0" distB="0" distL="0" distR="0" wp14:anchorId="0B0508BF" wp14:editId="5B2D31CB">
            <wp:extent cx="5505450" cy="1876425"/>
            <wp:effectExtent l="0" t="0" r="0" b="9525"/>
            <wp:docPr id="18" name="Picture 3" descr="Graphical user interface, text, applicatio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letter&#10;&#10;Description automatically generated"/>
                    <pic:cNvPicPr/>
                  </pic:nvPicPr>
                  <pic:blipFill>
                    <a:blip r:embed="rId9"/>
                    <a:stretch>
                      <a:fillRect/>
                    </a:stretch>
                  </pic:blipFill>
                  <pic:spPr>
                    <a:xfrm>
                      <a:off x="0" y="0"/>
                      <a:ext cx="5505450" cy="1876425"/>
                    </a:xfrm>
                    <a:prstGeom prst="rect">
                      <a:avLst/>
                    </a:prstGeom>
                  </pic:spPr>
                </pic:pic>
              </a:graphicData>
            </a:graphic>
          </wp:inline>
        </w:drawing>
      </w:r>
    </w:p>
    <w:p w14:paraId="0D7C81B5" w14:textId="77777777" w:rsidR="00B3230C" w:rsidRPr="00B3230C" w:rsidRDefault="00B3230C" w:rsidP="00B3230C">
      <w:pPr>
        <w:rPr>
          <w:lang w:val="en-US"/>
        </w:rPr>
      </w:pPr>
      <w:r w:rsidRPr="00B3230C">
        <w:rPr>
          <w:lang w:val="en-US"/>
        </w:rPr>
        <w:t xml:space="preserve">Aqueous solutions of TMAH contain only one active substance but 2.6.2.3.2 states that the dermal toxicity of the mixture is determined using the formula in the absence of reliable data on the actual mixture to be transported. </w:t>
      </w:r>
    </w:p>
    <w:p w14:paraId="7C88B3BF" w14:textId="77777777" w:rsidR="00B3230C" w:rsidRPr="00B3230C" w:rsidRDefault="00B3230C" w:rsidP="00B3230C">
      <w:pPr>
        <w:rPr>
          <w:lang w:val="en-US"/>
        </w:rPr>
      </w:pPr>
      <w:r w:rsidRPr="00B3230C">
        <w:rPr>
          <w:lang w:val="en-US"/>
        </w:rPr>
        <w:t>We have three reliable animal studies of 25% aqueous solutions of TMAH. The lowest reported LD50 from these studies is &gt;50 – 200 mg/kg. That would result in this mixture being assigned to packing group II. We also have one reliable study with a 2.5% aqueous solution that would result in that mixture not being classified as 6.1 for transport.</w:t>
      </w:r>
    </w:p>
    <w:p w14:paraId="2364B307" w14:textId="77777777" w:rsidR="00B3230C" w:rsidRPr="00B3230C" w:rsidRDefault="00B3230C" w:rsidP="00B3230C">
      <w:pPr>
        <w:rPr>
          <w:lang w:val="en-US"/>
        </w:rPr>
      </w:pPr>
    </w:p>
    <w:p w14:paraId="6934EB22" w14:textId="77777777" w:rsidR="00B3230C" w:rsidRPr="00B3230C" w:rsidRDefault="00B3230C" w:rsidP="00B3230C">
      <w:pPr>
        <w:rPr>
          <w:lang w:val="en-US"/>
        </w:rPr>
      </w:pPr>
      <w:r w:rsidRPr="00B3230C">
        <w:rPr>
          <w:lang w:val="en-US"/>
        </w:rPr>
        <w:t>If the mixture contains only one active substance, and the LD50 of that constituent is known, in the absence of reliable data on the actual mixture, the dermal LD50 may be obtained by calculation using the formula above. This approach can also be used to determine the concentration of the active substance in a mixture at which a packing group assignment would be applied.</w:t>
      </w:r>
    </w:p>
    <w:p w14:paraId="2E2D5E28" w14:textId="77777777" w:rsidR="00B3230C" w:rsidRPr="00B3230C" w:rsidRDefault="00B3230C" w:rsidP="00B3230C">
      <w:pPr>
        <w:rPr>
          <w:lang w:val="en-US"/>
        </w:rPr>
      </w:pPr>
    </w:p>
    <w:p w14:paraId="1D81E01A" w14:textId="77777777" w:rsidR="00B3230C" w:rsidRPr="00B3230C" w:rsidRDefault="00B3230C" w:rsidP="00B3230C">
      <w:pPr>
        <w:rPr>
          <w:lang w:val="en-US"/>
        </w:rPr>
      </w:pPr>
      <w:r w:rsidRPr="00B3230C">
        <w:rPr>
          <w:lang w:val="en-US"/>
        </w:rPr>
        <w:t xml:space="preserve">We know that the 2 lowest </w:t>
      </w:r>
      <w:proofErr w:type="gramStart"/>
      <w:r w:rsidRPr="00B3230C">
        <w:rPr>
          <w:lang w:val="en-US"/>
        </w:rPr>
        <w:t>substance</w:t>
      </w:r>
      <w:proofErr w:type="gramEnd"/>
      <w:r w:rsidRPr="00B3230C">
        <w:rPr>
          <w:lang w:val="en-US"/>
        </w:rPr>
        <w:t xml:space="preserve"> dermal LD50 based on reliable animal studies are &gt;12.5 - &lt;50 mg/kg and &gt;25 - &lt;50 mg/kg. Based on these data, we can conclude that the LD50 of the substance is between 25 and 50 mg/kg. </w:t>
      </w:r>
    </w:p>
    <w:p w14:paraId="1A7F086F" w14:textId="77777777" w:rsidR="00B3230C" w:rsidRPr="00B3230C" w:rsidRDefault="00B3230C" w:rsidP="00B3230C">
      <w:pPr>
        <w:rPr>
          <w:lang w:val="en-US"/>
        </w:rPr>
      </w:pPr>
      <w:r w:rsidRPr="00B3230C">
        <w:rPr>
          <w:lang w:val="en-US"/>
        </w:rPr>
        <w:t>If we use the active substance LD50 value of 25 mg/kg we can calculate that concentration which would be assigned to PG II using the formula.</w:t>
      </w:r>
    </w:p>
    <w:p w14:paraId="16734CA3" w14:textId="77777777" w:rsidR="00B3230C" w:rsidRPr="00B3230C" w:rsidRDefault="00B3230C" w:rsidP="00B3230C">
      <w:pPr>
        <w:rPr>
          <w:lang w:val="en-US"/>
        </w:rPr>
      </w:pPr>
    </w:p>
    <w:p w14:paraId="604FD989" w14:textId="49937783" w:rsidR="00B3230C" w:rsidRPr="00B3230C" w:rsidRDefault="00B3230C" w:rsidP="00B3230C">
      <w:pPr>
        <w:spacing w:line="240" w:lineRule="auto"/>
        <w:rPr>
          <w:lang w:val="en-US"/>
        </w:rPr>
      </w:pPr>
      <w:r w:rsidRPr="00B3230C">
        <w:rPr>
          <w:lang w:val="en-US"/>
        </w:rPr>
        <w:tab/>
      </w:r>
      <w:r w:rsidRPr="00B3230C">
        <w:rPr>
          <w:lang w:val="en-US"/>
        </w:rPr>
        <w:tab/>
        <w:t xml:space="preserve">51 mg/kg </w:t>
      </w:r>
      <w:proofErr w:type="gramStart"/>
      <w:r w:rsidRPr="00B3230C">
        <w:rPr>
          <w:lang w:val="en-US"/>
        </w:rPr>
        <w:t>=</w:t>
      </w:r>
      <w:r w:rsidR="00CA4E50">
        <w:rPr>
          <w:lang w:val="en-US"/>
        </w:rPr>
        <w:t xml:space="preserve"> </w:t>
      </w:r>
      <w:r w:rsidRPr="00B3230C">
        <w:rPr>
          <w:lang w:val="en-US"/>
        </w:rPr>
        <w:t xml:space="preserve"> </w:t>
      </w:r>
      <w:r w:rsidRPr="00B3230C">
        <w:rPr>
          <w:u w:val="single"/>
          <w:lang w:val="en-US"/>
        </w:rPr>
        <w:t>25</w:t>
      </w:r>
      <w:proofErr w:type="gramEnd"/>
      <w:r w:rsidRPr="00B3230C">
        <w:rPr>
          <w:u w:val="single"/>
          <w:lang w:val="en-US"/>
        </w:rPr>
        <w:t xml:space="preserve"> x 100</w:t>
      </w:r>
      <w:r w:rsidR="00CA4E50">
        <w:rPr>
          <w:lang w:val="en-US"/>
        </w:rPr>
        <w:t xml:space="preserve">     </w:t>
      </w:r>
      <w:r w:rsidRPr="00B3230C">
        <w:rPr>
          <w:lang w:val="en-US"/>
        </w:rPr>
        <w:t>x = 49%</w:t>
      </w:r>
    </w:p>
    <w:p w14:paraId="7259522E" w14:textId="561F2DCF" w:rsidR="00B3230C" w:rsidRPr="00B3230C" w:rsidRDefault="00CA4E50" w:rsidP="00B3230C">
      <w:pPr>
        <w:spacing w:line="240" w:lineRule="auto"/>
        <w:rPr>
          <w:lang w:val="en-US"/>
        </w:rPr>
      </w:pPr>
      <w:r>
        <w:rPr>
          <w:lang w:val="en-US"/>
        </w:rPr>
        <w:t xml:space="preserve">                            </w:t>
      </w:r>
      <w:r w:rsidR="00B3230C" w:rsidRPr="00B3230C">
        <w:rPr>
          <w:lang w:val="en-US"/>
        </w:rPr>
        <w:t xml:space="preserve"> X</w:t>
      </w:r>
    </w:p>
    <w:p w14:paraId="67B2A0C0" w14:textId="77777777" w:rsidR="00B3230C" w:rsidRPr="00B3230C" w:rsidRDefault="00B3230C" w:rsidP="00B3230C">
      <w:pPr>
        <w:spacing w:line="240" w:lineRule="auto"/>
        <w:rPr>
          <w:lang w:val="en-US"/>
        </w:rPr>
      </w:pPr>
    </w:p>
    <w:p w14:paraId="4ACDD146" w14:textId="77777777" w:rsidR="00B3230C" w:rsidRPr="00B3230C" w:rsidRDefault="00B3230C" w:rsidP="00B3230C">
      <w:pPr>
        <w:rPr>
          <w:lang w:val="en-US"/>
        </w:rPr>
      </w:pPr>
      <w:r w:rsidRPr="00B3230C">
        <w:rPr>
          <w:lang w:val="en-US"/>
        </w:rPr>
        <w:t>If we use the lowest value that can fall within the range of &gt;12.5 - &lt;50 mg/kg, the calculated LD 50 that would result in a PG II assignment would be 24.7%.</w:t>
      </w:r>
    </w:p>
    <w:p w14:paraId="54E23701" w14:textId="77777777" w:rsidR="00B3230C" w:rsidRPr="00B3230C" w:rsidRDefault="00B3230C" w:rsidP="00B3230C">
      <w:pPr>
        <w:rPr>
          <w:lang w:val="en-US"/>
        </w:rPr>
      </w:pPr>
    </w:p>
    <w:p w14:paraId="056513A2" w14:textId="05627A6A" w:rsidR="00B3230C" w:rsidRPr="00B3230C" w:rsidRDefault="00B3230C" w:rsidP="00B3230C">
      <w:pPr>
        <w:spacing w:line="240" w:lineRule="auto"/>
        <w:rPr>
          <w:lang w:val="en-US"/>
        </w:rPr>
      </w:pPr>
      <w:r w:rsidRPr="00B3230C">
        <w:rPr>
          <w:lang w:val="en-US"/>
        </w:rPr>
        <w:tab/>
      </w:r>
      <w:r w:rsidRPr="00B3230C">
        <w:rPr>
          <w:lang w:val="en-US"/>
        </w:rPr>
        <w:tab/>
        <w:t xml:space="preserve">51 mg/kg = </w:t>
      </w:r>
      <w:r w:rsidRPr="00B3230C">
        <w:rPr>
          <w:u w:val="single"/>
          <w:lang w:val="en-US"/>
        </w:rPr>
        <w:t>12.6 x 100</w:t>
      </w:r>
      <w:r w:rsidR="00CA4E50">
        <w:rPr>
          <w:lang w:val="en-US"/>
        </w:rPr>
        <w:t xml:space="preserve">     </w:t>
      </w:r>
      <w:r w:rsidRPr="00B3230C">
        <w:rPr>
          <w:lang w:val="en-US"/>
        </w:rPr>
        <w:t>x = 24.7%</w:t>
      </w:r>
    </w:p>
    <w:p w14:paraId="11AEE168" w14:textId="3BCAE6EC" w:rsidR="00B3230C" w:rsidRPr="00B3230C" w:rsidRDefault="00CA4E50" w:rsidP="00B3230C">
      <w:pPr>
        <w:spacing w:line="240" w:lineRule="auto"/>
        <w:rPr>
          <w:lang w:val="en-US"/>
        </w:rPr>
      </w:pPr>
      <w:r>
        <w:rPr>
          <w:lang w:val="en-US"/>
        </w:rPr>
        <w:t xml:space="preserve">                            </w:t>
      </w:r>
      <w:r w:rsidR="00B3230C" w:rsidRPr="00B3230C">
        <w:rPr>
          <w:lang w:val="en-US"/>
        </w:rPr>
        <w:t xml:space="preserve"> X</w:t>
      </w:r>
    </w:p>
    <w:p w14:paraId="7D0A050E" w14:textId="77777777" w:rsidR="00B3230C" w:rsidRPr="00B3230C" w:rsidRDefault="00B3230C" w:rsidP="00B3230C">
      <w:pPr>
        <w:spacing w:line="240" w:lineRule="auto"/>
        <w:rPr>
          <w:lang w:val="en-US"/>
        </w:rPr>
      </w:pPr>
    </w:p>
    <w:p w14:paraId="0470E5B9" w14:textId="77777777" w:rsidR="00B3230C" w:rsidRPr="00B3230C" w:rsidRDefault="00B3230C" w:rsidP="00B3230C">
      <w:pPr>
        <w:spacing w:line="240" w:lineRule="auto"/>
        <w:rPr>
          <w:lang w:val="en-US"/>
        </w:rPr>
      </w:pPr>
      <w:r w:rsidRPr="00B3230C">
        <w:rPr>
          <w:lang w:val="en-US"/>
        </w:rPr>
        <w:t xml:space="preserve">Using 12.6 mg/kg, we can calculate very conservatively that the PG II concentration would be at least 24.7%. However, we have 3 reliable dermal rat studies with 25% aqueous solutions of TMAH with the reported dermal LD50s above 50 mg/kg (&gt;50 – 200 mg/kg, 449.1 mg/kg and &gt;200 – 1000 mg/kg). </w:t>
      </w:r>
    </w:p>
    <w:p w14:paraId="7A299297" w14:textId="77777777" w:rsidR="00B3230C" w:rsidRPr="00B3230C" w:rsidRDefault="00B3230C" w:rsidP="00B3230C">
      <w:pPr>
        <w:spacing w:line="240" w:lineRule="auto"/>
        <w:rPr>
          <w:lang w:val="en-US"/>
        </w:rPr>
      </w:pPr>
    </w:p>
    <w:p w14:paraId="27E9A763" w14:textId="77777777" w:rsidR="00B3230C" w:rsidRPr="00B3230C" w:rsidRDefault="00B3230C" w:rsidP="00B3230C">
      <w:pPr>
        <w:spacing w:line="240" w:lineRule="auto"/>
        <w:rPr>
          <w:lang w:val="en-US"/>
        </w:rPr>
      </w:pPr>
      <w:r w:rsidRPr="00B3230C">
        <w:rPr>
          <w:lang w:val="en-US"/>
        </w:rPr>
        <w:t xml:space="preserve">Therefore, based on the both the calculation method in the TDG and reliable animal test data, we can conclude that an aqueous solution of TMAH with a concentration of 25% and lower would be assigned to packing group II. The actual concentration limit for PG I should fall somewhere between &gt;25-49%. </w:t>
      </w:r>
    </w:p>
    <w:p w14:paraId="49C7569C" w14:textId="77777777" w:rsidR="00B3230C" w:rsidRPr="00B3230C" w:rsidRDefault="00B3230C" w:rsidP="00B3230C">
      <w:pPr>
        <w:spacing w:line="240" w:lineRule="auto"/>
        <w:rPr>
          <w:lang w:val="en-US"/>
        </w:rPr>
      </w:pPr>
    </w:p>
    <w:p w14:paraId="7F5269BF" w14:textId="77777777" w:rsidR="00B3230C" w:rsidRPr="00B3230C" w:rsidRDefault="00B3230C" w:rsidP="00B3230C">
      <w:pPr>
        <w:spacing w:line="240" w:lineRule="auto"/>
        <w:rPr>
          <w:lang w:val="en-US"/>
        </w:rPr>
      </w:pPr>
      <w:r w:rsidRPr="00B3230C">
        <w:rPr>
          <w:lang w:val="en-US"/>
        </w:rPr>
        <w:t xml:space="preserve">Based on this analysis using the reliable animal data, the calculation would suggest that aqueous solutions of TMAH should be classified as follows: </w:t>
      </w:r>
    </w:p>
    <w:p w14:paraId="17AFC4BE" w14:textId="77777777" w:rsidR="00B3230C" w:rsidRPr="00B3230C" w:rsidRDefault="00B3230C" w:rsidP="00B3230C">
      <w:pPr>
        <w:spacing w:line="240" w:lineRule="auto"/>
        <w:jc w:val="center"/>
        <w:rPr>
          <w:lang w:val="en-US"/>
        </w:rPr>
      </w:pPr>
      <w:r w:rsidRPr="00B3230C">
        <w:rPr>
          <w:lang w:val="en-US"/>
        </w:rPr>
        <w:t>&gt;25% PG I, 6.25 - 25% PG II and &gt;2.5 - &lt;6.25% PG III.</w:t>
      </w:r>
    </w:p>
    <w:p w14:paraId="4D1B6658" w14:textId="77777777" w:rsidR="00B3230C" w:rsidRPr="00B3230C" w:rsidRDefault="00B3230C" w:rsidP="00B3230C">
      <w:pPr>
        <w:spacing w:line="240" w:lineRule="auto"/>
        <w:rPr>
          <w:lang w:val="en-US"/>
        </w:rPr>
      </w:pPr>
    </w:p>
    <w:p w14:paraId="2F321616" w14:textId="77777777" w:rsidR="00B3230C" w:rsidRPr="00B3230C" w:rsidRDefault="00B3230C" w:rsidP="00B3230C">
      <w:pPr>
        <w:spacing w:line="240" w:lineRule="auto"/>
        <w:rPr>
          <w:lang w:val="en-US"/>
        </w:rPr>
      </w:pPr>
      <w:r w:rsidRPr="00B3230C">
        <w:rPr>
          <w:lang w:val="en-US"/>
        </w:rPr>
        <w:t>However, since we have reliable LD50 data on a 2.5% aqueous TMAH solution of 1000-2000 mg/kg, which would not result in classification as 6.1, a higher concentration limit for packing group 3 may be more appropriate.</w:t>
      </w:r>
    </w:p>
    <w:p w14:paraId="2F8614D9" w14:textId="77777777" w:rsidR="00B3230C" w:rsidRPr="00B3230C" w:rsidRDefault="00B3230C" w:rsidP="00B3230C">
      <w:pPr>
        <w:spacing w:line="240" w:lineRule="auto"/>
        <w:rPr>
          <w:lang w:val="en-US"/>
        </w:rPr>
      </w:pPr>
    </w:p>
    <w:p w14:paraId="45DA8DEA" w14:textId="77777777" w:rsidR="00B3230C" w:rsidRDefault="00B3230C" w:rsidP="00B3230C">
      <w:pPr>
        <w:spacing w:line="240" w:lineRule="auto"/>
      </w:pPr>
      <w:proofErr w:type="spellStart"/>
      <w:r>
        <w:t>Respectfully</w:t>
      </w:r>
      <w:proofErr w:type="spellEnd"/>
      <w:r>
        <w:t xml:space="preserve"> </w:t>
      </w:r>
      <w:proofErr w:type="spellStart"/>
      <w:proofErr w:type="gramStart"/>
      <w:r>
        <w:t>Submitted</w:t>
      </w:r>
      <w:proofErr w:type="spellEnd"/>
      <w:r>
        <w:t>;</w:t>
      </w:r>
      <w:proofErr w:type="gramEnd"/>
    </w:p>
    <w:p w14:paraId="6C8335FA" w14:textId="77777777" w:rsidR="00B3230C" w:rsidRDefault="00B3230C" w:rsidP="00B3230C">
      <w:pPr>
        <w:spacing w:line="240" w:lineRule="auto"/>
      </w:pPr>
    </w:p>
    <w:p w14:paraId="00BAAE36" w14:textId="77777777" w:rsidR="00B3230C" w:rsidRDefault="00B3230C" w:rsidP="00B3230C">
      <w:pPr>
        <w:spacing w:line="240" w:lineRule="auto"/>
      </w:pPr>
      <w:r>
        <w:rPr>
          <w:noProof/>
        </w:rPr>
        <w:drawing>
          <wp:inline distT="0" distB="0" distL="0" distR="0" wp14:anchorId="6FDC319A" wp14:editId="6D67E09F">
            <wp:extent cx="2124075" cy="327568"/>
            <wp:effectExtent l="0" t="0" r="0" b="0"/>
            <wp:docPr id="4" name="Picture 4"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sect&#10;&#10;Description automatically generated"/>
                    <pic:cNvPicPr/>
                  </pic:nvPicPr>
                  <pic:blipFill>
                    <a:blip r:embed="rId10">
                      <a:clrChange>
                        <a:clrFrom>
                          <a:srgbClr val="FFFFFF"/>
                        </a:clrFrom>
                        <a:clrTo>
                          <a:srgbClr val="FFFFFF">
                            <a:alpha val="0"/>
                          </a:srgbClr>
                        </a:clrTo>
                      </a:clrChange>
                    </a:blip>
                    <a:stretch>
                      <a:fillRect/>
                    </a:stretch>
                  </pic:blipFill>
                  <pic:spPr>
                    <a:xfrm>
                      <a:off x="0" y="0"/>
                      <a:ext cx="2158454" cy="332870"/>
                    </a:xfrm>
                    <a:prstGeom prst="rect">
                      <a:avLst/>
                    </a:prstGeom>
                  </pic:spPr>
                </pic:pic>
              </a:graphicData>
            </a:graphic>
          </wp:inline>
        </w:drawing>
      </w:r>
    </w:p>
    <w:p w14:paraId="14BA00CC" w14:textId="77777777" w:rsidR="00B3230C" w:rsidRDefault="00B3230C" w:rsidP="00B3230C">
      <w:pPr>
        <w:spacing w:line="240" w:lineRule="auto"/>
      </w:pPr>
    </w:p>
    <w:p w14:paraId="3EBD47E9" w14:textId="77777777" w:rsidR="00B3230C" w:rsidRPr="00B3230C" w:rsidRDefault="00B3230C" w:rsidP="00B3230C">
      <w:pPr>
        <w:spacing w:line="240" w:lineRule="auto"/>
        <w:rPr>
          <w:lang w:val="en-US"/>
        </w:rPr>
      </w:pPr>
      <w:r w:rsidRPr="00B3230C">
        <w:rPr>
          <w:lang w:val="en-US"/>
        </w:rPr>
        <w:t>Denese A. Deeds, CIH, FAIHA, SDSRP</w:t>
      </w:r>
    </w:p>
    <w:p w14:paraId="7E7C84A7" w14:textId="77777777" w:rsidR="00B3230C" w:rsidRPr="00B3230C" w:rsidRDefault="00B3230C" w:rsidP="00B3230C">
      <w:pPr>
        <w:spacing w:line="240" w:lineRule="auto"/>
        <w:rPr>
          <w:lang w:val="en-US"/>
        </w:rPr>
      </w:pPr>
      <w:r w:rsidRPr="00B3230C">
        <w:rPr>
          <w:lang w:val="en-US"/>
        </w:rPr>
        <w:t>Senior Consultant</w:t>
      </w:r>
    </w:p>
    <w:p w14:paraId="09F9FC73" w14:textId="77777777" w:rsidR="00B3230C" w:rsidRPr="00B3230C" w:rsidRDefault="00B3230C" w:rsidP="00B3230C">
      <w:pPr>
        <w:pStyle w:val="HChG"/>
        <w:tabs>
          <w:tab w:val="left" w:pos="6804"/>
        </w:tabs>
        <w:rPr>
          <w:b w:val="0"/>
          <w:bCs/>
          <w:lang w:val="en-US"/>
        </w:rPr>
      </w:pPr>
      <w:r w:rsidRPr="00B3230C">
        <w:rPr>
          <w:lang w:val="en-US"/>
        </w:rPr>
        <w:lastRenderedPageBreak/>
        <w:t>Annex II</w:t>
      </w:r>
      <w:r w:rsidRPr="00B3230C">
        <w:rPr>
          <w:lang w:val="en-US"/>
        </w:rPr>
        <w:tab/>
      </w:r>
      <w:r w:rsidRPr="00B3230C">
        <w:rPr>
          <w:lang w:val="en-US"/>
        </w:rPr>
        <w:tab/>
      </w:r>
      <w:r w:rsidRPr="00B3230C">
        <w:rPr>
          <w:b w:val="0"/>
          <w:bCs/>
          <w:lang w:val="en-US"/>
        </w:rPr>
        <w:t>[English only]</w:t>
      </w:r>
    </w:p>
    <w:p w14:paraId="56566BF7" w14:textId="77777777" w:rsidR="00B3230C" w:rsidRDefault="00B3230C" w:rsidP="00B3230C">
      <w:pPr>
        <w:spacing w:line="240" w:lineRule="auto"/>
        <w:rPr>
          <w:lang w:val="en-US"/>
        </w:rPr>
      </w:pPr>
    </w:p>
    <w:p w14:paraId="4C78D8AB" w14:textId="77777777" w:rsidR="00B3230C" w:rsidRDefault="00B3230C" w:rsidP="00B3230C">
      <w:pPr>
        <w:spacing w:line="240" w:lineRule="auto"/>
        <w:rPr>
          <w:lang w:val="en-US"/>
        </w:rPr>
      </w:pPr>
      <w:r w:rsidRPr="005B3AA7">
        <w:rPr>
          <w:noProof/>
          <w:lang w:val="en-US"/>
        </w:rPr>
        <w:drawing>
          <wp:inline distT="0" distB="0" distL="0" distR="0" wp14:anchorId="45212162" wp14:editId="230A7C8D">
            <wp:extent cx="5925377" cy="8306959"/>
            <wp:effectExtent l="0" t="0" r="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1"/>
                    <a:stretch>
                      <a:fillRect/>
                    </a:stretch>
                  </pic:blipFill>
                  <pic:spPr>
                    <a:xfrm>
                      <a:off x="0" y="0"/>
                      <a:ext cx="5925377" cy="8306959"/>
                    </a:xfrm>
                    <a:prstGeom prst="rect">
                      <a:avLst/>
                    </a:prstGeom>
                  </pic:spPr>
                </pic:pic>
              </a:graphicData>
            </a:graphic>
          </wp:inline>
        </w:drawing>
      </w:r>
    </w:p>
    <w:p w14:paraId="531CEE36" w14:textId="77777777" w:rsidR="00B3230C" w:rsidRDefault="00B3230C" w:rsidP="00B3230C">
      <w:pPr>
        <w:suppressAutoHyphens w:val="0"/>
        <w:kinsoku/>
        <w:overflowPunct/>
        <w:autoSpaceDE/>
        <w:autoSpaceDN/>
        <w:adjustRightInd/>
        <w:snapToGrid/>
        <w:spacing w:after="200" w:line="276" w:lineRule="auto"/>
        <w:rPr>
          <w:b/>
          <w:bCs/>
        </w:rPr>
      </w:pPr>
      <w:r>
        <w:rPr>
          <w:b/>
          <w:bCs/>
        </w:rPr>
        <w:br w:type="page"/>
      </w:r>
    </w:p>
    <w:p w14:paraId="17EB8282" w14:textId="77777777" w:rsidR="00B3230C" w:rsidRDefault="00B3230C" w:rsidP="00B3230C">
      <w:pPr>
        <w:spacing w:line="240" w:lineRule="auto"/>
        <w:rPr>
          <w:lang w:val="en-US"/>
        </w:rPr>
      </w:pPr>
    </w:p>
    <w:p w14:paraId="40FA767D" w14:textId="77777777" w:rsidR="00B3230C" w:rsidRDefault="00B3230C" w:rsidP="00B3230C">
      <w:pPr>
        <w:spacing w:line="240" w:lineRule="auto"/>
        <w:rPr>
          <w:lang w:val="en-US"/>
        </w:rPr>
      </w:pPr>
      <w:r w:rsidRPr="005B3AA7">
        <w:rPr>
          <w:noProof/>
          <w:lang w:val="en-US"/>
        </w:rPr>
        <w:drawing>
          <wp:inline distT="0" distB="0" distL="0" distR="0" wp14:anchorId="6458FFCB" wp14:editId="4559EF07">
            <wp:extent cx="5925377" cy="8306959"/>
            <wp:effectExtent l="0" t="0" r="0"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1"/>
                    <a:stretch>
                      <a:fillRect/>
                    </a:stretch>
                  </pic:blipFill>
                  <pic:spPr>
                    <a:xfrm>
                      <a:off x="0" y="0"/>
                      <a:ext cx="5925377" cy="8306959"/>
                    </a:xfrm>
                    <a:prstGeom prst="rect">
                      <a:avLst/>
                    </a:prstGeom>
                  </pic:spPr>
                </pic:pic>
              </a:graphicData>
            </a:graphic>
          </wp:inline>
        </w:drawing>
      </w:r>
    </w:p>
    <w:p w14:paraId="63A07B44" w14:textId="77777777" w:rsidR="00B3230C" w:rsidRDefault="00B3230C" w:rsidP="00B3230C">
      <w:pPr>
        <w:suppressAutoHyphens w:val="0"/>
        <w:kinsoku/>
        <w:overflowPunct/>
        <w:autoSpaceDE/>
        <w:autoSpaceDN/>
        <w:adjustRightInd/>
        <w:snapToGrid/>
        <w:spacing w:after="200" w:line="276" w:lineRule="auto"/>
        <w:rPr>
          <w:b/>
          <w:bCs/>
        </w:rPr>
      </w:pPr>
      <w:r>
        <w:rPr>
          <w:b/>
          <w:bCs/>
        </w:rPr>
        <w:br w:type="page"/>
      </w:r>
    </w:p>
    <w:p w14:paraId="1EA5C216" w14:textId="77777777" w:rsidR="00B3230C" w:rsidRDefault="00B3230C" w:rsidP="00B3230C">
      <w:pPr>
        <w:spacing w:line="240" w:lineRule="auto"/>
        <w:rPr>
          <w:lang w:val="en-US"/>
        </w:rPr>
      </w:pPr>
      <w:r w:rsidRPr="005B3AA7">
        <w:rPr>
          <w:noProof/>
          <w:lang w:val="en-US"/>
        </w:rPr>
        <w:lastRenderedPageBreak/>
        <w:drawing>
          <wp:inline distT="0" distB="0" distL="0" distR="0" wp14:anchorId="2633C90B" wp14:editId="2BB47B3F">
            <wp:extent cx="5868219" cy="8306959"/>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2"/>
                    <a:stretch>
                      <a:fillRect/>
                    </a:stretch>
                  </pic:blipFill>
                  <pic:spPr>
                    <a:xfrm>
                      <a:off x="0" y="0"/>
                      <a:ext cx="5868219" cy="8306959"/>
                    </a:xfrm>
                    <a:prstGeom prst="rect">
                      <a:avLst/>
                    </a:prstGeom>
                  </pic:spPr>
                </pic:pic>
              </a:graphicData>
            </a:graphic>
          </wp:inline>
        </w:drawing>
      </w:r>
    </w:p>
    <w:p w14:paraId="58138C6C" w14:textId="77777777" w:rsidR="00B3230C" w:rsidRDefault="00B3230C" w:rsidP="00B3230C">
      <w:pPr>
        <w:suppressAutoHyphens w:val="0"/>
        <w:kinsoku/>
        <w:overflowPunct/>
        <w:autoSpaceDE/>
        <w:autoSpaceDN/>
        <w:adjustRightInd/>
        <w:snapToGrid/>
        <w:spacing w:after="200" w:line="276" w:lineRule="auto"/>
        <w:rPr>
          <w:b/>
          <w:bCs/>
        </w:rPr>
      </w:pPr>
      <w:r>
        <w:rPr>
          <w:b/>
          <w:bCs/>
        </w:rPr>
        <w:br w:type="page"/>
      </w:r>
    </w:p>
    <w:p w14:paraId="00FF018D" w14:textId="77777777" w:rsidR="00B3230C" w:rsidRDefault="00B3230C" w:rsidP="00B3230C">
      <w:pPr>
        <w:spacing w:line="240" w:lineRule="auto"/>
        <w:rPr>
          <w:lang w:val="en-US"/>
        </w:rPr>
      </w:pPr>
      <w:r w:rsidRPr="00490664">
        <w:rPr>
          <w:noProof/>
          <w:lang w:val="en-US"/>
        </w:rPr>
        <w:lastRenderedPageBreak/>
        <w:drawing>
          <wp:inline distT="0" distB="0" distL="0" distR="0" wp14:anchorId="45E8E7F8" wp14:editId="1317E4E5">
            <wp:extent cx="5858693" cy="8316486"/>
            <wp:effectExtent l="0" t="0" r="8890" b="8890"/>
            <wp:docPr id="8" name="Picture 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with medium confidence"/>
                    <pic:cNvPicPr/>
                  </pic:nvPicPr>
                  <pic:blipFill>
                    <a:blip r:embed="rId13"/>
                    <a:stretch>
                      <a:fillRect/>
                    </a:stretch>
                  </pic:blipFill>
                  <pic:spPr>
                    <a:xfrm>
                      <a:off x="0" y="0"/>
                      <a:ext cx="5858693" cy="8316486"/>
                    </a:xfrm>
                    <a:prstGeom prst="rect">
                      <a:avLst/>
                    </a:prstGeom>
                  </pic:spPr>
                </pic:pic>
              </a:graphicData>
            </a:graphic>
          </wp:inline>
        </w:drawing>
      </w:r>
    </w:p>
    <w:p w14:paraId="51EB2A6E" w14:textId="77777777" w:rsidR="00B3230C" w:rsidRDefault="00B3230C" w:rsidP="00B3230C">
      <w:pPr>
        <w:suppressAutoHyphens w:val="0"/>
        <w:kinsoku/>
        <w:overflowPunct/>
        <w:autoSpaceDE/>
        <w:autoSpaceDN/>
        <w:adjustRightInd/>
        <w:snapToGrid/>
        <w:spacing w:after="200" w:line="276" w:lineRule="auto"/>
        <w:rPr>
          <w:b/>
          <w:bCs/>
        </w:rPr>
      </w:pPr>
      <w:r>
        <w:rPr>
          <w:b/>
          <w:bCs/>
        </w:rPr>
        <w:br w:type="page"/>
      </w:r>
    </w:p>
    <w:p w14:paraId="45C79E3F" w14:textId="77777777" w:rsidR="00B3230C" w:rsidRDefault="00B3230C" w:rsidP="00B3230C">
      <w:pPr>
        <w:spacing w:line="240" w:lineRule="auto"/>
        <w:rPr>
          <w:lang w:val="en-US"/>
        </w:rPr>
      </w:pPr>
      <w:r w:rsidRPr="00F57B49">
        <w:rPr>
          <w:noProof/>
          <w:lang w:val="en-US"/>
        </w:rPr>
        <w:lastRenderedPageBreak/>
        <w:drawing>
          <wp:inline distT="0" distB="0" distL="0" distR="0" wp14:anchorId="16B4E9D4" wp14:editId="357B2C2E">
            <wp:extent cx="5934903" cy="8354591"/>
            <wp:effectExtent l="0" t="0" r="8890" b="889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14"/>
                    <a:stretch>
                      <a:fillRect/>
                    </a:stretch>
                  </pic:blipFill>
                  <pic:spPr>
                    <a:xfrm>
                      <a:off x="0" y="0"/>
                      <a:ext cx="5934903" cy="8354591"/>
                    </a:xfrm>
                    <a:prstGeom prst="rect">
                      <a:avLst/>
                    </a:prstGeom>
                  </pic:spPr>
                </pic:pic>
              </a:graphicData>
            </a:graphic>
          </wp:inline>
        </w:drawing>
      </w:r>
    </w:p>
    <w:p w14:paraId="160EA57D" w14:textId="77777777" w:rsidR="00B3230C" w:rsidRDefault="00B3230C" w:rsidP="00B3230C">
      <w:pPr>
        <w:suppressAutoHyphens w:val="0"/>
        <w:kinsoku/>
        <w:overflowPunct/>
        <w:autoSpaceDE/>
        <w:autoSpaceDN/>
        <w:adjustRightInd/>
        <w:snapToGrid/>
        <w:spacing w:after="200" w:line="276" w:lineRule="auto"/>
        <w:rPr>
          <w:b/>
          <w:bCs/>
        </w:rPr>
      </w:pPr>
      <w:r>
        <w:rPr>
          <w:b/>
          <w:bCs/>
        </w:rPr>
        <w:br w:type="page"/>
      </w:r>
    </w:p>
    <w:p w14:paraId="4AEF74A4" w14:textId="77777777" w:rsidR="00B3230C" w:rsidRDefault="00B3230C" w:rsidP="00B3230C">
      <w:pPr>
        <w:spacing w:line="240" w:lineRule="auto"/>
        <w:rPr>
          <w:lang w:val="en-US"/>
        </w:rPr>
      </w:pPr>
      <w:r w:rsidRPr="00E908D1">
        <w:rPr>
          <w:noProof/>
          <w:lang w:val="en-US"/>
        </w:rPr>
        <w:lastRenderedPageBreak/>
        <w:drawing>
          <wp:inline distT="0" distB="0" distL="0" distR="0" wp14:anchorId="515AA319" wp14:editId="1D2FCD60">
            <wp:extent cx="5858693" cy="8326012"/>
            <wp:effectExtent l="0" t="0" r="8890" b="0"/>
            <wp:docPr id="10" name="Picture 1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a:blip r:embed="rId15"/>
                    <a:stretch>
                      <a:fillRect/>
                    </a:stretch>
                  </pic:blipFill>
                  <pic:spPr>
                    <a:xfrm>
                      <a:off x="0" y="0"/>
                      <a:ext cx="5858693" cy="8326012"/>
                    </a:xfrm>
                    <a:prstGeom prst="rect">
                      <a:avLst/>
                    </a:prstGeom>
                  </pic:spPr>
                </pic:pic>
              </a:graphicData>
            </a:graphic>
          </wp:inline>
        </w:drawing>
      </w:r>
    </w:p>
    <w:p w14:paraId="5F5A9550" w14:textId="77777777" w:rsidR="00B3230C" w:rsidRDefault="00B3230C" w:rsidP="00B3230C">
      <w:pPr>
        <w:suppressAutoHyphens w:val="0"/>
        <w:kinsoku/>
        <w:overflowPunct/>
        <w:autoSpaceDE/>
        <w:autoSpaceDN/>
        <w:adjustRightInd/>
        <w:snapToGrid/>
        <w:spacing w:after="200" w:line="276" w:lineRule="auto"/>
        <w:rPr>
          <w:b/>
          <w:bCs/>
        </w:rPr>
      </w:pPr>
      <w:r>
        <w:rPr>
          <w:b/>
          <w:bCs/>
        </w:rPr>
        <w:br w:type="page"/>
      </w:r>
    </w:p>
    <w:p w14:paraId="311F00D2" w14:textId="77777777" w:rsidR="00B3230C" w:rsidRDefault="00B3230C" w:rsidP="00B3230C">
      <w:pPr>
        <w:spacing w:line="240" w:lineRule="auto"/>
        <w:rPr>
          <w:lang w:val="en-US"/>
        </w:rPr>
      </w:pPr>
      <w:r w:rsidRPr="003A0265">
        <w:rPr>
          <w:noProof/>
          <w:lang w:val="en-US"/>
        </w:rPr>
        <w:lastRenderedPageBreak/>
        <w:drawing>
          <wp:inline distT="0" distB="0" distL="0" distR="0" wp14:anchorId="4DE6A6CE" wp14:editId="2499F8E4">
            <wp:extent cx="5887272" cy="8316486"/>
            <wp:effectExtent l="0" t="0" r="0" b="889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6"/>
                    <a:stretch>
                      <a:fillRect/>
                    </a:stretch>
                  </pic:blipFill>
                  <pic:spPr>
                    <a:xfrm>
                      <a:off x="0" y="0"/>
                      <a:ext cx="5887272" cy="8316486"/>
                    </a:xfrm>
                    <a:prstGeom prst="rect">
                      <a:avLst/>
                    </a:prstGeom>
                  </pic:spPr>
                </pic:pic>
              </a:graphicData>
            </a:graphic>
          </wp:inline>
        </w:drawing>
      </w:r>
    </w:p>
    <w:p w14:paraId="0D6F3B34" w14:textId="77777777" w:rsidR="00B3230C" w:rsidRDefault="00B3230C" w:rsidP="00B3230C">
      <w:pPr>
        <w:suppressAutoHyphens w:val="0"/>
        <w:kinsoku/>
        <w:overflowPunct/>
        <w:autoSpaceDE/>
        <w:autoSpaceDN/>
        <w:adjustRightInd/>
        <w:snapToGrid/>
        <w:spacing w:after="200" w:line="276" w:lineRule="auto"/>
        <w:rPr>
          <w:b/>
          <w:bCs/>
        </w:rPr>
      </w:pPr>
      <w:r>
        <w:rPr>
          <w:b/>
          <w:bCs/>
        </w:rPr>
        <w:br w:type="page"/>
      </w:r>
    </w:p>
    <w:p w14:paraId="7F3EF53B" w14:textId="77777777" w:rsidR="00B3230C" w:rsidRDefault="00B3230C" w:rsidP="00B3230C">
      <w:pPr>
        <w:spacing w:line="240" w:lineRule="auto"/>
        <w:rPr>
          <w:lang w:val="en-US"/>
        </w:rPr>
      </w:pPr>
      <w:r w:rsidRPr="003C3C89">
        <w:rPr>
          <w:noProof/>
          <w:lang w:val="en-US"/>
        </w:rPr>
        <w:lastRenderedPageBreak/>
        <w:drawing>
          <wp:inline distT="0" distB="0" distL="0" distR="0" wp14:anchorId="41EE0451" wp14:editId="632867D2">
            <wp:extent cx="5877745" cy="8345065"/>
            <wp:effectExtent l="0" t="0" r="889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7"/>
                    <a:stretch>
                      <a:fillRect/>
                    </a:stretch>
                  </pic:blipFill>
                  <pic:spPr>
                    <a:xfrm>
                      <a:off x="0" y="0"/>
                      <a:ext cx="5877745" cy="8345065"/>
                    </a:xfrm>
                    <a:prstGeom prst="rect">
                      <a:avLst/>
                    </a:prstGeom>
                  </pic:spPr>
                </pic:pic>
              </a:graphicData>
            </a:graphic>
          </wp:inline>
        </w:drawing>
      </w:r>
    </w:p>
    <w:p w14:paraId="2D52D33E" w14:textId="77777777" w:rsidR="00B3230C" w:rsidRDefault="00B3230C" w:rsidP="00B3230C">
      <w:pPr>
        <w:suppressAutoHyphens w:val="0"/>
        <w:kinsoku/>
        <w:overflowPunct/>
        <w:autoSpaceDE/>
        <w:autoSpaceDN/>
        <w:adjustRightInd/>
        <w:snapToGrid/>
        <w:spacing w:after="200" w:line="276" w:lineRule="auto"/>
        <w:rPr>
          <w:b/>
          <w:bCs/>
        </w:rPr>
      </w:pPr>
      <w:r>
        <w:rPr>
          <w:b/>
          <w:bCs/>
        </w:rPr>
        <w:br w:type="page"/>
      </w:r>
    </w:p>
    <w:p w14:paraId="5D7EC046" w14:textId="77777777" w:rsidR="00B3230C" w:rsidRDefault="00B3230C" w:rsidP="00B3230C">
      <w:pPr>
        <w:spacing w:line="240" w:lineRule="auto"/>
        <w:rPr>
          <w:lang w:val="en-US"/>
        </w:rPr>
      </w:pPr>
      <w:r w:rsidRPr="001E0D28">
        <w:rPr>
          <w:noProof/>
          <w:lang w:val="en-US"/>
        </w:rPr>
        <w:lastRenderedPageBreak/>
        <w:drawing>
          <wp:inline distT="0" distB="0" distL="0" distR="0" wp14:anchorId="2023DFAC" wp14:editId="1B48910B">
            <wp:extent cx="5868219" cy="8345065"/>
            <wp:effectExtent l="0" t="0" r="0" b="0"/>
            <wp:docPr id="13" name="Picture 1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with medium confidence"/>
                    <pic:cNvPicPr/>
                  </pic:nvPicPr>
                  <pic:blipFill>
                    <a:blip r:embed="rId18"/>
                    <a:stretch>
                      <a:fillRect/>
                    </a:stretch>
                  </pic:blipFill>
                  <pic:spPr>
                    <a:xfrm>
                      <a:off x="0" y="0"/>
                      <a:ext cx="5868219" cy="8345065"/>
                    </a:xfrm>
                    <a:prstGeom prst="rect">
                      <a:avLst/>
                    </a:prstGeom>
                  </pic:spPr>
                </pic:pic>
              </a:graphicData>
            </a:graphic>
          </wp:inline>
        </w:drawing>
      </w:r>
    </w:p>
    <w:p w14:paraId="62A31398" w14:textId="77777777" w:rsidR="00B3230C" w:rsidRDefault="00B3230C" w:rsidP="00B3230C">
      <w:pPr>
        <w:suppressAutoHyphens w:val="0"/>
        <w:kinsoku/>
        <w:overflowPunct/>
        <w:autoSpaceDE/>
        <w:autoSpaceDN/>
        <w:adjustRightInd/>
        <w:snapToGrid/>
        <w:spacing w:after="200" w:line="276" w:lineRule="auto"/>
        <w:rPr>
          <w:b/>
          <w:bCs/>
        </w:rPr>
      </w:pPr>
      <w:r>
        <w:rPr>
          <w:b/>
          <w:bCs/>
        </w:rPr>
        <w:br w:type="page"/>
      </w:r>
    </w:p>
    <w:p w14:paraId="2533AA14" w14:textId="77777777" w:rsidR="00B3230C" w:rsidRDefault="00B3230C" w:rsidP="00B3230C">
      <w:pPr>
        <w:spacing w:line="240" w:lineRule="auto"/>
        <w:rPr>
          <w:lang w:val="en-US"/>
        </w:rPr>
      </w:pPr>
      <w:r w:rsidRPr="0095761F">
        <w:rPr>
          <w:noProof/>
          <w:lang w:val="en-US"/>
        </w:rPr>
        <w:lastRenderedPageBreak/>
        <w:drawing>
          <wp:inline distT="0" distB="0" distL="0" distR="0" wp14:anchorId="49F11861" wp14:editId="414122B8">
            <wp:extent cx="5849166" cy="8306959"/>
            <wp:effectExtent l="0" t="0" r="0" b="0"/>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19"/>
                    <a:stretch>
                      <a:fillRect/>
                    </a:stretch>
                  </pic:blipFill>
                  <pic:spPr>
                    <a:xfrm>
                      <a:off x="0" y="0"/>
                      <a:ext cx="5849166" cy="8306959"/>
                    </a:xfrm>
                    <a:prstGeom prst="rect">
                      <a:avLst/>
                    </a:prstGeom>
                  </pic:spPr>
                </pic:pic>
              </a:graphicData>
            </a:graphic>
          </wp:inline>
        </w:drawing>
      </w:r>
    </w:p>
    <w:p w14:paraId="4A107E68" w14:textId="77777777" w:rsidR="00B3230C" w:rsidRDefault="00B3230C" w:rsidP="00B3230C">
      <w:pPr>
        <w:suppressAutoHyphens w:val="0"/>
        <w:kinsoku/>
        <w:overflowPunct/>
        <w:autoSpaceDE/>
        <w:autoSpaceDN/>
        <w:adjustRightInd/>
        <w:snapToGrid/>
        <w:spacing w:after="200" w:line="276" w:lineRule="auto"/>
        <w:rPr>
          <w:b/>
          <w:bCs/>
        </w:rPr>
      </w:pPr>
      <w:r>
        <w:rPr>
          <w:b/>
          <w:bCs/>
        </w:rPr>
        <w:br w:type="page"/>
      </w:r>
    </w:p>
    <w:p w14:paraId="75CE3E02" w14:textId="77777777" w:rsidR="00B3230C" w:rsidRDefault="00B3230C" w:rsidP="00B3230C">
      <w:pPr>
        <w:spacing w:line="240" w:lineRule="auto"/>
        <w:rPr>
          <w:lang w:val="en-US"/>
        </w:rPr>
      </w:pPr>
      <w:r w:rsidRPr="00826C31">
        <w:rPr>
          <w:noProof/>
          <w:lang w:val="en-US"/>
        </w:rPr>
        <w:lastRenderedPageBreak/>
        <w:drawing>
          <wp:inline distT="0" distB="0" distL="0" distR="0" wp14:anchorId="7ADDD2BE" wp14:editId="2AEAC46D">
            <wp:extent cx="5887272" cy="8326012"/>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20"/>
                    <a:stretch>
                      <a:fillRect/>
                    </a:stretch>
                  </pic:blipFill>
                  <pic:spPr>
                    <a:xfrm>
                      <a:off x="0" y="0"/>
                      <a:ext cx="5887272" cy="8326012"/>
                    </a:xfrm>
                    <a:prstGeom prst="rect">
                      <a:avLst/>
                    </a:prstGeom>
                  </pic:spPr>
                </pic:pic>
              </a:graphicData>
            </a:graphic>
          </wp:inline>
        </w:drawing>
      </w:r>
    </w:p>
    <w:p w14:paraId="042DD7F4" w14:textId="77777777" w:rsidR="00B3230C" w:rsidRDefault="00B3230C" w:rsidP="00B3230C">
      <w:pPr>
        <w:suppressAutoHyphens w:val="0"/>
        <w:kinsoku/>
        <w:overflowPunct/>
        <w:autoSpaceDE/>
        <w:autoSpaceDN/>
        <w:adjustRightInd/>
        <w:snapToGrid/>
        <w:spacing w:after="200" w:line="276" w:lineRule="auto"/>
        <w:rPr>
          <w:b/>
          <w:bCs/>
        </w:rPr>
      </w:pPr>
      <w:r>
        <w:rPr>
          <w:b/>
          <w:bCs/>
        </w:rPr>
        <w:br w:type="page"/>
      </w:r>
    </w:p>
    <w:p w14:paraId="6DC25D9E" w14:textId="77777777" w:rsidR="00B3230C" w:rsidRDefault="00B3230C" w:rsidP="00B3230C">
      <w:pPr>
        <w:spacing w:line="240" w:lineRule="auto"/>
        <w:rPr>
          <w:lang w:val="en-US"/>
        </w:rPr>
      </w:pPr>
      <w:r w:rsidRPr="00865713">
        <w:rPr>
          <w:noProof/>
          <w:lang w:val="en-US"/>
        </w:rPr>
        <w:lastRenderedPageBreak/>
        <w:drawing>
          <wp:inline distT="0" distB="0" distL="0" distR="0" wp14:anchorId="0B7E57C0" wp14:editId="08F9258A">
            <wp:extent cx="5896798" cy="8326012"/>
            <wp:effectExtent l="0" t="0" r="8890" b="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pic:nvPicPr>
                  <pic:blipFill>
                    <a:blip r:embed="rId21"/>
                    <a:stretch>
                      <a:fillRect/>
                    </a:stretch>
                  </pic:blipFill>
                  <pic:spPr>
                    <a:xfrm>
                      <a:off x="0" y="0"/>
                      <a:ext cx="5896798" cy="8326012"/>
                    </a:xfrm>
                    <a:prstGeom prst="rect">
                      <a:avLst/>
                    </a:prstGeom>
                  </pic:spPr>
                </pic:pic>
              </a:graphicData>
            </a:graphic>
          </wp:inline>
        </w:drawing>
      </w:r>
    </w:p>
    <w:p w14:paraId="548E5628" w14:textId="77777777" w:rsidR="00B3230C" w:rsidRDefault="00B3230C" w:rsidP="00B3230C">
      <w:pPr>
        <w:suppressAutoHyphens w:val="0"/>
        <w:kinsoku/>
        <w:overflowPunct/>
        <w:autoSpaceDE/>
        <w:autoSpaceDN/>
        <w:adjustRightInd/>
        <w:snapToGrid/>
        <w:spacing w:after="200" w:line="276" w:lineRule="auto"/>
        <w:rPr>
          <w:b/>
          <w:bCs/>
        </w:rPr>
      </w:pPr>
      <w:r>
        <w:rPr>
          <w:b/>
          <w:bCs/>
        </w:rPr>
        <w:br w:type="page"/>
      </w:r>
    </w:p>
    <w:p w14:paraId="738C1BC3" w14:textId="77777777" w:rsidR="00B3230C" w:rsidRDefault="00B3230C" w:rsidP="00B3230C">
      <w:pPr>
        <w:spacing w:line="240" w:lineRule="auto"/>
        <w:rPr>
          <w:lang w:val="en-US"/>
        </w:rPr>
      </w:pPr>
      <w:r w:rsidRPr="00C329D9">
        <w:rPr>
          <w:noProof/>
          <w:lang w:val="en-US"/>
        </w:rPr>
        <w:lastRenderedPageBreak/>
        <w:drawing>
          <wp:inline distT="0" distB="0" distL="0" distR="0" wp14:anchorId="5921C8DE" wp14:editId="0023CD29">
            <wp:extent cx="5877745" cy="8335538"/>
            <wp:effectExtent l="0" t="0" r="8890" b="889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22"/>
                    <a:stretch>
                      <a:fillRect/>
                    </a:stretch>
                  </pic:blipFill>
                  <pic:spPr>
                    <a:xfrm>
                      <a:off x="0" y="0"/>
                      <a:ext cx="5877745" cy="8335538"/>
                    </a:xfrm>
                    <a:prstGeom prst="rect">
                      <a:avLst/>
                    </a:prstGeom>
                  </pic:spPr>
                </pic:pic>
              </a:graphicData>
            </a:graphic>
          </wp:inline>
        </w:drawing>
      </w:r>
    </w:p>
    <w:p w14:paraId="611202DF" w14:textId="77777777" w:rsidR="00B3230C" w:rsidRPr="00F34BDB" w:rsidRDefault="00B3230C" w:rsidP="00B3230C">
      <w:pPr>
        <w:spacing w:before="240"/>
        <w:jc w:val="center"/>
        <w:rPr>
          <w:u w:val="single"/>
        </w:rPr>
      </w:pPr>
      <w:r>
        <w:rPr>
          <w:u w:val="single"/>
        </w:rPr>
        <w:tab/>
      </w:r>
      <w:r>
        <w:rPr>
          <w:u w:val="single"/>
        </w:rPr>
        <w:tab/>
      </w:r>
      <w:r>
        <w:rPr>
          <w:u w:val="single"/>
        </w:rPr>
        <w:tab/>
      </w:r>
    </w:p>
    <w:p w14:paraId="12B66743" w14:textId="77777777" w:rsidR="00446FE5" w:rsidRPr="00AC3823" w:rsidRDefault="00446FE5" w:rsidP="00AC3823"/>
    <w:sectPr w:rsidR="00446FE5" w:rsidRPr="00AC3823" w:rsidSect="007101CE">
      <w:headerReference w:type="even" r:id="rId23"/>
      <w:headerReference w:type="default" r:id="rId24"/>
      <w:footerReference w:type="even" r:id="rId25"/>
      <w:footerReference w:type="default" r:id="rId26"/>
      <w:footerReference w:type="first" r:id="rId27"/>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748F4" w14:textId="77777777" w:rsidR="00F46930" w:rsidRDefault="00F46930" w:rsidP="00F95C08">
      <w:pPr>
        <w:spacing w:line="240" w:lineRule="auto"/>
      </w:pPr>
    </w:p>
  </w:endnote>
  <w:endnote w:type="continuationSeparator" w:id="0">
    <w:p w14:paraId="7B953EEA" w14:textId="77777777" w:rsidR="00F46930" w:rsidRPr="00AC3823" w:rsidRDefault="00F46930" w:rsidP="00AC3823">
      <w:pPr>
        <w:pStyle w:val="Footer"/>
      </w:pPr>
    </w:p>
  </w:endnote>
  <w:endnote w:type="continuationNotice" w:id="1">
    <w:p w14:paraId="17695FEA" w14:textId="77777777" w:rsidR="00F46930" w:rsidRDefault="00F4693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
    <w:altName w:val="Arial"/>
    <w:panose1 w:val="020B0604020202030204"/>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EE196" w14:textId="1B8B4A3F" w:rsidR="007101CE" w:rsidRPr="007101CE" w:rsidRDefault="007101CE" w:rsidP="007101CE">
    <w:pPr>
      <w:pStyle w:val="Footer"/>
      <w:tabs>
        <w:tab w:val="right" w:pos="9638"/>
      </w:tabs>
    </w:pPr>
    <w:r w:rsidRPr="007101CE">
      <w:rPr>
        <w:b/>
        <w:sz w:val="18"/>
      </w:rPr>
      <w:fldChar w:fldCharType="begin"/>
    </w:r>
    <w:r w:rsidRPr="007101CE">
      <w:rPr>
        <w:b/>
        <w:sz w:val="18"/>
      </w:rPr>
      <w:instrText xml:space="preserve"> PAGE  \* MERGEFORMAT </w:instrText>
    </w:r>
    <w:r w:rsidRPr="007101CE">
      <w:rPr>
        <w:b/>
        <w:sz w:val="18"/>
      </w:rPr>
      <w:fldChar w:fldCharType="separate"/>
    </w:r>
    <w:r w:rsidRPr="007101CE">
      <w:rPr>
        <w:b/>
        <w:noProof/>
        <w:sz w:val="18"/>
      </w:rPr>
      <w:t>2</w:t>
    </w:r>
    <w:r w:rsidRPr="007101CE">
      <w:rPr>
        <w:b/>
        <w:sz w:val="18"/>
      </w:rPr>
      <w:fldChar w:fldCharType="end"/>
    </w:r>
    <w:r>
      <w:rPr>
        <w:b/>
        <w:sz w:val="18"/>
      </w:rPr>
      <w:tab/>
    </w:r>
    <w:r>
      <w:t>GE.22-14124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1D105" w14:textId="4A75DBAB" w:rsidR="007101CE" w:rsidRPr="007101CE" w:rsidRDefault="007101CE" w:rsidP="007101CE">
    <w:pPr>
      <w:pStyle w:val="Footer"/>
      <w:tabs>
        <w:tab w:val="right" w:pos="9638"/>
      </w:tabs>
      <w:rPr>
        <w:b/>
        <w:sz w:val="18"/>
      </w:rPr>
    </w:pPr>
    <w:r>
      <w:t>GE.22-14124</w:t>
    </w:r>
    <w:r>
      <w:tab/>
    </w:r>
    <w:r w:rsidRPr="007101CE">
      <w:rPr>
        <w:b/>
        <w:sz w:val="18"/>
      </w:rPr>
      <w:fldChar w:fldCharType="begin"/>
    </w:r>
    <w:r w:rsidRPr="007101CE">
      <w:rPr>
        <w:b/>
        <w:sz w:val="18"/>
      </w:rPr>
      <w:instrText xml:space="preserve"> PAGE  \* MERGEFORMAT </w:instrText>
    </w:r>
    <w:r w:rsidRPr="007101CE">
      <w:rPr>
        <w:b/>
        <w:sz w:val="18"/>
      </w:rPr>
      <w:fldChar w:fldCharType="separate"/>
    </w:r>
    <w:r w:rsidRPr="007101CE">
      <w:rPr>
        <w:b/>
        <w:noProof/>
        <w:sz w:val="18"/>
      </w:rPr>
      <w:t>3</w:t>
    </w:r>
    <w:r w:rsidRPr="007101CE">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72A89" w14:textId="215D367C" w:rsidR="0068456F" w:rsidRPr="007101CE" w:rsidRDefault="007101CE" w:rsidP="007101CE">
    <w:pPr>
      <w:pStyle w:val="Footer"/>
      <w:spacing w:before="120"/>
      <w:rPr>
        <w:sz w:val="20"/>
      </w:rPr>
    </w:pPr>
    <w:r>
      <w:rPr>
        <w:sz w:val="20"/>
      </w:rPr>
      <w:t>GE.</w:t>
    </w:r>
    <w:r w:rsidR="0068456F">
      <w:rPr>
        <w:noProof/>
        <w:lang w:eastAsia="fr-CH"/>
      </w:rPr>
      <w:drawing>
        <wp:anchor distT="0" distB="0" distL="114300" distR="114300" simplePos="0" relativeHeight="251659264" behindDoc="0" locked="0" layoutInCell="1" allowOverlap="0" wp14:anchorId="709177BC" wp14:editId="58171A2C">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22-</w:t>
    </w:r>
    <w:proofErr w:type="gramStart"/>
    <w:r>
      <w:rPr>
        <w:sz w:val="20"/>
      </w:rPr>
      <w:t>14124</w:t>
    </w:r>
    <w:r w:rsidR="00CA4E50">
      <w:rPr>
        <w:sz w:val="20"/>
      </w:rPr>
      <w:t xml:space="preserve">  </w:t>
    </w:r>
    <w:r>
      <w:rPr>
        <w:sz w:val="20"/>
      </w:rPr>
      <w:t>(</w:t>
    </w:r>
    <w:proofErr w:type="gramEnd"/>
    <w:r>
      <w:rPr>
        <w:sz w:val="20"/>
      </w:rPr>
      <w:t>F)</w:t>
    </w:r>
    <w:r>
      <w:rPr>
        <w:noProof/>
        <w:sz w:val="20"/>
      </w:rPr>
      <w:drawing>
        <wp:anchor distT="0" distB="0" distL="114300" distR="114300" simplePos="0" relativeHeight="251660288" behindDoc="0" locked="0" layoutInCell="1" allowOverlap="1" wp14:anchorId="7CFDF88C" wp14:editId="2E342460">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E50">
      <w:rPr>
        <w:sz w:val="20"/>
      </w:rPr>
      <w:t xml:space="preserve">    </w:t>
    </w:r>
    <w:r w:rsidR="002C5DD6">
      <w:rPr>
        <w:sz w:val="20"/>
      </w:rPr>
      <w:t>111022</w:t>
    </w:r>
    <w:r w:rsidR="00CA4E50">
      <w:rPr>
        <w:sz w:val="20"/>
      </w:rPr>
      <w:t xml:space="preserve">    </w:t>
    </w:r>
    <w:r w:rsidR="002C5DD6">
      <w:rPr>
        <w:sz w:val="20"/>
      </w:rPr>
      <w:t>121022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1F004" w14:textId="77777777" w:rsidR="00F46930" w:rsidRPr="00AC3823" w:rsidRDefault="00F46930" w:rsidP="00AC3823">
      <w:pPr>
        <w:pStyle w:val="Footer"/>
        <w:tabs>
          <w:tab w:val="right" w:pos="2155"/>
        </w:tabs>
        <w:spacing w:after="80" w:line="240" w:lineRule="atLeast"/>
        <w:ind w:left="680"/>
        <w:rPr>
          <w:u w:val="single"/>
        </w:rPr>
      </w:pPr>
      <w:r>
        <w:rPr>
          <w:u w:val="single"/>
        </w:rPr>
        <w:tab/>
      </w:r>
    </w:p>
  </w:footnote>
  <w:footnote w:type="continuationSeparator" w:id="0">
    <w:p w14:paraId="7546B1A1" w14:textId="77777777" w:rsidR="00F46930" w:rsidRPr="00AC3823" w:rsidRDefault="00F46930" w:rsidP="00AC3823">
      <w:pPr>
        <w:pStyle w:val="Footer"/>
        <w:tabs>
          <w:tab w:val="right" w:pos="2155"/>
        </w:tabs>
        <w:spacing w:after="80" w:line="240" w:lineRule="atLeast"/>
        <w:ind w:left="680"/>
        <w:rPr>
          <w:u w:val="single"/>
        </w:rPr>
      </w:pPr>
      <w:r>
        <w:rPr>
          <w:u w:val="single"/>
        </w:rPr>
        <w:tab/>
      </w:r>
    </w:p>
  </w:footnote>
  <w:footnote w:type="continuationNotice" w:id="1">
    <w:p w14:paraId="4A871F9B" w14:textId="77777777" w:rsidR="00F46930" w:rsidRPr="00AC3823" w:rsidRDefault="00F46930">
      <w:pPr>
        <w:spacing w:line="240" w:lineRule="auto"/>
        <w:rPr>
          <w:sz w:val="2"/>
          <w:szCs w:val="2"/>
        </w:rPr>
      </w:pPr>
    </w:p>
  </w:footnote>
  <w:footnote w:id="2">
    <w:p w14:paraId="3345C338" w14:textId="35A0FF2D" w:rsidR="007101CE" w:rsidRPr="007101CE" w:rsidRDefault="002C5DD6" w:rsidP="002C5DD6">
      <w:pPr>
        <w:pStyle w:val="FootnoteText"/>
        <w:ind w:hanging="567"/>
        <w:rPr>
          <w:lang w:val="en-US"/>
        </w:rPr>
      </w:pPr>
      <w:r>
        <w:rPr>
          <w:lang w:val="en-US"/>
        </w:rPr>
        <w:tab/>
      </w:r>
      <w:r w:rsidR="007101CE">
        <w:rPr>
          <w:rStyle w:val="FootnoteReference"/>
          <w:lang w:val="fr-FR"/>
        </w:rPr>
        <w:footnoteRef/>
      </w:r>
      <w:r>
        <w:rPr>
          <w:lang w:val="en-US"/>
        </w:rPr>
        <w:tab/>
      </w:r>
      <w:r w:rsidR="007101CE" w:rsidRPr="00F974E6">
        <w:rPr>
          <w:lang w:val="en-US"/>
        </w:rPr>
        <w:t>A/75/6 (Sect. 20), par.</w:t>
      </w:r>
      <w:r>
        <w:rPr>
          <w:lang w:val="en-US"/>
        </w:rPr>
        <w:t> </w:t>
      </w:r>
      <w:r w:rsidR="007101CE" w:rsidRPr="00F974E6">
        <w:rPr>
          <w:lang w:val="en-US"/>
        </w:rPr>
        <w:t>20.51.</w:t>
      </w:r>
    </w:p>
  </w:footnote>
  <w:footnote w:id="3">
    <w:p w14:paraId="165F0201" w14:textId="60A40F83" w:rsidR="007101CE" w:rsidRPr="007101CE" w:rsidRDefault="002E2A33" w:rsidP="002E2A33">
      <w:pPr>
        <w:pStyle w:val="FootnoteText"/>
        <w:ind w:hanging="567"/>
        <w:rPr>
          <w:lang w:val="en-US"/>
        </w:rPr>
      </w:pPr>
      <w:r>
        <w:rPr>
          <w:vertAlign w:val="superscript"/>
          <w:lang w:val="en-US"/>
        </w:rPr>
        <w:tab/>
      </w:r>
      <w:r w:rsidR="007101CE" w:rsidRPr="00320D33">
        <w:rPr>
          <w:vertAlign w:val="superscript"/>
          <w:lang w:val="en-US"/>
        </w:rPr>
        <w:t>1</w:t>
      </w:r>
      <w:r w:rsidR="007101CE" w:rsidRPr="00320D33">
        <w:rPr>
          <w:lang w:val="en-US"/>
        </w:rPr>
        <w:tab/>
        <w:t>Huang, CK.</w:t>
      </w:r>
      <w:r w:rsidR="007101CE">
        <w:rPr>
          <w:lang w:val="en-US"/>
        </w:rPr>
        <w:t xml:space="preserve">, </w:t>
      </w:r>
      <w:r w:rsidR="007101CE" w:rsidRPr="00320D33">
        <w:rPr>
          <w:lang w:val="en-US"/>
        </w:rPr>
        <w:t>Hall, A. H.</w:t>
      </w:r>
      <w:r w:rsidR="007101CE">
        <w:rPr>
          <w:lang w:val="en-US"/>
        </w:rPr>
        <w:t xml:space="preserve">, </w:t>
      </w:r>
      <w:r w:rsidR="007101CE" w:rsidRPr="00320D33">
        <w:rPr>
          <w:lang w:val="en-US"/>
        </w:rPr>
        <w:t>Wu, ML.</w:t>
      </w:r>
      <w:r w:rsidR="007101CE">
        <w:rPr>
          <w:lang w:val="en-US"/>
        </w:rPr>
        <w:t xml:space="preserve">, </w:t>
      </w:r>
      <w:r w:rsidR="007101CE" w:rsidRPr="00320D33">
        <w:rPr>
          <w:lang w:val="en-US"/>
        </w:rPr>
        <w:t>Yang, CC.</w:t>
      </w:r>
      <w:r w:rsidR="007101CE">
        <w:rPr>
          <w:lang w:val="en-US"/>
        </w:rPr>
        <w:t xml:space="preserve">, </w:t>
      </w:r>
      <w:r w:rsidR="007101CE" w:rsidRPr="00320D33">
        <w:rPr>
          <w:lang w:val="en-US"/>
        </w:rPr>
        <w:t>Hung, DZ.</w:t>
      </w:r>
      <w:r w:rsidR="007101CE">
        <w:rPr>
          <w:lang w:val="en-US"/>
        </w:rPr>
        <w:t xml:space="preserve">, </w:t>
      </w:r>
      <w:r w:rsidR="007101CE" w:rsidRPr="00320D33">
        <w:rPr>
          <w:lang w:val="en-US"/>
        </w:rPr>
        <w:t>Mao, YC.</w:t>
      </w:r>
      <w:r w:rsidR="007101CE">
        <w:rPr>
          <w:lang w:val="en-US"/>
        </w:rPr>
        <w:t xml:space="preserve"> et </w:t>
      </w:r>
      <w:r w:rsidR="007101CE" w:rsidRPr="00320D33">
        <w:rPr>
          <w:lang w:val="en-US"/>
        </w:rPr>
        <w:t>Deng, JF. (2020</w:t>
      </w:r>
      <w:proofErr w:type="gramStart"/>
      <w:r w:rsidR="007101CE" w:rsidRPr="00320D33">
        <w:rPr>
          <w:lang w:val="en-US"/>
        </w:rPr>
        <w:t>)</w:t>
      </w:r>
      <w:r w:rsidR="00703A5A">
        <w:rPr>
          <w:lang w:val="en-US"/>
        </w:rPr>
        <w:t> </w:t>
      </w:r>
      <w:r w:rsidR="007101CE">
        <w:rPr>
          <w:lang w:val="en-US"/>
        </w:rPr>
        <w:t>:</w:t>
      </w:r>
      <w:proofErr w:type="gramEnd"/>
      <w:r w:rsidR="007101CE">
        <w:rPr>
          <w:lang w:val="en-US"/>
        </w:rPr>
        <w:t xml:space="preserve"> </w:t>
      </w:r>
      <w:r w:rsidR="007101CE" w:rsidRPr="00320D33">
        <w:rPr>
          <w:lang w:val="en-US"/>
        </w:rPr>
        <w:t xml:space="preserve">Presentations of tetramethylammonium hydroxide dermal exposure and the valuable potential of </w:t>
      </w:r>
      <w:proofErr w:type="spellStart"/>
      <w:r w:rsidR="007101CE" w:rsidRPr="00320D33">
        <w:rPr>
          <w:lang w:val="en-US"/>
        </w:rPr>
        <w:t>diphoterine</w:t>
      </w:r>
      <w:proofErr w:type="spellEnd"/>
      <w:r w:rsidR="007101CE" w:rsidRPr="00320D33">
        <w:rPr>
          <w:lang w:val="en-US"/>
        </w:rPr>
        <w:t xml:space="preserve"> solution in decontamination: a retrospective observational study. </w:t>
      </w:r>
      <w:r w:rsidR="007101CE" w:rsidRPr="00320D33">
        <w:rPr>
          <w:i/>
          <w:iCs/>
          <w:lang w:val="en-US"/>
        </w:rPr>
        <w:t>BMC Pharmacology and Toxicology</w:t>
      </w:r>
      <w:r w:rsidR="007101CE" w:rsidRPr="00320D33">
        <w:rPr>
          <w:lang w:val="en-US"/>
        </w:rPr>
        <w:t>. 21:83. (</w:t>
      </w:r>
      <w:hyperlink r:id="rId1" w:history="1">
        <w:r w:rsidR="007101CE" w:rsidRPr="00703A5A">
          <w:rPr>
            <w:rStyle w:val="Hyperlink"/>
            <w:lang w:val="en-US"/>
          </w:rPr>
          <w:t>https://doi.org/10.1186/s40360-020-00465-8</w:t>
        </w:r>
      </w:hyperlink>
      <w:r w:rsidR="007101CE" w:rsidRPr="00320D33">
        <w:rPr>
          <w:lang w:val="en-US"/>
        </w:rPr>
        <w:t>).</w:t>
      </w:r>
    </w:p>
  </w:footnote>
  <w:footnote w:id="4">
    <w:p w14:paraId="75C948F5" w14:textId="48D4C803" w:rsidR="007A6379" w:rsidRDefault="007A6379">
      <w:pPr>
        <w:pStyle w:val="FootnoteText"/>
      </w:pPr>
      <w:r>
        <w:tab/>
      </w:r>
      <w:r>
        <w:rPr>
          <w:rStyle w:val="FootnoteReference"/>
        </w:rPr>
        <w:footnoteRef/>
      </w:r>
      <w:r>
        <w:tab/>
      </w:r>
      <w:proofErr w:type="spellStart"/>
      <w:r w:rsidRPr="007A6379">
        <w:t>Buist</w:t>
      </w:r>
      <w:proofErr w:type="spellEnd"/>
      <w:r w:rsidRPr="007A6379">
        <w:t xml:space="preserve">, H., Craig, P., </w:t>
      </w:r>
      <w:proofErr w:type="spellStart"/>
      <w:r w:rsidRPr="007A6379">
        <w:t>Dewhurst</w:t>
      </w:r>
      <w:proofErr w:type="spellEnd"/>
      <w:r w:rsidRPr="007A6379">
        <w:t xml:space="preserve">, I., </w:t>
      </w:r>
      <w:proofErr w:type="spellStart"/>
      <w:r w:rsidRPr="007A6379">
        <w:t>Hougaard</w:t>
      </w:r>
      <w:proofErr w:type="spellEnd"/>
      <w:r w:rsidRPr="007A6379">
        <w:t xml:space="preserve"> </w:t>
      </w:r>
      <w:proofErr w:type="spellStart"/>
      <w:r w:rsidRPr="007A6379">
        <w:t>Bennekou</w:t>
      </w:r>
      <w:proofErr w:type="spellEnd"/>
      <w:r w:rsidRPr="007A6379">
        <w:t xml:space="preserve">, S., </w:t>
      </w:r>
      <w:proofErr w:type="spellStart"/>
      <w:r w:rsidRPr="007A6379">
        <w:t>Kneuer</w:t>
      </w:r>
      <w:proofErr w:type="spellEnd"/>
      <w:r w:rsidRPr="007A6379">
        <w:t xml:space="preserve">, C., Machera, K., </w:t>
      </w:r>
      <w:proofErr w:type="spellStart"/>
      <w:r w:rsidRPr="007A6379">
        <w:t>Pieper</w:t>
      </w:r>
      <w:proofErr w:type="spellEnd"/>
      <w:r w:rsidRPr="007A6379">
        <w:t xml:space="preserve">, C., Court Marques, D., Guillot, G., </w:t>
      </w:r>
      <w:proofErr w:type="spellStart"/>
      <w:r w:rsidRPr="007A6379">
        <w:t>Ruffo</w:t>
      </w:r>
      <w:proofErr w:type="spellEnd"/>
      <w:r w:rsidRPr="007A6379">
        <w:t xml:space="preserve">, F. et </w:t>
      </w:r>
      <w:proofErr w:type="spellStart"/>
      <w:r w:rsidRPr="007A6379">
        <w:t>Chiusolo</w:t>
      </w:r>
      <w:proofErr w:type="spellEnd"/>
      <w:r w:rsidRPr="007A6379">
        <w:t xml:space="preserve">, A. (2017) : Guidance on </w:t>
      </w:r>
      <w:proofErr w:type="spellStart"/>
      <w:r w:rsidRPr="007A6379">
        <w:t>dermal</w:t>
      </w:r>
      <w:proofErr w:type="spellEnd"/>
      <w:r w:rsidRPr="007A6379">
        <w:t xml:space="preserve"> absorption. </w:t>
      </w:r>
      <w:r w:rsidRPr="00EA125E">
        <w:rPr>
          <w:i/>
          <w:iCs/>
          <w:lang w:val="fr-FR"/>
        </w:rPr>
        <w:t xml:space="preserve">EFSA Journal </w:t>
      </w:r>
      <w:r w:rsidRPr="00EA125E">
        <w:rPr>
          <w:lang w:val="fr-FR"/>
        </w:rPr>
        <w:t>; 15(6</w:t>
      </w:r>
      <w:proofErr w:type="gramStart"/>
      <w:r w:rsidRPr="00EA125E">
        <w:rPr>
          <w:lang w:val="fr-FR"/>
        </w:rPr>
        <w:t>):</w:t>
      </w:r>
      <w:proofErr w:type="gramEnd"/>
      <w:r w:rsidRPr="00EA125E">
        <w:rPr>
          <w:lang w:val="fr-FR"/>
        </w:rPr>
        <w:t>4873. (</w:t>
      </w:r>
      <w:hyperlink r:id="rId2" w:history="1">
        <w:r w:rsidRPr="005B2916">
          <w:rPr>
            <w:rStyle w:val="Hyperlink"/>
            <w:lang w:val="fr-FR"/>
          </w:rPr>
          <w:t>https://doi.org/10.2903/j.efsa.2017.4873</w:t>
        </w:r>
      </w:hyperlink>
      <w:r w:rsidRPr="00EA125E">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87098" w14:textId="6DF93553" w:rsidR="007101CE" w:rsidRPr="007101CE" w:rsidRDefault="00526302">
    <w:pPr>
      <w:pStyle w:val="Header"/>
    </w:pPr>
    <w:r>
      <w:fldChar w:fldCharType="begin"/>
    </w:r>
    <w:r>
      <w:instrText xml:space="preserve"> TITLE  \* MERGEFORMAT </w:instrText>
    </w:r>
    <w:r>
      <w:fldChar w:fldCharType="separate"/>
    </w:r>
    <w:r>
      <w:t>ST/SG/AC.10/C.3/2022/72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4B689" w14:textId="16992647" w:rsidR="007101CE" w:rsidRPr="007101CE" w:rsidRDefault="00526302" w:rsidP="007101CE">
    <w:pPr>
      <w:pStyle w:val="Header"/>
      <w:jc w:val="right"/>
    </w:pPr>
    <w:r>
      <w:fldChar w:fldCharType="begin"/>
    </w:r>
    <w:r>
      <w:instrText xml:space="preserve"> TITLE  \* MERGEFORMAT </w:instrText>
    </w:r>
    <w:r>
      <w:fldChar w:fldCharType="separate"/>
    </w:r>
    <w:r>
      <w:t>ST/SG/AC.10/C.3/2022/72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954887"/>
    <w:multiLevelType w:val="hybridMultilevel"/>
    <w:tmpl w:val="274CD73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CF4EB2"/>
    <w:multiLevelType w:val="hybridMultilevel"/>
    <w:tmpl w:val="981AAA34"/>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7" w15:restartNumberingAfterBreak="0">
    <w:nsid w:val="3F9C0D17"/>
    <w:multiLevelType w:val="hybridMultilevel"/>
    <w:tmpl w:val="6F0A5A78"/>
    <w:lvl w:ilvl="0" w:tplc="343C6818">
      <w:start w:val="1"/>
      <w:numFmt w:val="decimal"/>
      <w:lvlText w:val="%1."/>
      <w:lvlJc w:val="left"/>
      <w:pPr>
        <w:ind w:left="720" w:hanging="360"/>
      </w:pPr>
      <w:rPr>
        <w:i w:val="0"/>
        <w:iCs w:val="0"/>
        <w:color w:val="auto"/>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AD07B2"/>
    <w:multiLevelType w:val="hybridMultilevel"/>
    <w:tmpl w:val="FE2C9A28"/>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2"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C5936A7"/>
    <w:multiLevelType w:val="hybridMultilevel"/>
    <w:tmpl w:val="986CEEF0"/>
    <w:lvl w:ilvl="0" w:tplc="E0744886">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1"/>
  </w:num>
  <w:num w:numId="2">
    <w:abstractNumId w:val="16"/>
  </w:num>
  <w:num w:numId="3">
    <w:abstractNumId w:val="12"/>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1"/>
  </w:num>
  <w:num w:numId="15">
    <w:abstractNumId w:val="16"/>
  </w:num>
  <w:num w:numId="16">
    <w:abstractNumId w:val="12"/>
  </w:num>
  <w:num w:numId="17">
    <w:abstractNumId w:val="15"/>
  </w:num>
  <w:num w:numId="18">
    <w:abstractNumId w:val="14"/>
  </w:num>
  <w:num w:numId="19">
    <w:abstractNumId w:val="10"/>
  </w:num>
  <w:num w:numId="20">
    <w:abstractNumId w:val="18"/>
  </w:num>
  <w:num w:numId="21">
    <w:abstractNumId w:val="19"/>
  </w:num>
  <w:num w:numId="22">
    <w:abstractNumId w:val="22"/>
  </w:num>
  <w:num w:numId="23">
    <w:abstractNumId w:val="13"/>
  </w:num>
  <w:num w:numId="24">
    <w:abstractNumId w:val="11"/>
  </w:num>
  <w:num w:numId="25">
    <w:abstractNumId w:val="20"/>
  </w:num>
  <w:num w:numId="26">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930"/>
    <w:rsid w:val="00017F94"/>
    <w:rsid w:val="00023842"/>
    <w:rsid w:val="000305D3"/>
    <w:rsid w:val="000334F9"/>
    <w:rsid w:val="0007796D"/>
    <w:rsid w:val="000B7790"/>
    <w:rsid w:val="00111F2F"/>
    <w:rsid w:val="00132EA9"/>
    <w:rsid w:val="0014365E"/>
    <w:rsid w:val="0015392D"/>
    <w:rsid w:val="00166D01"/>
    <w:rsid w:val="00172E49"/>
    <w:rsid w:val="00176178"/>
    <w:rsid w:val="001F525A"/>
    <w:rsid w:val="00223272"/>
    <w:rsid w:val="0024779E"/>
    <w:rsid w:val="00283190"/>
    <w:rsid w:val="002832AC"/>
    <w:rsid w:val="002C5DD6"/>
    <w:rsid w:val="002D7C93"/>
    <w:rsid w:val="002E2A33"/>
    <w:rsid w:val="00441C3B"/>
    <w:rsid w:val="00446FE5"/>
    <w:rsid w:val="00452396"/>
    <w:rsid w:val="004E468C"/>
    <w:rsid w:val="00526302"/>
    <w:rsid w:val="005505B7"/>
    <w:rsid w:val="00573BE5"/>
    <w:rsid w:val="00584DC4"/>
    <w:rsid w:val="00586306"/>
    <w:rsid w:val="00586ED3"/>
    <w:rsid w:val="00596AA9"/>
    <w:rsid w:val="005B2916"/>
    <w:rsid w:val="0068456F"/>
    <w:rsid w:val="00703A5A"/>
    <w:rsid w:val="007101CE"/>
    <w:rsid w:val="0071601D"/>
    <w:rsid w:val="007A62E6"/>
    <w:rsid w:val="007A6379"/>
    <w:rsid w:val="007E6643"/>
    <w:rsid w:val="0080684C"/>
    <w:rsid w:val="008123E0"/>
    <w:rsid w:val="00871C75"/>
    <w:rsid w:val="008776DC"/>
    <w:rsid w:val="008B40CD"/>
    <w:rsid w:val="009705C8"/>
    <w:rsid w:val="009C1CF4"/>
    <w:rsid w:val="00A30353"/>
    <w:rsid w:val="00A81281"/>
    <w:rsid w:val="00AA0E67"/>
    <w:rsid w:val="00AC3823"/>
    <w:rsid w:val="00AE323C"/>
    <w:rsid w:val="00B00181"/>
    <w:rsid w:val="00B00B0D"/>
    <w:rsid w:val="00B3230C"/>
    <w:rsid w:val="00B7223A"/>
    <w:rsid w:val="00B765F7"/>
    <w:rsid w:val="00BA0CA9"/>
    <w:rsid w:val="00C02897"/>
    <w:rsid w:val="00CA4E50"/>
    <w:rsid w:val="00CF754F"/>
    <w:rsid w:val="00D3439C"/>
    <w:rsid w:val="00DB1831"/>
    <w:rsid w:val="00DD3BFD"/>
    <w:rsid w:val="00DF6678"/>
    <w:rsid w:val="00EF2E22"/>
    <w:rsid w:val="00F01738"/>
    <w:rsid w:val="00F46930"/>
    <w:rsid w:val="00F660DF"/>
    <w:rsid w:val="00F730C8"/>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ADA25"/>
  <w15:docId w15:val="{E473C5FC-DA8F-4F9B-AEB0-6AB41A8C9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DC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584DC4"/>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584DC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584DC4"/>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584DC4"/>
    <w:pPr>
      <w:spacing w:line="240" w:lineRule="auto"/>
    </w:pPr>
    <w:rPr>
      <w:sz w:val="16"/>
    </w:rPr>
  </w:style>
  <w:style w:type="character" w:customStyle="1" w:styleId="FooterChar">
    <w:name w:val="Footer Char"/>
    <w:aliases w:val="3_G Char"/>
    <w:basedOn w:val="DefaultParagraphFont"/>
    <w:link w:val="Footer"/>
    <w:rsid w:val="00584DC4"/>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584DC4"/>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584DC4"/>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584DC4"/>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584DC4"/>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584DC4"/>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584DC4"/>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qFormat/>
    <w:rsid w:val="00584DC4"/>
    <w:pPr>
      <w:tabs>
        <w:tab w:val="left" w:pos="1701"/>
        <w:tab w:val="left" w:pos="2268"/>
        <w:tab w:val="left" w:pos="2835"/>
      </w:tabs>
      <w:spacing w:after="120"/>
      <w:ind w:left="1134" w:right="1134"/>
      <w:jc w:val="both"/>
    </w:pPr>
  </w:style>
  <w:style w:type="paragraph" w:customStyle="1" w:styleId="SLG">
    <w:name w:val="__S_L_G"/>
    <w:basedOn w:val="Normal"/>
    <w:next w:val="Normal"/>
    <w:rsid w:val="00584DC4"/>
    <w:pPr>
      <w:keepNext/>
      <w:keepLines/>
      <w:spacing w:before="240" w:after="240" w:line="580" w:lineRule="exact"/>
      <w:ind w:left="1134" w:right="1134"/>
    </w:pPr>
    <w:rPr>
      <w:b/>
      <w:sz w:val="56"/>
    </w:rPr>
  </w:style>
  <w:style w:type="paragraph" w:customStyle="1" w:styleId="SMG">
    <w:name w:val="__S_M_G"/>
    <w:basedOn w:val="Normal"/>
    <w:next w:val="Normal"/>
    <w:rsid w:val="00584DC4"/>
    <w:pPr>
      <w:keepNext/>
      <w:keepLines/>
      <w:spacing w:before="240" w:after="240" w:line="420" w:lineRule="exact"/>
      <w:ind w:left="1134" w:right="1134"/>
    </w:pPr>
    <w:rPr>
      <w:b/>
      <w:sz w:val="40"/>
    </w:rPr>
  </w:style>
  <w:style w:type="paragraph" w:customStyle="1" w:styleId="SSG">
    <w:name w:val="__S_S_G"/>
    <w:basedOn w:val="Normal"/>
    <w:next w:val="Normal"/>
    <w:rsid w:val="00584DC4"/>
    <w:pPr>
      <w:keepNext/>
      <w:keepLines/>
      <w:spacing w:before="240" w:after="240" w:line="300" w:lineRule="exact"/>
      <w:ind w:left="1134" w:right="1134"/>
    </w:pPr>
    <w:rPr>
      <w:b/>
      <w:sz w:val="28"/>
    </w:rPr>
  </w:style>
  <w:style w:type="paragraph" w:customStyle="1" w:styleId="XLargeG">
    <w:name w:val="__XLarge_G"/>
    <w:basedOn w:val="Normal"/>
    <w:next w:val="Normal"/>
    <w:rsid w:val="00584DC4"/>
    <w:pPr>
      <w:keepNext/>
      <w:keepLines/>
      <w:spacing w:before="240" w:after="240" w:line="420" w:lineRule="exact"/>
      <w:ind w:left="1134" w:right="1134"/>
    </w:pPr>
    <w:rPr>
      <w:b/>
      <w:sz w:val="40"/>
    </w:rPr>
  </w:style>
  <w:style w:type="paragraph" w:customStyle="1" w:styleId="Bullet1G">
    <w:name w:val="_Bullet 1_G"/>
    <w:basedOn w:val="Normal"/>
    <w:qFormat/>
    <w:rsid w:val="00584DC4"/>
    <w:pPr>
      <w:numPr>
        <w:numId w:val="14"/>
      </w:numPr>
      <w:spacing w:after="120"/>
      <w:ind w:right="1134"/>
      <w:jc w:val="both"/>
    </w:pPr>
  </w:style>
  <w:style w:type="paragraph" w:customStyle="1" w:styleId="Bullet2G">
    <w:name w:val="_Bullet 2_G"/>
    <w:basedOn w:val="Normal"/>
    <w:qFormat/>
    <w:rsid w:val="00584DC4"/>
    <w:pPr>
      <w:numPr>
        <w:numId w:val="15"/>
      </w:numPr>
      <w:spacing w:after="120"/>
      <w:ind w:right="1134"/>
      <w:jc w:val="both"/>
    </w:pPr>
  </w:style>
  <w:style w:type="paragraph" w:customStyle="1" w:styleId="ParNoG">
    <w:name w:val="_ParNo_G"/>
    <w:basedOn w:val="Normal"/>
    <w:qFormat/>
    <w:rsid w:val="00584DC4"/>
    <w:pPr>
      <w:numPr>
        <w:numId w:val="16"/>
      </w:numPr>
      <w:tabs>
        <w:tab w:val="left" w:pos="1701"/>
        <w:tab w:val="left" w:pos="2268"/>
        <w:tab w:val="left" w:pos="2835"/>
      </w:tabs>
      <w:spacing w:after="120"/>
      <w:ind w:right="1134"/>
      <w:jc w:val="both"/>
    </w:pPr>
  </w:style>
  <w:style w:type="character" w:styleId="FootnoteReference">
    <w:name w:val="footnote reference"/>
    <w:aliases w:val="4_G,Footnote Reference/"/>
    <w:basedOn w:val="DefaultParagraphFont"/>
    <w:qFormat/>
    <w:rsid w:val="00584DC4"/>
    <w:rPr>
      <w:rFonts w:ascii="Times New Roman" w:hAnsi="Times New Roman"/>
      <w:sz w:val="18"/>
      <w:vertAlign w:val="superscript"/>
      <w:lang w:val="fr-CH"/>
    </w:rPr>
  </w:style>
  <w:style w:type="character" w:styleId="EndnoteReference">
    <w:name w:val="endnote reference"/>
    <w:aliases w:val="1_G"/>
    <w:basedOn w:val="FootnoteReference"/>
    <w:qFormat/>
    <w:rsid w:val="00584DC4"/>
    <w:rPr>
      <w:rFonts w:ascii="Times New Roman" w:hAnsi="Times New Roman"/>
      <w:sz w:val="18"/>
      <w:vertAlign w:val="superscript"/>
      <w:lang w:val="fr-CH"/>
    </w:rPr>
  </w:style>
  <w:style w:type="table" w:styleId="TableGrid">
    <w:name w:val="Table Grid"/>
    <w:basedOn w:val="TableNormal"/>
    <w:rsid w:val="00584DC4"/>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584DC4"/>
    <w:rPr>
      <w:color w:val="0000FF"/>
      <w:u w:val="none"/>
    </w:rPr>
  </w:style>
  <w:style w:type="character" w:styleId="FollowedHyperlink">
    <w:name w:val="FollowedHyperlink"/>
    <w:basedOn w:val="DefaultParagraphFont"/>
    <w:unhideWhenUsed/>
    <w:rsid w:val="00584DC4"/>
    <w:rPr>
      <w:color w:val="0000FF"/>
      <w:u w:val="none"/>
    </w:rPr>
  </w:style>
  <w:style w:type="paragraph" w:styleId="FootnoteText">
    <w:name w:val="footnote text"/>
    <w:aliases w:val="5_G"/>
    <w:basedOn w:val="Normal"/>
    <w:link w:val="FootnoteTextChar"/>
    <w:qFormat/>
    <w:rsid w:val="00584DC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qFormat/>
    <w:rsid w:val="00584DC4"/>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584DC4"/>
  </w:style>
  <w:style w:type="character" w:customStyle="1" w:styleId="EndnoteTextChar">
    <w:name w:val="Endnote Text Char"/>
    <w:aliases w:val="2_G Char"/>
    <w:basedOn w:val="DefaultParagraphFont"/>
    <w:link w:val="EndnoteText"/>
    <w:rsid w:val="00584DC4"/>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584DC4"/>
    <w:rPr>
      <w:rFonts w:ascii="Times New Roman" w:hAnsi="Times New Roman"/>
      <w:b/>
      <w:sz w:val="18"/>
      <w:lang w:val="fr-CH"/>
    </w:rPr>
  </w:style>
  <w:style w:type="character" w:customStyle="1" w:styleId="Heading1Char">
    <w:name w:val="Heading 1 Char"/>
    <w:aliases w:val="Table_G Char"/>
    <w:basedOn w:val="DefaultParagraphFont"/>
    <w:link w:val="Heading1"/>
    <w:rsid w:val="00584DC4"/>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132E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EA9"/>
    <w:rPr>
      <w:rFonts w:ascii="Tahoma" w:hAnsi="Tahoma" w:cs="Tahoma"/>
      <w:sz w:val="16"/>
      <w:szCs w:val="16"/>
      <w:lang w:eastAsia="en-US"/>
    </w:rPr>
  </w:style>
  <w:style w:type="numbering" w:styleId="111111">
    <w:name w:val="Outline List 2"/>
    <w:basedOn w:val="NoList"/>
    <w:semiHidden/>
    <w:rsid w:val="007101CE"/>
    <w:pPr>
      <w:numPr>
        <w:numId w:val="21"/>
      </w:numPr>
    </w:pPr>
  </w:style>
  <w:style w:type="numbering" w:styleId="1ai">
    <w:name w:val="Outline List 1"/>
    <w:basedOn w:val="NoList"/>
    <w:semiHidden/>
    <w:rsid w:val="007101CE"/>
    <w:pPr>
      <w:numPr>
        <w:numId w:val="22"/>
      </w:numPr>
    </w:pPr>
  </w:style>
  <w:style w:type="paragraph" w:styleId="ListParagraph">
    <w:name w:val="List Paragraph"/>
    <w:basedOn w:val="Normal"/>
    <w:uiPriority w:val="34"/>
    <w:qFormat/>
    <w:rsid w:val="007101CE"/>
    <w:pPr>
      <w:kinsoku/>
      <w:overflowPunct/>
      <w:autoSpaceDE/>
      <w:autoSpaceDN/>
      <w:adjustRightInd/>
      <w:snapToGrid/>
      <w:ind w:left="720"/>
    </w:pPr>
    <w:rPr>
      <w:rFonts w:eastAsia="Times New Roman"/>
      <w:lang w:val="en-GB"/>
    </w:rPr>
  </w:style>
  <w:style w:type="paragraph" w:styleId="CommentText">
    <w:name w:val="annotation text"/>
    <w:basedOn w:val="Normal"/>
    <w:link w:val="CommentTextChar"/>
    <w:uiPriority w:val="99"/>
    <w:semiHidden/>
    <w:unhideWhenUsed/>
    <w:rsid w:val="007101CE"/>
    <w:pPr>
      <w:spacing w:line="240" w:lineRule="auto"/>
    </w:pPr>
    <w:rPr>
      <w:rFonts w:eastAsia="SimSun"/>
      <w:lang w:val="en-GB" w:eastAsia="zh-CN"/>
    </w:rPr>
  </w:style>
  <w:style w:type="character" w:customStyle="1" w:styleId="CommentTextChar">
    <w:name w:val="Comment Text Char"/>
    <w:basedOn w:val="DefaultParagraphFont"/>
    <w:link w:val="CommentText"/>
    <w:uiPriority w:val="99"/>
    <w:semiHidden/>
    <w:rsid w:val="007101CE"/>
    <w:rPr>
      <w:rFonts w:ascii="Times New Roman" w:eastAsia="SimSun" w:hAnsi="Times New Roman" w:cs="Times New Roman"/>
      <w:sz w:val="20"/>
      <w:szCs w:val="20"/>
      <w:lang w:val="en-GB"/>
    </w:rPr>
  </w:style>
  <w:style w:type="character" w:styleId="CommentReference">
    <w:name w:val="annotation reference"/>
    <w:basedOn w:val="DefaultParagraphFont"/>
    <w:uiPriority w:val="99"/>
    <w:semiHidden/>
    <w:unhideWhenUsed/>
    <w:rsid w:val="007101CE"/>
    <w:rPr>
      <w:sz w:val="16"/>
      <w:szCs w:val="16"/>
    </w:rPr>
  </w:style>
  <w:style w:type="paragraph" w:styleId="CommentSubject">
    <w:name w:val="annotation subject"/>
    <w:basedOn w:val="CommentText"/>
    <w:next w:val="CommentText"/>
    <w:link w:val="CommentSubjectChar"/>
    <w:uiPriority w:val="99"/>
    <w:semiHidden/>
    <w:unhideWhenUsed/>
    <w:rsid w:val="007101CE"/>
    <w:rPr>
      <w:b/>
      <w:bCs/>
    </w:rPr>
  </w:style>
  <w:style w:type="character" w:customStyle="1" w:styleId="CommentSubjectChar">
    <w:name w:val="Comment Subject Char"/>
    <w:basedOn w:val="CommentTextChar"/>
    <w:link w:val="CommentSubject"/>
    <w:uiPriority w:val="99"/>
    <w:semiHidden/>
    <w:rsid w:val="007101CE"/>
    <w:rPr>
      <w:rFonts w:ascii="Times New Roman" w:eastAsia="SimSun" w:hAnsi="Times New Roman" w:cs="Times New Roman"/>
      <w:b/>
      <w:bCs/>
      <w:sz w:val="20"/>
      <w:szCs w:val="20"/>
      <w:lang w:val="en-GB"/>
    </w:rPr>
  </w:style>
  <w:style w:type="character" w:customStyle="1" w:styleId="HChGChar">
    <w:name w:val="_ H _Ch_G Char"/>
    <w:link w:val="HChG"/>
    <w:rsid w:val="007101CE"/>
    <w:rPr>
      <w:rFonts w:ascii="Times New Roman" w:eastAsiaTheme="minorHAnsi" w:hAnsi="Times New Roman" w:cs="Times New Roman"/>
      <w:b/>
      <w:sz w:val="28"/>
      <w:szCs w:val="20"/>
      <w:lang w:eastAsia="en-US"/>
    </w:rPr>
  </w:style>
  <w:style w:type="character" w:customStyle="1" w:styleId="H1GChar">
    <w:name w:val="_ H_1_G Char"/>
    <w:link w:val="H1G"/>
    <w:rsid w:val="007101CE"/>
    <w:rPr>
      <w:rFonts w:ascii="Times New Roman" w:eastAsiaTheme="minorHAnsi" w:hAnsi="Times New Roman" w:cs="Times New Roman"/>
      <w:b/>
      <w:sz w:val="24"/>
      <w:szCs w:val="20"/>
      <w:lang w:eastAsia="en-US"/>
    </w:rPr>
  </w:style>
  <w:style w:type="table" w:customStyle="1" w:styleId="TableGrid7">
    <w:name w:val="Table Grid7"/>
    <w:basedOn w:val="TableNormal"/>
    <w:next w:val="TableGrid"/>
    <w:uiPriority w:val="39"/>
    <w:rsid w:val="007101CE"/>
    <w:pPr>
      <w:suppressAutoHyphens/>
      <w:spacing w:after="0" w:line="240" w:lineRule="atLeast"/>
    </w:pPr>
    <w:rPr>
      <w:rFonts w:ascii="Times New Roman" w:hAnsi="Times New Roman" w:cs="Times New Roman"/>
      <w:sz w:val="20"/>
      <w:szCs w:val="20"/>
      <w:lang w:val="fr-FR"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Revision">
    <w:name w:val="Revision"/>
    <w:hidden/>
    <w:uiPriority w:val="99"/>
    <w:semiHidden/>
    <w:rsid w:val="007101CE"/>
    <w:pPr>
      <w:spacing w:after="0" w:line="240" w:lineRule="auto"/>
    </w:pPr>
    <w:rPr>
      <w:rFonts w:ascii="Times New Roman" w:eastAsia="SimSun" w:hAnsi="Times New Roman" w:cs="Times New Roman"/>
      <w:sz w:val="20"/>
      <w:szCs w:val="20"/>
      <w:lang w:val="en-GB"/>
    </w:rPr>
  </w:style>
  <w:style w:type="character" w:styleId="UnresolvedMention">
    <w:name w:val="Unresolved Mention"/>
    <w:basedOn w:val="DefaultParagraphFont"/>
    <w:uiPriority w:val="99"/>
    <w:semiHidden/>
    <w:unhideWhenUsed/>
    <w:rsid w:val="00703A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dustrialchemicals.gov.au/sites/default/files/Tetramethylammonium%20hydroxide%20and%20its%20pentahydrate_Human%20health%20tier%20II%20assessment.pdf"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3.xml"/><Relationship Id="rId30" Type="http://schemas.openxmlformats.org/officeDocument/2006/relationships/customXml" Target="../customXml/item1.xml"/></Relationships>
</file>

<file path=word/_rels/footer3.xml.rels><?xml version="1.0" encoding="UTF-8" standalone="yes"?>
<Relationships xmlns="http://schemas.openxmlformats.org/package/2006/relationships"><Relationship Id="rId2" Type="http://schemas.openxmlformats.org/officeDocument/2006/relationships/image" Target="media/image17.gif"/><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2" Type="http://schemas.openxmlformats.org/officeDocument/2006/relationships/hyperlink" Target="https://doi.org/10.2903/j.efsa.2017.4873" TargetMode="External"/><Relationship Id="rId1" Type="http://schemas.openxmlformats.org/officeDocument/2006/relationships/hyperlink" Target="https://doi.org/10.1186/s40360-020-0046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06CBE631-E835-4808-A14A-43D533C305D2}"/>
</file>

<file path=customXml/itemProps2.xml><?xml version="1.0" encoding="utf-8"?>
<ds:datastoreItem xmlns:ds="http://schemas.openxmlformats.org/officeDocument/2006/customXml" ds:itemID="{CE4B8D90-72A2-498A-9FB5-9EAD509A113F}"/>
</file>

<file path=customXml/itemProps3.xml><?xml version="1.0" encoding="utf-8"?>
<ds:datastoreItem xmlns:ds="http://schemas.openxmlformats.org/officeDocument/2006/customXml" ds:itemID="{4DCE00D2-417F-41EE-A0FF-0BDC7463D2A0}"/>
</file>

<file path=docProps/app.xml><?xml version="1.0" encoding="utf-8"?>
<Properties xmlns="http://schemas.openxmlformats.org/officeDocument/2006/extended-properties" xmlns:vt="http://schemas.openxmlformats.org/officeDocument/2006/docPropsVTypes">
  <Template>Normal.dotm</Template>
  <TotalTime>1</TotalTime>
  <Pages>26</Pages>
  <Words>6583</Words>
  <Characters>37528</Characters>
  <Application>Microsoft Office Word</Application>
  <DocSecurity>0</DocSecurity>
  <Lines>312</Lines>
  <Paragraphs>88</Paragraphs>
  <ScaleCrop>false</ScaleCrop>
  <HeadingPairs>
    <vt:vector size="2" baseType="variant">
      <vt:variant>
        <vt:lpstr>Titre</vt:lpstr>
      </vt:variant>
      <vt:variant>
        <vt:i4>1</vt:i4>
      </vt:variant>
    </vt:vector>
  </HeadingPairs>
  <TitlesOfParts>
    <vt:vector size="1" baseType="lpstr">
      <vt:lpstr>ST/SG/AC.10/C.3/2022/72</vt:lpstr>
    </vt:vector>
  </TitlesOfParts>
  <Company>DCM</Company>
  <LinksUpToDate>false</LinksUpToDate>
  <CharactersWithSpaces>44023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ST/SG/AC.10/C.3/2022/72</dc:title>
  <dc:subject/>
  <dc:creator>Christine CHAUTAGNAT</dc:creator>
  <cp:keywords/>
  <cp:lastModifiedBy>Laurence Berthet</cp:lastModifiedBy>
  <cp:revision>3</cp:revision>
  <cp:lastPrinted>2022-10-12T14:31:00Z</cp:lastPrinted>
  <dcterms:created xsi:type="dcterms:W3CDTF">2022-10-12T14:31:00Z</dcterms:created>
  <dcterms:modified xsi:type="dcterms:W3CDTF">2022-10-12T14:31:00Z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